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4F2A7" w14:textId="5883DF88" w:rsidR="00F1172A" w:rsidRDefault="00652FA7" w:rsidP="00F1172A">
      <w:pPr>
        <w:pStyle w:val="Pagedecouverture"/>
        <w:rPr>
          <w:noProof/>
        </w:rPr>
      </w:pPr>
      <w:bookmarkStart w:id="0" w:name="LW_BM_COVERPAGE"/>
      <w:r>
        <w:rPr>
          <w:noProof/>
        </w:rPr>
        <w:pict w14:anchorId="7929CD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303156D-7A66-46E9-8F74-65B9F2AF7C20" style="width:455.25pt;height:313.5pt">
            <v:imagedata r:id="rId8" o:title=""/>
          </v:shape>
        </w:pict>
      </w:r>
    </w:p>
    <w:bookmarkEnd w:id="0"/>
    <w:p w14:paraId="6B6F1295" w14:textId="77777777" w:rsidR="00F1172A" w:rsidRDefault="00F1172A" w:rsidP="00F1172A">
      <w:pPr>
        <w:rPr>
          <w:noProof/>
        </w:rPr>
        <w:sectPr w:rsidR="00F1172A" w:rsidSect="00F1172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9F78CE5" w14:textId="77777777" w:rsidR="00C36F54" w:rsidRPr="00C36F54" w:rsidRDefault="00C36F54" w:rsidP="00C36F54">
      <w:pPr>
        <w:pStyle w:val="ListParagraph"/>
        <w:numPr>
          <w:ilvl w:val="0"/>
          <w:numId w:val="1"/>
        </w:numPr>
        <w:jc w:val="both"/>
        <w:rPr>
          <w:rFonts w:ascii="Times New Roman" w:hAnsi="Times New Roman" w:cs="Times New Roman"/>
          <w:b/>
          <w:bCs/>
          <w:noProof/>
          <w:sz w:val="24"/>
          <w:szCs w:val="24"/>
        </w:rPr>
      </w:pPr>
      <w:r w:rsidRPr="00C36F54">
        <w:rPr>
          <w:rFonts w:ascii="Times New Roman" w:hAnsi="Times New Roman" w:cs="Times New Roman"/>
          <w:b/>
          <w:bCs/>
          <w:noProof/>
          <w:sz w:val="24"/>
          <w:szCs w:val="24"/>
        </w:rPr>
        <w:lastRenderedPageBreak/>
        <w:t>Introduction</w:t>
      </w:r>
    </w:p>
    <w:p w14:paraId="4E2DFD30" w14:textId="660D91FB" w:rsidR="004449DE" w:rsidRDefault="00C36F54" w:rsidP="00C36F54">
      <w:pPr>
        <w:jc w:val="both"/>
        <w:rPr>
          <w:rFonts w:ascii="Times New Roman" w:eastAsia="Times New Roman" w:hAnsi="Times New Roman" w:cs="Times New Roman"/>
          <w:noProof/>
          <w:kern w:val="0"/>
          <w:sz w:val="24"/>
          <w:szCs w:val="24"/>
          <w14:ligatures w14:val="none"/>
        </w:rPr>
      </w:pPr>
      <w:r w:rsidRPr="00C36F54">
        <w:rPr>
          <w:rFonts w:ascii="Times New Roman" w:hAnsi="Times New Roman" w:cs="Times New Roman"/>
          <w:noProof/>
          <w:sz w:val="24"/>
          <w:szCs w:val="24"/>
        </w:rPr>
        <w:t xml:space="preserve">In recent years, </w:t>
      </w:r>
      <w:r w:rsidRPr="00C36F54">
        <w:rPr>
          <w:rFonts w:ascii="Times New Roman" w:hAnsi="Times New Roman" w:cs="Times New Roman"/>
          <w:b/>
          <w:bCs/>
          <w:noProof/>
          <w:sz w:val="24"/>
          <w:szCs w:val="24"/>
        </w:rPr>
        <w:t>the European Union has found itself at a critical crossroads</w:t>
      </w:r>
      <w:r w:rsidRPr="00C36F54">
        <w:rPr>
          <w:rFonts w:ascii="Times New Roman" w:hAnsi="Times New Roman" w:cs="Times New Roman"/>
          <w:noProof/>
          <w:sz w:val="24"/>
          <w:szCs w:val="24"/>
        </w:rPr>
        <w:t xml:space="preserve"> due to unprecedented global geopolitical shifts and trade fluctuations. Russia’s continued war of aggression against Ukraine underscored </w:t>
      </w:r>
      <w:r w:rsidRPr="00C36F54">
        <w:rPr>
          <w:rFonts w:ascii="Times New Roman" w:hAnsi="Times New Roman" w:cs="Times New Roman"/>
          <w:b/>
          <w:bCs/>
          <w:noProof/>
          <w:sz w:val="24"/>
          <w:szCs w:val="24"/>
        </w:rPr>
        <w:t>the paramount importance of energy security and competitiveness in shaping our collective destiny</w:t>
      </w:r>
      <w:r w:rsidRPr="00C36F54">
        <w:rPr>
          <w:rFonts w:ascii="Times New Roman" w:hAnsi="Times New Roman" w:cs="Times New Roman"/>
          <w:noProof/>
          <w:sz w:val="24"/>
          <w:szCs w:val="24"/>
        </w:rPr>
        <w:t xml:space="preserve">. </w:t>
      </w:r>
      <w:r w:rsidRPr="00C36F54">
        <w:rPr>
          <w:rFonts w:ascii="Times New Roman" w:eastAsia="Times New Roman" w:hAnsi="Times New Roman" w:cs="Times New Roman"/>
          <w:noProof/>
          <w:kern w:val="0"/>
          <w:sz w:val="24"/>
          <w:szCs w:val="24"/>
          <w14:ligatures w14:val="none"/>
        </w:rPr>
        <w:t xml:space="preserve">It is </w:t>
      </w:r>
      <w:r w:rsidRPr="00C36F54">
        <w:rPr>
          <w:rFonts w:ascii="Times New Roman" w:eastAsia="Times New Roman" w:hAnsi="Times New Roman" w:cs="Times New Roman"/>
          <w:noProof/>
          <w:sz w:val="24"/>
          <w:szCs w:val="24"/>
        </w:rPr>
        <w:t xml:space="preserve">essential </w:t>
      </w:r>
      <w:r w:rsidRPr="00C36F54">
        <w:rPr>
          <w:rFonts w:ascii="Times New Roman" w:eastAsia="Times New Roman" w:hAnsi="Times New Roman" w:cs="Times New Roman"/>
          <w:noProof/>
          <w:kern w:val="0"/>
          <w:sz w:val="24"/>
          <w:szCs w:val="24"/>
          <w14:ligatures w14:val="none"/>
        </w:rPr>
        <w:t xml:space="preserve">that we ensure that our </w:t>
      </w:r>
      <w:r w:rsidR="00A23431" w:rsidRPr="7D5B2916">
        <w:rPr>
          <w:rFonts w:ascii="Times New Roman" w:eastAsia="Times New Roman" w:hAnsi="Times New Roman" w:cs="Times New Roman"/>
          <w:noProof/>
          <w:sz w:val="24"/>
          <w:szCs w:val="24"/>
        </w:rPr>
        <w:t xml:space="preserve">companies </w:t>
      </w:r>
      <w:r w:rsidRPr="00C36F54">
        <w:rPr>
          <w:rFonts w:ascii="Times New Roman" w:eastAsia="Times New Roman" w:hAnsi="Times New Roman" w:cs="Times New Roman"/>
          <w:noProof/>
          <w:kern w:val="0"/>
          <w:sz w:val="24"/>
          <w:szCs w:val="24"/>
          <w14:ligatures w14:val="none"/>
        </w:rPr>
        <w:t>and citizens, regardless of the Member State they are located in, have access to</w:t>
      </w:r>
      <w:r w:rsidR="00206E6E" w:rsidRPr="7D5B2916">
        <w:rPr>
          <w:rFonts w:ascii="Times New Roman" w:eastAsia="Times New Roman" w:hAnsi="Times New Roman" w:cs="Times New Roman"/>
          <w:noProof/>
          <w:sz w:val="24"/>
          <w:szCs w:val="24"/>
        </w:rPr>
        <w:t xml:space="preserve"> abundant</w:t>
      </w:r>
      <w:r w:rsidRPr="00C36F54">
        <w:rPr>
          <w:rFonts w:ascii="Times New Roman" w:eastAsia="Times New Roman" w:hAnsi="Times New Roman" w:cs="Times New Roman"/>
          <w:noProof/>
          <w:kern w:val="0"/>
          <w:sz w:val="24"/>
          <w:szCs w:val="24"/>
          <w14:ligatures w14:val="none"/>
        </w:rPr>
        <w:t xml:space="preserve"> clean, </w:t>
      </w:r>
      <w:r w:rsidR="00206E6E" w:rsidRPr="7D5B2916">
        <w:rPr>
          <w:rFonts w:ascii="Times New Roman" w:eastAsia="Times New Roman" w:hAnsi="Times New Roman" w:cs="Times New Roman"/>
          <w:noProof/>
          <w:sz w:val="24"/>
          <w:szCs w:val="24"/>
        </w:rPr>
        <w:t xml:space="preserve">and </w:t>
      </w:r>
      <w:r w:rsidRPr="00C36F54">
        <w:rPr>
          <w:rFonts w:ascii="Times New Roman" w:eastAsia="Times New Roman" w:hAnsi="Times New Roman" w:cs="Times New Roman"/>
          <w:noProof/>
          <w:kern w:val="0"/>
          <w:sz w:val="24"/>
          <w:szCs w:val="24"/>
          <w14:ligatures w14:val="none"/>
        </w:rPr>
        <w:t>affordable energy produced in Europe.</w:t>
      </w:r>
    </w:p>
    <w:p w14:paraId="63324FA9" w14:textId="69167107" w:rsidR="00986594" w:rsidRPr="006154EC" w:rsidRDefault="00C36F54" w:rsidP="00C36F54">
      <w:pPr>
        <w:jc w:val="both"/>
        <w:rPr>
          <w:rFonts w:ascii="Times New Roman" w:eastAsia="Times New Roman" w:hAnsi="Times New Roman" w:cs="Times New Roman"/>
          <w:b/>
          <w:bCs/>
          <w:noProof/>
          <w:kern w:val="0"/>
          <w:sz w:val="24"/>
          <w:szCs w:val="24"/>
          <w14:ligatures w14:val="none"/>
        </w:rPr>
      </w:pPr>
      <w:r w:rsidRPr="00C36F54">
        <w:rPr>
          <w:rFonts w:ascii="Times New Roman" w:eastAsia="Times New Roman" w:hAnsi="Times New Roman" w:cs="Times New Roman"/>
          <w:noProof/>
          <w:kern w:val="0"/>
          <w:sz w:val="24"/>
          <w:szCs w:val="24"/>
          <w14:ligatures w14:val="none"/>
        </w:rPr>
        <w:t xml:space="preserve">This, however, can be realised only by </w:t>
      </w:r>
      <w:r w:rsidRPr="00C36F54">
        <w:rPr>
          <w:rFonts w:ascii="Times New Roman" w:eastAsia="Times New Roman" w:hAnsi="Times New Roman" w:cs="Times New Roman"/>
          <w:b/>
          <w:bCs/>
          <w:noProof/>
          <w:kern w:val="0"/>
          <w:sz w:val="24"/>
          <w:szCs w:val="24"/>
          <w14:ligatures w14:val="none"/>
        </w:rPr>
        <w:t>strengthening our energy infrastructure</w:t>
      </w:r>
      <w:r w:rsidRPr="00C36F54">
        <w:rPr>
          <w:rFonts w:ascii="Times New Roman" w:eastAsia="Times New Roman" w:hAnsi="Times New Roman" w:cs="Times New Roman"/>
          <w:noProof/>
          <w:kern w:val="0"/>
          <w:sz w:val="24"/>
          <w:szCs w:val="24"/>
          <w14:ligatures w14:val="none"/>
        </w:rPr>
        <w:t xml:space="preserve">, </w:t>
      </w:r>
      <w:r w:rsidRPr="00C36F54">
        <w:rPr>
          <w:rFonts w:ascii="Times New Roman" w:eastAsia="Times New Roman" w:hAnsi="Times New Roman" w:cs="Times New Roman"/>
          <w:b/>
          <w:bCs/>
          <w:noProof/>
          <w:kern w:val="0"/>
          <w:sz w:val="24"/>
          <w:szCs w:val="24"/>
          <w14:ligatures w14:val="none"/>
        </w:rPr>
        <w:t>the backbone</w:t>
      </w:r>
      <w:r w:rsidRPr="00C36F54">
        <w:rPr>
          <w:rFonts w:ascii="Times New Roman" w:eastAsia="Times New Roman" w:hAnsi="Times New Roman" w:cs="Times New Roman"/>
          <w:b/>
          <w:bCs/>
          <w:noProof/>
          <w:sz w:val="24"/>
          <w:szCs w:val="24"/>
        </w:rPr>
        <w:t xml:space="preserve"> not just</w:t>
      </w:r>
      <w:r w:rsidRPr="00C36F54">
        <w:rPr>
          <w:rFonts w:ascii="Times New Roman" w:eastAsia="Times New Roman" w:hAnsi="Times New Roman" w:cs="Times New Roman"/>
          <w:b/>
          <w:bCs/>
          <w:noProof/>
          <w:kern w:val="0"/>
          <w:sz w:val="24"/>
          <w:szCs w:val="24"/>
          <w14:ligatures w14:val="none"/>
        </w:rPr>
        <w:t xml:space="preserve"> of our energy system</w:t>
      </w:r>
      <w:r w:rsidRPr="00C36F54">
        <w:rPr>
          <w:rFonts w:ascii="Times New Roman" w:eastAsia="Times New Roman" w:hAnsi="Times New Roman" w:cs="Times New Roman"/>
          <w:b/>
          <w:bCs/>
          <w:noProof/>
          <w:sz w:val="24"/>
          <w:szCs w:val="24"/>
        </w:rPr>
        <w:t xml:space="preserve"> but</w:t>
      </w:r>
      <w:r w:rsidRPr="00C36F54">
        <w:rPr>
          <w:rFonts w:ascii="Times New Roman" w:eastAsia="Times New Roman" w:hAnsi="Times New Roman" w:cs="Times New Roman"/>
          <w:b/>
          <w:bCs/>
          <w:noProof/>
          <w:kern w:val="0"/>
          <w:sz w:val="24"/>
          <w:szCs w:val="24"/>
          <w14:ligatures w14:val="none"/>
        </w:rPr>
        <w:t xml:space="preserve"> of Europe itself</w:t>
      </w:r>
      <w:r w:rsidRPr="00C36F54">
        <w:rPr>
          <w:rFonts w:ascii="Times New Roman" w:eastAsia="Times New Roman" w:hAnsi="Times New Roman" w:cs="Times New Roman"/>
          <w:noProof/>
          <w:kern w:val="0"/>
          <w:sz w:val="24"/>
          <w:szCs w:val="24"/>
          <w14:ligatures w14:val="none"/>
        </w:rPr>
        <w:t xml:space="preserve">. </w:t>
      </w:r>
      <w:r w:rsidR="00FE7981" w:rsidRPr="00FE7981">
        <w:rPr>
          <w:rFonts w:ascii="Times New Roman" w:eastAsia="Times New Roman" w:hAnsi="Times New Roman" w:cs="Times New Roman"/>
          <w:noProof/>
          <w:kern w:val="0"/>
          <w:sz w:val="24"/>
          <w:szCs w:val="24"/>
          <w14:ligatures w14:val="none"/>
        </w:rPr>
        <w:t>Grids are central to this effort</w:t>
      </w:r>
      <w:r w:rsidR="00FE7981">
        <w:rPr>
          <w:rFonts w:ascii="Times New Roman" w:eastAsia="Times New Roman" w:hAnsi="Times New Roman" w:cs="Times New Roman"/>
          <w:noProof/>
          <w:kern w:val="0"/>
          <w:sz w:val="24"/>
          <w:szCs w:val="24"/>
          <w14:ligatures w14:val="none"/>
        </w:rPr>
        <w:t xml:space="preserve">. </w:t>
      </w:r>
      <w:r w:rsidR="009B7F93">
        <w:rPr>
          <w:rFonts w:ascii="Times New Roman" w:eastAsia="Times New Roman" w:hAnsi="Times New Roman" w:cs="Times New Roman"/>
          <w:noProof/>
          <w:kern w:val="0"/>
          <w:sz w:val="24"/>
          <w:szCs w:val="24"/>
          <w14:ligatures w14:val="none"/>
        </w:rPr>
        <w:t>B</w:t>
      </w:r>
      <w:r w:rsidR="009B7F93" w:rsidRPr="009B7F93">
        <w:rPr>
          <w:rFonts w:ascii="Times New Roman" w:eastAsia="Times New Roman" w:hAnsi="Times New Roman" w:cs="Times New Roman"/>
          <w:noProof/>
          <w:kern w:val="0"/>
          <w:sz w:val="24"/>
          <w:szCs w:val="24"/>
          <w14:ligatures w14:val="none"/>
        </w:rPr>
        <w:t xml:space="preserve">y </w:t>
      </w:r>
      <w:r w:rsidR="004434B1">
        <w:rPr>
          <w:rFonts w:ascii="Times New Roman" w:eastAsia="Times New Roman" w:hAnsi="Times New Roman" w:cs="Times New Roman"/>
          <w:noProof/>
          <w:kern w:val="0"/>
          <w:sz w:val="24"/>
          <w:szCs w:val="24"/>
          <w14:ligatures w14:val="none"/>
        </w:rPr>
        <w:t xml:space="preserve">enabling </w:t>
      </w:r>
      <w:r w:rsidR="004434B1" w:rsidRPr="004434B1">
        <w:rPr>
          <w:rFonts w:ascii="Times New Roman" w:eastAsia="Times New Roman" w:hAnsi="Times New Roman" w:cs="Times New Roman"/>
          <w:noProof/>
          <w:kern w:val="0"/>
          <w:sz w:val="24"/>
          <w:szCs w:val="24"/>
          <w14:ligatures w14:val="none"/>
        </w:rPr>
        <w:t>energy to flow efficiently across Member States</w:t>
      </w:r>
      <w:r w:rsidR="009F718A">
        <w:rPr>
          <w:rFonts w:ascii="Times New Roman" w:eastAsia="Times New Roman" w:hAnsi="Times New Roman" w:cs="Times New Roman"/>
          <w:noProof/>
          <w:kern w:val="0"/>
          <w:sz w:val="24"/>
          <w:szCs w:val="24"/>
          <w14:ligatures w14:val="none"/>
        </w:rPr>
        <w:t>,</w:t>
      </w:r>
      <w:r w:rsidR="004434B1" w:rsidRPr="004434B1">
        <w:rPr>
          <w:rFonts w:ascii="Times New Roman" w:eastAsia="Times New Roman" w:hAnsi="Times New Roman" w:cs="Times New Roman"/>
          <w:noProof/>
          <w:kern w:val="0"/>
          <w:sz w:val="24"/>
          <w:szCs w:val="24"/>
          <w14:ligatures w14:val="none"/>
        </w:rPr>
        <w:t xml:space="preserve"> integrating </w:t>
      </w:r>
      <w:r w:rsidR="000A2A50">
        <w:rPr>
          <w:rFonts w:ascii="Times New Roman" w:eastAsia="Times New Roman" w:hAnsi="Times New Roman" w:cs="Times New Roman"/>
          <w:noProof/>
          <w:kern w:val="0"/>
          <w:sz w:val="24"/>
          <w:szCs w:val="24"/>
          <w14:ligatures w14:val="none"/>
        </w:rPr>
        <w:t xml:space="preserve">cheaper </w:t>
      </w:r>
      <w:r w:rsidR="004434B1" w:rsidRPr="004434B1">
        <w:rPr>
          <w:rFonts w:ascii="Times New Roman" w:eastAsia="Times New Roman" w:hAnsi="Times New Roman" w:cs="Times New Roman"/>
          <w:noProof/>
          <w:kern w:val="0"/>
          <w:sz w:val="24"/>
          <w:szCs w:val="24"/>
          <w14:ligatures w14:val="none"/>
        </w:rPr>
        <w:t xml:space="preserve">clean </w:t>
      </w:r>
      <w:r w:rsidR="00B074EB">
        <w:rPr>
          <w:rFonts w:ascii="Times New Roman" w:eastAsia="Times New Roman" w:hAnsi="Times New Roman" w:cs="Times New Roman"/>
          <w:noProof/>
          <w:kern w:val="0"/>
          <w:sz w:val="24"/>
          <w:szCs w:val="24"/>
          <w14:ligatures w14:val="none"/>
        </w:rPr>
        <w:t xml:space="preserve">energy </w:t>
      </w:r>
      <w:r w:rsidR="009F718A">
        <w:rPr>
          <w:rFonts w:ascii="Times New Roman" w:eastAsia="Times New Roman" w:hAnsi="Times New Roman" w:cs="Times New Roman"/>
          <w:noProof/>
          <w:kern w:val="0"/>
          <w:sz w:val="24"/>
          <w:szCs w:val="24"/>
          <w14:ligatures w14:val="none"/>
        </w:rPr>
        <w:t>and accelerating electrification,</w:t>
      </w:r>
      <w:r w:rsidR="004434B1" w:rsidRPr="004434B1">
        <w:rPr>
          <w:rFonts w:ascii="Times New Roman" w:eastAsia="Times New Roman" w:hAnsi="Times New Roman" w:cs="Times New Roman"/>
          <w:noProof/>
          <w:kern w:val="0"/>
          <w:sz w:val="24"/>
          <w:szCs w:val="24"/>
          <w14:ligatures w14:val="none"/>
        </w:rPr>
        <w:t xml:space="preserve"> they help </w:t>
      </w:r>
      <w:r w:rsidR="004434B1" w:rsidRPr="006154EC">
        <w:rPr>
          <w:rFonts w:ascii="Times New Roman" w:eastAsia="Times New Roman" w:hAnsi="Times New Roman" w:cs="Times New Roman"/>
          <w:b/>
          <w:bCs/>
          <w:noProof/>
          <w:kern w:val="0"/>
          <w:sz w:val="24"/>
          <w:szCs w:val="24"/>
          <w14:ligatures w14:val="none"/>
        </w:rPr>
        <w:t>lower energy prices and support</w:t>
      </w:r>
      <w:r w:rsidR="004434B1" w:rsidRPr="004434B1">
        <w:rPr>
          <w:rFonts w:ascii="Times New Roman" w:eastAsia="Times New Roman" w:hAnsi="Times New Roman" w:cs="Times New Roman"/>
          <w:noProof/>
          <w:kern w:val="0"/>
          <w:sz w:val="24"/>
          <w:szCs w:val="24"/>
          <w14:ligatures w14:val="none"/>
        </w:rPr>
        <w:t xml:space="preserve"> </w:t>
      </w:r>
      <w:r w:rsidR="004434B1" w:rsidRPr="006154EC">
        <w:rPr>
          <w:rFonts w:ascii="Times New Roman" w:eastAsia="Times New Roman" w:hAnsi="Times New Roman" w:cs="Times New Roman"/>
          <w:b/>
          <w:bCs/>
          <w:noProof/>
          <w:kern w:val="0"/>
          <w:sz w:val="24"/>
          <w:szCs w:val="24"/>
          <w14:ligatures w14:val="none"/>
        </w:rPr>
        <w:t>affordable living for all Europeans</w:t>
      </w:r>
      <w:r w:rsidR="004434B1" w:rsidRPr="004434B1">
        <w:rPr>
          <w:rFonts w:ascii="Times New Roman" w:eastAsia="Times New Roman" w:hAnsi="Times New Roman" w:cs="Times New Roman"/>
          <w:noProof/>
          <w:kern w:val="0"/>
          <w:sz w:val="24"/>
          <w:szCs w:val="24"/>
          <w14:ligatures w14:val="none"/>
        </w:rPr>
        <w:t xml:space="preserve"> as highlighted in the Commission’s Action Plan for Affordable Energy</w:t>
      </w:r>
      <w:r w:rsidR="009B7F93">
        <w:rPr>
          <w:rFonts w:ascii="Times New Roman" w:eastAsia="Times New Roman" w:hAnsi="Times New Roman" w:cs="Times New Roman"/>
          <w:noProof/>
          <w:kern w:val="0"/>
          <w:sz w:val="24"/>
          <w:szCs w:val="24"/>
          <w14:ligatures w14:val="none"/>
        </w:rPr>
        <w:t>.</w:t>
      </w:r>
      <w:r w:rsidR="00706445" w:rsidRPr="00706445">
        <w:rPr>
          <w:rFonts w:ascii="Times New Roman" w:eastAsia="Times New Roman" w:hAnsi="Times New Roman" w:cs="Times New Roman"/>
          <w:noProof/>
          <w:kern w:val="0"/>
          <w:sz w:val="24"/>
          <w:szCs w:val="24"/>
          <w:vertAlign w:val="superscript"/>
          <w:lang w:val="en-US"/>
          <w14:ligatures w14:val="none"/>
        </w:rPr>
        <w:footnoteReference w:id="2"/>
      </w:r>
      <w:r w:rsidR="00706445" w:rsidRPr="00706445">
        <w:rPr>
          <w:rFonts w:ascii="Times New Roman" w:eastAsia="Times New Roman" w:hAnsi="Times New Roman" w:cs="Times New Roman"/>
          <w:noProof/>
          <w:kern w:val="0"/>
          <w:sz w:val="24"/>
          <w:szCs w:val="24"/>
          <w:lang w:val="en-US"/>
          <w14:ligatures w14:val="none"/>
        </w:rPr>
        <w:t xml:space="preserve"> </w:t>
      </w:r>
      <w:r w:rsidR="004434B1">
        <w:rPr>
          <w:rFonts w:ascii="Times New Roman" w:eastAsia="Times New Roman" w:hAnsi="Times New Roman" w:cs="Times New Roman"/>
          <w:noProof/>
          <w:kern w:val="0"/>
          <w:sz w:val="24"/>
          <w:szCs w:val="24"/>
          <w14:ligatures w14:val="none"/>
        </w:rPr>
        <w:t xml:space="preserve">At the same time, </w:t>
      </w:r>
      <w:r w:rsidR="009F718A">
        <w:rPr>
          <w:rFonts w:ascii="Times New Roman" w:eastAsia="Times New Roman" w:hAnsi="Times New Roman" w:cs="Times New Roman"/>
          <w:noProof/>
          <w:kern w:val="0"/>
          <w:sz w:val="24"/>
          <w:szCs w:val="24"/>
          <w14:ligatures w14:val="none"/>
        </w:rPr>
        <w:t xml:space="preserve">they </w:t>
      </w:r>
      <w:r w:rsidR="004434B1" w:rsidRPr="004434B1">
        <w:rPr>
          <w:rFonts w:ascii="Times New Roman" w:eastAsia="Times New Roman" w:hAnsi="Times New Roman" w:cs="Times New Roman"/>
          <w:noProof/>
          <w:kern w:val="0"/>
          <w:sz w:val="24"/>
          <w:szCs w:val="24"/>
          <w14:ligatures w14:val="none"/>
        </w:rPr>
        <w:t xml:space="preserve">ensure a secure and reliable supply and allow countries to support one another in times of need, in line with the </w:t>
      </w:r>
      <w:r w:rsidR="004434B1" w:rsidRPr="006154EC">
        <w:rPr>
          <w:rFonts w:ascii="Times New Roman" w:eastAsia="Times New Roman" w:hAnsi="Times New Roman" w:cs="Times New Roman"/>
          <w:b/>
          <w:bCs/>
          <w:noProof/>
          <w:kern w:val="0"/>
          <w:sz w:val="24"/>
          <w:szCs w:val="24"/>
          <w14:ligatures w14:val="none"/>
        </w:rPr>
        <w:t>REPowerEU objectives</w:t>
      </w:r>
      <w:r w:rsidR="002D1E16">
        <w:rPr>
          <w:rFonts w:ascii="Times New Roman" w:eastAsia="Times New Roman" w:hAnsi="Times New Roman" w:cs="Times New Roman"/>
          <w:b/>
          <w:bCs/>
          <w:noProof/>
          <w:kern w:val="0"/>
          <w:sz w:val="24"/>
          <w:szCs w:val="24"/>
          <w14:ligatures w14:val="none"/>
        </w:rPr>
        <w:t xml:space="preserve"> and </w:t>
      </w:r>
      <w:r w:rsidR="000A2A50">
        <w:rPr>
          <w:rFonts w:ascii="Times New Roman" w:eastAsia="Times New Roman" w:hAnsi="Times New Roman" w:cs="Times New Roman"/>
          <w:b/>
          <w:bCs/>
          <w:noProof/>
          <w:kern w:val="0"/>
          <w:sz w:val="24"/>
          <w:szCs w:val="24"/>
          <w14:ligatures w14:val="none"/>
        </w:rPr>
        <w:t>enabling</w:t>
      </w:r>
      <w:r w:rsidR="002D1E16">
        <w:rPr>
          <w:rFonts w:ascii="Times New Roman" w:eastAsia="Times New Roman" w:hAnsi="Times New Roman" w:cs="Times New Roman"/>
          <w:b/>
          <w:bCs/>
          <w:noProof/>
          <w:kern w:val="0"/>
          <w:sz w:val="24"/>
          <w:szCs w:val="24"/>
          <w14:ligatures w14:val="none"/>
        </w:rPr>
        <w:t xml:space="preserve"> the </w:t>
      </w:r>
      <w:r w:rsidR="002D1E16" w:rsidRPr="002D1E16">
        <w:rPr>
          <w:rFonts w:ascii="Times New Roman" w:eastAsia="Times New Roman" w:hAnsi="Times New Roman" w:cs="Times New Roman"/>
          <w:b/>
          <w:bCs/>
          <w:noProof/>
          <w:kern w:val="0"/>
          <w:sz w:val="24"/>
          <w:szCs w:val="24"/>
          <w14:ligatures w14:val="none"/>
        </w:rPr>
        <w:t>phase</w:t>
      </w:r>
      <w:r w:rsidR="006F056F">
        <w:rPr>
          <w:rFonts w:ascii="Times New Roman" w:eastAsia="Times New Roman" w:hAnsi="Times New Roman" w:cs="Times New Roman"/>
          <w:b/>
          <w:bCs/>
          <w:noProof/>
          <w:kern w:val="0"/>
          <w:sz w:val="24"/>
          <w:szCs w:val="24"/>
          <w14:ligatures w14:val="none"/>
        </w:rPr>
        <w:t>-</w:t>
      </w:r>
      <w:r w:rsidR="002D1E16" w:rsidRPr="002D1E16">
        <w:rPr>
          <w:rFonts w:ascii="Times New Roman" w:eastAsia="Times New Roman" w:hAnsi="Times New Roman" w:cs="Times New Roman"/>
          <w:b/>
          <w:bCs/>
          <w:noProof/>
          <w:kern w:val="0"/>
          <w:sz w:val="24"/>
          <w:szCs w:val="24"/>
          <w14:ligatures w14:val="none"/>
        </w:rPr>
        <w:t>out of Russian energy imports</w:t>
      </w:r>
      <w:r w:rsidR="003D179E">
        <w:rPr>
          <w:rFonts w:ascii="Times New Roman" w:eastAsia="Times New Roman" w:hAnsi="Times New Roman" w:cs="Times New Roman"/>
          <w:noProof/>
          <w:kern w:val="0"/>
          <w:sz w:val="24"/>
          <w:szCs w:val="24"/>
          <w14:ligatures w14:val="none"/>
        </w:rPr>
        <w:t>.</w:t>
      </w:r>
      <w:r w:rsidR="004434B1">
        <w:rPr>
          <w:rStyle w:val="FootnoteReference"/>
          <w:rFonts w:ascii="Times New Roman" w:eastAsia="Times New Roman" w:hAnsi="Times New Roman" w:cs="Times New Roman"/>
          <w:noProof/>
          <w:kern w:val="0"/>
          <w:sz w:val="24"/>
          <w:szCs w:val="24"/>
          <w14:ligatures w14:val="none"/>
        </w:rPr>
        <w:footnoteReference w:id="3"/>
      </w:r>
      <w:r w:rsidR="003D179E">
        <w:rPr>
          <w:rFonts w:ascii="Times New Roman" w:eastAsia="Times New Roman" w:hAnsi="Times New Roman" w:cs="Times New Roman"/>
          <w:noProof/>
          <w:kern w:val="0"/>
          <w:sz w:val="24"/>
          <w:szCs w:val="24"/>
          <w14:ligatures w14:val="none"/>
        </w:rPr>
        <w:t xml:space="preserve"> </w:t>
      </w:r>
    </w:p>
    <w:p w14:paraId="17CDA5E3" w14:textId="45E1C869" w:rsidR="003960C3" w:rsidRDefault="00C36F54" w:rsidP="00C36F54">
      <w:pPr>
        <w:jc w:val="both"/>
        <w:rPr>
          <w:rFonts w:ascii="Times New Roman" w:eastAsia="Times New Roman" w:hAnsi="Times New Roman" w:cs="Times New Roman"/>
          <w:noProof/>
          <w:kern w:val="0"/>
          <w:sz w:val="24"/>
          <w:szCs w:val="24"/>
          <w14:ligatures w14:val="none"/>
        </w:rPr>
      </w:pPr>
      <w:r w:rsidRPr="00C36F54">
        <w:rPr>
          <w:rFonts w:ascii="Times New Roman" w:eastAsia="Times New Roman" w:hAnsi="Times New Roman" w:cs="Times New Roman"/>
          <w:b/>
          <w:bCs/>
          <w:noProof/>
          <w:kern w:val="0"/>
          <w:sz w:val="24"/>
          <w:szCs w:val="24"/>
          <w14:ligatures w14:val="none"/>
        </w:rPr>
        <w:t xml:space="preserve">Despite the progress achieved within the current EU legal framework, we still </w:t>
      </w:r>
      <w:r w:rsidRPr="00C36F54">
        <w:rPr>
          <w:rFonts w:ascii="Times New Roman" w:eastAsia="Times New Roman" w:hAnsi="Times New Roman" w:cs="Times New Roman"/>
          <w:b/>
          <w:bCs/>
          <w:noProof/>
          <w:sz w:val="24"/>
          <w:szCs w:val="24"/>
        </w:rPr>
        <w:t>have too little homegrown energy and have not</w:t>
      </w:r>
      <w:r w:rsidRPr="00C36F54">
        <w:rPr>
          <w:rFonts w:ascii="Times New Roman" w:eastAsia="Times New Roman" w:hAnsi="Times New Roman" w:cs="Times New Roman"/>
          <w:b/>
          <w:bCs/>
          <w:noProof/>
          <w:kern w:val="0"/>
          <w:sz w:val="24"/>
          <w:szCs w:val="24"/>
          <w14:ligatures w14:val="none"/>
        </w:rPr>
        <w:t xml:space="preserve"> reached </w:t>
      </w:r>
      <w:r w:rsidR="003960C3">
        <w:rPr>
          <w:rFonts w:ascii="Times New Roman" w:eastAsia="Times New Roman" w:hAnsi="Times New Roman" w:cs="Times New Roman"/>
          <w:b/>
          <w:bCs/>
          <w:noProof/>
          <w:kern w:val="0"/>
          <w:sz w:val="24"/>
          <w:szCs w:val="24"/>
          <w14:ligatures w14:val="none"/>
        </w:rPr>
        <w:t>the level of</w:t>
      </w:r>
      <w:r w:rsidR="003960C3" w:rsidRPr="00C36F54">
        <w:rPr>
          <w:rFonts w:ascii="Times New Roman" w:eastAsia="Times New Roman" w:hAnsi="Times New Roman" w:cs="Times New Roman"/>
          <w:b/>
          <w:bCs/>
          <w:noProof/>
          <w:kern w:val="0"/>
          <w:sz w:val="24"/>
          <w:szCs w:val="24"/>
          <w14:ligatures w14:val="none"/>
        </w:rPr>
        <w:t xml:space="preserve"> </w:t>
      </w:r>
      <w:r w:rsidRPr="00C36F54">
        <w:rPr>
          <w:rFonts w:ascii="Times New Roman" w:eastAsia="Times New Roman" w:hAnsi="Times New Roman" w:cs="Times New Roman"/>
          <w:b/>
          <w:bCs/>
          <w:noProof/>
          <w:kern w:val="0"/>
          <w:sz w:val="24"/>
          <w:szCs w:val="24"/>
          <w14:ligatures w14:val="none"/>
        </w:rPr>
        <w:t>interconnectivity among Member States that would enable a genuine Energy Union</w:t>
      </w:r>
      <w:r w:rsidR="00AF502A">
        <w:rPr>
          <w:rFonts w:ascii="Times New Roman" w:eastAsia="Times New Roman" w:hAnsi="Times New Roman" w:cs="Times New Roman"/>
          <w:b/>
          <w:bCs/>
          <w:noProof/>
          <w:kern w:val="0"/>
          <w:sz w:val="24"/>
          <w:szCs w:val="24"/>
          <w14:ligatures w14:val="none"/>
        </w:rPr>
        <w:t xml:space="preserve">, </w:t>
      </w:r>
      <w:r w:rsidR="00AF502A" w:rsidRPr="006154EC">
        <w:rPr>
          <w:rFonts w:ascii="Times New Roman" w:eastAsia="Times New Roman" w:hAnsi="Times New Roman" w:cs="Times New Roman"/>
          <w:noProof/>
          <w:kern w:val="0"/>
          <w:sz w:val="24"/>
          <w:szCs w:val="24"/>
          <w14:ligatures w14:val="none"/>
        </w:rPr>
        <w:t>as</w:t>
      </w:r>
      <w:r w:rsidR="00AF502A">
        <w:rPr>
          <w:rFonts w:ascii="Times New Roman" w:eastAsia="Times New Roman" w:hAnsi="Times New Roman" w:cs="Times New Roman"/>
          <w:b/>
          <w:bCs/>
          <w:noProof/>
          <w:kern w:val="0"/>
          <w:sz w:val="24"/>
          <w:szCs w:val="24"/>
          <w14:ligatures w14:val="none"/>
        </w:rPr>
        <w:t xml:space="preserve"> </w:t>
      </w:r>
      <w:r w:rsidR="00AF502A">
        <w:rPr>
          <w:rFonts w:ascii="Times New Roman" w:eastAsia="Times New Roman" w:hAnsi="Times New Roman" w:cs="Times New Roman"/>
          <w:noProof/>
          <w:sz w:val="24"/>
          <w:szCs w:val="24"/>
        </w:rPr>
        <w:t>s</w:t>
      </w:r>
      <w:r w:rsidR="00AF502A" w:rsidRPr="00C36F54">
        <w:rPr>
          <w:rFonts w:ascii="Times New Roman" w:eastAsia="Times New Roman" w:hAnsi="Times New Roman" w:cs="Times New Roman"/>
          <w:noProof/>
          <w:sz w:val="24"/>
          <w:szCs w:val="24"/>
        </w:rPr>
        <w:t>everal Member States are not on track in meeting the 15% interconnection target by 2030</w:t>
      </w:r>
      <w:r w:rsidRPr="00C36F54">
        <w:rPr>
          <w:rFonts w:ascii="Times New Roman" w:eastAsia="Times New Roman" w:hAnsi="Times New Roman" w:cs="Times New Roman"/>
          <w:noProof/>
          <w:kern w:val="0"/>
          <w:sz w:val="24"/>
          <w:szCs w:val="24"/>
          <w14:ligatures w14:val="none"/>
        </w:rPr>
        <w:t xml:space="preserve">. </w:t>
      </w:r>
      <w:r w:rsidRPr="00C36F54">
        <w:rPr>
          <w:rFonts w:ascii="Times New Roman" w:eastAsia="Times New Roman" w:hAnsi="Times New Roman" w:cs="Times New Roman"/>
          <w:b/>
          <w:bCs/>
          <w:noProof/>
          <w:kern w:val="0"/>
          <w:sz w:val="24"/>
          <w:szCs w:val="24"/>
          <w14:ligatures w14:val="none"/>
        </w:rPr>
        <w:t>The cost of inaction is staggering</w:t>
      </w:r>
      <w:r w:rsidRPr="00C36F54">
        <w:rPr>
          <w:rFonts w:ascii="Times New Roman" w:eastAsia="Times New Roman" w:hAnsi="Times New Roman" w:cs="Times New Roman"/>
          <w:noProof/>
          <w:kern w:val="0"/>
          <w:sz w:val="24"/>
          <w:szCs w:val="24"/>
          <w14:ligatures w14:val="none"/>
        </w:rPr>
        <w:t>:</w:t>
      </w:r>
      <w:r w:rsidRPr="00C36F54">
        <w:rPr>
          <w:rFonts w:ascii="Times New Roman" w:eastAsia="Times New Roman" w:hAnsi="Times New Roman" w:cs="Times New Roman"/>
          <w:noProof/>
          <w:sz w:val="24"/>
          <w:szCs w:val="24"/>
        </w:rPr>
        <w:t xml:space="preserve"> in 2022, fossil fuels had the largest share of EU gross available energy use (70%) in the EU</w:t>
      </w:r>
      <w:r w:rsidRPr="00C36F54">
        <w:rPr>
          <w:rFonts w:ascii="Times New Roman" w:eastAsia="Times New Roman" w:hAnsi="Times New Roman" w:cs="Times New Roman"/>
          <w:noProof/>
          <w:kern w:val="0"/>
          <w:sz w:val="24"/>
          <w:szCs w:val="24"/>
          <w14:ligatures w14:val="none"/>
        </w:rPr>
        <w:t>,</w:t>
      </w:r>
      <w:r w:rsidRPr="00C36F54">
        <w:rPr>
          <w:rFonts w:ascii="Times New Roman" w:eastAsia="Times New Roman" w:hAnsi="Times New Roman" w:cs="Times New Roman"/>
          <w:noProof/>
          <w:sz w:val="24"/>
          <w:szCs w:val="24"/>
        </w:rPr>
        <w:t xml:space="preserve"> with</w:t>
      </w:r>
      <w:r w:rsidRPr="00C36F54">
        <w:rPr>
          <w:rFonts w:ascii="Times New Roman" w:eastAsia="Times New Roman" w:hAnsi="Times New Roman" w:cs="Times New Roman"/>
          <w:noProof/>
          <w:kern w:val="0"/>
          <w:sz w:val="24"/>
          <w:szCs w:val="24"/>
          <w14:ligatures w14:val="none"/>
        </w:rPr>
        <w:t xml:space="preserve"> 98% of all oil and gas used in Member States</w:t>
      </w:r>
      <w:r w:rsidRPr="00C36F54">
        <w:rPr>
          <w:rFonts w:ascii="Times New Roman" w:eastAsia="Times New Roman" w:hAnsi="Times New Roman" w:cs="Times New Roman"/>
          <w:noProof/>
          <w:sz w:val="24"/>
          <w:szCs w:val="24"/>
        </w:rPr>
        <w:t xml:space="preserve"> being</w:t>
      </w:r>
      <w:r w:rsidRPr="00C36F54">
        <w:rPr>
          <w:rFonts w:ascii="Times New Roman" w:eastAsia="Times New Roman" w:hAnsi="Times New Roman" w:cs="Times New Roman"/>
          <w:noProof/>
          <w:kern w:val="0"/>
          <w:sz w:val="24"/>
          <w:szCs w:val="24"/>
          <w14:ligatures w14:val="none"/>
        </w:rPr>
        <w:t xml:space="preserve"> imported</w:t>
      </w:r>
      <w:r w:rsidRPr="00C36F54">
        <w:rPr>
          <w:rFonts w:ascii="Times New Roman" w:eastAsia="Times New Roman" w:hAnsi="Times New Roman" w:cs="Times New Roman"/>
          <w:noProof/>
          <w:sz w:val="24"/>
          <w:szCs w:val="24"/>
        </w:rPr>
        <w:t>.</w:t>
      </w:r>
      <w:r w:rsidRPr="00C36F54">
        <w:rPr>
          <w:rStyle w:val="FootnoteReference"/>
          <w:rFonts w:ascii="Times New Roman" w:eastAsia="Times New Roman" w:hAnsi="Times New Roman" w:cs="Times New Roman"/>
          <w:noProof/>
          <w:kern w:val="0"/>
          <w:sz w:val="24"/>
          <w:szCs w:val="24"/>
          <w14:ligatures w14:val="none"/>
        </w:rPr>
        <w:footnoteReference w:id="4"/>
      </w:r>
      <w:r w:rsidR="009B7F93">
        <w:rPr>
          <w:rFonts w:ascii="Times New Roman" w:eastAsia="Times New Roman" w:hAnsi="Times New Roman" w:cs="Times New Roman"/>
          <w:noProof/>
          <w:sz w:val="24"/>
          <w:szCs w:val="24"/>
        </w:rPr>
        <w:t xml:space="preserve"> This exposes the EU to price volatility and geopolitical risks.</w:t>
      </w:r>
      <w:r w:rsidRPr="00C36F54">
        <w:rPr>
          <w:rFonts w:ascii="Times New Roman" w:eastAsia="Times New Roman" w:hAnsi="Times New Roman" w:cs="Times New Roman"/>
          <w:noProof/>
          <w:kern w:val="0"/>
          <w:sz w:val="24"/>
          <w:szCs w:val="24"/>
          <w14:ligatures w14:val="none"/>
        </w:rPr>
        <w:t xml:space="preserve"> </w:t>
      </w:r>
      <w:r w:rsidR="009B7F93">
        <w:rPr>
          <w:rFonts w:ascii="Times New Roman" w:eastAsia="Times New Roman" w:hAnsi="Times New Roman" w:cs="Times New Roman"/>
          <w:noProof/>
          <w:kern w:val="0"/>
          <w:sz w:val="24"/>
          <w:szCs w:val="24"/>
          <w14:ligatures w14:val="none"/>
        </w:rPr>
        <w:t>In 2024,</w:t>
      </w:r>
      <w:r w:rsidRPr="00C36F54">
        <w:rPr>
          <w:rFonts w:ascii="Times New Roman" w:eastAsia="Times New Roman" w:hAnsi="Times New Roman" w:cs="Times New Roman"/>
          <w:noProof/>
          <w:kern w:val="0"/>
          <w:sz w:val="24"/>
          <w:szCs w:val="24"/>
          <w14:ligatures w14:val="none"/>
        </w:rPr>
        <w:t xml:space="preserve"> Europe spent circa </w:t>
      </w:r>
      <w:r w:rsidRPr="00C36F54">
        <w:rPr>
          <w:rFonts w:ascii="Times New Roman" w:eastAsia="Times New Roman" w:hAnsi="Times New Roman" w:cs="Times New Roman"/>
          <w:noProof/>
          <w:sz w:val="24"/>
          <w:szCs w:val="24"/>
        </w:rPr>
        <w:t xml:space="preserve">EUR </w:t>
      </w:r>
      <w:r w:rsidRPr="00C36F54">
        <w:rPr>
          <w:rFonts w:ascii="Times New Roman" w:eastAsia="Times New Roman" w:hAnsi="Times New Roman" w:cs="Times New Roman"/>
          <w:noProof/>
          <w:kern w:val="0"/>
          <w:sz w:val="24"/>
          <w:szCs w:val="24"/>
          <w14:ligatures w14:val="none"/>
        </w:rPr>
        <w:t>375 b</w:t>
      </w:r>
      <w:r w:rsidRPr="00C36F54">
        <w:rPr>
          <w:rFonts w:ascii="Times New Roman" w:eastAsia="Times New Roman" w:hAnsi="Times New Roman" w:cs="Times New Roman"/>
          <w:noProof/>
          <w:sz w:val="24"/>
          <w:szCs w:val="24"/>
        </w:rPr>
        <w:t>illio</w:t>
      </w:r>
      <w:r w:rsidRPr="00C36F54">
        <w:rPr>
          <w:rFonts w:ascii="Times New Roman" w:eastAsia="Times New Roman" w:hAnsi="Times New Roman" w:cs="Times New Roman"/>
          <w:noProof/>
          <w:kern w:val="0"/>
          <w:sz w:val="24"/>
          <w:szCs w:val="24"/>
          <w14:ligatures w14:val="none"/>
        </w:rPr>
        <w:t>n</w:t>
      </w:r>
      <w:r w:rsidR="000A2A50">
        <w:rPr>
          <w:rFonts w:ascii="Times New Roman" w:eastAsia="Times New Roman" w:hAnsi="Times New Roman" w:cs="Times New Roman"/>
          <w:noProof/>
          <w:kern w:val="0"/>
          <w:sz w:val="24"/>
          <w:szCs w:val="24"/>
          <w14:ligatures w14:val="none"/>
        </w:rPr>
        <w:t xml:space="preserve"> </w:t>
      </w:r>
      <w:r w:rsidR="000A2A50" w:rsidRPr="00C36F54">
        <w:rPr>
          <w:rFonts w:ascii="Times New Roman" w:eastAsia="Times New Roman" w:hAnsi="Times New Roman" w:cs="Times New Roman"/>
          <w:noProof/>
          <w:kern w:val="0"/>
          <w:sz w:val="24"/>
          <w:szCs w:val="24"/>
          <w14:ligatures w14:val="none"/>
        </w:rPr>
        <w:t>on imports of fossil fuels</w:t>
      </w:r>
      <w:r w:rsidRPr="00C36F54">
        <w:rPr>
          <w:rFonts w:ascii="Times New Roman" w:eastAsia="Times New Roman" w:hAnsi="Times New Roman" w:cs="Times New Roman"/>
          <w:noProof/>
          <w:kern w:val="0"/>
          <w:sz w:val="24"/>
          <w:szCs w:val="24"/>
          <w14:ligatures w14:val="none"/>
        </w:rPr>
        <w:t>.</w:t>
      </w:r>
      <w:r w:rsidR="004A6000">
        <w:rPr>
          <w:rStyle w:val="FootnoteReference"/>
          <w:rFonts w:ascii="Times New Roman" w:eastAsia="Times New Roman" w:hAnsi="Times New Roman" w:cs="Times New Roman"/>
          <w:noProof/>
          <w:kern w:val="0"/>
          <w:sz w:val="24"/>
          <w:szCs w:val="24"/>
          <w14:ligatures w14:val="none"/>
        </w:rPr>
        <w:footnoteReference w:id="5"/>
      </w:r>
      <w:r w:rsidR="009B7F93">
        <w:rPr>
          <w:rFonts w:ascii="Times New Roman" w:eastAsia="Times New Roman" w:hAnsi="Times New Roman" w:cs="Times New Roman"/>
          <w:noProof/>
          <w:kern w:val="0"/>
          <w:sz w:val="24"/>
          <w:szCs w:val="24"/>
          <w14:ligatures w14:val="none"/>
        </w:rPr>
        <w:t xml:space="preserve"> </w:t>
      </w:r>
      <w:r w:rsidRPr="00C36F54">
        <w:rPr>
          <w:rFonts w:ascii="Times New Roman" w:eastAsia="Times New Roman" w:hAnsi="Times New Roman" w:cs="Times New Roman"/>
          <w:noProof/>
          <w:kern w:val="0"/>
          <w:sz w:val="24"/>
          <w:szCs w:val="24"/>
          <w14:ligatures w14:val="none"/>
        </w:rPr>
        <w:t>In stark contrast,</w:t>
      </w:r>
      <w:r w:rsidR="009B7F93">
        <w:rPr>
          <w:rFonts w:ascii="Times New Roman" w:eastAsia="Times New Roman" w:hAnsi="Times New Roman" w:cs="Times New Roman"/>
          <w:noProof/>
          <w:kern w:val="0"/>
          <w:sz w:val="24"/>
          <w:szCs w:val="24"/>
          <w14:ligatures w14:val="none"/>
        </w:rPr>
        <w:t xml:space="preserve"> investment i</w:t>
      </w:r>
      <w:r w:rsidR="009B7F93">
        <w:rPr>
          <w:rFonts w:ascii="Times New Roman" w:eastAsia="Times New Roman" w:hAnsi="Times New Roman" w:cs="Times New Roman"/>
          <w:noProof/>
          <w:sz w:val="24"/>
          <w:szCs w:val="24"/>
        </w:rPr>
        <w:t>n</w:t>
      </w:r>
      <w:r w:rsidRPr="00C36F54">
        <w:rPr>
          <w:rFonts w:ascii="Times New Roman" w:eastAsia="Times New Roman" w:hAnsi="Times New Roman" w:cs="Times New Roman"/>
          <w:noProof/>
          <w:sz w:val="24"/>
          <w:szCs w:val="24"/>
        </w:rPr>
        <w:t xml:space="preserve"> renewable power and grids</w:t>
      </w:r>
      <w:r w:rsidR="009B7F93">
        <w:rPr>
          <w:rFonts w:ascii="Times New Roman" w:eastAsia="Times New Roman" w:hAnsi="Times New Roman" w:cs="Times New Roman"/>
          <w:noProof/>
          <w:sz w:val="24"/>
          <w:szCs w:val="24"/>
        </w:rPr>
        <w:t xml:space="preserve"> remains comparatively low:</w:t>
      </w:r>
      <w:r w:rsidRPr="00C36F54">
        <w:rPr>
          <w:rFonts w:ascii="Times New Roman" w:eastAsia="Times New Roman" w:hAnsi="Times New Roman" w:cs="Times New Roman"/>
          <w:noProof/>
          <w:sz w:val="24"/>
          <w:szCs w:val="24"/>
        </w:rPr>
        <w:t xml:space="preserve"> Europe spent USD 117 billion in 2025, when</w:t>
      </w:r>
      <w:r w:rsidRPr="00C36F54">
        <w:rPr>
          <w:rFonts w:ascii="Times New Roman" w:eastAsia="Times New Roman" w:hAnsi="Times New Roman" w:cs="Times New Roman"/>
          <w:noProof/>
          <w:kern w:val="0"/>
          <w:sz w:val="24"/>
          <w:szCs w:val="24"/>
          <w14:ligatures w14:val="none"/>
        </w:rPr>
        <w:t xml:space="preserve"> China spent </w:t>
      </w:r>
      <w:r w:rsidRPr="00C36F54">
        <w:rPr>
          <w:rFonts w:ascii="Times New Roman" w:eastAsia="Times New Roman" w:hAnsi="Times New Roman" w:cs="Times New Roman"/>
          <w:noProof/>
          <w:sz w:val="24"/>
          <w:szCs w:val="24"/>
        </w:rPr>
        <w:t>USD 327 billion</w:t>
      </w:r>
      <w:r w:rsidRPr="00C36F54">
        <w:rPr>
          <w:rFonts w:ascii="Times New Roman" w:eastAsia="Times New Roman" w:hAnsi="Times New Roman" w:cs="Times New Roman"/>
          <w:noProof/>
          <w:kern w:val="0"/>
          <w:sz w:val="24"/>
          <w:szCs w:val="24"/>
          <w14:ligatures w14:val="none"/>
        </w:rPr>
        <w:t>.</w:t>
      </w:r>
      <w:r w:rsidRPr="00C36F54">
        <w:rPr>
          <w:rStyle w:val="FootnoteReference"/>
          <w:rFonts w:ascii="Times New Roman" w:eastAsia="Times New Roman" w:hAnsi="Times New Roman" w:cs="Times New Roman"/>
          <w:noProof/>
          <w:kern w:val="0"/>
          <w:sz w:val="24"/>
          <w:szCs w:val="24"/>
          <w14:ligatures w14:val="none"/>
        </w:rPr>
        <w:footnoteReference w:id="6"/>
      </w:r>
      <w:r w:rsidRPr="00C36F54">
        <w:rPr>
          <w:rFonts w:ascii="Times New Roman" w:eastAsia="Times New Roman" w:hAnsi="Times New Roman" w:cs="Times New Roman"/>
          <w:noProof/>
          <w:kern w:val="0"/>
          <w:sz w:val="24"/>
          <w:szCs w:val="24"/>
          <w14:ligatures w14:val="none"/>
        </w:rPr>
        <w:t xml:space="preserve"> </w:t>
      </w:r>
    </w:p>
    <w:p w14:paraId="0D596C21" w14:textId="31A62616" w:rsidR="00AF502A" w:rsidRDefault="009B7F93" w:rsidP="00C36F54">
      <w:pPr>
        <w:jc w:val="both"/>
        <w:rPr>
          <w:rFonts w:ascii="Times New Roman" w:eastAsia="Times New Roman" w:hAnsi="Times New Roman" w:cs="Times New Roman"/>
          <w:noProof/>
          <w:sz w:val="24"/>
          <w:szCs w:val="24"/>
        </w:rPr>
      </w:pPr>
      <w:r w:rsidRPr="5C6CB6E1">
        <w:rPr>
          <w:rFonts w:ascii="Times New Roman" w:eastAsia="Times New Roman" w:hAnsi="Times New Roman" w:cs="Times New Roman"/>
          <w:noProof/>
          <w:sz w:val="24"/>
          <w:szCs w:val="24"/>
        </w:rPr>
        <w:t>Th</w:t>
      </w:r>
      <w:r w:rsidR="00BC6A5B" w:rsidRPr="5C6CB6E1">
        <w:rPr>
          <w:rFonts w:ascii="Times New Roman" w:eastAsia="Times New Roman" w:hAnsi="Times New Roman" w:cs="Times New Roman"/>
          <w:noProof/>
          <w:sz w:val="24"/>
          <w:szCs w:val="24"/>
        </w:rPr>
        <w:t>e</w:t>
      </w:r>
      <w:r w:rsidRPr="5C6CB6E1">
        <w:rPr>
          <w:rFonts w:ascii="Times New Roman" w:eastAsia="Times New Roman" w:hAnsi="Times New Roman" w:cs="Times New Roman"/>
          <w:noProof/>
          <w:sz w:val="24"/>
          <w:szCs w:val="24"/>
        </w:rPr>
        <w:t xml:space="preserve"> </w:t>
      </w:r>
      <w:r w:rsidR="003D179E" w:rsidRPr="5C6CB6E1">
        <w:rPr>
          <w:rFonts w:ascii="Times New Roman" w:eastAsia="Times New Roman" w:hAnsi="Times New Roman" w:cs="Times New Roman"/>
          <w:noProof/>
          <w:sz w:val="24"/>
          <w:szCs w:val="24"/>
        </w:rPr>
        <w:t xml:space="preserve">insufficient integration </w:t>
      </w:r>
      <w:r w:rsidR="00BC6A5B" w:rsidRPr="5C6CB6E1">
        <w:rPr>
          <w:rFonts w:ascii="Times New Roman" w:eastAsia="Times New Roman" w:hAnsi="Times New Roman" w:cs="Times New Roman"/>
          <w:noProof/>
          <w:sz w:val="24"/>
          <w:szCs w:val="24"/>
        </w:rPr>
        <w:t xml:space="preserve">and underinvestment in </w:t>
      </w:r>
      <w:r w:rsidR="003D179E" w:rsidRPr="5C6CB6E1">
        <w:rPr>
          <w:rFonts w:ascii="Times New Roman" w:eastAsia="Times New Roman" w:hAnsi="Times New Roman" w:cs="Times New Roman"/>
          <w:noProof/>
          <w:sz w:val="24"/>
          <w:szCs w:val="24"/>
        </w:rPr>
        <w:t>our energy infrastructure</w:t>
      </w:r>
      <w:r w:rsidR="00AF502A" w:rsidRPr="5C6CB6E1">
        <w:rPr>
          <w:rFonts w:ascii="Times New Roman" w:eastAsia="Times New Roman" w:hAnsi="Times New Roman" w:cs="Times New Roman"/>
          <w:noProof/>
          <w:sz w:val="24"/>
          <w:szCs w:val="24"/>
        </w:rPr>
        <w:t xml:space="preserve"> </w:t>
      </w:r>
      <w:r w:rsidRPr="5C6CB6E1">
        <w:rPr>
          <w:rFonts w:ascii="Times New Roman" w:eastAsia="Times New Roman" w:hAnsi="Times New Roman" w:cs="Times New Roman"/>
          <w:noProof/>
          <w:sz w:val="24"/>
          <w:szCs w:val="24"/>
        </w:rPr>
        <w:t xml:space="preserve">has a </w:t>
      </w:r>
      <w:r w:rsidRPr="1DC8B114">
        <w:rPr>
          <w:rFonts w:ascii="Times New Roman" w:eastAsia="Times New Roman" w:hAnsi="Times New Roman" w:cs="Times New Roman"/>
          <w:b/>
          <w:bCs/>
          <w:noProof/>
          <w:sz w:val="24"/>
          <w:szCs w:val="24"/>
        </w:rPr>
        <w:t>direct impact on energy bills</w:t>
      </w:r>
      <w:r w:rsidR="000A2A50" w:rsidRPr="1DC8B114">
        <w:rPr>
          <w:rFonts w:ascii="Times New Roman" w:eastAsia="Times New Roman" w:hAnsi="Times New Roman" w:cs="Times New Roman"/>
          <w:b/>
          <w:bCs/>
          <w:noProof/>
          <w:sz w:val="24"/>
          <w:szCs w:val="24"/>
        </w:rPr>
        <w:t xml:space="preserve"> of European citizens</w:t>
      </w:r>
      <w:r w:rsidR="0012301F" w:rsidRPr="7D5B2916">
        <w:rPr>
          <w:rFonts w:ascii="Times New Roman" w:eastAsia="Times New Roman" w:hAnsi="Times New Roman" w:cs="Times New Roman"/>
          <w:b/>
          <w:bCs/>
          <w:noProof/>
          <w:sz w:val="24"/>
          <w:szCs w:val="24"/>
        </w:rPr>
        <w:t xml:space="preserve"> </w:t>
      </w:r>
      <w:r w:rsidR="0012301F" w:rsidRPr="0027132F">
        <w:rPr>
          <w:rFonts w:ascii="Times New Roman" w:eastAsia="Times New Roman" w:hAnsi="Times New Roman" w:cs="Times New Roman"/>
          <w:noProof/>
          <w:sz w:val="24"/>
          <w:szCs w:val="24"/>
        </w:rPr>
        <w:t xml:space="preserve">and the development of </w:t>
      </w:r>
      <w:r w:rsidR="54C933D3" w:rsidRPr="7D5B2916">
        <w:rPr>
          <w:rFonts w:ascii="Times New Roman" w:eastAsia="Times New Roman" w:hAnsi="Times New Roman" w:cs="Times New Roman"/>
          <w:noProof/>
          <w:sz w:val="24"/>
          <w:szCs w:val="24"/>
        </w:rPr>
        <w:t xml:space="preserve">strategic </w:t>
      </w:r>
      <w:r w:rsidR="037ACAF4" w:rsidRPr="7D5B2916">
        <w:rPr>
          <w:rFonts w:ascii="Times New Roman" w:eastAsia="Times New Roman" w:hAnsi="Times New Roman" w:cs="Times New Roman"/>
          <w:noProof/>
          <w:sz w:val="24"/>
          <w:szCs w:val="24"/>
        </w:rPr>
        <w:t>sectors</w:t>
      </w:r>
      <w:r w:rsidR="0012301F" w:rsidRPr="7D5B2916">
        <w:rPr>
          <w:rFonts w:ascii="Times New Roman" w:eastAsia="Times New Roman" w:hAnsi="Times New Roman" w:cs="Times New Roman"/>
          <w:noProof/>
          <w:sz w:val="24"/>
          <w:szCs w:val="24"/>
        </w:rPr>
        <w:t xml:space="preserve"> </w:t>
      </w:r>
      <w:r w:rsidR="009042E7" w:rsidRPr="0027132F">
        <w:rPr>
          <w:rFonts w:ascii="Times New Roman" w:eastAsia="Times New Roman" w:hAnsi="Times New Roman" w:cs="Times New Roman"/>
          <w:noProof/>
          <w:sz w:val="24"/>
          <w:szCs w:val="24"/>
        </w:rPr>
        <w:t>across the EU</w:t>
      </w:r>
      <w:r w:rsidR="2062B91B" w:rsidRPr="7D5B2916">
        <w:rPr>
          <w:rFonts w:ascii="Times New Roman" w:eastAsia="Times New Roman" w:hAnsi="Times New Roman" w:cs="Times New Roman"/>
          <w:noProof/>
          <w:sz w:val="24"/>
          <w:szCs w:val="24"/>
        </w:rPr>
        <w:t xml:space="preserve">, such as net-zero </w:t>
      </w:r>
      <w:r w:rsidR="528B64CA" w:rsidRPr="7D5B2916">
        <w:rPr>
          <w:rFonts w:ascii="Times New Roman" w:eastAsia="Times New Roman" w:hAnsi="Times New Roman" w:cs="Times New Roman"/>
          <w:noProof/>
          <w:sz w:val="24"/>
          <w:szCs w:val="24"/>
        </w:rPr>
        <w:t xml:space="preserve">industries </w:t>
      </w:r>
      <w:r w:rsidR="2062B91B" w:rsidRPr="7D5B2916">
        <w:rPr>
          <w:rFonts w:ascii="Times New Roman" w:eastAsia="Times New Roman" w:hAnsi="Times New Roman" w:cs="Times New Roman"/>
          <w:noProof/>
          <w:sz w:val="24"/>
          <w:szCs w:val="24"/>
        </w:rPr>
        <w:t>or digital</w:t>
      </w:r>
      <w:r w:rsidR="00986594" w:rsidRPr="33872560">
        <w:rPr>
          <w:rFonts w:ascii="Times New Roman" w:eastAsia="Times New Roman" w:hAnsi="Times New Roman" w:cs="Times New Roman"/>
          <w:noProof/>
          <w:sz w:val="24"/>
          <w:szCs w:val="24"/>
        </w:rPr>
        <w:t>.</w:t>
      </w:r>
      <w:r w:rsidR="00986594" w:rsidRPr="5C6CB6E1">
        <w:rPr>
          <w:rFonts w:ascii="Times New Roman" w:eastAsia="Times New Roman" w:hAnsi="Times New Roman" w:cs="Times New Roman"/>
          <w:noProof/>
          <w:sz w:val="24"/>
          <w:szCs w:val="24"/>
        </w:rPr>
        <w:t xml:space="preserve"> </w:t>
      </w:r>
      <w:r w:rsidR="00C36F54" w:rsidRPr="00C36F54">
        <w:rPr>
          <w:rFonts w:ascii="Times New Roman" w:eastAsia="Times New Roman" w:hAnsi="Times New Roman" w:cs="Times New Roman"/>
          <w:noProof/>
          <w:sz w:val="24"/>
          <w:szCs w:val="24"/>
        </w:rPr>
        <w:t xml:space="preserve">The Draghi and Letta reports emphasise that our </w:t>
      </w:r>
      <w:r w:rsidR="00C36F54" w:rsidRPr="00C36F54">
        <w:rPr>
          <w:rFonts w:ascii="Times New Roman" w:eastAsia="Times New Roman" w:hAnsi="Times New Roman" w:cs="Times New Roman"/>
          <w:b/>
          <w:bCs/>
          <w:noProof/>
          <w:sz w:val="24"/>
          <w:szCs w:val="24"/>
        </w:rPr>
        <w:t>electricity prices remain 2-3 times higher</w:t>
      </w:r>
      <w:r w:rsidR="00C36F54" w:rsidRPr="00C36F54">
        <w:rPr>
          <w:rFonts w:ascii="Times New Roman" w:eastAsia="Times New Roman" w:hAnsi="Times New Roman" w:cs="Times New Roman"/>
          <w:noProof/>
          <w:sz w:val="24"/>
          <w:szCs w:val="24"/>
        </w:rPr>
        <w:t xml:space="preserve"> than those in the US</w:t>
      </w:r>
      <w:r w:rsidR="00784A64" w:rsidRPr="7D5B2916">
        <w:rPr>
          <w:rFonts w:ascii="Times New Roman" w:eastAsia="Times New Roman" w:hAnsi="Times New Roman" w:cs="Times New Roman"/>
          <w:noProof/>
          <w:sz w:val="24"/>
          <w:szCs w:val="24"/>
        </w:rPr>
        <w:t xml:space="preserve">; </w:t>
      </w:r>
      <w:r w:rsidR="00FE556E" w:rsidRPr="7D5B2916">
        <w:rPr>
          <w:rFonts w:ascii="Times New Roman" w:eastAsia="Times New Roman" w:hAnsi="Times New Roman" w:cs="Times New Roman"/>
          <w:noProof/>
          <w:sz w:val="24"/>
          <w:szCs w:val="24"/>
        </w:rPr>
        <w:t>EU electricity retail prices for industry were in Q2 2024 2.2 times those in the US, twice those in China and 1.2 times higher than in Japan (historically lower)</w:t>
      </w:r>
      <w:r w:rsidR="003D767E" w:rsidRPr="7D5B2916">
        <w:rPr>
          <w:rFonts w:ascii="Times New Roman" w:eastAsia="Times New Roman" w:hAnsi="Times New Roman" w:cs="Times New Roman"/>
          <w:noProof/>
          <w:sz w:val="24"/>
          <w:szCs w:val="24"/>
        </w:rPr>
        <w:t>.</w:t>
      </w:r>
      <w:r w:rsidR="003D767E">
        <w:rPr>
          <w:rStyle w:val="FootnoteReference"/>
          <w:rFonts w:ascii="Times New Roman" w:eastAsia="Times New Roman" w:hAnsi="Times New Roman" w:cs="Times New Roman"/>
          <w:noProof/>
          <w:sz w:val="24"/>
          <w:szCs w:val="24"/>
        </w:rPr>
        <w:footnoteReference w:id="7"/>
      </w:r>
      <w:r w:rsidR="00B44C28">
        <w:rPr>
          <w:rFonts w:ascii="Times New Roman" w:eastAsia="Times New Roman" w:hAnsi="Times New Roman" w:cs="Times New Roman"/>
          <w:noProof/>
          <w:sz w:val="24"/>
          <w:szCs w:val="24"/>
        </w:rPr>
        <w:t xml:space="preserve"> </w:t>
      </w:r>
      <w:r w:rsidR="00C36F54" w:rsidRPr="00C36F54">
        <w:rPr>
          <w:rFonts w:ascii="Times New Roman" w:eastAsia="Times New Roman" w:hAnsi="Times New Roman" w:cs="Times New Roman"/>
          <w:noProof/>
          <w:sz w:val="24"/>
          <w:szCs w:val="24"/>
        </w:rPr>
        <w:t>In the first half of 2025, the average electricity price for EU consumers varied from €0.3835 per kWh in Germany to €0.1040 per kWh in Hungary, while non-household electricity prices ranged from €0.2726 per kWh in Ireland to €0.0804 per kWh in Finland.</w:t>
      </w:r>
      <w:r w:rsidR="00C42F56">
        <w:rPr>
          <w:rStyle w:val="FootnoteReference"/>
          <w:rFonts w:ascii="Times New Roman" w:eastAsia="Times New Roman" w:hAnsi="Times New Roman" w:cs="Times New Roman"/>
          <w:noProof/>
          <w:sz w:val="24"/>
          <w:szCs w:val="24"/>
        </w:rPr>
        <w:footnoteReference w:id="8"/>
      </w:r>
      <w:r w:rsidR="00C36F54" w:rsidRPr="00C36F54">
        <w:rPr>
          <w:rFonts w:ascii="Times New Roman" w:eastAsia="Times New Roman" w:hAnsi="Times New Roman" w:cs="Times New Roman"/>
          <w:noProof/>
          <w:sz w:val="24"/>
          <w:szCs w:val="24"/>
        </w:rPr>
        <w:t xml:space="preserve"> A key reason for this disparity is the insufficient </w:t>
      </w:r>
      <w:r w:rsidR="00C36F54" w:rsidRPr="00C36F54">
        <w:rPr>
          <w:rFonts w:ascii="Times New Roman" w:eastAsia="Times New Roman" w:hAnsi="Times New Roman" w:cs="Times New Roman"/>
          <w:noProof/>
          <w:sz w:val="24"/>
          <w:szCs w:val="24"/>
        </w:rPr>
        <w:lastRenderedPageBreak/>
        <w:t>level of investment in and integration of our infrastructure</w:t>
      </w:r>
      <w:r w:rsidR="006F056F">
        <w:rPr>
          <w:rFonts w:ascii="Times New Roman" w:eastAsia="Times New Roman" w:hAnsi="Times New Roman" w:cs="Times New Roman"/>
          <w:noProof/>
          <w:sz w:val="24"/>
          <w:szCs w:val="24"/>
        </w:rPr>
        <w:t xml:space="preserve">. </w:t>
      </w:r>
      <w:r w:rsidR="00C36F54" w:rsidRPr="00C36F54">
        <w:rPr>
          <w:rFonts w:ascii="Times New Roman" w:eastAsia="Times New Roman" w:hAnsi="Times New Roman" w:cs="Times New Roman"/>
          <w:b/>
          <w:bCs/>
          <w:noProof/>
          <w:kern w:val="0"/>
          <w:sz w:val="24"/>
          <w:szCs w:val="24"/>
          <w14:ligatures w14:val="none"/>
        </w:rPr>
        <w:t>If we fail to</w:t>
      </w:r>
      <w:r w:rsidR="00C36F54" w:rsidRPr="00C36F54">
        <w:rPr>
          <w:rFonts w:ascii="Times New Roman" w:eastAsia="Times New Roman" w:hAnsi="Times New Roman" w:cs="Times New Roman"/>
          <w:b/>
          <w:bCs/>
          <w:noProof/>
          <w:sz w:val="24"/>
          <w:szCs w:val="24"/>
        </w:rPr>
        <w:t xml:space="preserve"> act</w:t>
      </w:r>
      <w:r w:rsidR="00AF502A">
        <w:rPr>
          <w:rFonts w:ascii="Times New Roman" w:eastAsia="Times New Roman" w:hAnsi="Times New Roman" w:cs="Times New Roman"/>
          <w:b/>
          <w:bCs/>
          <w:noProof/>
          <w:sz w:val="24"/>
          <w:szCs w:val="24"/>
        </w:rPr>
        <w:t>,</w:t>
      </w:r>
      <w:r w:rsidR="00C36F54" w:rsidRPr="00C36F54">
        <w:rPr>
          <w:rFonts w:ascii="Times New Roman" w:eastAsia="Times New Roman" w:hAnsi="Times New Roman" w:cs="Times New Roman"/>
          <w:noProof/>
          <w:kern w:val="0"/>
          <w:sz w:val="24"/>
          <w:szCs w:val="24"/>
          <w14:ligatures w14:val="none"/>
        </w:rPr>
        <w:t xml:space="preserve"> 45% of cross-border electricity capacity</w:t>
      </w:r>
      <w:r w:rsidR="003960C3">
        <w:rPr>
          <w:rFonts w:ascii="Times New Roman" w:eastAsia="Times New Roman" w:hAnsi="Times New Roman" w:cs="Times New Roman"/>
          <w:noProof/>
          <w:kern w:val="0"/>
          <w:sz w:val="24"/>
          <w:szCs w:val="24"/>
          <w14:ligatures w14:val="none"/>
        </w:rPr>
        <w:t xml:space="preserve"> needs</w:t>
      </w:r>
      <w:r w:rsidR="00C36F54" w:rsidRPr="00C36F54">
        <w:rPr>
          <w:rFonts w:ascii="Times New Roman" w:eastAsia="Times New Roman" w:hAnsi="Times New Roman" w:cs="Times New Roman"/>
          <w:noProof/>
          <w:kern w:val="0"/>
          <w:sz w:val="24"/>
          <w:szCs w:val="24"/>
          <w14:ligatures w14:val="none"/>
        </w:rPr>
        <w:t xml:space="preserve"> (</w:t>
      </w:r>
      <w:r w:rsidR="003960C3">
        <w:rPr>
          <w:rFonts w:ascii="Times New Roman" w:eastAsia="Times New Roman" w:hAnsi="Times New Roman" w:cs="Times New Roman"/>
          <w:noProof/>
          <w:kern w:val="0"/>
          <w:sz w:val="24"/>
          <w:szCs w:val="24"/>
          <w14:ligatures w14:val="none"/>
        </w:rPr>
        <w:t xml:space="preserve">equal to </w:t>
      </w:r>
      <w:r w:rsidR="00C36F54" w:rsidRPr="00C36F54">
        <w:rPr>
          <w:rFonts w:ascii="Times New Roman" w:eastAsia="Times New Roman" w:hAnsi="Times New Roman" w:cs="Times New Roman"/>
          <w:noProof/>
          <w:kern w:val="0"/>
          <w:sz w:val="24"/>
          <w:szCs w:val="24"/>
          <w14:ligatures w14:val="none"/>
        </w:rPr>
        <w:t>41</w:t>
      </w:r>
      <w:r w:rsidR="00F96773">
        <w:rPr>
          <w:rFonts w:ascii="Times New Roman" w:eastAsia="Times New Roman" w:hAnsi="Times New Roman" w:cs="Times New Roman"/>
          <w:noProof/>
          <w:kern w:val="0"/>
          <w:sz w:val="24"/>
          <w:szCs w:val="24"/>
          <w14:ligatures w14:val="none"/>
        </w:rPr>
        <w:t xml:space="preserve"> </w:t>
      </w:r>
      <w:r w:rsidR="00C36F54" w:rsidRPr="00C36F54">
        <w:rPr>
          <w:rFonts w:ascii="Times New Roman" w:eastAsia="Times New Roman" w:hAnsi="Times New Roman" w:cs="Times New Roman"/>
          <w:noProof/>
          <w:kern w:val="0"/>
          <w:sz w:val="24"/>
          <w:szCs w:val="24"/>
          <w14:ligatures w14:val="none"/>
        </w:rPr>
        <w:t>GW)</w:t>
      </w:r>
      <w:r w:rsidR="00C36F54" w:rsidRPr="00C36F54">
        <w:rPr>
          <w:rStyle w:val="FootnoteReference"/>
          <w:rFonts w:ascii="Times New Roman" w:eastAsia="Times New Roman" w:hAnsi="Times New Roman" w:cs="Times New Roman"/>
          <w:noProof/>
          <w:sz w:val="24"/>
          <w:szCs w:val="24"/>
        </w:rPr>
        <w:footnoteReference w:id="9"/>
      </w:r>
      <w:r w:rsidR="00C36F54" w:rsidRPr="00C36F54">
        <w:rPr>
          <w:rFonts w:ascii="Times New Roman" w:eastAsia="Times New Roman" w:hAnsi="Times New Roman" w:cs="Times New Roman"/>
          <w:noProof/>
          <w:kern w:val="0"/>
          <w:sz w:val="24"/>
          <w:szCs w:val="24"/>
          <w14:ligatures w14:val="none"/>
        </w:rPr>
        <w:t xml:space="preserve"> will remain unaddressed by 2030 and unused renewable energy may reach up to 310 TWh by 2040,</w:t>
      </w:r>
      <w:r w:rsidR="00C36F54" w:rsidRPr="00C36F54">
        <w:rPr>
          <w:rStyle w:val="FootnoteReference"/>
          <w:rFonts w:ascii="Times New Roman" w:eastAsia="Times New Roman" w:hAnsi="Times New Roman" w:cs="Times New Roman"/>
          <w:noProof/>
          <w:kern w:val="0"/>
          <w:sz w:val="24"/>
          <w:szCs w:val="24"/>
          <w14:ligatures w14:val="none"/>
        </w:rPr>
        <w:footnoteReference w:id="10"/>
      </w:r>
      <w:r w:rsidR="00C36F54" w:rsidRPr="00C36F54">
        <w:rPr>
          <w:rFonts w:ascii="Times New Roman" w:eastAsia="Times New Roman" w:hAnsi="Times New Roman" w:cs="Times New Roman"/>
          <w:noProof/>
          <w:kern w:val="0"/>
          <w:sz w:val="24"/>
          <w:szCs w:val="24"/>
          <w14:ligatures w14:val="none"/>
        </w:rPr>
        <w:t xml:space="preserve"> nearly half</w:t>
      </w:r>
      <w:r w:rsidR="00C36F54" w:rsidRPr="00C36F54">
        <w:rPr>
          <w:rFonts w:ascii="Times New Roman" w:eastAsia="Times New Roman" w:hAnsi="Times New Roman" w:cs="Times New Roman"/>
          <w:noProof/>
          <w:sz w:val="24"/>
          <w:szCs w:val="24"/>
        </w:rPr>
        <w:t xml:space="preserve"> of</w:t>
      </w:r>
      <w:r w:rsidR="00C36F54" w:rsidRPr="00C36F54">
        <w:rPr>
          <w:rFonts w:ascii="Times New Roman" w:eastAsia="Times New Roman" w:hAnsi="Times New Roman" w:cs="Times New Roman"/>
          <w:noProof/>
          <w:kern w:val="0"/>
          <w:sz w:val="24"/>
          <w:szCs w:val="24"/>
          <w14:ligatures w14:val="none"/>
        </w:rPr>
        <w:t xml:space="preserve"> electricity consumption in 2023</w:t>
      </w:r>
      <w:r w:rsidR="00BC6A5B">
        <w:rPr>
          <w:rFonts w:ascii="Times New Roman" w:eastAsia="Times New Roman" w:hAnsi="Times New Roman" w:cs="Times New Roman"/>
          <w:noProof/>
          <w:kern w:val="0"/>
          <w:sz w:val="24"/>
          <w:szCs w:val="24"/>
          <w14:ligatures w14:val="none"/>
        </w:rPr>
        <w:t xml:space="preserve">. </w:t>
      </w:r>
    </w:p>
    <w:p w14:paraId="2A008F26" w14:textId="7DAF3CF6" w:rsidR="00C36F54" w:rsidRPr="00C36F54" w:rsidRDefault="004434B1" w:rsidP="00C36F54">
      <w:pPr>
        <w:jc w:val="both"/>
        <w:rPr>
          <w:rFonts w:ascii="Times New Roman" w:eastAsia="Times New Roman" w:hAnsi="Times New Roman" w:cs="Times New Roman"/>
          <w:noProof/>
          <w:kern w:val="0"/>
          <w:sz w:val="24"/>
          <w:szCs w:val="24"/>
          <w14:ligatures w14:val="none"/>
        </w:rPr>
      </w:pPr>
      <w:r>
        <w:rPr>
          <w:rFonts w:ascii="Times New Roman" w:eastAsia="Times New Roman" w:hAnsi="Times New Roman" w:cs="Times New Roman"/>
          <w:noProof/>
          <w:kern w:val="0"/>
          <w:sz w:val="24"/>
          <w:szCs w:val="24"/>
          <w14:ligatures w14:val="none"/>
        </w:rPr>
        <w:t>On the other hand</w:t>
      </w:r>
      <w:r w:rsidRPr="006154EC">
        <w:rPr>
          <w:rFonts w:ascii="Times New Roman" w:eastAsia="Times New Roman" w:hAnsi="Times New Roman" w:cs="Times New Roman"/>
          <w:noProof/>
          <w:kern w:val="0"/>
          <w:sz w:val="24"/>
          <w:szCs w:val="24"/>
          <w14:ligatures w14:val="none"/>
        </w:rPr>
        <w:t>,</w:t>
      </w:r>
      <w:r w:rsidR="00AF502A">
        <w:rPr>
          <w:rFonts w:ascii="Times New Roman" w:eastAsia="Times New Roman" w:hAnsi="Times New Roman" w:cs="Times New Roman"/>
          <w:b/>
          <w:bCs/>
          <w:noProof/>
          <w:kern w:val="0"/>
          <w:sz w:val="24"/>
          <w:szCs w:val="24"/>
          <w14:ligatures w14:val="none"/>
        </w:rPr>
        <w:t xml:space="preserve"> t</w:t>
      </w:r>
      <w:r w:rsidR="00C36F54" w:rsidRPr="00C36F54">
        <w:rPr>
          <w:rFonts w:ascii="Times New Roman" w:eastAsia="Times New Roman" w:hAnsi="Times New Roman" w:cs="Times New Roman"/>
          <w:b/>
          <w:bCs/>
          <w:noProof/>
          <w:kern w:val="0"/>
          <w:sz w:val="24"/>
          <w:szCs w:val="24"/>
          <w14:ligatures w14:val="none"/>
        </w:rPr>
        <w:t>he benefits of action are clear:</w:t>
      </w:r>
      <w:r w:rsidR="00C36F54" w:rsidRPr="00C36F54">
        <w:rPr>
          <w:rFonts w:ascii="Times New Roman" w:eastAsia="Times New Roman" w:hAnsi="Times New Roman" w:cs="Times New Roman"/>
          <w:noProof/>
          <w:kern w:val="0"/>
          <w:sz w:val="24"/>
          <w:szCs w:val="24"/>
          <w14:ligatures w14:val="none"/>
        </w:rPr>
        <w:t xml:space="preserve"> enhanced market integration could lead to annual cost savings of EUR 40 billion, while boosting cross-border electricity trade by 50% could </w:t>
      </w:r>
      <w:r w:rsidR="00C36F54" w:rsidRPr="00C36F54">
        <w:rPr>
          <w:rFonts w:ascii="Times New Roman" w:eastAsia="Times New Roman" w:hAnsi="Times New Roman" w:cs="Times New Roman"/>
          <w:noProof/>
          <w:sz w:val="24"/>
          <w:szCs w:val="24"/>
        </w:rPr>
        <w:t>raise</w:t>
      </w:r>
      <w:r w:rsidR="00C36F54" w:rsidRPr="00C36F54">
        <w:rPr>
          <w:rFonts w:ascii="Times New Roman" w:eastAsia="Times New Roman" w:hAnsi="Times New Roman" w:cs="Times New Roman"/>
          <w:noProof/>
          <w:kern w:val="0"/>
          <w:sz w:val="24"/>
          <w:szCs w:val="24"/>
          <w14:ligatures w14:val="none"/>
        </w:rPr>
        <w:t xml:space="preserve"> </w:t>
      </w:r>
      <w:r w:rsidR="00C36F54" w:rsidRPr="00C36F54">
        <w:rPr>
          <w:rFonts w:ascii="Times New Roman" w:eastAsia="Times New Roman" w:hAnsi="Times New Roman" w:cs="Times New Roman"/>
          <w:noProof/>
          <w:sz w:val="24"/>
          <w:szCs w:val="24"/>
        </w:rPr>
        <w:t>annual EU GDP</w:t>
      </w:r>
      <w:r w:rsidR="003960C3">
        <w:rPr>
          <w:rFonts w:ascii="Times New Roman" w:eastAsia="Times New Roman" w:hAnsi="Times New Roman" w:cs="Times New Roman"/>
          <w:noProof/>
          <w:sz w:val="24"/>
          <w:szCs w:val="24"/>
        </w:rPr>
        <w:t xml:space="preserve"> growth</w:t>
      </w:r>
      <w:r w:rsidR="00C36F54" w:rsidRPr="00C36F54">
        <w:rPr>
          <w:rFonts w:ascii="Times New Roman" w:eastAsia="Times New Roman" w:hAnsi="Times New Roman" w:cs="Times New Roman"/>
          <w:noProof/>
          <w:sz w:val="24"/>
          <w:szCs w:val="24"/>
        </w:rPr>
        <w:t xml:space="preserve"> </w:t>
      </w:r>
      <w:r w:rsidR="003960C3" w:rsidRPr="00C36F54">
        <w:rPr>
          <w:rFonts w:ascii="Times New Roman" w:eastAsia="Times New Roman" w:hAnsi="Times New Roman" w:cs="Times New Roman"/>
          <w:noProof/>
          <w:sz w:val="24"/>
          <w:szCs w:val="24"/>
        </w:rPr>
        <w:t xml:space="preserve">by around EUR 18 billion </w:t>
      </w:r>
      <w:r w:rsidR="003960C3">
        <w:rPr>
          <w:rFonts w:ascii="Times New Roman" w:eastAsia="Times New Roman" w:hAnsi="Times New Roman" w:cs="Times New Roman"/>
          <w:noProof/>
          <w:sz w:val="24"/>
          <w:szCs w:val="24"/>
        </w:rPr>
        <w:t xml:space="preserve">by </w:t>
      </w:r>
      <w:r w:rsidR="00C36F54" w:rsidRPr="00C36F54">
        <w:rPr>
          <w:rFonts w:ascii="Times New Roman" w:eastAsia="Times New Roman" w:hAnsi="Times New Roman" w:cs="Times New Roman"/>
          <w:noProof/>
          <w:sz w:val="24"/>
          <w:szCs w:val="24"/>
        </w:rPr>
        <w:t>2030 (or 0.1%</w:t>
      </w:r>
      <w:r w:rsidR="00C36F54" w:rsidRPr="00C36F54">
        <w:rPr>
          <w:rStyle w:val="FootnoteReference"/>
          <w:rFonts w:ascii="Times New Roman" w:eastAsia="Times New Roman" w:hAnsi="Times New Roman" w:cs="Times New Roman"/>
          <w:noProof/>
          <w:kern w:val="0"/>
          <w:sz w:val="24"/>
          <w:szCs w:val="24"/>
          <w14:ligatures w14:val="none"/>
        </w:rPr>
        <w:footnoteReference w:id="11"/>
      </w:r>
      <w:r w:rsidR="00C36F54" w:rsidRPr="00C36F54">
        <w:rPr>
          <w:rFonts w:ascii="Times New Roman" w:eastAsia="Times New Roman" w:hAnsi="Times New Roman" w:cs="Times New Roman"/>
          <w:noProof/>
          <w:sz w:val="24"/>
          <w:szCs w:val="24"/>
        </w:rPr>
        <w:t>).</w:t>
      </w:r>
      <w:r w:rsidR="00C36F54" w:rsidRPr="00C36F54">
        <w:rPr>
          <w:noProof/>
        </w:rPr>
        <w:t xml:space="preserve"> </w:t>
      </w:r>
      <w:r w:rsidR="00E86870" w:rsidRPr="00E86870">
        <w:rPr>
          <w:rFonts w:ascii="Times New Roman" w:eastAsia="Times New Roman" w:hAnsi="Times New Roman" w:cs="Times New Roman"/>
          <w:noProof/>
          <w:sz w:val="24"/>
          <w:szCs w:val="24"/>
        </w:rPr>
        <w:t xml:space="preserve">Until 2030, we are lacking 88 GW of cross-border electricity transmission capacity. Investing EUR 5 billion </w:t>
      </w:r>
      <w:r w:rsidR="006F056F">
        <w:rPr>
          <w:rFonts w:ascii="Times New Roman" w:eastAsia="Times New Roman" w:hAnsi="Times New Roman" w:cs="Times New Roman"/>
          <w:noProof/>
          <w:sz w:val="24"/>
          <w:szCs w:val="24"/>
        </w:rPr>
        <w:t xml:space="preserve">would </w:t>
      </w:r>
      <w:r w:rsidR="00E86870" w:rsidRPr="00E86870">
        <w:rPr>
          <w:rFonts w:ascii="Times New Roman" w:eastAsia="Times New Roman" w:hAnsi="Times New Roman" w:cs="Times New Roman"/>
          <w:noProof/>
          <w:sz w:val="24"/>
          <w:szCs w:val="24"/>
        </w:rPr>
        <w:t xml:space="preserve">reduce system costs by EUR 8 billion, creating a </w:t>
      </w:r>
      <w:r w:rsidR="00E86870" w:rsidRPr="00E86870">
        <w:rPr>
          <w:rFonts w:ascii="Times New Roman" w:eastAsia="Times New Roman" w:hAnsi="Times New Roman" w:cs="Times New Roman"/>
          <w:b/>
          <w:bCs/>
          <w:noProof/>
          <w:sz w:val="24"/>
          <w:szCs w:val="24"/>
        </w:rPr>
        <w:t>net economic gain of EUR 3 billion</w:t>
      </w:r>
      <w:r w:rsidR="00E86870" w:rsidRPr="00E86870">
        <w:rPr>
          <w:rFonts w:ascii="Times New Roman" w:eastAsia="Times New Roman" w:hAnsi="Times New Roman" w:cs="Times New Roman"/>
          <w:noProof/>
          <w:sz w:val="24"/>
          <w:szCs w:val="24"/>
        </w:rPr>
        <w:t xml:space="preserve"> and highlighting how grid development can deliver real added value and cost savings for Europeans</w:t>
      </w:r>
      <w:r w:rsidR="00E86870">
        <w:rPr>
          <w:rFonts w:ascii="Times New Roman" w:eastAsia="Times New Roman" w:hAnsi="Times New Roman" w:cs="Times New Roman"/>
          <w:noProof/>
          <w:sz w:val="24"/>
          <w:szCs w:val="24"/>
        </w:rPr>
        <w:t>.</w:t>
      </w:r>
      <w:r w:rsidR="00C36F54" w:rsidRPr="00C36F54">
        <w:rPr>
          <w:rStyle w:val="FootnoteReference"/>
          <w:rFonts w:ascii="Times New Roman" w:eastAsia="Times New Roman" w:hAnsi="Times New Roman" w:cs="Times New Roman"/>
          <w:noProof/>
          <w:sz w:val="24"/>
          <w:szCs w:val="24"/>
        </w:rPr>
        <w:footnoteReference w:id="12"/>
      </w:r>
      <w:r w:rsidR="00C36F54" w:rsidRPr="00C36F54">
        <w:rPr>
          <w:rFonts w:ascii="Times New Roman" w:eastAsia="Times New Roman" w:hAnsi="Times New Roman" w:cs="Times New Roman"/>
          <w:noProof/>
          <w:sz w:val="24"/>
          <w:szCs w:val="24"/>
        </w:rPr>
        <w:t xml:space="preserve"> </w:t>
      </w:r>
    </w:p>
    <w:p w14:paraId="728077D3" w14:textId="6C3EE3B7" w:rsidR="00C36F54" w:rsidRPr="00C36F54" w:rsidRDefault="00C36F54" w:rsidP="00C36F54">
      <w:pPr>
        <w:jc w:val="both"/>
        <w:rPr>
          <w:rFonts w:ascii="Times New Roman" w:eastAsia="Times New Roman" w:hAnsi="Times New Roman" w:cs="Times New Roman"/>
          <w:b/>
          <w:bCs/>
          <w:noProof/>
          <w:kern w:val="0"/>
          <w:sz w:val="24"/>
          <w:szCs w:val="24"/>
          <w14:ligatures w14:val="none"/>
        </w:rPr>
      </w:pPr>
      <w:r w:rsidRPr="00C36F54">
        <w:rPr>
          <w:rFonts w:ascii="Times New Roman" w:eastAsia="Times New Roman" w:hAnsi="Times New Roman" w:cs="Times New Roman"/>
          <w:b/>
          <w:bCs/>
          <w:noProof/>
          <w:kern w:val="0"/>
          <w:sz w:val="24"/>
          <w:szCs w:val="24"/>
          <w14:ligatures w14:val="none"/>
        </w:rPr>
        <w:t xml:space="preserve">It is therefore imperative that we collectively take decisive action to resolve structural issues in EU energy infrastructure planning and implementation to successfully deliver a genuine Energy Union that </w:t>
      </w:r>
      <w:r w:rsidR="003960C3">
        <w:rPr>
          <w:rFonts w:ascii="Times New Roman" w:eastAsia="Times New Roman" w:hAnsi="Times New Roman" w:cs="Times New Roman"/>
          <w:b/>
          <w:bCs/>
          <w:noProof/>
          <w:kern w:val="0"/>
          <w:sz w:val="24"/>
          <w:szCs w:val="24"/>
          <w14:ligatures w14:val="none"/>
        </w:rPr>
        <w:t>enables</w:t>
      </w:r>
      <w:r w:rsidR="003960C3" w:rsidRPr="00C36F54">
        <w:rPr>
          <w:rFonts w:ascii="Times New Roman" w:eastAsia="Times New Roman" w:hAnsi="Times New Roman" w:cs="Times New Roman"/>
          <w:b/>
          <w:bCs/>
          <w:noProof/>
          <w:kern w:val="0"/>
          <w:sz w:val="24"/>
          <w:szCs w:val="24"/>
          <w14:ligatures w14:val="none"/>
        </w:rPr>
        <w:t xml:space="preserve"> </w:t>
      </w:r>
      <w:r w:rsidRPr="00C36F54">
        <w:rPr>
          <w:rFonts w:ascii="Times New Roman" w:eastAsia="Times New Roman" w:hAnsi="Times New Roman" w:cs="Times New Roman"/>
          <w:b/>
          <w:bCs/>
          <w:noProof/>
          <w:kern w:val="0"/>
          <w:sz w:val="24"/>
          <w:szCs w:val="24"/>
          <w14:ligatures w14:val="none"/>
        </w:rPr>
        <w:t>energy independence</w:t>
      </w:r>
      <w:r w:rsidR="000E457F">
        <w:rPr>
          <w:rFonts w:ascii="Times New Roman" w:eastAsia="Times New Roman" w:hAnsi="Times New Roman" w:cs="Times New Roman"/>
          <w:b/>
          <w:bCs/>
          <w:noProof/>
          <w:kern w:val="0"/>
          <w:sz w:val="24"/>
          <w:szCs w:val="24"/>
          <w14:ligatures w14:val="none"/>
        </w:rPr>
        <w:t>, strengthens</w:t>
      </w:r>
      <w:r w:rsidRPr="00C36F54">
        <w:rPr>
          <w:rFonts w:ascii="Times New Roman" w:eastAsia="Times New Roman" w:hAnsi="Times New Roman" w:cs="Times New Roman"/>
          <w:b/>
          <w:bCs/>
          <w:noProof/>
          <w:kern w:val="0"/>
          <w:sz w:val="24"/>
          <w:szCs w:val="24"/>
          <w14:ligatures w14:val="none"/>
        </w:rPr>
        <w:t xml:space="preserve"> our competitiveness</w:t>
      </w:r>
      <w:r w:rsidR="00B564AC">
        <w:rPr>
          <w:rFonts w:ascii="Times New Roman" w:eastAsia="Times New Roman" w:hAnsi="Times New Roman" w:cs="Times New Roman"/>
          <w:b/>
          <w:bCs/>
          <w:noProof/>
          <w:kern w:val="0"/>
          <w:sz w:val="24"/>
          <w:szCs w:val="24"/>
          <w14:ligatures w14:val="none"/>
        </w:rPr>
        <w:t>,</w:t>
      </w:r>
      <w:r w:rsidRPr="00C36F54">
        <w:rPr>
          <w:rFonts w:ascii="Times New Roman" w:eastAsia="Times New Roman" w:hAnsi="Times New Roman" w:cs="Times New Roman"/>
          <w:b/>
          <w:bCs/>
          <w:noProof/>
          <w:kern w:val="0"/>
          <w:sz w:val="24"/>
          <w:szCs w:val="24"/>
          <w14:ligatures w14:val="none"/>
        </w:rPr>
        <w:t xml:space="preserve"> </w:t>
      </w:r>
      <w:r w:rsidR="000E457F">
        <w:rPr>
          <w:rFonts w:ascii="Times New Roman" w:eastAsia="Times New Roman" w:hAnsi="Times New Roman" w:cs="Times New Roman"/>
          <w:b/>
          <w:bCs/>
          <w:noProof/>
          <w:kern w:val="0"/>
          <w:sz w:val="24"/>
          <w:szCs w:val="24"/>
          <w14:ligatures w14:val="none"/>
        </w:rPr>
        <w:t>drives</w:t>
      </w:r>
      <w:r w:rsidR="00B564AC">
        <w:rPr>
          <w:rFonts w:ascii="Times New Roman" w:eastAsia="Times New Roman" w:hAnsi="Times New Roman" w:cs="Times New Roman"/>
          <w:b/>
          <w:bCs/>
          <w:noProof/>
          <w:kern w:val="0"/>
          <w:sz w:val="24"/>
          <w:szCs w:val="24"/>
          <w14:ligatures w14:val="none"/>
        </w:rPr>
        <w:t xml:space="preserve"> </w:t>
      </w:r>
      <w:r w:rsidRPr="00C36F54">
        <w:rPr>
          <w:rFonts w:ascii="Times New Roman" w:eastAsia="Times New Roman" w:hAnsi="Times New Roman" w:cs="Times New Roman"/>
          <w:b/>
          <w:bCs/>
          <w:noProof/>
          <w:kern w:val="0"/>
          <w:sz w:val="24"/>
          <w:szCs w:val="24"/>
          <w14:ligatures w14:val="none"/>
        </w:rPr>
        <w:t>decarbonization</w:t>
      </w:r>
      <w:r w:rsidR="003960C3">
        <w:rPr>
          <w:rFonts w:ascii="Times New Roman" w:eastAsia="Times New Roman" w:hAnsi="Times New Roman" w:cs="Times New Roman"/>
          <w:b/>
          <w:bCs/>
          <w:noProof/>
          <w:kern w:val="0"/>
          <w:sz w:val="24"/>
          <w:szCs w:val="24"/>
          <w14:ligatures w14:val="none"/>
        </w:rPr>
        <w:t xml:space="preserve">, </w:t>
      </w:r>
      <w:r w:rsidR="00B564AC">
        <w:rPr>
          <w:rFonts w:ascii="Times New Roman" w:eastAsia="Times New Roman" w:hAnsi="Times New Roman" w:cs="Times New Roman"/>
          <w:b/>
          <w:bCs/>
          <w:noProof/>
          <w:kern w:val="0"/>
          <w:sz w:val="24"/>
          <w:szCs w:val="24"/>
          <w14:ligatures w14:val="none"/>
        </w:rPr>
        <w:t>and fosters</w:t>
      </w:r>
      <w:r w:rsidR="003960C3">
        <w:rPr>
          <w:rFonts w:ascii="Times New Roman" w:eastAsia="Times New Roman" w:hAnsi="Times New Roman" w:cs="Times New Roman"/>
          <w:b/>
          <w:bCs/>
          <w:noProof/>
          <w:kern w:val="0"/>
          <w:sz w:val="24"/>
          <w:szCs w:val="24"/>
          <w14:ligatures w14:val="none"/>
        </w:rPr>
        <w:t xml:space="preserve"> our energy security</w:t>
      </w:r>
      <w:r w:rsidRPr="00C36F54">
        <w:rPr>
          <w:rFonts w:ascii="Times New Roman" w:eastAsia="Times New Roman" w:hAnsi="Times New Roman" w:cs="Times New Roman"/>
          <w:noProof/>
          <w:kern w:val="0"/>
          <w:sz w:val="24"/>
          <w:szCs w:val="24"/>
          <w14:ligatures w14:val="none"/>
        </w:rPr>
        <w:t xml:space="preserve">. The </w:t>
      </w:r>
      <w:r w:rsidRPr="00C36F54">
        <w:rPr>
          <w:rFonts w:ascii="Times New Roman" w:eastAsia="Times New Roman" w:hAnsi="Times New Roman" w:cs="Times New Roman"/>
          <w:b/>
          <w:noProof/>
          <w:sz w:val="24"/>
          <w:szCs w:val="24"/>
        </w:rPr>
        <w:t>European</w:t>
      </w:r>
      <w:r w:rsidRPr="00C36F54">
        <w:rPr>
          <w:rFonts w:ascii="Times New Roman" w:eastAsia="Times New Roman" w:hAnsi="Times New Roman" w:cs="Times New Roman"/>
          <w:noProof/>
          <w:sz w:val="24"/>
          <w:szCs w:val="24"/>
        </w:rPr>
        <w:t xml:space="preserve"> </w:t>
      </w:r>
      <w:r w:rsidRPr="00C36F54">
        <w:rPr>
          <w:rFonts w:ascii="Times New Roman" w:eastAsia="Times New Roman" w:hAnsi="Times New Roman" w:cs="Times New Roman"/>
          <w:b/>
          <w:bCs/>
          <w:noProof/>
          <w:kern w:val="0"/>
          <w:sz w:val="24"/>
          <w:szCs w:val="24"/>
          <w14:ligatures w14:val="none"/>
        </w:rPr>
        <w:t>Grids Package</w:t>
      </w:r>
      <w:r w:rsidRPr="00C36F54">
        <w:rPr>
          <w:rFonts w:ascii="Times New Roman" w:eastAsia="Times New Roman" w:hAnsi="Times New Roman" w:cs="Times New Roman"/>
          <w:noProof/>
          <w:kern w:val="0"/>
          <w:sz w:val="24"/>
          <w:szCs w:val="24"/>
          <w14:ligatures w14:val="none"/>
        </w:rPr>
        <w:t xml:space="preserve"> put forward by the Commission today aims to do exactly that. Complementing these measures, the </w:t>
      </w:r>
      <w:r w:rsidRPr="00C36F54">
        <w:rPr>
          <w:rFonts w:ascii="Times New Roman" w:eastAsia="Times New Roman" w:hAnsi="Times New Roman" w:cs="Times New Roman"/>
          <w:b/>
          <w:bCs/>
          <w:noProof/>
          <w:kern w:val="0"/>
          <w:sz w:val="24"/>
          <w:szCs w:val="24"/>
          <w14:ligatures w14:val="none"/>
        </w:rPr>
        <w:t>Energy Highways initiative</w:t>
      </w:r>
      <w:r w:rsidRPr="00C36F54">
        <w:rPr>
          <w:rFonts w:ascii="Times New Roman" w:eastAsia="Times New Roman" w:hAnsi="Times New Roman" w:cs="Times New Roman"/>
          <w:noProof/>
          <w:kern w:val="0"/>
          <w:sz w:val="24"/>
          <w:szCs w:val="24"/>
          <w14:ligatures w14:val="none"/>
        </w:rPr>
        <w:t xml:space="preserve">, launched in the 2025 </w:t>
      </w:r>
      <w:r w:rsidRPr="00C36F54">
        <w:rPr>
          <w:rFonts w:ascii="Times New Roman" w:eastAsia="Times New Roman" w:hAnsi="Times New Roman" w:cs="Times New Roman"/>
          <w:noProof/>
          <w:sz w:val="24"/>
          <w:szCs w:val="24"/>
        </w:rPr>
        <w:t xml:space="preserve">by President von der Leyen in her </w:t>
      </w:r>
      <w:r w:rsidRPr="00C36F54">
        <w:rPr>
          <w:rFonts w:ascii="Times New Roman" w:eastAsia="Times New Roman" w:hAnsi="Times New Roman" w:cs="Times New Roman"/>
          <w:noProof/>
          <w:kern w:val="0"/>
          <w:sz w:val="24"/>
          <w:szCs w:val="24"/>
          <w14:ligatures w14:val="none"/>
        </w:rPr>
        <w:t xml:space="preserve">State of the Union address, seeks to </w:t>
      </w:r>
      <w:r w:rsidRPr="00C36F54">
        <w:rPr>
          <w:rFonts w:ascii="Times New Roman" w:eastAsia="Times New Roman" w:hAnsi="Times New Roman" w:cs="Times New Roman"/>
          <w:noProof/>
          <w:sz w:val="24"/>
          <w:szCs w:val="24"/>
        </w:rPr>
        <w:t xml:space="preserve">accelerate </w:t>
      </w:r>
      <w:r w:rsidRPr="00C36F54">
        <w:rPr>
          <w:rFonts w:ascii="Times New Roman" w:eastAsia="Times New Roman" w:hAnsi="Times New Roman" w:cs="Times New Roman"/>
          <w:noProof/>
          <w:kern w:val="0"/>
          <w:sz w:val="24"/>
          <w:szCs w:val="24"/>
          <w14:ligatures w14:val="none"/>
        </w:rPr>
        <w:t xml:space="preserve">progress on critical and urgently needed energy infrastructure projects through </w:t>
      </w:r>
      <w:r w:rsidRPr="00C36F54">
        <w:rPr>
          <w:rFonts w:ascii="Times New Roman" w:eastAsia="Times New Roman" w:hAnsi="Times New Roman" w:cs="Times New Roman"/>
          <w:b/>
          <w:bCs/>
          <w:noProof/>
          <w:kern w:val="0"/>
          <w:sz w:val="24"/>
          <w:szCs w:val="24"/>
          <w14:ligatures w14:val="none"/>
        </w:rPr>
        <w:t>immediate action</w:t>
      </w:r>
      <w:r w:rsidRPr="00C36F54">
        <w:rPr>
          <w:rFonts w:ascii="Times New Roman" w:eastAsia="Times New Roman" w:hAnsi="Times New Roman" w:cs="Times New Roman"/>
          <w:noProof/>
          <w:kern w:val="0"/>
          <w:sz w:val="24"/>
          <w:szCs w:val="24"/>
          <w14:ligatures w14:val="none"/>
        </w:rPr>
        <w:t xml:space="preserve">, ensuring that we can harness the full potential of our energy system to power a more resilient, competitive and sustainable Europe. </w:t>
      </w:r>
    </w:p>
    <w:p w14:paraId="4581BD62" w14:textId="77777777" w:rsidR="00C36F54" w:rsidRPr="00C36F54" w:rsidRDefault="00C36F54" w:rsidP="00C36F54">
      <w:pPr>
        <w:jc w:val="both"/>
        <w:rPr>
          <w:rFonts w:ascii="Times New Roman" w:eastAsia="Times New Roman" w:hAnsi="Times New Roman" w:cs="Times New Roman"/>
          <w:b/>
          <w:bCs/>
          <w:noProof/>
          <w:kern w:val="0"/>
          <w:sz w:val="24"/>
          <w:szCs w:val="24"/>
          <w14:ligatures w14:val="none"/>
        </w:rPr>
      </w:pPr>
      <w:r w:rsidRPr="00C36F54">
        <w:rPr>
          <w:rFonts w:ascii="Times New Roman" w:eastAsia="Times New Roman" w:hAnsi="Times New Roman" w:cs="Times New Roman"/>
          <w:b/>
          <w:bCs/>
          <w:noProof/>
          <w:kern w:val="0"/>
          <w:sz w:val="24"/>
          <w:szCs w:val="24"/>
          <w14:ligatures w14:val="none"/>
        </w:rPr>
        <w:t xml:space="preserve">2. Tackling structural bottlenecks through the European Grids Package </w:t>
      </w:r>
    </w:p>
    <w:p w14:paraId="1D4B2974" w14:textId="77777777" w:rsidR="00C36F54" w:rsidRPr="00C36F54" w:rsidRDefault="00C36F54" w:rsidP="00C36F54">
      <w:pPr>
        <w:pStyle w:val="ListParagraph"/>
        <w:numPr>
          <w:ilvl w:val="0"/>
          <w:numId w:val="2"/>
        </w:numPr>
        <w:jc w:val="both"/>
        <w:rPr>
          <w:rStyle w:val="normaltextrun"/>
          <w:rFonts w:ascii="Times New Roman" w:hAnsi="Times New Roman" w:cs="Times New Roman"/>
          <w:b/>
          <w:bCs/>
          <w:noProof/>
          <w:sz w:val="24"/>
          <w:szCs w:val="24"/>
        </w:rPr>
      </w:pPr>
      <w:r w:rsidRPr="00C36F54">
        <w:rPr>
          <w:rStyle w:val="normaltextrun"/>
          <w:rFonts w:ascii="Times New Roman" w:hAnsi="Times New Roman" w:cs="Times New Roman"/>
          <w:b/>
          <w:bCs/>
          <w:noProof/>
          <w:color w:val="000000"/>
          <w:sz w:val="24"/>
          <w:szCs w:val="24"/>
          <w:shd w:val="clear" w:color="auto" w:fill="FFFFFF"/>
        </w:rPr>
        <w:t>Building a unified energy future: strengthening EU-wide cross-border infrastructure planning and maximising the use of existing infrastructure</w:t>
      </w:r>
    </w:p>
    <w:p w14:paraId="6781FA3D" w14:textId="34E92B3B"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The current grid planning framework under the TEN-E Regulation has significantly advanced the coordination and development of cross-border energy infrastructure projects. Since 2014, 124 P</w:t>
      </w:r>
      <w:r w:rsidR="00F96773">
        <w:rPr>
          <w:rFonts w:ascii="Times New Roman" w:hAnsi="Times New Roman" w:cs="Times New Roman"/>
          <w:noProof/>
          <w:sz w:val="24"/>
          <w:szCs w:val="24"/>
        </w:rPr>
        <w:t xml:space="preserve">rojects of </w:t>
      </w:r>
      <w:r w:rsidRPr="00C36F54">
        <w:rPr>
          <w:rFonts w:ascii="Times New Roman" w:hAnsi="Times New Roman" w:cs="Times New Roman"/>
          <w:noProof/>
          <w:sz w:val="24"/>
          <w:szCs w:val="24"/>
        </w:rPr>
        <w:t>C</w:t>
      </w:r>
      <w:r w:rsidR="00F96773">
        <w:rPr>
          <w:rFonts w:ascii="Times New Roman" w:hAnsi="Times New Roman" w:cs="Times New Roman"/>
          <w:noProof/>
          <w:sz w:val="24"/>
          <w:szCs w:val="24"/>
        </w:rPr>
        <w:t>ommon Interests (PCIs)</w:t>
      </w:r>
      <w:r w:rsidRPr="00C36F54">
        <w:rPr>
          <w:rFonts w:ascii="Times New Roman" w:hAnsi="Times New Roman" w:cs="Times New Roman"/>
          <w:noProof/>
          <w:sz w:val="24"/>
          <w:szCs w:val="24"/>
        </w:rPr>
        <w:t xml:space="preserve"> and P</w:t>
      </w:r>
      <w:r w:rsidR="00F96773">
        <w:rPr>
          <w:rFonts w:ascii="Times New Roman" w:hAnsi="Times New Roman" w:cs="Times New Roman"/>
          <w:noProof/>
          <w:sz w:val="24"/>
          <w:szCs w:val="24"/>
        </w:rPr>
        <w:t xml:space="preserve">rojects of </w:t>
      </w:r>
      <w:r w:rsidRPr="00C36F54">
        <w:rPr>
          <w:rFonts w:ascii="Times New Roman" w:hAnsi="Times New Roman" w:cs="Times New Roman"/>
          <w:noProof/>
          <w:sz w:val="24"/>
          <w:szCs w:val="24"/>
        </w:rPr>
        <w:t>M</w:t>
      </w:r>
      <w:r w:rsidR="00F96773">
        <w:rPr>
          <w:rFonts w:ascii="Times New Roman" w:hAnsi="Times New Roman" w:cs="Times New Roman"/>
          <w:noProof/>
          <w:sz w:val="24"/>
          <w:szCs w:val="24"/>
        </w:rPr>
        <w:t xml:space="preserve">utual </w:t>
      </w:r>
      <w:r w:rsidRPr="00C36F54">
        <w:rPr>
          <w:rFonts w:ascii="Times New Roman" w:hAnsi="Times New Roman" w:cs="Times New Roman"/>
          <w:noProof/>
          <w:sz w:val="24"/>
          <w:szCs w:val="24"/>
        </w:rPr>
        <w:t>I</w:t>
      </w:r>
      <w:r w:rsidR="00F96773">
        <w:rPr>
          <w:rFonts w:ascii="Times New Roman" w:hAnsi="Times New Roman" w:cs="Times New Roman"/>
          <w:noProof/>
          <w:sz w:val="24"/>
          <w:szCs w:val="24"/>
        </w:rPr>
        <w:t>nterest</w:t>
      </w:r>
      <w:r w:rsidRPr="00C36F54">
        <w:rPr>
          <w:rFonts w:ascii="Times New Roman" w:hAnsi="Times New Roman" w:cs="Times New Roman"/>
          <w:noProof/>
          <w:sz w:val="24"/>
          <w:szCs w:val="24"/>
        </w:rPr>
        <w:t>s</w:t>
      </w:r>
      <w:r w:rsidR="00F96773">
        <w:rPr>
          <w:rFonts w:ascii="Times New Roman" w:hAnsi="Times New Roman" w:cs="Times New Roman"/>
          <w:noProof/>
          <w:sz w:val="24"/>
          <w:szCs w:val="24"/>
        </w:rPr>
        <w:t xml:space="preserve"> (PMIs)</w:t>
      </w:r>
      <w:r w:rsidRPr="00C36F54">
        <w:rPr>
          <w:rFonts w:ascii="Times New Roman" w:hAnsi="Times New Roman" w:cs="Times New Roman"/>
          <w:noProof/>
          <w:sz w:val="24"/>
          <w:szCs w:val="24"/>
        </w:rPr>
        <w:t xml:space="preserve"> have been backed by EUR 8.4 billion from CEF, unlocking at least EUR 15.8 billion in private investments.</w:t>
      </w:r>
      <w:r w:rsidRPr="00C36F54">
        <w:rPr>
          <w:rStyle w:val="FootnoteReference"/>
          <w:rFonts w:ascii="Times New Roman" w:hAnsi="Times New Roman" w:cs="Times New Roman"/>
          <w:noProof/>
          <w:sz w:val="24"/>
          <w:szCs w:val="24"/>
        </w:rPr>
        <w:footnoteReference w:id="13"/>
      </w:r>
      <w:r w:rsidRPr="00C36F54">
        <w:rPr>
          <w:rFonts w:ascii="Times New Roman" w:hAnsi="Times New Roman" w:cs="Times New Roman"/>
          <w:noProof/>
          <w:sz w:val="24"/>
          <w:szCs w:val="24"/>
        </w:rPr>
        <w:t xml:space="preserve"> However, </w:t>
      </w:r>
      <w:r w:rsidRPr="00C36F54">
        <w:rPr>
          <w:rFonts w:ascii="Times New Roman" w:hAnsi="Times New Roman" w:cs="Times New Roman"/>
          <w:b/>
          <w:bCs/>
          <w:noProof/>
          <w:sz w:val="24"/>
          <w:szCs w:val="24"/>
        </w:rPr>
        <w:t>further action is imperative</w:t>
      </w:r>
      <w:r w:rsidRPr="00C36F54">
        <w:rPr>
          <w:rFonts w:ascii="Times New Roman" w:hAnsi="Times New Roman" w:cs="Times New Roman"/>
          <w:noProof/>
          <w:sz w:val="24"/>
          <w:szCs w:val="24"/>
        </w:rPr>
        <w:t xml:space="preserve"> to ensure a seamless coordination across national, regional and EU governance levels and across sectors, </w:t>
      </w:r>
      <w:r w:rsidRPr="00C36F54">
        <w:rPr>
          <w:rFonts w:ascii="Times New Roman" w:hAnsi="Times New Roman" w:cs="Times New Roman"/>
          <w:b/>
          <w:bCs/>
          <w:noProof/>
          <w:sz w:val="24"/>
          <w:szCs w:val="24"/>
        </w:rPr>
        <w:t>to ensure a fully optimised and interconnected grid</w:t>
      </w:r>
      <w:r w:rsidRPr="00C36F54">
        <w:rPr>
          <w:rFonts w:ascii="Times New Roman" w:hAnsi="Times New Roman" w:cs="Times New Roman"/>
          <w:noProof/>
          <w:sz w:val="24"/>
          <w:szCs w:val="24"/>
        </w:rPr>
        <w:t xml:space="preserve">. </w:t>
      </w:r>
    </w:p>
    <w:p w14:paraId="469C6824" w14:textId="6558723D" w:rsidR="000B2FE2" w:rsidRPr="00C36F54" w:rsidRDefault="00C36F54" w:rsidP="000B2FE2">
      <w:pPr>
        <w:jc w:val="both"/>
        <w:rPr>
          <w:rFonts w:ascii="Times New Roman" w:hAnsi="Times New Roman" w:cs="Times New Roman"/>
          <w:noProof/>
          <w:sz w:val="24"/>
          <w:szCs w:val="24"/>
        </w:rPr>
      </w:pPr>
      <w:bookmarkStart w:id="1" w:name="_Hlk216163880"/>
      <w:r w:rsidRPr="7D5B2916">
        <w:rPr>
          <w:rFonts w:ascii="Times New Roman" w:hAnsi="Times New Roman" w:cs="Times New Roman"/>
          <w:noProof/>
          <w:sz w:val="24"/>
          <w:szCs w:val="24"/>
        </w:rPr>
        <w:t>To advance this, building on existing structures</w:t>
      </w:r>
      <w:r w:rsidR="00B85BEF" w:rsidRPr="7D5B2916">
        <w:rPr>
          <w:rFonts w:ascii="Times New Roman" w:hAnsi="Times New Roman" w:cs="Times New Roman"/>
          <w:noProof/>
          <w:sz w:val="24"/>
          <w:szCs w:val="24"/>
        </w:rPr>
        <w:t>,</w:t>
      </w:r>
      <w:r w:rsidR="00F71D6C" w:rsidRPr="7D5B2916">
        <w:rPr>
          <w:rFonts w:ascii="Times New Roman" w:hAnsi="Times New Roman" w:cs="Times New Roman"/>
          <w:noProof/>
          <w:sz w:val="24"/>
          <w:szCs w:val="24"/>
        </w:rPr>
        <w:t xml:space="preserve"> the</w:t>
      </w:r>
      <w:r w:rsidR="00165522" w:rsidRPr="7D5B2916">
        <w:rPr>
          <w:rFonts w:ascii="Times New Roman" w:hAnsi="Times New Roman" w:cs="Times New Roman"/>
          <w:noProof/>
          <w:sz w:val="24"/>
          <w:szCs w:val="24"/>
        </w:rPr>
        <w:t xml:space="preserve"> </w:t>
      </w:r>
      <w:r w:rsidRPr="7D5B2916">
        <w:rPr>
          <w:rFonts w:ascii="Times New Roman" w:hAnsi="Times New Roman" w:cs="Times New Roman"/>
          <w:noProof/>
          <w:sz w:val="24"/>
          <w:szCs w:val="24"/>
        </w:rPr>
        <w:t>experience gained so far</w:t>
      </w:r>
      <w:r w:rsidR="00B85BEF" w:rsidRPr="7D5B2916">
        <w:rPr>
          <w:rFonts w:ascii="Times New Roman" w:hAnsi="Times New Roman" w:cs="Times New Roman"/>
          <w:noProof/>
          <w:sz w:val="24"/>
          <w:szCs w:val="24"/>
        </w:rPr>
        <w:t xml:space="preserve"> and strengthened regional cooperation</w:t>
      </w:r>
      <w:r w:rsidRPr="7D5B2916">
        <w:rPr>
          <w:rFonts w:ascii="Times New Roman" w:hAnsi="Times New Roman" w:cs="Times New Roman"/>
          <w:noProof/>
          <w:sz w:val="24"/>
          <w:szCs w:val="24"/>
        </w:rPr>
        <w:t>, we must move to</w:t>
      </w:r>
      <w:r w:rsidRPr="7D5B2916">
        <w:rPr>
          <w:rFonts w:ascii="Times New Roman" w:hAnsi="Times New Roman" w:cs="Times New Roman"/>
          <w:b/>
          <w:bCs/>
          <w:noProof/>
          <w:sz w:val="24"/>
          <w:szCs w:val="24"/>
        </w:rPr>
        <w:t xml:space="preserve"> an EU cross-border energy </w:t>
      </w:r>
      <w:r w:rsidRPr="7D5B2916">
        <w:rPr>
          <w:rFonts w:ascii="Times New Roman" w:hAnsi="Times New Roman" w:cs="Times New Roman"/>
          <w:b/>
          <w:bCs/>
          <w:noProof/>
          <w:sz w:val="24"/>
          <w:szCs w:val="24"/>
        </w:rPr>
        <w:lastRenderedPageBreak/>
        <w:t xml:space="preserve">infrastructure planning framework </w:t>
      </w:r>
      <w:r w:rsidRPr="7D5B2916">
        <w:rPr>
          <w:rFonts w:ascii="Times New Roman" w:hAnsi="Times New Roman" w:cs="Times New Roman"/>
          <w:noProof/>
          <w:sz w:val="24"/>
          <w:szCs w:val="24"/>
        </w:rPr>
        <w:t xml:space="preserve">that enables a more coordinated and robust identification of needs, thereby ensuring projects align with current and future European objectives. </w:t>
      </w:r>
      <w:r w:rsidR="000B2FE2" w:rsidRPr="7D5B2916">
        <w:rPr>
          <w:rFonts w:ascii="Times New Roman" w:hAnsi="Times New Roman" w:cs="Times New Roman"/>
          <w:noProof/>
          <w:sz w:val="24"/>
          <w:szCs w:val="24"/>
        </w:rPr>
        <w:t xml:space="preserve">The Package also </w:t>
      </w:r>
      <w:r>
        <w:rPr>
          <w:rFonts w:ascii="Times New Roman" w:hAnsi="Times New Roman" w:cs="Times New Roman"/>
          <w:noProof/>
          <w:sz w:val="24"/>
          <w:szCs w:val="24"/>
        </w:rPr>
        <w:t>supports</w:t>
      </w:r>
      <w:r w:rsidR="00E679C0" w:rsidRPr="7D5B2916">
        <w:rPr>
          <w:rFonts w:ascii="Times New Roman" w:hAnsi="Times New Roman" w:cs="Times New Roman"/>
          <w:noProof/>
          <w:sz w:val="24"/>
          <w:szCs w:val="24"/>
        </w:rPr>
        <w:t xml:space="preserve"> a better-connected European energy network, </w:t>
      </w:r>
      <w:r w:rsidR="00B24742" w:rsidRPr="7D5B2916">
        <w:rPr>
          <w:rFonts w:ascii="Times New Roman" w:hAnsi="Times New Roman" w:cs="Times New Roman"/>
          <w:noProof/>
          <w:sz w:val="24"/>
          <w:szCs w:val="24"/>
          <w:lang w:val="en-US"/>
        </w:rPr>
        <w:t xml:space="preserve">reinforcing Europe’s strategic autonomy, security, and resilience, while </w:t>
      </w:r>
      <w:r w:rsidR="00B24742" w:rsidRPr="7D5B2916">
        <w:rPr>
          <w:rFonts w:ascii="Times New Roman" w:hAnsi="Times New Roman" w:cs="Times New Roman"/>
          <w:b/>
          <w:bCs/>
          <w:noProof/>
          <w:sz w:val="24"/>
          <w:szCs w:val="24"/>
          <w:lang w:val="en-US"/>
        </w:rPr>
        <w:t xml:space="preserve">fostering </w:t>
      </w:r>
      <w:r w:rsidR="008C6EB9" w:rsidRPr="7D5B2916">
        <w:rPr>
          <w:rFonts w:ascii="Times New Roman" w:hAnsi="Times New Roman" w:cs="Times New Roman"/>
          <w:b/>
          <w:bCs/>
          <w:noProof/>
          <w:sz w:val="24"/>
          <w:szCs w:val="24"/>
          <w:lang w:val="en-US"/>
        </w:rPr>
        <w:t>enhanced</w:t>
      </w:r>
      <w:r w:rsidR="00B24742" w:rsidRPr="7D5B2916">
        <w:rPr>
          <w:rFonts w:ascii="Times New Roman" w:hAnsi="Times New Roman" w:cs="Times New Roman"/>
          <w:b/>
          <w:bCs/>
          <w:noProof/>
          <w:sz w:val="24"/>
          <w:szCs w:val="24"/>
          <w:lang w:val="en-US"/>
        </w:rPr>
        <w:t xml:space="preserve"> cooperation with neighboring partners</w:t>
      </w:r>
      <w:r w:rsidR="00EB46F8" w:rsidRPr="7D5B2916">
        <w:rPr>
          <w:rFonts w:ascii="Times New Roman" w:hAnsi="Times New Roman" w:cs="Times New Roman"/>
          <w:b/>
          <w:bCs/>
          <w:noProof/>
          <w:sz w:val="24"/>
          <w:szCs w:val="24"/>
          <w:lang w:val="en-US"/>
        </w:rPr>
        <w:t xml:space="preserve"> </w:t>
      </w:r>
      <w:r w:rsidR="00EB46F8" w:rsidRPr="0027132F">
        <w:rPr>
          <w:rFonts w:ascii="Times New Roman" w:hAnsi="Times New Roman" w:cs="Times New Roman"/>
          <w:noProof/>
          <w:sz w:val="24"/>
          <w:szCs w:val="24"/>
          <w:lang w:val="en-US"/>
        </w:rPr>
        <w:t>from</w:t>
      </w:r>
      <w:r w:rsidR="00EB46F8" w:rsidRPr="7D5B2916">
        <w:rPr>
          <w:rFonts w:ascii="Times New Roman" w:hAnsi="Times New Roman" w:cs="Times New Roman"/>
          <w:b/>
          <w:bCs/>
          <w:noProof/>
          <w:sz w:val="24"/>
          <w:szCs w:val="24"/>
          <w:lang w:val="en-US"/>
        </w:rPr>
        <w:t xml:space="preserve"> </w:t>
      </w:r>
      <w:r w:rsidR="000B2FE2" w:rsidRPr="7D5B2916">
        <w:rPr>
          <w:rFonts w:ascii="Times New Roman" w:hAnsi="Times New Roman" w:cs="Times New Roman"/>
          <w:noProof/>
          <w:sz w:val="24"/>
          <w:szCs w:val="24"/>
        </w:rPr>
        <w:t>the European Economic Area (EEA)</w:t>
      </w:r>
      <w:r w:rsidR="003657FD" w:rsidRPr="7D5B2916">
        <w:rPr>
          <w:rFonts w:ascii="Times New Roman" w:hAnsi="Times New Roman" w:cs="Times New Roman"/>
          <w:noProof/>
          <w:sz w:val="24"/>
          <w:szCs w:val="24"/>
        </w:rPr>
        <w:t xml:space="preserve">, </w:t>
      </w:r>
      <w:r w:rsidR="000B2FE2" w:rsidRPr="7D5B2916">
        <w:rPr>
          <w:rFonts w:ascii="Times New Roman" w:hAnsi="Times New Roman" w:cs="Times New Roman"/>
          <w:noProof/>
          <w:sz w:val="24"/>
          <w:szCs w:val="24"/>
        </w:rPr>
        <w:t xml:space="preserve">the Energy Community </w:t>
      </w:r>
      <w:r w:rsidR="003F233C">
        <w:rPr>
          <w:rFonts w:ascii="Times New Roman" w:hAnsi="Times New Roman" w:cs="Times New Roman"/>
          <w:noProof/>
          <w:sz w:val="24"/>
          <w:szCs w:val="24"/>
        </w:rPr>
        <w:t xml:space="preserve">and the </w:t>
      </w:r>
      <w:r>
        <w:rPr>
          <w:rFonts w:ascii="Times New Roman" w:hAnsi="Times New Roman" w:cs="Times New Roman"/>
          <w:noProof/>
          <w:sz w:val="24"/>
          <w:szCs w:val="24"/>
        </w:rPr>
        <w:t xml:space="preserve">Eastern Partnership and the </w:t>
      </w:r>
      <w:r w:rsidR="000B2FE2" w:rsidRPr="7D5B2916">
        <w:rPr>
          <w:rFonts w:ascii="Times New Roman" w:hAnsi="Times New Roman" w:cs="Times New Roman"/>
          <w:noProof/>
          <w:sz w:val="24"/>
          <w:szCs w:val="24"/>
        </w:rPr>
        <w:t xml:space="preserve">Southern </w:t>
      </w:r>
      <w:r w:rsidR="004D714D" w:rsidRPr="7D5B2916">
        <w:rPr>
          <w:rFonts w:ascii="Times New Roman" w:hAnsi="Times New Roman" w:cs="Times New Roman"/>
          <w:noProof/>
          <w:sz w:val="24"/>
          <w:szCs w:val="24"/>
        </w:rPr>
        <w:t>n</w:t>
      </w:r>
      <w:r w:rsidR="000B2FE2" w:rsidRPr="7D5B2916">
        <w:rPr>
          <w:rFonts w:ascii="Times New Roman" w:hAnsi="Times New Roman" w:cs="Times New Roman"/>
          <w:noProof/>
          <w:sz w:val="24"/>
          <w:szCs w:val="24"/>
        </w:rPr>
        <w:t xml:space="preserve">eighbourhood. </w:t>
      </w:r>
    </w:p>
    <w:bookmarkEnd w:id="1"/>
    <w:p w14:paraId="0069F1B9" w14:textId="04B79A35"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Following today’s proposed package, within 2 years from its enactment</w:t>
      </w:r>
      <w:r w:rsidR="00B074EB">
        <w:rPr>
          <w:rFonts w:ascii="Times New Roman" w:hAnsi="Times New Roman" w:cs="Times New Roman"/>
          <w:noProof/>
          <w:sz w:val="24"/>
          <w:szCs w:val="24"/>
        </w:rPr>
        <w:t xml:space="preserve">, </w:t>
      </w:r>
      <w:r w:rsidRPr="00C36F54">
        <w:rPr>
          <w:rFonts w:ascii="Times New Roman" w:hAnsi="Times New Roman" w:cs="Times New Roman"/>
          <w:noProof/>
          <w:sz w:val="24"/>
          <w:szCs w:val="24"/>
        </w:rPr>
        <w:t xml:space="preserve">the </w:t>
      </w:r>
      <w:r w:rsidRPr="00C36F54">
        <w:rPr>
          <w:rFonts w:ascii="Times New Roman" w:hAnsi="Times New Roman" w:cs="Times New Roman"/>
          <w:b/>
          <w:bCs/>
          <w:noProof/>
          <w:sz w:val="24"/>
          <w:szCs w:val="24"/>
        </w:rPr>
        <w:t>Commission will develop a comprehensive central EU scenario</w:t>
      </w:r>
      <w:r w:rsidRPr="00C36F54">
        <w:rPr>
          <w:rFonts w:ascii="Times New Roman" w:hAnsi="Times New Roman" w:cs="Times New Roman"/>
          <w:noProof/>
          <w:sz w:val="24"/>
          <w:szCs w:val="24"/>
        </w:rPr>
        <w:t xml:space="preserve"> consistent with EU energy and climate targets and delivering a cost-efficient</w:t>
      </w:r>
      <w:r w:rsidR="00B074EB">
        <w:rPr>
          <w:rFonts w:ascii="Times New Roman" w:hAnsi="Times New Roman" w:cs="Times New Roman"/>
          <w:noProof/>
          <w:sz w:val="24"/>
          <w:szCs w:val="24"/>
        </w:rPr>
        <w:t xml:space="preserve">, competitive and secure </w:t>
      </w:r>
      <w:r w:rsidRPr="00C36F54">
        <w:rPr>
          <w:rFonts w:ascii="Times New Roman" w:hAnsi="Times New Roman" w:cs="Times New Roman"/>
          <w:noProof/>
          <w:sz w:val="24"/>
          <w:szCs w:val="24"/>
        </w:rPr>
        <w:t xml:space="preserve">system at EU level. The central scenario will be based on input from Member States and all relevant stakeholders considering </w:t>
      </w:r>
      <w:r w:rsidRPr="00C36F54">
        <w:rPr>
          <w:rFonts w:ascii="Times New Roman" w:hAnsi="Times New Roman" w:cs="Times New Roman"/>
          <w:b/>
          <w:bCs/>
          <w:noProof/>
          <w:sz w:val="24"/>
          <w:szCs w:val="24"/>
        </w:rPr>
        <w:t>synergies across sectors.</w:t>
      </w:r>
      <w:r w:rsidRPr="00C36F54">
        <w:rPr>
          <w:rFonts w:ascii="Times New Roman" w:hAnsi="Times New Roman" w:cs="Times New Roman"/>
          <w:noProof/>
          <w:sz w:val="24"/>
          <w:szCs w:val="24"/>
        </w:rPr>
        <w:t xml:space="preserve"> Based on this</w:t>
      </w:r>
      <w:r w:rsidRPr="00C36F54">
        <w:rPr>
          <w:noProof/>
        </w:rPr>
        <w:t xml:space="preserve">, </w:t>
      </w:r>
      <w:r w:rsidRPr="00C36F54">
        <w:rPr>
          <w:rFonts w:ascii="Times New Roman" w:hAnsi="Times New Roman" w:cs="Times New Roman"/>
          <w:b/>
          <w:bCs/>
          <w:noProof/>
          <w:sz w:val="24"/>
          <w:szCs w:val="24"/>
        </w:rPr>
        <w:t>ENTSOs and ENNOH will then identify the infrastructure needs</w:t>
      </w:r>
      <w:r w:rsidRPr="00C36F54">
        <w:rPr>
          <w:rFonts w:ascii="Times New Roman" w:hAnsi="Times New Roman" w:cs="Times New Roman"/>
          <w:noProof/>
          <w:sz w:val="24"/>
          <w:szCs w:val="24"/>
        </w:rPr>
        <w:t xml:space="preserve">. </w:t>
      </w:r>
    </w:p>
    <w:p w14:paraId="33EC434E" w14:textId="12A387AC" w:rsidR="0059413D" w:rsidRPr="00C36F54" w:rsidRDefault="00C36F54" w:rsidP="00C36F54">
      <w:pPr>
        <w:jc w:val="both"/>
        <w:rPr>
          <w:rFonts w:ascii="Times New Roman" w:hAnsi="Times New Roman" w:cs="Times New Roman"/>
          <w:noProof/>
          <w:sz w:val="24"/>
          <w:szCs w:val="24"/>
        </w:rPr>
      </w:pPr>
      <w:r w:rsidRPr="7D5B2916">
        <w:rPr>
          <w:rFonts w:ascii="Times New Roman" w:hAnsi="Times New Roman" w:cs="Times New Roman"/>
          <w:noProof/>
          <w:sz w:val="24"/>
          <w:szCs w:val="24"/>
        </w:rPr>
        <w:t xml:space="preserve">Additionally, </w:t>
      </w:r>
      <w:r w:rsidRPr="7D5B2916">
        <w:rPr>
          <w:rFonts w:ascii="Times New Roman" w:hAnsi="Times New Roman" w:cs="Times New Roman"/>
          <w:b/>
          <w:bCs/>
          <w:noProof/>
          <w:sz w:val="24"/>
          <w:szCs w:val="24"/>
        </w:rPr>
        <w:t xml:space="preserve">strengthened European intervention is necessary when a cross-border capacity need has been identified </w:t>
      </w:r>
      <w:r w:rsidRPr="7D5B2916">
        <w:rPr>
          <w:rFonts w:ascii="Times New Roman" w:hAnsi="Times New Roman" w:cs="Times New Roman"/>
          <w:noProof/>
          <w:sz w:val="24"/>
          <w:szCs w:val="24"/>
        </w:rPr>
        <w:t xml:space="preserve">but relevant project proposals for addressing this have not been put forward. The Commission should be able to initiate a </w:t>
      </w:r>
      <w:r w:rsidRPr="7D5B2916">
        <w:rPr>
          <w:rFonts w:ascii="Times New Roman" w:hAnsi="Times New Roman" w:cs="Times New Roman"/>
          <w:b/>
          <w:bCs/>
          <w:noProof/>
          <w:sz w:val="24"/>
          <w:szCs w:val="24"/>
        </w:rPr>
        <w:t>“gap filling” process</w:t>
      </w:r>
      <w:r w:rsidRPr="7D5B2916">
        <w:rPr>
          <w:rFonts w:ascii="Times New Roman" w:hAnsi="Times New Roman" w:cs="Times New Roman"/>
          <w:noProof/>
          <w:sz w:val="24"/>
          <w:szCs w:val="24"/>
        </w:rPr>
        <w:t>, based on strong regional cooperation, inviting system operators, and eventually project promoters, to propose projects to address unmatched needs.</w:t>
      </w:r>
    </w:p>
    <w:p w14:paraId="4F3EFFAC" w14:textId="0AC2127C"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rPr>
        <w:t>To achieve an integrated system, stronger coordination between national and European planning is essential</w:t>
      </w:r>
      <w:r w:rsidRPr="00C36F54">
        <w:rPr>
          <w:rFonts w:ascii="Times New Roman" w:hAnsi="Times New Roman" w:cs="Times New Roman"/>
          <w:noProof/>
          <w:sz w:val="24"/>
          <w:szCs w:val="24"/>
        </w:rPr>
        <w:t xml:space="preserve">, as internal network elements significantly influence cross-border infrastructure development, which in turn affects cross-border trade. The </w:t>
      </w:r>
      <w:r w:rsidRPr="00C36F54">
        <w:rPr>
          <w:rFonts w:ascii="Times New Roman" w:hAnsi="Times New Roman" w:cs="Times New Roman"/>
          <w:b/>
          <w:bCs/>
          <w:noProof/>
          <w:sz w:val="24"/>
          <w:szCs w:val="24"/>
        </w:rPr>
        <w:t xml:space="preserve">planning of distribution grids </w:t>
      </w:r>
      <w:r w:rsidRPr="00C36F54">
        <w:rPr>
          <w:rFonts w:ascii="Times New Roman" w:hAnsi="Times New Roman" w:cs="Times New Roman"/>
          <w:noProof/>
          <w:sz w:val="24"/>
          <w:szCs w:val="24"/>
        </w:rPr>
        <w:t>must therefore be well coordinated with transmission-level planning and should closely involve both the public and industry, so that future grids are prepared to accommodate increasing electricity generation and demand. In cooperation with all relevant stakeholders, the Commission will continue advancing</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this work</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under</w:t>
      </w:r>
      <w:r w:rsidRPr="00C36F54">
        <w:rPr>
          <w:rFonts w:ascii="Times New Roman" w:hAnsi="Times New Roman" w:cs="Times New Roman"/>
          <w:b/>
          <w:bCs/>
          <w:noProof/>
          <w:sz w:val="24"/>
          <w:szCs w:val="24"/>
        </w:rPr>
        <w:t xml:space="preserve"> the 2023 Grids Action Plan</w:t>
      </w:r>
      <w:r w:rsidRPr="00C36F54">
        <w:rPr>
          <w:rFonts w:ascii="Times New Roman" w:hAnsi="Times New Roman" w:cs="Times New Roman"/>
          <w:noProof/>
          <w:sz w:val="24"/>
          <w:szCs w:val="24"/>
        </w:rPr>
        <w:t>.</w:t>
      </w:r>
      <w:r w:rsidR="004A1ACA" w:rsidRPr="004A1ACA">
        <w:rPr>
          <w:rStyle w:val="FootnoteReference"/>
          <w:rFonts w:ascii="Times New Roman" w:hAnsi="Times New Roman" w:cs="Times New Roman"/>
          <w:noProof/>
          <w:sz w:val="24"/>
          <w:szCs w:val="24"/>
        </w:rPr>
        <w:footnoteReference w:id="14"/>
      </w:r>
    </w:p>
    <w:p w14:paraId="7834956A" w14:textId="68E232D1" w:rsidR="00053BF0" w:rsidRDefault="00C36F54" w:rsidP="00C36F54">
      <w:pPr>
        <w:jc w:val="both"/>
        <w:rPr>
          <w:rFonts w:ascii="Times New Roman" w:hAnsi="Times New Roman" w:cs="Times New Roman"/>
          <w:noProof/>
          <w:sz w:val="24"/>
          <w:szCs w:val="24"/>
          <w:lang w:val="en-US"/>
        </w:rPr>
      </w:pPr>
      <w:r w:rsidRPr="00C36F54">
        <w:rPr>
          <w:rFonts w:ascii="Times New Roman" w:eastAsia="Calibri" w:hAnsi="Times New Roman" w:cs="Times New Roman"/>
          <w:noProof/>
          <w:sz w:val="24"/>
          <w:szCs w:val="24"/>
        </w:rPr>
        <w:t xml:space="preserve">In the meantime, </w:t>
      </w:r>
      <w:r w:rsidRPr="00C36F54">
        <w:rPr>
          <w:rFonts w:ascii="Times New Roman" w:eastAsia="Calibri" w:hAnsi="Times New Roman" w:cs="Times New Roman"/>
          <w:b/>
          <w:bCs/>
          <w:noProof/>
          <w:sz w:val="24"/>
          <w:szCs w:val="24"/>
        </w:rPr>
        <w:t>maximising the use of existing infrastructure before investing in new capacity</w:t>
      </w:r>
      <w:r w:rsidRPr="00C36F54">
        <w:rPr>
          <w:rFonts w:ascii="Times New Roman" w:eastAsia="Calibri" w:hAnsi="Times New Roman" w:cs="Times New Roman"/>
          <w:noProof/>
          <w:sz w:val="24"/>
          <w:szCs w:val="24"/>
        </w:rPr>
        <w:t xml:space="preserve"> is key for achieving an affordable and sustainable energy transition</w:t>
      </w:r>
      <w:r w:rsidR="003960C3">
        <w:rPr>
          <w:rFonts w:ascii="Times New Roman" w:eastAsia="Calibri" w:hAnsi="Times New Roman" w:cs="Times New Roman"/>
          <w:noProof/>
          <w:sz w:val="24"/>
          <w:szCs w:val="24"/>
        </w:rPr>
        <w:t xml:space="preserve"> and ensuring energy security</w:t>
      </w:r>
      <w:r w:rsidRPr="00C36F54">
        <w:rPr>
          <w:rFonts w:ascii="Times New Roman" w:eastAsia="Calibri" w:hAnsi="Times New Roman" w:cs="Times New Roman"/>
          <w:noProof/>
          <w:sz w:val="24"/>
          <w:szCs w:val="24"/>
        </w:rPr>
        <w:t xml:space="preserve">. In line with the ‘energy efficiency first’ principle, greater </w:t>
      </w:r>
      <w:r w:rsidRPr="00C36F54">
        <w:rPr>
          <w:rFonts w:ascii="Times New Roman" w:eastAsia="Calibri" w:hAnsi="Times New Roman" w:cs="Times New Roman"/>
          <w:b/>
          <w:bCs/>
          <w:noProof/>
          <w:sz w:val="24"/>
          <w:szCs w:val="24"/>
        </w:rPr>
        <w:t>uptake of smart electricity grids, innovative and digital technologies</w:t>
      </w:r>
      <w:r w:rsidRPr="00C36F54">
        <w:rPr>
          <w:rFonts w:ascii="Times New Roman" w:eastAsia="Calibri" w:hAnsi="Times New Roman" w:cs="Times New Roman"/>
          <w:noProof/>
          <w:sz w:val="24"/>
          <w:szCs w:val="24"/>
        </w:rPr>
        <w:t xml:space="preserve"> </w:t>
      </w:r>
      <w:r w:rsidRPr="00C36F54">
        <w:rPr>
          <w:rFonts w:ascii="Times New Roman" w:eastAsia="Calibri" w:hAnsi="Times New Roman" w:cs="Times New Roman"/>
          <w:b/>
          <w:bCs/>
          <w:noProof/>
          <w:sz w:val="24"/>
          <w:szCs w:val="24"/>
        </w:rPr>
        <w:t>and</w:t>
      </w:r>
      <w:r w:rsidRPr="00C36F54">
        <w:rPr>
          <w:rFonts w:ascii="Times New Roman" w:eastAsia="Calibri" w:hAnsi="Times New Roman" w:cs="Times New Roman"/>
          <w:noProof/>
          <w:sz w:val="24"/>
          <w:szCs w:val="24"/>
        </w:rPr>
        <w:t xml:space="preserve"> </w:t>
      </w:r>
      <w:r w:rsidRPr="00C36F54">
        <w:rPr>
          <w:rFonts w:ascii="Times New Roman" w:eastAsia="Calibri" w:hAnsi="Times New Roman" w:cs="Times New Roman"/>
          <w:b/>
          <w:bCs/>
          <w:noProof/>
          <w:sz w:val="24"/>
          <w:szCs w:val="24"/>
        </w:rPr>
        <w:t>network efficiency measures need to be further incentivised</w:t>
      </w:r>
      <w:r w:rsidR="00912FAA">
        <w:rPr>
          <w:rFonts w:ascii="Times New Roman" w:eastAsia="Calibri" w:hAnsi="Times New Roman" w:cs="Times New Roman"/>
          <w:b/>
          <w:bCs/>
          <w:noProof/>
          <w:sz w:val="24"/>
          <w:szCs w:val="24"/>
        </w:rPr>
        <w:t xml:space="preserve"> at both network and users’ level</w:t>
      </w:r>
      <w:r w:rsidR="008F4275" w:rsidRPr="0027132F">
        <w:rPr>
          <w:rFonts w:ascii="Times New Roman" w:eastAsia="Calibri" w:hAnsi="Times New Roman" w:cs="Times New Roman"/>
          <w:noProof/>
          <w:sz w:val="24"/>
          <w:szCs w:val="24"/>
        </w:rPr>
        <w:t>, while ensuring sufficient grid capacity to meet additional demand</w:t>
      </w:r>
      <w:r w:rsidR="004F2D11">
        <w:rPr>
          <w:rFonts w:ascii="Times New Roman" w:eastAsia="Calibri" w:hAnsi="Times New Roman" w:cs="Times New Roman"/>
          <w:noProof/>
          <w:sz w:val="24"/>
          <w:szCs w:val="24"/>
        </w:rPr>
        <w:t xml:space="preserve"> in a timely manner</w:t>
      </w:r>
      <w:r w:rsidRPr="00C36F54">
        <w:rPr>
          <w:rFonts w:ascii="Times New Roman" w:eastAsia="Calibri" w:hAnsi="Times New Roman" w:cs="Times New Roman"/>
          <w:noProof/>
          <w:sz w:val="24"/>
          <w:szCs w:val="24"/>
        </w:rPr>
        <w:t>. As an example, the use of grid-enhancing technologies can increase overall network capacity in Europe by 20% to 40% by 2040 and cost reductions by 35% compared to traditional network expansion by 2040</w:t>
      </w:r>
      <w:r w:rsidRPr="00C36F54">
        <w:rPr>
          <w:rFonts w:ascii="Times New Roman" w:eastAsia="Calibri" w:hAnsi="Times New Roman" w:cs="Times New Roman"/>
          <w:noProof/>
          <w:sz w:val="24"/>
          <w:szCs w:val="24"/>
          <w:vertAlign w:val="superscript"/>
        </w:rPr>
        <w:footnoteReference w:id="15"/>
      </w:r>
      <w:r w:rsidRPr="00C36F54">
        <w:rPr>
          <w:rFonts w:ascii="Times New Roman" w:eastAsia="Calibri" w:hAnsi="Times New Roman" w:cs="Times New Roman"/>
          <w:noProof/>
          <w:sz w:val="24"/>
          <w:szCs w:val="24"/>
        </w:rPr>
        <w:t xml:space="preserve">. The European Grids Package proposes to firmly </w:t>
      </w:r>
      <w:r w:rsidRPr="00C36F54">
        <w:rPr>
          <w:rFonts w:ascii="Times New Roman" w:eastAsia="Calibri" w:hAnsi="Times New Roman" w:cs="Times New Roman"/>
          <w:b/>
          <w:bCs/>
          <w:noProof/>
          <w:sz w:val="24"/>
          <w:szCs w:val="24"/>
        </w:rPr>
        <w:t>anchor these principles in network planning</w:t>
      </w:r>
      <w:r w:rsidRPr="00C36F54">
        <w:rPr>
          <w:rFonts w:ascii="Times New Roman" w:eastAsia="Calibri" w:hAnsi="Times New Roman" w:cs="Times New Roman"/>
          <w:noProof/>
          <w:sz w:val="24"/>
          <w:szCs w:val="24"/>
        </w:rPr>
        <w:t xml:space="preserve"> and to </w:t>
      </w:r>
      <w:r w:rsidRPr="00C36F54">
        <w:rPr>
          <w:rFonts w:ascii="Times New Roman" w:eastAsia="Calibri" w:hAnsi="Times New Roman" w:cs="Times New Roman"/>
          <w:b/>
          <w:bCs/>
          <w:noProof/>
          <w:sz w:val="24"/>
          <w:szCs w:val="24"/>
        </w:rPr>
        <w:t>promote related projects</w:t>
      </w:r>
      <w:r w:rsidRPr="00C36F54">
        <w:rPr>
          <w:rFonts w:ascii="Times New Roman" w:eastAsia="Calibri" w:hAnsi="Times New Roman" w:cs="Times New Roman"/>
          <w:noProof/>
          <w:sz w:val="24"/>
          <w:szCs w:val="24"/>
        </w:rPr>
        <w:t xml:space="preserve"> alongside the extension of physical infrastructure. The </w:t>
      </w:r>
      <w:r w:rsidR="003960C3" w:rsidRPr="00C36F54">
        <w:rPr>
          <w:rFonts w:ascii="Times New Roman" w:eastAsia="Calibri" w:hAnsi="Times New Roman" w:cs="Times New Roman"/>
          <w:noProof/>
          <w:sz w:val="24"/>
          <w:szCs w:val="24"/>
        </w:rPr>
        <w:t xml:space="preserve">just launched </w:t>
      </w:r>
      <w:r w:rsidRPr="00C36F54">
        <w:rPr>
          <w:rFonts w:ascii="Times New Roman" w:eastAsia="Calibri" w:hAnsi="Times New Roman" w:cs="Times New Roman"/>
          <w:noProof/>
          <w:sz w:val="24"/>
          <w:szCs w:val="24"/>
        </w:rPr>
        <w:t xml:space="preserve">Technopedia platform showcases best practices in grid-enhancing and innovative </w:t>
      </w:r>
      <w:r w:rsidRPr="00C36F54">
        <w:rPr>
          <w:rFonts w:ascii="Times New Roman" w:eastAsia="Calibri" w:hAnsi="Times New Roman" w:cs="Times New Roman"/>
          <w:noProof/>
          <w:sz w:val="24"/>
          <w:szCs w:val="24"/>
        </w:rPr>
        <w:lastRenderedPageBreak/>
        <w:t>technologies</w:t>
      </w:r>
      <w:r w:rsidRPr="00C36F54">
        <w:rPr>
          <w:rFonts w:ascii="Times New Roman" w:eastAsia="Calibri" w:hAnsi="Times New Roman" w:cs="Times New Roman"/>
          <w:noProof/>
          <w:sz w:val="24"/>
          <w:szCs w:val="24"/>
          <w:vertAlign w:val="superscript"/>
        </w:rPr>
        <w:footnoteReference w:id="16"/>
      </w:r>
      <w:r w:rsidRPr="00C36F54">
        <w:rPr>
          <w:rFonts w:ascii="Times New Roman" w:eastAsia="Calibri" w:hAnsi="Times New Roman" w:cs="Times New Roman"/>
          <w:noProof/>
          <w:sz w:val="24"/>
          <w:szCs w:val="24"/>
        </w:rPr>
        <w:t xml:space="preserve">. </w:t>
      </w:r>
      <w:r w:rsidR="005603A7">
        <w:rPr>
          <w:rFonts w:ascii="Times New Roman" w:hAnsi="Times New Roman" w:cs="Times New Roman"/>
          <w:noProof/>
          <w:sz w:val="24"/>
          <w:szCs w:val="24"/>
          <w:lang w:val="en-US"/>
        </w:rPr>
        <w:t>Next year, t</w:t>
      </w:r>
      <w:r w:rsidR="005603A7" w:rsidRPr="00EE5761">
        <w:rPr>
          <w:rFonts w:ascii="Times New Roman" w:hAnsi="Times New Roman" w:cs="Times New Roman"/>
          <w:noProof/>
          <w:sz w:val="24"/>
          <w:szCs w:val="24"/>
          <w:lang w:val="en-US"/>
        </w:rPr>
        <w:t xml:space="preserve">he Commission will also present a Strategic Roadmap </w:t>
      </w:r>
      <w:r w:rsidR="005603A7">
        <w:rPr>
          <w:rFonts w:ascii="Times New Roman" w:hAnsi="Times New Roman" w:cs="Times New Roman"/>
          <w:noProof/>
          <w:sz w:val="24"/>
          <w:szCs w:val="24"/>
          <w:lang w:val="en-US"/>
        </w:rPr>
        <w:t>for</w:t>
      </w:r>
      <w:r w:rsidR="005603A7" w:rsidRPr="00EE5761">
        <w:rPr>
          <w:rFonts w:ascii="Times New Roman" w:hAnsi="Times New Roman" w:cs="Times New Roman"/>
          <w:noProof/>
          <w:sz w:val="24"/>
          <w:szCs w:val="24"/>
          <w:lang w:val="en-US"/>
        </w:rPr>
        <w:t xml:space="preserve"> </w:t>
      </w:r>
      <w:r w:rsidR="005603A7">
        <w:rPr>
          <w:rFonts w:ascii="Times New Roman" w:hAnsi="Times New Roman" w:cs="Times New Roman"/>
          <w:noProof/>
          <w:sz w:val="24"/>
          <w:szCs w:val="24"/>
          <w:lang w:val="en-US"/>
        </w:rPr>
        <w:t>D</w:t>
      </w:r>
      <w:r w:rsidR="005603A7" w:rsidRPr="00EE5761">
        <w:rPr>
          <w:rFonts w:ascii="Times New Roman" w:hAnsi="Times New Roman" w:cs="Times New Roman"/>
          <w:noProof/>
          <w:sz w:val="24"/>
          <w:szCs w:val="24"/>
          <w:lang w:val="en-US"/>
        </w:rPr>
        <w:t>igitalisation and AI</w:t>
      </w:r>
      <w:r w:rsidR="005603A7">
        <w:rPr>
          <w:rFonts w:ascii="Times New Roman" w:hAnsi="Times New Roman" w:cs="Times New Roman"/>
          <w:noProof/>
          <w:sz w:val="24"/>
          <w:szCs w:val="24"/>
          <w:lang w:val="en-US"/>
        </w:rPr>
        <w:t xml:space="preserve"> in the energy sector, helping </w:t>
      </w:r>
      <w:r w:rsidR="005603A7" w:rsidRPr="00EE5761">
        <w:rPr>
          <w:rFonts w:ascii="Times New Roman" w:hAnsi="Times New Roman" w:cs="Times New Roman"/>
          <w:noProof/>
          <w:sz w:val="24"/>
          <w:szCs w:val="24"/>
          <w:lang w:val="en-US"/>
        </w:rPr>
        <w:t xml:space="preserve">to scale </w:t>
      </w:r>
      <w:r w:rsidR="005603A7">
        <w:rPr>
          <w:rFonts w:ascii="Times New Roman" w:hAnsi="Times New Roman" w:cs="Times New Roman"/>
          <w:noProof/>
          <w:sz w:val="24"/>
          <w:szCs w:val="24"/>
          <w:lang w:val="en-US"/>
        </w:rPr>
        <w:t xml:space="preserve">up </w:t>
      </w:r>
      <w:r w:rsidR="005603A7" w:rsidRPr="00EE5761">
        <w:rPr>
          <w:rFonts w:ascii="Times New Roman" w:hAnsi="Times New Roman" w:cs="Times New Roman"/>
          <w:noProof/>
          <w:sz w:val="24"/>
          <w:szCs w:val="24"/>
          <w:lang w:val="en-US"/>
        </w:rPr>
        <w:t>smart solutions across European grids</w:t>
      </w:r>
      <w:r w:rsidR="005603A7">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Digital tools can help address increased volatility notably from renewable energy integration. Moreover, large data and cloud infrastructure can contribute to reinforce grid stability and therefore will be taken into account during the planning procedure.</w:t>
      </w:r>
    </w:p>
    <w:p w14:paraId="3EE3554E" w14:textId="6BDC2998" w:rsidR="00C36F54" w:rsidRPr="00C36F54" w:rsidRDefault="00C36F54" w:rsidP="00C36F54">
      <w:pPr>
        <w:jc w:val="both"/>
        <w:rPr>
          <w:noProof/>
        </w:rPr>
      </w:pPr>
      <w:r w:rsidRPr="00C36F54">
        <w:rPr>
          <w:rFonts w:ascii="Times New Roman" w:eastAsia="Calibri" w:hAnsi="Times New Roman" w:cs="Times New Roman"/>
          <w:noProof/>
          <w:sz w:val="24"/>
          <w:szCs w:val="24"/>
        </w:rPr>
        <w:t xml:space="preserve">Furthermore, as access to grids starts being a challenge in some Member States, creative solutions can help free up capacity and manage queues in an efficient way. </w:t>
      </w:r>
      <w:r w:rsidRPr="00C36F54">
        <w:rPr>
          <w:rFonts w:ascii="Times New Roman" w:hAnsi="Times New Roman" w:cs="Times New Roman"/>
          <w:noProof/>
          <w:sz w:val="24"/>
          <w:szCs w:val="24"/>
        </w:rPr>
        <w:t xml:space="preserve">The </w:t>
      </w:r>
      <w:r w:rsidRPr="00C36F54">
        <w:rPr>
          <w:rFonts w:ascii="Times New Roman" w:hAnsi="Times New Roman" w:cs="Times New Roman"/>
          <w:b/>
          <w:bCs/>
          <w:noProof/>
          <w:sz w:val="24"/>
          <w:szCs w:val="24"/>
        </w:rPr>
        <w:t xml:space="preserve">Guidance on efficient grid connections </w:t>
      </w:r>
      <w:r w:rsidRPr="00C36F54">
        <w:rPr>
          <w:rFonts w:ascii="Times New Roman" w:hAnsi="Times New Roman" w:cs="Times New Roman"/>
          <w:noProof/>
          <w:sz w:val="24"/>
          <w:szCs w:val="24"/>
        </w:rPr>
        <w:t>adopted today provides recommendations and shares good practices Member States and national regulatory authorities can apply to address these challenges immediately and make the most efficient use of existing grids. These include applying</w:t>
      </w:r>
      <w:r w:rsidR="005603A7">
        <w:rPr>
          <w:rFonts w:ascii="Times New Roman" w:hAnsi="Times New Roman" w:cs="Times New Roman"/>
          <w:noProof/>
          <w:sz w:val="24"/>
          <w:szCs w:val="24"/>
        </w:rPr>
        <w:t xml:space="preserve"> the “first-ready first-serve” principle,</w:t>
      </w:r>
      <w:r w:rsidRPr="00C36F54">
        <w:rPr>
          <w:rFonts w:ascii="Times New Roman" w:hAnsi="Times New Roman" w:cs="Times New Roman"/>
          <w:noProof/>
          <w:sz w:val="24"/>
          <w:szCs w:val="24"/>
        </w:rPr>
        <w:t xml:space="preserve"> transparent maturity criteria for all connection requests, establishing clear project-development milestones with associated penalties for non-compliance, and conducting regular monitoring and cleaning of the connection queues. </w:t>
      </w:r>
    </w:p>
    <w:p w14:paraId="324C79CA" w14:textId="77777777" w:rsidR="00C36F54" w:rsidRPr="00C36F54" w:rsidRDefault="00C36F54" w:rsidP="00C36F54">
      <w:pPr>
        <w:jc w:val="both"/>
        <w:rPr>
          <w:rStyle w:val="normaltextrun"/>
          <w:rFonts w:ascii="Times New Roman" w:hAnsi="Times New Roman" w:cs="Times New Roman"/>
          <w:noProof/>
          <w:sz w:val="24"/>
          <w:szCs w:val="24"/>
        </w:rPr>
      </w:pPr>
      <w:r w:rsidRPr="00C36F54">
        <w:rPr>
          <w:rFonts w:ascii="Times New Roman" w:hAnsi="Times New Roman" w:cs="Times New Roman"/>
          <w:noProof/>
          <w:sz w:val="24"/>
          <w:szCs w:val="24"/>
        </w:rPr>
        <w:t>The Grids Package, therefore, plays a key role in ensuring our electricity market remains robust and effective. It strengthens the efficient use of existing infrastructure, thereby contributing to making 70% transmission capacity available for cross-zonal electricity trade</w:t>
      </w:r>
      <w:r w:rsidRPr="00C36F54">
        <w:rPr>
          <w:rStyle w:val="FootnoteReference"/>
          <w:rFonts w:ascii="Times New Roman" w:hAnsi="Times New Roman" w:cs="Times New Roman"/>
          <w:noProof/>
          <w:sz w:val="24"/>
          <w:szCs w:val="24"/>
        </w:rPr>
        <w:footnoteReference w:id="17"/>
      </w:r>
      <w:r w:rsidRPr="00C36F54">
        <w:rPr>
          <w:rFonts w:ascii="Times New Roman" w:hAnsi="Times New Roman" w:cs="Times New Roman"/>
          <w:noProof/>
          <w:sz w:val="24"/>
          <w:szCs w:val="24"/>
        </w:rPr>
        <w:t>. Additionally, it supports our commitment on delivering on the electricity interconnection target of 15% by 2030, while preparing the work for the revision of the Governance Regulation to align with our climate and energy ambition for the decade ahead.</w:t>
      </w:r>
    </w:p>
    <w:p w14:paraId="3AE8F5CD" w14:textId="77777777" w:rsidR="00C36F54" w:rsidRPr="00C36F54" w:rsidRDefault="00C36F54" w:rsidP="00C36F54">
      <w:pPr>
        <w:pStyle w:val="ListParagraph"/>
        <w:numPr>
          <w:ilvl w:val="0"/>
          <w:numId w:val="2"/>
        </w:numPr>
        <w:jc w:val="both"/>
        <w:rPr>
          <w:rFonts w:ascii="Times New Roman" w:hAnsi="Times New Roman" w:cs="Times New Roman"/>
          <w:b/>
          <w:bCs/>
          <w:noProof/>
          <w:sz w:val="24"/>
          <w:szCs w:val="24"/>
        </w:rPr>
      </w:pPr>
      <w:r w:rsidRPr="00C36F54">
        <w:rPr>
          <w:rFonts w:ascii="Times New Roman" w:hAnsi="Times New Roman" w:cs="Times New Roman"/>
          <w:b/>
          <w:bCs/>
          <w:noProof/>
          <w:sz w:val="24"/>
          <w:szCs w:val="24"/>
        </w:rPr>
        <w:t>Turning plans into action: accelerating the delivery of energy infrastructure projects on the ground</w:t>
      </w:r>
    </w:p>
    <w:p w14:paraId="162A94E3" w14:textId="26988F9A"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Identifying infrastructure needs and projects is only half of the journey. Even when projects are defined, construction often stalls due to lengthy permitting procedures, </w:t>
      </w:r>
      <w:r w:rsidR="006F463B">
        <w:rPr>
          <w:rFonts w:ascii="Times New Roman" w:hAnsi="Times New Roman" w:cs="Times New Roman"/>
          <w:noProof/>
          <w:sz w:val="24"/>
          <w:szCs w:val="24"/>
        </w:rPr>
        <w:t>lack of public acceptance</w:t>
      </w:r>
      <w:r w:rsidRPr="00C36F54">
        <w:rPr>
          <w:rFonts w:ascii="Times New Roman" w:hAnsi="Times New Roman" w:cs="Times New Roman"/>
          <w:noProof/>
          <w:sz w:val="24"/>
          <w:szCs w:val="24"/>
        </w:rPr>
        <w:t>, financing hurdles, or difficulties in sharing costs between Member States. All these must be addressed while enhancing the security and resilience of our infrastructure against both deliberate and accidental disruptions.</w:t>
      </w:r>
    </w:p>
    <w:p w14:paraId="7A9E9304" w14:textId="45C9D0AD" w:rsidR="00C36F54" w:rsidRPr="00C36F54" w:rsidRDefault="00C36F54" w:rsidP="00C36F54">
      <w:pPr>
        <w:jc w:val="both"/>
        <w:rPr>
          <w:rFonts w:ascii="Times New Roman" w:eastAsia="Calibri" w:hAnsi="Times New Roman" w:cs="Times New Roman"/>
          <w:noProof/>
          <w:kern w:val="0"/>
          <w:sz w:val="24"/>
          <w:szCs w:val="24"/>
          <w14:ligatures w14:val="none"/>
        </w:rPr>
      </w:pPr>
      <w:r w:rsidRPr="00C36F54">
        <w:rPr>
          <w:rFonts w:ascii="Times New Roman" w:eastAsia="Calibri" w:hAnsi="Times New Roman" w:cs="Times New Roman"/>
          <w:noProof/>
          <w:sz w:val="24"/>
          <w:szCs w:val="24"/>
        </w:rPr>
        <w:t>First, slow</w:t>
      </w:r>
      <w:r w:rsidRPr="00C36F54">
        <w:rPr>
          <w:rFonts w:ascii="Times New Roman" w:eastAsia="Calibri" w:hAnsi="Times New Roman" w:cs="Times New Roman"/>
          <w:b/>
          <w:bCs/>
          <w:noProof/>
          <w:sz w:val="24"/>
          <w:szCs w:val="24"/>
        </w:rPr>
        <w:t xml:space="preserve"> </w:t>
      </w:r>
      <w:r w:rsidRPr="00C36F54">
        <w:rPr>
          <w:rFonts w:ascii="Times New Roman" w:eastAsia="Calibri" w:hAnsi="Times New Roman" w:cs="Times New Roman"/>
          <w:b/>
          <w:bCs/>
          <w:noProof/>
          <w:sz w:val="24"/>
          <w:szCs w:val="24"/>
          <w:u w:val="single"/>
        </w:rPr>
        <w:t xml:space="preserve">permitting </w:t>
      </w:r>
      <w:r w:rsidRPr="00C36F54">
        <w:rPr>
          <w:rFonts w:ascii="Times New Roman" w:eastAsia="Calibri" w:hAnsi="Times New Roman" w:cs="Times New Roman"/>
          <w:noProof/>
          <w:sz w:val="24"/>
          <w:szCs w:val="24"/>
        </w:rPr>
        <w:t>remains one o</w:t>
      </w:r>
      <w:r w:rsidRPr="00C36F54">
        <w:rPr>
          <w:rFonts w:ascii="Times New Roman" w:eastAsia="Calibri" w:hAnsi="Times New Roman" w:cs="Times New Roman"/>
          <w:b/>
          <w:bCs/>
          <w:noProof/>
          <w:sz w:val="24"/>
          <w:szCs w:val="24"/>
        </w:rPr>
        <w:t>f the most significant barriers to timely deployment of energy infrastructure and generation in the EU</w:t>
      </w:r>
      <w:r w:rsidRPr="00C36F54">
        <w:rPr>
          <w:rFonts w:ascii="Times New Roman" w:eastAsia="Calibri" w:hAnsi="Times New Roman" w:cs="Times New Roman"/>
          <w:noProof/>
          <w:sz w:val="24"/>
          <w:szCs w:val="24"/>
        </w:rPr>
        <w:t>. In 2023, 26% of electricity PCIs were delayed by an average of 12 months according to ACER, with permitting alone accounting for more than half of the total implementation timeline of electricity infrastructure.</w:t>
      </w:r>
      <w:r w:rsidRPr="00C36F54">
        <w:rPr>
          <w:rStyle w:val="FootnoteReference"/>
          <w:rFonts w:ascii="Times New Roman" w:eastAsia="Calibri" w:hAnsi="Times New Roman" w:cs="Times New Roman"/>
          <w:noProof/>
          <w:sz w:val="24"/>
          <w:szCs w:val="24"/>
        </w:rPr>
        <w:footnoteReference w:id="18"/>
      </w:r>
      <w:r w:rsidRPr="00C36F54">
        <w:rPr>
          <w:rFonts w:ascii="Times New Roman" w:eastAsia="Calibri" w:hAnsi="Times New Roman" w:cs="Times New Roman"/>
          <w:noProof/>
          <w:sz w:val="24"/>
          <w:szCs w:val="24"/>
        </w:rPr>
        <w:t xml:space="preserve"> </w:t>
      </w:r>
      <w:r w:rsidRPr="00C36F54" w:rsidDel="00121637">
        <w:rPr>
          <w:rFonts w:ascii="Times New Roman" w:eastAsia="Calibri" w:hAnsi="Times New Roman" w:cs="Times New Roman"/>
          <w:noProof/>
          <w:kern w:val="0"/>
          <w:sz w:val="24"/>
          <w:szCs w:val="24"/>
          <w14:ligatures w14:val="none"/>
        </w:rPr>
        <w:t xml:space="preserve">Similarly, </w:t>
      </w:r>
      <w:r w:rsidRPr="00C36F54" w:rsidDel="00121637">
        <w:rPr>
          <w:rFonts w:ascii="Times New Roman" w:eastAsia="Calibri" w:hAnsi="Times New Roman" w:cs="Times New Roman"/>
          <w:b/>
          <w:bCs/>
          <w:noProof/>
          <w:kern w:val="0"/>
          <w:sz w:val="24"/>
          <w:szCs w:val="24"/>
          <w14:ligatures w14:val="none"/>
        </w:rPr>
        <w:t>permitting</w:t>
      </w:r>
      <w:r w:rsidRPr="00C36F54">
        <w:rPr>
          <w:rFonts w:ascii="Times New Roman" w:eastAsia="Calibri" w:hAnsi="Times New Roman" w:cs="Times New Roman"/>
          <w:b/>
          <w:bCs/>
          <w:noProof/>
          <w:kern w:val="0"/>
          <w:sz w:val="24"/>
          <w:szCs w:val="24"/>
          <w14:ligatures w14:val="none"/>
        </w:rPr>
        <w:t xml:space="preserve"> timelines vary widely across Member States, </w:t>
      </w:r>
      <w:r w:rsidRPr="00C36F54">
        <w:rPr>
          <w:rFonts w:ascii="Times New Roman" w:eastAsia="Calibri" w:hAnsi="Times New Roman" w:cs="Times New Roman"/>
          <w:noProof/>
          <w:kern w:val="0"/>
          <w:sz w:val="24"/>
          <w:szCs w:val="24"/>
          <w14:ligatures w14:val="none"/>
        </w:rPr>
        <w:t xml:space="preserve">with transmission grids </w:t>
      </w:r>
      <w:r w:rsidRPr="00C36F54">
        <w:rPr>
          <w:rFonts w:ascii="Times New Roman" w:eastAsia="Calibri" w:hAnsi="Times New Roman" w:cs="Times New Roman"/>
          <w:noProof/>
          <w:kern w:val="0"/>
          <w:sz w:val="24"/>
          <w:szCs w:val="24"/>
          <w14:ligatures w14:val="none"/>
        </w:rPr>
        <w:lastRenderedPageBreak/>
        <w:t>taking on average 5 years,</w:t>
      </w:r>
      <w:r w:rsidRPr="00C36F54">
        <w:rPr>
          <w:rStyle w:val="FootnoteReference"/>
          <w:rFonts w:ascii="Times New Roman" w:eastAsia="Calibri" w:hAnsi="Times New Roman" w:cs="Times New Roman"/>
          <w:noProof/>
          <w:kern w:val="0"/>
          <w:sz w:val="24"/>
          <w:szCs w:val="24"/>
          <w14:ligatures w14:val="none"/>
        </w:rPr>
        <w:footnoteReference w:id="19"/>
      </w:r>
      <w:r w:rsidRPr="00C36F54">
        <w:rPr>
          <w:rFonts w:ascii="Times New Roman" w:eastAsia="Calibri" w:hAnsi="Times New Roman" w:cs="Times New Roman"/>
          <w:noProof/>
          <w:kern w:val="0"/>
          <w:sz w:val="24"/>
          <w:szCs w:val="24"/>
          <w14:ligatures w14:val="none"/>
        </w:rPr>
        <w:t xml:space="preserve"> PCIs on average 4.3 years,</w:t>
      </w:r>
      <w:r w:rsidRPr="00C36F54">
        <w:rPr>
          <w:rStyle w:val="FootnoteReference"/>
          <w:rFonts w:ascii="Times New Roman" w:eastAsia="Calibri" w:hAnsi="Times New Roman" w:cs="Times New Roman"/>
          <w:noProof/>
          <w:kern w:val="0"/>
          <w:sz w:val="24"/>
          <w:szCs w:val="24"/>
          <w14:ligatures w14:val="none"/>
        </w:rPr>
        <w:footnoteReference w:id="20"/>
      </w:r>
      <w:r w:rsidRPr="00C36F54">
        <w:rPr>
          <w:rFonts w:ascii="Times New Roman" w:eastAsia="Calibri" w:hAnsi="Times New Roman" w:cs="Times New Roman"/>
          <w:noProof/>
          <w:kern w:val="0"/>
          <w:sz w:val="24"/>
          <w:szCs w:val="24"/>
          <w14:ligatures w14:val="none"/>
        </w:rPr>
        <w:t xml:space="preserve"> r</w:t>
      </w:r>
      <w:r w:rsidRPr="00C36F54" w:rsidDel="00121637">
        <w:rPr>
          <w:rFonts w:ascii="Times New Roman" w:eastAsia="Calibri" w:hAnsi="Times New Roman" w:cs="Times New Roman"/>
          <w:noProof/>
          <w:kern w:val="0"/>
          <w:sz w:val="24"/>
          <w:szCs w:val="24"/>
          <w14:ligatures w14:val="none"/>
        </w:rPr>
        <w:t xml:space="preserve">enewable energy projects </w:t>
      </w:r>
      <w:r w:rsidRPr="00C36F54">
        <w:rPr>
          <w:rFonts w:ascii="Times New Roman" w:eastAsia="Calibri" w:hAnsi="Times New Roman" w:cs="Times New Roman"/>
          <w:noProof/>
          <w:kern w:val="0"/>
          <w:sz w:val="24"/>
          <w:szCs w:val="24"/>
          <w14:ligatures w14:val="none"/>
        </w:rPr>
        <w:t>taking up to 9</w:t>
      </w:r>
      <w:r w:rsidRPr="00C36F54" w:rsidDel="00121637">
        <w:rPr>
          <w:rFonts w:ascii="Times New Roman" w:eastAsia="Calibri" w:hAnsi="Times New Roman" w:cs="Times New Roman"/>
          <w:noProof/>
          <w:kern w:val="0"/>
          <w:sz w:val="24"/>
          <w:szCs w:val="24"/>
          <w14:ligatures w14:val="none"/>
        </w:rPr>
        <w:t xml:space="preserve"> years</w:t>
      </w:r>
      <w:r w:rsidRPr="00C36F54">
        <w:rPr>
          <w:rFonts w:ascii="Times New Roman" w:eastAsia="Calibri" w:hAnsi="Times New Roman" w:cs="Times New Roman"/>
          <w:noProof/>
          <w:kern w:val="0"/>
          <w:sz w:val="24"/>
          <w:szCs w:val="24"/>
          <w14:ligatures w14:val="none"/>
        </w:rPr>
        <w:t>,</w:t>
      </w:r>
      <w:r w:rsidRPr="00C36F54">
        <w:rPr>
          <w:rFonts w:ascii="Times New Roman" w:eastAsia="Calibri" w:hAnsi="Times New Roman" w:cs="Times New Roman"/>
          <w:noProof/>
          <w:kern w:val="0"/>
          <w:sz w:val="24"/>
          <w:szCs w:val="24"/>
          <w:vertAlign w:val="superscript"/>
          <w14:ligatures w14:val="none"/>
        </w:rPr>
        <w:footnoteReference w:id="21"/>
      </w:r>
      <w:r w:rsidRPr="00C36F54" w:rsidDel="00121637">
        <w:rPr>
          <w:rFonts w:ascii="Times New Roman" w:eastAsia="Calibri" w:hAnsi="Times New Roman" w:cs="Times New Roman"/>
          <w:noProof/>
          <w:kern w:val="0"/>
          <w:sz w:val="24"/>
          <w:szCs w:val="24"/>
          <w14:ligatures w14:val="none"/>
        </w:rPr>
        <w:t xml:space="preserve"> </w:t>
      </w:r>
      <w:r w:rsidRPr="00C36F54">
        <w:rPr>
          <w:rFonts w:ascii="Times New Roman" w:eastAsia="Calibri" w:hAnsi="Times New Roman" w:cs="Times New Roman"/>
          <w:noProof/>
          <w:kern w:val="0"/>
          <w:sz w:val="24"/>
          <w:szCs w:val="24"/>
          <w14:ligatures w14:val="none"/>
        </w:rPr>
        <w:t>s</w:t>
      </w:r>
      <w:r w:rsidRPr="00C36F54" w:rsidDel="00121637">
        <w:rPr>
          <w:rFonts w:ascii="Times New Roman" w:eastAsia="Calibri" w:hAnsi="Times New Roman" w:cs="Times New Roman"/>
          <w:noProof/>
          <w:kern w:val="0"/>
          <w:sz w:val="24"/>
          <w:szCs w:val="24"/>
          <w14:ligatures w14:val="none"/>
        </w:rPr>
        <w:t xml:space="preserve">torage installations </w:t>
      </w:r>
      <w:r w:rsidRPr="00C36F54">
        <w:rPr>
          <w:rFonts w:ascii="Times New Roman" w:eastAsia="Calibri" w:hAnsi="Times New Roman" w:cs="Times New Roman"/>
          <w:noProof/>
          <w:kern w:val="0"/>
          <w:sz w:val="24"/>
          <w:szCs w:val="24"/>
          <w14:ligatures w14:val="none"/>
        </w:rPr>
        <w:t xml:space="preserve">1 to </w:t>
      </w:r>
      <w:r w:rsidRPr="00C36F54" w:rsidDel="00121637">
        <w:rPr>
          <w:rFonts w:ascii="Times New Roman" w:eastAsia="Calibri" w:hAnsi="Times New Roman" w:cs="Times New Roman"/>
          <w:noProof/>
          <w:kern w:val="0"/>
          <w:sz w:val="24"/>
          <w:szCs w:val="24"/>
          <w14:ligatures w14:val="none"/>
        </w:rPr>
        <w:t>7 years</w:t>
      </w:r>
      <w:r w:rsidRPr="00C36F54">
        <w:rPr>
          <w:rFonts w:ascii="Times New Roman" w:eastAsia="Calibri" w:hAnsi="Times New Roman" w:cs="Times New Roman"/>
          <w:noProof/>
          <w:kern w:val="0"/>
          <w:sz w:val="24"/>
          <w:szCs w:val="24"/>
          <w14:ligatures w14:val="none"/>
        </w:rPr>
        <w:t xml:space="preserve"> </w:t>
      </w:r>
      <w:r w:rsidRPr="00C36F54">
        <w:rPr>
          <w:rFonts w:ascii="Times New Roman" w:eastAsia="Calibri" w:hAnsi="Times New Roman" w:cs="Times New Roman"/>
          <w:noProof/>
          <w:kern w:val="0"/>
          <w:sz w:val="24"/>
          <w:szCs w:val="24"/>
          <w:vertAlign w:val="superscript"/>
          <w14:ligatures w14:val="none"/>
        </w:rPr>
        <w:footnoteReference w:id="22"/>
      </w:r>
      <w:r w:rsidRPr="00C36F54">
        <w:rPr>
          <w:rFonts w:ascii="Times New Roman" w:eastAsia="Calibri" w:hAnsi="Times New Roman" w:cs="Times New Roman"/>
          <w:noProof/>
          <w:kern w:val="0"/>
          <w:sz w:val="24"/>
          <w:szCs w:val="24"/>
          <w14:ligatures w14:val="none"/>
        </w:rPr>
        <w:t xml:space="preserve"> and recharging stations up to 2 years.</w:t>
      </w:r>
      <w:r w:rsidRPr="00C36F54">
        <w:rPr>
          <w:rFonts w:ascii="Times New Roman" w:eastAsia="Calibri" w:hAnsi="Times New Roman" w:cs="Times New Roman"/>
          <w:noProof/>
          <w:kern w:val="0"/>
          <w:sz w:val="24"/>
          <w:szCs w:val="24"/>
          <w:vertAlign w:val="superscript"/>
          <w14:ligatures w14:val="none"/>
        </w:rPr>
        <w:footnoteReference w:id="23"/>
      </w:r>
      <w:r w:rsidRPr="00C36F54">
        <w:rPr>
          <w:rFonts w:ascii="Times New Roman" w:eastAsia="Calibri" w:hAnsi="Times New Roman" w:cs="Times New Roman"/>
          <w:noProof/>
          <w:sz w:val="24"/>
          <w:szCs w:val="24"/>
        </w:rPr>
        <w:t xml:space="preserve"> </w:t>
      </w:r>
    </w:p>
    <w:p w14:paraId="502F74F8" w14:textId="77777777" w:rsidR="002E7ABF" w:rsidRDefault="00C36F54" w:rsidP="00C36F54">
      <w:pPr>
        <w:jc w:val="both"/>
        <w:rPr>
          <w:rStyle w:val="CommentReference"/>
          <w:rFonts w:ascii="Times New Roman" w:eastAsia="Calibri" w:hAnsi="Times New Roman" w:cs="Times New Roman"/>
          <w:noProof/>
          <w:sz w:val="24"/>
          <w:szCs w:val="24"/>
        </w:rPr>
      </w:pPr>
      <w:r w:rsidRPr="00C36F54">
        <w:rPr>
          <w:rFonts w:ascii="Times New Roman" w:eastAsia="Calibri" w:hAnsi="Times New Roman" w:cs="Times New Roman"/>
          <w:noProof/>
          <w:sz w:val="24"/>
          <w:szCs w:val="24"/>
        </w:rPr>
        <w:t>In 2022 and 2023, the EU took notable steps to speed up permitting for renewable energy and infrastructure projects, including via the Emergency Regulation (applicable until June 2025) and the revision of Renewable Energy Directive (RED). However, delays continue to persist, particularly in integrating standalone storage and charging stations. Additionally, while the environmental assessment is necessary to ensure both the protection of biodiversity and the social acceptance of projects, its present modalities do not effectively capture the specificity of projects with minimal environmental impact and can cause unnecessary delays.</w:t>
      </w:r>
      <w:r w:rsidRPr="00C36F54" w:rsidDel="00FA69A9">
        <w:rPr>
          <w:rStyle w:val="CommentReference"/>
          <w:rFonts w:ascii="Times New Roman" w:eastAsia="Calibri" w:hAnsi="Times New Roman" w:cs="Times New Roman"/>
          <w:noProof/>
          <w:sz w:val="24"/>
          <w:szCs w:val="24"/>
        </w:rPr>
        <w:t xml:space="preserve"> </w:t>
      </w:r>
    </w:p>
    <w:p w14:paraId="307AF664" w14:textId="574F4BEE" w:rsidR="00C36F54" w:rsidRPr="00C36F54" w:rsidRDefault="00C36F54" w:rsidP="00C36F54">
      <w:pPr>
        <w:jc w:val="both"/>
        <w:rPr>
          <w:rFonts w:ascii="Times New Roman" w:eastAsia="Calibri" w:hAnsi="Times New Roman" w:cs="Times New Roman"/>
          <w:noProof/>
          <w:sz w:val="24"/>
          <w:szCs w:val="24"/>
        </w:rPr>
      </w:pPr>
      <w:r w:rsidRPr="00C36F54">
        <w:rPr>
          <w:rFonts w:ascii="Times New Roman" w:eastAsia="Calibri" w:hAnsi="Times New Roman" w:cs="Times New Roman"/>
          <w:noProof/>
          <w:sz w:val="24"/>
          <w:szCs w:val="24"/>
        </w:rPr>
        <w:t>Against this backdrop, the European Grids Package, in coordination with the EU regulatory framework on environmental protection, establishes</w:t>
      </w:r>
      <w:r w:rsidRPr="00C36F54">
        <w:rPr>
          <w:rFonts w:ascii="Times New Roman" w:eastAsia="Calibri" w:hAnsi="Times New Roman" w:cs="Times New Roman"/>
          <w:b/>
          <w:bCs/>
          <w:noProof/>
          <w:sz w:val="24"/>
          <w:szCs w:val="24"/>
        </w:rPr>
        <w:t xml:space="preserve"> an EU level framework to simplify and accelerate permitting procedures </w:t>
      </w:r>
      <w:r w:rsidRPr="00C36F54">
        <w:rPr>
          <w:rFonts w:ascii="Times New Roman" w:eastAsia="Calibri" w:hAnsi="Times New Roman" w:cs="Times New Roman"/>
          <w:noProof/>
          <w:sz w:val="24"/>
          <w:szCs w:val="24"/>
        </w:rPr>
        <w:t>for all grid infrastructure, renewable energy projects, storage projects and recharging stations, and further strengthens the provisions for PCI/PMIs. Decarbonisation is the first action that can help safeguard nature</w:t>
      </w:r>
      <w:r w:rsidR="003A6587">
        <w:rPr>
          <w:rFonts w:ascii="Times New Roman" w:eastAsia="Calibri" w:hAnsi="Times New Roman" w:cs="Times New Roman"/>
          <w:noProof/>
          <w:sz w:val="24"/>
          <w:szCs w:val="24"/>
        </w:rPr>
        <w:t xml:space="preserve"> and reduce air pollution</w:t>
      </w:r>
      <w:r w:rsidRPr="00C36F54">
        <w:rPr>
          <w:rFonts w:ascii="Times New Roman" w:eastAsia="Calibri" w:hAnsi="Times New Roman" w:cs="Times New Roman"/>
          <w:noProof/>
          <w:sz w:val="24"/>
          <w:szCs w:val="24"/>
        </w:rPr>
        <w:t xml:space="preserve">. These streamlined permitting procedures target the cases where, based on the </w:t>
      </w:r>
      <w:r w:rsidR="00971B6A">
        <w:rPr>
          <w:rFonts w:ascii="Times New Roman" w:eastAsia="Calibri" w:hAnsi="Times New Roman" w:cs="Times New Roman"/>
          <w:noProof/>
          <w:sz w:val="24"/>
          <w:szCs w:val="24"/>
        </w:rPr>
        <w:t>extensive</w:t>
      </w:r>
      <w:r w:rsidR="00971B6A" w:rsidRPr="00C36F54">
        <w:rPr>
          <w:rFonts w:ascii="Times New Roman" w:eastAsia="Calibri" w:hAnsi="Times New Roman" w:cs="Times New Roman"/>
          <w:noProof/>
          <w:sz w:val="24"/>
          <w:szCs w:val="24"/>
        </w:rPr>
        <w:t xml:space="preserve"> </w:t>
      </w:r>
      <w:r w:rsidRPr="00C36F54">
        <w:rPr>
          <w:rFonts w:ascii="Times New Roman" w:eastAsia="Calibri" w:hAnsi="Times New Roman" w:cs="Times New Roman"/>
          <w:noProof/>
          <w:sz w:val="24"/>
          <w:szCs w:val="24"/>
        </w:rPr>
        <w:t xml:space="preserve">experience </w:t>
      </w:r>
      <w:r w:rsidR="000A2A50">
        <w:rPr>
          <w:rFonts w:ascii="Times New Roman" w:eastAsia="Calibri" w:hAnsi="Times New Roman" w:cs="Times New Roman"/>
          <w:noProof/>
          <w:sz w:val="24"/>
          <w:szCs w:val="24"/>
        </w:rPr>
        <w:t>with</w:t>
      </w:r>
      <w:r w:rsidRPr="00C36F54">
        <w:rPr>
          <w:rFonts w:ascii="Times New Roman" w:eastAsia="Calibri" w:hAnsi="Times New Roman" w:cs="Times New Roman"/>
          <w:noProof/>
          <w:sz w:val="24"/>
          <w:szCs w:val="24"/>
        </w:rPr>
        <w:t xml:space="preserve"> implementing </w:t>
      </w:r>
      <w:r w:rsidR="000A2A50">
        <w:rPr>
          <w:rFonts w:ascii="Times New Roman" w:eastAsia="Calibri" w:hAnsi="Times New Roman" w:cs="Times New Roman"/>
          <w:noProof/>
          <w:sz w:val="24"/>
          <w:szCs w:val="24"/>
        </w:rPr>
        <w:t>the current legal framework</w:t>
      </w:r>
      <w:r w:rsidRPr="00C36F54">
        <w:rPr>
          <w:rFonts w:ascii="Times New Roman" w:eastAsia="Calibri" w:hAnsi="Times New Roman" w:cs="Times New Roman"/>
          <w:noProof/>
          <w:sz w:val="24"/>
          <w:szCs w:val="24"/>
        </w:rPr>
        <w:t xml:space="preserve">, environmental impacts are limited; the proposed changes help </w:t>
      </w:r>
      <w:r w:rsidR="003960C3">
        <w:rPr>
          <w:rFonts w:ascii="Times New Roman" w:eastAsia="Calibri" w:hAnsi="Times New Roman" w:cs="Times New Roman"/>
          <w:noProof/>
          <w:sz w:val="24"/>
          <w:szCs w:val="24"/>
        </w:rPr>
        <w:t>attain</w:t>
      </w:r>
      <w:r w:rsidR="003960C3" w:rsidRPr="00C36F54">
        <w:rPr>
          <w:rFonts w:ascii="Times New Roman" w:eastAsia="Calibri" w:hAnsi="Times New Roman" w:cs="Times New Roman"/>
          <w:noProof/>
          <w:sz w:val="24"/>
          <w:szCs w:val="24"/>
        </w:rPr>
        <w:t xml:space="preserve"> </w:t>
      </w:r>
      <w:r w:rsidRPr="00C36F54">
        <w:rPr>
          <w:rFonts w:ascii="Times New Roman" w:eastAsia="Calibri" w:hAnsi="Times New Roman" w:cs="Times New Roman"/>
          <w:noProof/>
          <w:sz w:val="24"/>
          <w:szCs w:val="24"/>
        </w:rPr>
        <w:t xml:space="preserve">the </w:t>
      </w:r>
      <w:r w:rsidRPr="00C36F54">
        <w:rPr>
          <w:rFonts w:ascii="Times New Roman" w:eastAsia="Calibri" w:hAnsi="Times New Roman" w:cs="Times New Roman"/>
          <w:b/>
          <w:bCs/>
          <w:noProof/>
          <w:sz w:val="24"/>
          <w:szCs w:val="24"/>
        </w:rPr>
        <w:t>balance between protection of biodiversity and swift deployment of a clean energy system</w:t>
      </w:r>
      <w:r w:rsidRPr="00C36F54">
        <w:rPr>
          <w:rFonts w:ascii="Times New Roman" w:eastAsia="Calibri" w:hAnsi="Times New Roman" w:cs="Times New Roman"/>
          <w:noProof/>
          <w:sz w:val="24"/>
          <w:szCs w:val="24"/>
        </w:rPr>
        <w:t>. This aims at reaching the goal of limiting the permitting process</w:t>
      </w:r>
      <w:r w:rsidR="003A6E1B">
        <w:rPr>
          <w:rFonts w:ascii="Times New Roman" w:eastAsia="Calibri" w:hAnsi="Times New Roman" w:cs="Times New Roman"/>
          <w:noProof/>
          <w:sz w:val="24"/>
          <w:szCs w:val="24"/>
        </w:rPr>
        <w:t xml:space="preserve"> to</w:t>
      </w:r>
      <w:r w:rsidR="00085162">
        <w:rPr>
          <w:rFonts w:ascii="Times New Roman" w:eastAsia="Calibri" w:hAnsi="Times New Roman" w:cs="Times New Roman"/>
          <w:noProof/>
          <w:sz w:val="24"/>
          <w:szCs w:val="24"/>
        </w:rPr>
        <w:t xml:space="preserve">, depending on the </w:t>
      </w:r>
      <w:r w:rsidR="00933796">
        <w:rPr>
          <w:rFonts w:ascii="Times New Roman" w:eastAsia="Calibri" w:hAnsi="Times New Roman" w:cs="Times New Roman"/>
          <w:noProof/>
          <w:sz w:val="24"/>
          <w:szCs w:val="24"/>
        </w:rPr>
        <w:t>type of project,</w:t>
      </w:r>
      <w:r w:rsidRPr="00C36F54">
        <w:rPr>
          <w:rFonts w:ascii="Times New Roman" w:eastAsia="Calibri" w:hAnsi="Times New Roman" w:cs="Times New Roman"/>
          <w:noProof/>
          <w:sz w:val="24"/>
          <w:szCs w:val="24"/>
        </w:rPr>
        <w:t xml:space="preserve"> </w:t>
      </w:r>
      <w:r w:rsidR="00933796">
        <w:rPr>
          <w:rFonts w:ascii="Times New Roman" w:eastAsia="Calibri" w:hAnsi="Times New Roman" w:cs="Times New Roman"/>
          <w:noProof/>
          <w:sz w:val="24"/>
          <w:szCs w:val="24"/>
        </w:rPr>
        <w:t>up to</w:t>
      </w:r>
      <w:r w:rsidRPr="00C36F54">
        <w:rPr>
          <w:rFonts w:ascii="Times New Roman" w:eastAsia="Calibri" w:hAnsi="Times New Roman" w:cs="Times New Roman"/>
          <w:noProof/>
          <w:sz w:val="24"/>
          <w:szCs w:val="24"/>
        </w:rPr>
        <w:t xml:space="preserve"> two years</w:t>
      </w:r>
      <w:r w:rsidR="22EC3A64" w:rsidRPr="0E3D6F60">
        <w:rPr>
          <w:rFonts w:ascii="Times New Roman" w:eastAsia="Calibri" w:hAnsi="Times New Roman" w:cs="Times New Roman"/>
          <w:noProof/>
          <w:sz w:val="24"/>
          <w:szCs w:val="24"/>
        </w:rPr>
        <w:t xml:space="preserve"> in most cases</w:t>
      </w:r>
      <w:r w:rsidRPr="00C36F54">
        <w:rPr>
          <w:rFonts w:ascii="Times New Roman" w:eastAsia="Calibri" w:hAnsi="Times New Roman" w:cs="Times New Roman"/>
          <w:noProof/>
          <w:sz w:val="24"/>
          <w:szCs w:val="24"/>
        </w:rPr>
        <w:t xml:space="preserve">, with a maximum of three years for the most complex projects. </w:t>
      </w:r>
    </w:p>
    <w:p w14:paraId="784B3091" w14:textId="7B04D5BA" w:rsidR="00C36F54" w:rsidRPr="00C36F54" w:rsidRDefault="00C36F54" w:rsidP="00C36F54">
      <w:pPr>
        <w:jc w:val="both"/>
        <w:rPr>
          <w:rFonts w:ascii="Times New Roman" w:eastAsia="Calibri" w:hAnsi="Times New Roman" w:cs="Times New Roman"/>
          <w:noProof/>
          <w:sz w:val="24"/>
          <w:szCs w:val="24"/>
        </w:rPr>
      </w:pPr>
      <w:bookmarkStart w:id="2" w:name="_Hlk211194489"/>
      <w:r w:rsidRPr="00C36F54">
        <w:rPr>
          <w:rFonts w:ascii="Times New Roman" w:eastAsia="Calibri" w:hAnsi="Times New Roman" w:cs="Times New Roman"/>
          <w:b/>
          <w:bCs/>
          <w:noProof/>
          <w:sz w:val="24"/>
          <w:szCs w:val="24"/>
        </w:rPr>
        <w:t>Public participation</w:t>
      </w:r>
      <w:r w:rsidRPr="00C36F54">
        <w:rPr>
          <w:rFonts w:ascii="Times New Roman" w:eastAsia="Calibri" w:hAnsi="Times New Roman" w:cs="Times New Roman"/>
          <w:noProof/>
          <w:sz w:val="24"/>
          <w:szCs w:val="24"/>
        </w:rPr>
        <w:t xml:space="preserve"> in project planning, and operation is also essential for building trust and achieving EU targets, thereby minimising lengthy judicial challenges.</w:t>
      </w:r>
      <w:r w:rsidRPr="00C36F54">
        <w:rPr>
          <w:rFonts w:ascii="Times New Roman" w:eastAsia="Calibri" w:hAnsi="Times New Roman" w:cs="Times New Roman"/>
          <w:noProof/>
          <w:sz w:val="24"/>
          <w:szCs w:val="24"/>
          <w:vertAlign w:val="superscript"/>
        </w:rPr>
        <w:footnoteReference w:id="24"/>
      </w:r>
      <w:r w:rsidRPr="00C36F54">
        <w:rPr>
          <w:rFonts w:ascii="Times New Roman" w:eastAsia="Calibri" w:hAnsi="Times New Roman" w:cs="Times New Roman"/>
          <w:noProof/>
          <w:sz w:val="24"/>
          <w:szCs w:val="24"/>
        </w:rPr>
        <w:t xml:space="preserve"> </w:t>
      </w:r>
      <w:bookmarkStart w:id="3" w:name="_Hlk215516530"/>
      <w:r w:rsidRPr="00C36F54">
        <w:rPr>
          <w:rFonts w:ascii="Times New Roman" w:eastAsia="Calibri" w:hAnsi="Times New Roman" w:cs="Times New Roman"/>
          <w:noProof/>
          <w:sz w:val="24"/>
          <w:szCs w:val="24"/>
        </w:rPr>
        <w:t>The Grids Package requires that</w:t>
      </w:r>
      <w:r w:rsidRPr="00C36F54">
        <w:rPr>
          <w:rFonts w:ascii="Times New Roman" w:eastAsia="Calibri" w:hAnsi="Times New Roman" w:cs="Times New Roman"/>
          <w:b/>
          <w:bCs/>
          <w:noProof/>
          <w:sz w:val="24"/>
          <w:szCs w:val="24"/>
        </w:rPr>
        <w:t xml:space="preserve"> renewable energy projects over 10MW redistribute benefits to the local population, beyond energy communities</w:t>
      </w:r>
      <w:bookmarkEnd w:id="3"/>
      <w:r w:rsidRPr="004A1ACA">
        <w:rPr>
          <w:rFonts w:ascii="Times New Roman" w:eastAsia="Calibri" w:hAnsi="Times New Roman" w:cs="Times New Roman"/>
          <w:noProof/>
          <w:sz w:val="24"/>
          <w:szCs w:val="24"/>
        </w:rPr>
        <w:t>.</w:t>
      </w:r>
      <w:r w:rsidRPr="00C36F54">
        <w:rPr>
          <w:rFonts w:ascii="Times New Roman" w:eastAsia="Calibri" w:hAnsi="Times New Roman" w:cs="Times New Roman"/>
          <w:b/>
          <w:bCs/>
          <w:noProof/>
          <w:sz w:val="24"/>
          <w:szCs w:val="24"/>
        </w:rPr>
        <w:t xml:space="preserve"> </w:t>
      </w:r>
      <w:r w:rsidRPr="00C36F54">
        <w:rPr>
          <w:rFonts w:ascii="Times New Roman" w:eastAsia="Calibri" w:hAnsi="Times New Roman" w:cs="Times New Roman"/>
          <w:noProof/>
          <w:sz w:val="24"/>
          <w:szCs w:val="24"/>
        </w:rPr>
        <w:t>It also allows for independent facilitators to support early dialogue and mediation, further reducing the risk of judicial challenges and fostering cooperative development. To address public acceptance concerns, the Commission will also offer a practical</w:t>
      </w:r>
      <w:r w:rsidRPr="00C36F54">
        <w:rPr>
          <w:rFonts w:ascii="Times New Roman" w:eastAsia="Calibri" w:hAnsi="Times New Roman" w:cs="Times New Roman"/>
          <w:b/>
          <w:bCs/>
          <w:noProof/>
          <w:sz w:val="24"/>
          <w:szCs w:val="24"/>
        </w:rPr>
        <w:t xml:space="preserve"> toolbox on public inclusion</w:t>
      </w:r>
      <w:bookmarkEnd w:id="2"/>
      <w:r w:rsidRPr="00C36F54">
        <w:rPr>
          <w:rFonts w:ascii="Times New Roman" w:eastAsia="Calibri" w:hAnsi="Times New Roman" w:cs="Times New Roman"/>
          <w:b/>
          <w:bCs/>
          <w:noProof/>
          <w:sz w:val="24"/>
          <w:szCs w:val="24"/>
        </w:rPr>
        <w:t xml:space="preserve"> in Q1 2026 </w:t>
      </w:r>
      <w:r w:rsidRPr="00C36F54">
        <w:rPr>
          <w:rFonts w:ascii="Times New Roman" w:eastAsia="Calibri" w:hAnsi="Times New Roman" w:cs="Times New Roman"/>
          <w:noProof/>
          <w:sz w:val="24"/>
          <w:szCs w:val="24"/>
        </w:rPr>
        <w:t>which will facilitate the sharing of good practices</w:t>
      </w:r>
      <w:r w:rsidR="00784A64">
        <w:rPr>
          <w:rFonts w:ascii="Times New Roman" w:eastAsia="Calibri" w:hAnsi="Times New Roman" w:cs="Times New Roman"/>
          <w:noProof/>
          <w:sz w:val="24"/>
          <w:szCs w:val="24"/>
        </w:rPr>
        <w:t xml:space="preserve"> and capacity building</w:t>
      </w:r>
      <w:r w:rsidRPr="00C36F54">
        <w:rPr>
          <w:rFonts w:ascii="Times New Roman" w:eastAsia="Calibri" w:hAnsi="Times New Roman" w:cs="Times New Roman"/>
          <w:noProof/>
          <w:sz w:val="24"/>
          <w:szCs w:val="24"/>
        </w:rPr>
        <w:t xml:space="preserve"> on how to involve citizens </w:t>
      </w:r>
      <w:r w:rsidR="00D727A1">
        <w:rPr>
          <w:rFonts w:ascii="Times New Roman" w:eastAsia="Calibri" w:hAnsi="Times New Roman" w:cs="Times New Roman"/>
          <w:noProof/>
          <w:sz w:val="24"/>
          <w:szCs w:val="24"/>
        </w:rPr>
        <w:t xml:space="preserve">and local authorities </w:t>
      </w:r>
      <w:r w:rsidRPr="00C36F54">
        <w:rPr>
          <w:rFonts w:ascii="Times New Roman" w:eastAsia="Calibri" w:hAnsi="Times New Roman" w:cs="Times New Roman"/>
          <w:noProof/>
          <w:sz w:val="24"/>
          <w:szCs w:val="24"/>
        </w:rPr>
        <w:t>and promote benefit sharing of renewable energy projects</w:t>
      </w:r>
      <w:r w:rsidRPr="00C36F54">
        <w:rPr>
          <w:rFonts w:ascii="Times New Roman" w:eastAsia="Calibri" w:hAnsi="Times New Roman" w:cs="Times New Roman"/>
          <w:b/>
          <w:bCs/>
          <w:noProof/>
          <w:sz w:val="24"/>
          <w:szCs w:val="24"/>
        </w:rPr>
        <w:t>.</w:t>
      </w:r>
      <w:r w:rsidRPr="00C36F54">
        <w:rPr>
          <w:rFonts w:ascii="Times New Roman" w:eastAsia="Calibri" w:hAnsi="Times New Roman" w:cs="Times New Roman"/>
          <w:noProof/>
          <w:sz w:val="24"/>
          <w:szCs w:val="24"/>
          <w:vertAlign w:val="superscript"/>
        </w:rPr>
        <w:footnoteReference w:id="25"/>
      </w:r>
    </w:p>
    <w:p w14:paraId="77932D7F" w14:textId="3E107A34"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A second challenge comes from rising demand for energy infrastructure, which is putting </w:t>
      </w:r>
      <w:r w:rsidR="000C60BA">
        <w:rPr>
          <w:rFonts w:ascii="Times New Roman" w:hAnsi="Times New Roman" w:cs="Times New Roman"/>
          <w:noProof/>
          <w:sz w:val="24"/>
          <w:szCs w:val="24"/>
        </w:rPr>
        <w:t>significant</w:t>
      </w:r>
      <w:r w:rsidR="000C60BA" w:rsidRPr="00C36F54">
        <w:rPr>
          <w:rFonts w:ascii="Times New Roman" w:hAnsi="Times New Roman" w:cs="Times New Roman"/>
          <w:noProof/>
          <w:sz w:val="24"/>
          <w:szCs w:val="24"/>
        </w:rPr>
        <w:t xml:space="preserve"> </w:t>
      </w:r>
      <w:r w:rsidRPr="00C36F54">
        <w:rPr>
          <w:rFonts w:ascii="Times New Roman" w:hAnsi="Times New Roman" w:cs="Times New Roman"/>
          <w:noProof/>
          <w:sz w:val="24"/>
          <w:szCs w:val="24"/>
        </w:rPr>
        <w:t xml:space="preserve">pressure on </w:t>
      </w:r>
      <w:r w:rsidRPr="004A1ACA">
        <w:rPr>
          <w:rFonts w:ascii="Times New Roman" w:hAnsi="Times New Roman" w:cs="Times New Roman"/>
          <w:b/>
          <w:bCs/>
          <w:noProof/>
          <w:sz w:val="24"/>
          <w:szCs w:val="24"/>
          <w:u w:val="single"/>
        </w:rPr>
        <w:t>s</w:t>
      </w:r>
      <w:r w:rsidRPr="00C36F54">
        <w:rPr>
          <w:rFonts w:ascii="Times New Roman" w:hAnsi="Times New Roman" w:cs="Times New Roman"/>
          <w:b/>
          <w:bCs/>
          <w:noProof/>
          <w:sz w:val="24"/>
          <w:szCs w:val="24"/>
          <w:u w:val="single"/>
        </w:rPr>
        <w:t>upply chains, labour availability, and skills</w:t>
      </w:r>
      <w:r w:rsidRPr="00C36F54">
        <w:rPr>
          <w:rFonts w:ascii="Times New Roman" w:hAnsi="Times New Roman" w:cs="Times New Roman"/>
          <w:noProof/>
          <w:sz w:val="24"/>
          <w:szCs w:val="24"/>
        </w:rPr>
        <w:t xml:space="preserve">, while manufacturing </w:t>
      </w:r>
      <w:r w:rsidRPr="00C36F54">
        <w:rPr>
          <w:rFonts w:ascii="Times New Roman" w:hAnsi="Times New Roman" w:cs="Times New Roman"/>
          <w:noProof/>
          <w:sz w:val="24"/>
          <w:szCs w:val="24"/>
        </w:rPr>
        <w:lastRenderedPageBreak/>
        <w:t>bottlenecks</w:t>
      </w:r>
      <w:r w:rsidR="000C60BA">
        <w:rPr>
          <w:rFonts w:ascii="Times New Roman" w:hAnsi="Times New Roman" w:cs="Times New Roman"/>
          <w:noProof/>
          <w:sz w:val="24"/>
          <w:szCs w:val="24"/>
        </w:rPr>
        <w:t xml:space="preserve"> are</w:t>
      </w:r>
      <w:r w:rsidRPr="00C36F54">
        <w:rPr>
          <w:rFonts w:ascii="Times New Roman" w:hAnsi="Times New Roman" w:cs="Times New Roman"/>
          <w:noProof/>
          <w:sz w:val="24"/>
          <w:szCs w:val="24"/>
        </w:rPr>
        <w:t xml:space="preserve"> increasingly constrain</w:t>
      </w:r>
      <w:r w:rsidR="000C60BA">
        <w:rPr>
          <w:rFonts w:ascii="Times New Roman" w:hAnsi="Times New Roman" w:cs="Times New Roman"/>
          <w:noProof/>
          <w:sz w:val="24"/>
          <w:szCs w:val="24"/>
        </w:rPr>
        <w:t>ing</w:t>
      </w:r>
      <w:r w:rsidRPr="00C36F54">
        <w:rPr>
          <w:rFonts w:ascii="Times New Roman" w:hAnsi="Times New Roman" w:cs="Times New Roman"/>
          <w:noProof/>
          <w:sz w:val="24"/>
          <w:szCs w:val="24"/>
        </w:rPr>
        <w:t xml:space="preserve"> </w:t>
      </w:r>
      <w:r w:rsidR="000C60BA">
        <w:rPr>
          <w:rFonts w:ascii="Times New Roman" w:hAnsi="Times New Roman" w:cs="Times New Roman"/>
          <w:noProof/>
          <w:sz w:val="24"/>
          <w:szCs w:val="24"/>
        </w:rPr>
        <w:t xml:space="preserve">our </w:t>
      </w:r>
      <w:r w:rsidRPr="00C36F54">
        <w:rPr>
          <w:rFonts w:ascii="Times New Roman" w:hAnsi="Times New Roman" w:cs="Times New Roman"/>
          <w:noProof/>
          <w:sz w:val="24"/>
          <w:szCs w:val="24"/>
        </w:rPr>
        <w:t>electricity system expansion</w:t>
      </w:r>
      <w:r w:rsidR="000C60BA">
        <w:rPr>
          <w:rFonts w:ascii="Times New Roman" w:hAnsi="Times New Roman" w:cs="Times New Roman"/>
          <w:noProof/>
          <w:sz w:val="24"/>
          <w:szCs w:val="24"/>
        </w:rPr>
        <w:t xml:space="preserve"> and moderni</w:t>
      </w:r>
      <w:r w:rsidR="00CC1BCE">
        <w:rPr>
          <w:rFonts w:ascii="Times New Roman" w:hAnsi="Times New Roman" w:cs="Times New Roman"/>
          <w:noProof/>
          <w:sz w:val="24"/>
          <w:szCs w:val="24"/>
        </w:rPr>
        <w:t>s</w:t>
      </w:r>
      <w:r w:rsidR="000C60BA">
        <w:rPr>
          <w:rFonts w:ascii="Times New Roman" w:hAnsi="Times New Roman" w:cs="Times New Roman"/>
          <w:noProof/>
          <w:sz w:val="24"/>
          <w:szCs w:val="24"/>
        </w:rPr>
        <w:t>ation</w:t>
      </w:r>
      <w:r w:rsidRPr="00C36F54">
        <w:rPr>
          <w:rFonts w:ascii="Times New Roman" w:hAnsi="Times New Roman" w:cs="Times New Roman"/>
          <w:noProof/>
          <w:sz w:val="24"/>
          <w:szCs w:val="24"/>
        </w:rPr>
        <w:t>. Although Europe is home to leading grid technology manufacturers, the current production capacity</w:t>
      </w:r>
      <w:r w:rsidR="000C60BA">
        <w:rPr>
          <w:rFonts w:ascii="Times New Roman" w:hAnsi="Times New Roman" w:cs="Times New Roman"/>
          <w:noProof/>
          <w:sz w:val="24"/>
          <w:szCs w:val="24"/>
        </w:rPr>
        <w:t xml:space="preserve"> in some segments</w:t>
      </w:r>
      <w:r w:rsidRPr="00C36F54">
        <w:rPr>
          <w:rFonts w:ascii="Times New Roman" w:hAnsi="Times New Roman" w:cs="Times New Roman"/>
          <w:noProof/>
          <w:sz w:val="24"/>
          <w:szCs w:val="24"/>
        </w:rPr>
        <w:t xml:space="preserve"> is insufficient to meet demand</w:t>
      </w:r>
      <w:r w:rsidRPr="00C36F54">
        <w:rPr>
          <w:rFonts w:ascii="Times New Roman" w:hAnsi="Times New Roman" w:cs="Times New Roman"/>
          <w:noProof/>
          <w:sz w:val="24"/>
          <w:szCs w:val="24"/>
          <w:vertAlign w:val="superscript"/>
        </w:rPr>
        <w:footnoteReference w:id="26"/>
      </w:r>
      <w:r w:rsidRPr="00C36F54">
        <w:rPr>
          <w:rFonts w:ascii="Times New Roman" w:hAnsi="Times New Roman" w:cs="Times New Roman"/>
          <w:noProof/>
          <w:sz w:val="24"/>
          <w:szCs w:val="24"/>
        </w:rPr>
        <w:t xml:space="preserve">, and the </w:t>
      </w:r>
      <w:r w:rsidRPr="00C36F54">
        <w:rPr>
          <w:rFonts w:ascii="Times New Roman" w:hAnsi="Times New Roman" w:cs="Times New Roman"/>
          <w:b/>
          <w:bCs/>
          <w:noProof/>
          <w:sz w:val="24"/>
          <w:szCs w:val="24"/>
        </w:rPr>
        <w:t>sector must scale up to keep pace</w:t>
      </w:r>
      <w:r w:rsidRPr="00C36F54">
        <w:rPr>
          <w:rFonts w:ascii="Times New Roman" w:hAnsi="Times New Roman" w:cs="Times New Roman"/>
          <w:noProof/>
          <w:sz w:val="24"/>
          <w:szCs w:val="24"/>
        </w:rPr>
        <w:t xml:space="preserve">. </w:t>
      </w:r>
    </w:p>
    <w:p w14:paraId="64456708" w14:textId="6B336A6D" w:rsidR="00C36F54" w:rsidRPr="00C36F54" w:rsidRDefault="00953B66" w:rsidP="00C36F54">
      <w:pPr>
        <w:spacing w:after="160" w:line="259" w:lineRule="auto"/>
        <w:jc w:val="both"/>
        <w:rPr>
          <w:rFonts w:ascii="Times New Roman" w:hAnsi="Times New Roman" w:cs="Times New Roman"/>
          <w:noProof/>
          <w:sz w:val="24"/>
          <w:szCs w:val="24"/>
        </w:rPr>
      </w:pPr>
      <w:r w:rsidRPr="006154EC">
        <w:rPr>
          <w:rFonts w:ascii="Times New Roman" w:hAnsi="Times New Roman" w:cs="Times New Roman"/>
          <w:noProof/>
          <w:sz w:val="24"/>
          <w:szCs w:val="24"/>
        </w:rPr>
        <w:t>As highlighted in the guidance on efficient grid connections, d</w:t>
      </w:r>
      <w:r w:rsidR="00C36F54" w:rsidRPr="006154EC">
        <w:rPr>
          <w:rFonts w:ascii="Times New Roman" w:hAnsi="Times New Roman" w:cs="Times New Roman"/>
          <w:noProof/>
          <w:sz w:val="24"/>
          <w:szCs w:val="24"/>
        </w:rPr>
        <w:t>emand</w:t>
      </w:r>
      <w:r w:rsidR="00C36F54" w:rsidRPr="00C36F54">
        <w:rPr>
          <w:rFonts w:ascii="Times New Roman" w:hAnsi="Times New Roman" w:cs="Times New Roman"/>
          <w:b/>
          <w:bCs/>
          <w:noProof/>
          <w:sz w:val="24"/>
          <w:szCs w:val="24"/>
        </w:rPr>
        <w:t xml:space="preserve"> visibility is essential to guide industry investment decisions.</w:t>
      </w:r>
      <w:r w:rsidR="00C36F54" w:rsidRPr="00C36F54">
        <w:rPr>
          <w:rFonts w:ascii="Times New Roman" w:hAnsi="Times New Roman" w:cs="Times New Roman"/>
          <w:noProof/>
          <w:sz w:val="24"/>
          <w:szCs w:val="24"/>
        </w:rPr>
        <w:t xml:space="preserve"> </w:t>
      </w:r>
      <w:r w:rsidR="005F0DDD">
        <w:rPr>
          <w:rFonts w:ascii="Times New Roman" w:hAnsi="Times New Roman" w:cs="Times New Roman"/>
          <w:noProof/>
          <w:sz w:val="24"/>
          <w:szCs w:val="24"/>
        </w:rPr>
        <w:t>To help address this, t</w:t>
      </w:r>
      <w:r w:rsidR="00C36F54" w:rsidRPr="00C36F54">
        <w:rPr>
          <w:rFonts w:ascii="Times New Roman" w:hAnsi="Times New Roman" w:cs="Times New Roman"/>
          <w:noProof/>
          <w:sz w:val="24"/>
          <w:szCs w:val="24"/>
        </w:rPr>
        <w:t xml:space="preserve">he Commission will work together with the EU DSO Entity to </w:t>
      </w:r>
      <w:r w:rsidR="00C36F54" w:rsidRPr="00C36F54">
        <w:rPr>
          <w:rFonts w:ascii="Times New Roman" w:hAnsi="Times New Roman" w:cs="Times New Roman"/>
          <w:b/>
          <w:bCs/>
          <w:noProof/>
          <w:sz w:val="24"/>
          <w:szCs w:val="24"/>
        </w:rPr>
        <w:t>establish, by the 2026 Energy Infrastructure Forum, a platform for EU distribution network planning</w:t>
      </w:r>
      <w:r w:rsidR="00C36F54" w:rsidRPr="00C36F54">
        <w:rPr>
          <w:rFonts w:ascii="Times New Roman" w:hAnsi="Times New Roman" w:cs="Times New Roman"/>
          <w:noProof/>
          <w:sz w:val="24"/>
          <w:szCs w:val="24"/>
        </w:rPr>
        <w:t xml:space="preserve"> that will provide</w:t>
      </w:r>
      <w:r w:rsidR="00C36F54" w:rsidRPr="00C36F54" w:rsidDel="77D508B7">
        <w:rPr>
          <w:rFonts w:ascii="Times New Roman" w:hAnsi="Times New Roman" w:cs="Times New Roman"/>
          <w:noProof/>
          <w:sz w:val="24"/>
          <w:szCs w:val="24"/>
        </w:rPr>
        <w:t xml:space="preserve"> visibility</w:t>
      </w:r>
      <w:r w:rsidR="00032FC3">
        <w:rPr>
          <w:rFonts w:ascii="Times New Roman" w:hAnsi="Times New Roman" w:cs="Times New Roman"/>
          <w:noProof/>
          <w:sz w:val="24"/>
          <w:szCs w:val="24"/>
        </w:rPr>
        <w:t xml:space="preserve"> at distribution level</w:t>
      </w:r>
      <w:r w:rsidR="00C36F54" w:rsidRPr="00C36F54" w:rsidDel="77D508B7">
        <w:rPr>
          <w:rFonts w:ascii="Times New Roman" w:hAnsi="Times New Roman" w:cs="Times New Roman"/>
          <w:noProof/>
          <w:sz w:val="24"/>
          <w:szCs w:val="24"/>
        </w:rPr>
        <w:t xml:space="preserve"> </w:t>
      </w:r>
      <w:r w:rsidR="00C36F54" w:rsidRPr="00C36F54">
        <w:rPr>
          <w:rFonts w:ascii="Times New Roman" w:hAnsi="Times New Roman" w:cs="Times New Roman"/>
          <w:noProof/>
          <w:sz w:val="24"/>
          <w:szCs w:val="24"/>
        </w:rPr>
        <w:t>on future plans</w:t>
      </w:r>
      <w:r w:rsidR="00C36F54" w:rsidRPr="00C36F54" w:rsidDel="77D508B7">
        <w:rPr>
          <w:rFonts w:ascii="Times New Roman" w:hAnsi="Times New Roman" w:cs="Times New Roman"/>
          <w:noProof/>
          <w:sz w:val="24"/>
          <w:szCs w:val="24"/>
        </w:rPr>
        <w:t xml:space="preserve"> </w:t>
      </w:r>
      <w:r w:rsidR="00C36F54" w:rsidRPr="00C36F54">
        <w:rPr>
          <w:rFonts w:ascii="Times New Roman" w:hAnsi="Times New Roman" w:cs="Times New Roman"/>
          <w:noProof/>
          <w:sz w:val="24"/>
          <w:szCs w:val="24"/>
        </w:rPr>
        <w:t xml:space="preserve">and related-manufacturing needs across Member States. </w:t>
      </w:r>
      <w:r w:rsidR="00DF4F6C" w:rsidRPr="00DF4F6C">
        <w:rPr>
          <w:rFonts w:ascii="Times New Roman" w:hAnsi="Times New Roman" w:cs="Times New Roman"/>
          <w:noProof/>
          <w:sz w:val="24"/>
          <w:szCs w:val="24"/>
        </w:rPr>
        <w:t xml:space="preserve">The Commission is actively advancing a </w:t>
      </w:r>
      <w:r w:rsidR="00DF4F6C">
        <w:rPr>
          <w:rFonts w:ascii="Times New Roman" w:hAnsi="Times New Roman" w:cs="Times New Roman"/>
          <w:noProof/>
          <w:sz w:val="24"/>
          <w:szCs w:val="24"/>
        </w:rPr>
        <w:t>series</w:t>
      </w:r>
      <w:r w:rsidR="00DF4F6C" w:rsidRPr="00DF4F6C">
        <w:rPr>
          <w:rFonts w:ascii="Times New Roman" w:hAnsi="Times New Roman" w:cs="Times New Roman"/>
          <w:noProof/>
          <w:sz w:val="24"/>
          <w:szCs w:val="24"/>
        </w:rPr>
        <w:t xml:space="preserve"> of measures to ease supply chain pressures,</w:t>
      </w:r>
      <w:r w:rsidR="00DF4F6C">
        <w:rPr>
          <w:rFonts w:ascii="Times New Roman" w:hAnsi="Times New Roman" w:cs="Times New Roman"/>
          <w:noProof/>
          <w:sz w:val="24"/>
          <w:szCs w:val="24"/>
        </w:rPr>
        <w:t xml:space="preserve"> </w:t>
      </w:r>
      <w:r w:rsidR="000A2A50">
        <w:rPr>
          <w:rFonts w:ascii="Times New Roman" w:hAnsi="Times New Roman" w:cs="Times New Roman"/>
          <w:noProof/>
          <w:sz w:val="24"/>
          <w:szCs w:val="24"/>
        </w:rPr>
        <w:t xml:space="preserve">notably by </w:t>
      </w:r>
      <w:r w:rsidR="00C36F54" w:rsidRPr="00C36F54">
        <w:rPr>
          <w:rFonts w:ascii="Times New Roman" w:hAnsi="Times New Roman" w:cs="Times New Roman"/>
          <w:noProof/>
          <w:sz w:val="24"/>
          <w:szCs w:val="24"/>
        </w:rPr>
        <w:t>reinforc</w:t>
      </w:r>
      <w:r w:rsidR="000A2A50">
        <w:rPr>
          <w:rFonts w:ascii="Times New Roman" w:hAnsi="Times New Roman" w:cs="Times New Roman"/>
          <w:noProof/>
          <w:sz w:val="24"/>
          <w:szCs w:val="24"/>
        </w:rPr>
        <w:t>ing</w:t>
      </w:r>
      <w:r w:rsidR="00C36F54" w:rsidRPr="00C36F54">
        <w:rPr>
          <w:rFonts w:ascii="Times New Roman" w:hAnsi="Times New Roman" w:cs="Times New Roman"/>
          <w:noProof/>
          <w:sz w:val="24"/>
          <w:szCs w:val="24"/>
        </w:rPr>
        <w:t xml:space="preserve"> its work, initiated under the Grid Action Plan Action 13, to streamline</w:t>
      </w:r>
      <w:r w:rsidR="00032FC3">
        <w:rPr>
          <w:rFonts w:ascii="Times New Roman" w:hAnsi="Times New Roman" w:cs="Times New Roman"/>
          <w:noProof/>
          <w:sz w:val="24"/>
          <w:szCs w:val="24"/>
        </w:rPr>
        <w:t xml:space="preserve"> and harmonise</w:t>
      </w:r>
      <w:r w:rsidR="00C36F54" w:rsidRPr="00C36F54">
        <w:rPr>
          <w:rFonts w:ascii="Times New Roman" w:hAnsi="Times New Roman" w:cs="Times New Roman"/>
          <w:noProof/>
          <w:sz w:val="24"/>
          <w:szCs w:val="24"/>
        </w:rPr>
        <w:t xml:space="preserve"> </w:t>
      </w:r>
      <w:r w:rsidR="00C36F54" w:rsidRPr="00C36F54">
        <w:rPr>
          <w:rFonts w:ascii="Times New Roman" w:hAnsi="Times New Roman" w:cs="Times New Roman"/>
          <w:b/>
          <w:bCs/>
          <w:noProof/>
          <w:sz w:val="24"/>
          <w:szCs w:val="24"/>
        </w:rPr>
        <w:t>common technology specifications</w:t>
      </w:r>
      <w:r w:rsidR="00C36F54" w:rsidRPr="00C36F54">
        <w:rPr>
          <w:rFonts w:ascii="Times New Roman" w:hAnsi="Times New Roman" w:cs="Times New Roman"/>
          <w:noProof/>
          <w:sz w:val="24"/>
          <w:szCs w:val="24"/>
        </w:rPr>
        <w:t xml:space="preserve"> </w:t>
      </w:r>
      <w:r w:rsidR="00C36F54" w:rsidRPr="00C36F54">
        <w:rPr>
          <w:rFonts w:ascii="Times New Roman" w:hAnsi="Times New Roman" w:cs="Times New Roman"/>
          <w:b/>
          <w:bCs/>
          <w:noProof/>
          <w:sz w:val="24"/>
          <w:szCs w:val="24"/>
        </w:rPr>
        <w:t>and technical requirements</w:t>
      </w:r>
      <w:r w:rsidR="00C36F54" w:rsidRPr="00C36F54">
        <w:rPr>
          <w:rFonts w:ascii="Times New Roman" w:hAnsi="Times New Roman" w:cs="Times New Roman"/>
          <w:noProof/>
          <w:sz w:val="24"/>
          <w:szCs w:val="24"/>
        </w:rPr>
        <w:t xml:space="preserve"> and improve interoperability of HVDC systems</w:t>
      </w:r>
      <w:r w:rsidR="00032FC3">
        <w:rPr>
          <w:rFonts w:ascii="Times New Roman" w:hAnsi="Times New Roman" w:cs="Times New Roman"/>
          <w:noProof/>
          <w:sz w:val="24"/>
          <w:szCs w:val="24"/>
        </w:rPr>
        <w:t>.</w:t>
      </w:r>
      <w:r w:rsidR="00C36F54" w:rsidRPr="00C36F54">
        <w:rPr>
          <w:rFonts w:ascii="Times New Roman" w:hAnsi="Times New Roman" w:cs="Times New Roman"/>
          <w:noProof/>
          <w:sz w:val="24"/>
          <w:szCs w:val="24"/>
        </w:rPr>
        <w:t xml:space="preserve"> </w:t>
      </w:r>
      <w:r w:rsidR="00032FC3">
        <w:rPr>
          <w:rFonts w:ascii="Times New Roman" w:hAnsi="Times New Roman" w:cs="Times New Roman"/>
          <w:noProof/>
          <w:sz w:val="24"/>
          <w:szCs w:val="24"/>
        </w:rPr>
        <w:t>T</w:t>
      </w:r>
      <w:r w:rsidR="00C36F54" w:rsidRPr="00C36F54">
        <w:rPr>
          <w:rFonts w:ascii="Times New Roman" w:hAnsi="Times New Roman" w:cs="Times New Roman"/>
          <w:noProof/>
          <w:sz w:val="24"/>
          <w:szCs w:val="24"/>
        </w:rPr>
        <w:t xml:space="preserve">he </w:t>
      </w:r>
      <w:r w:rsidR="00B65F79">
        <w:rPr>
          <w:rFonts w:ascii="Times New Roman" w:hAnsi="Times New Roman" w:cs="Times New Roman"/>
          <w:b/>
          <w:bCs/>
          <w:noProof/>
          <w:sz w:val="24"/>
          <w:szCs w:val="24"/>
        </w:rPr>
        <w:t>modernisation</w:t>
      </w:r>
      <w:r w:rsidR="00B65F79" w:rsidRPr="00C36F54">
        <w:rPr>
          <w:rFonts w:ascii="Times New Roman" w:hAnsi="Times New Roman" w:cs="Times New Roman"/>
          <w:b/>
          <w:bCs/>
          <w:noProof/>
          <w:sz w:val="24"/>
          <w:szCs w:val="24"/>
        </w:rPr>
        <w:t xml:space="preserve"> </w:t>
      </w:r>
      <w:r w:rsidR="00C36F54" w:rsidRPr="00C36F54">
        <w:rPr>
          <w:rFonts w:ascii="Times New Roman" w:hAnsi="Times New Roman" w:cs="Times New Roman"/>
          <w:b/>
          <w:bCs/>
          <w:noProof/>
          <w:sz w:val="24"/>
          <w:szCs w:val="24"/>
        </w:rPr>
        <w:t>of the</w:t>
      </w:r>
      <w:r w:rsidR="00B65F79">
        <w:rPr>
          <w:rFonts w:ascii="Times New Roman" w:hAnsi="Times New Roman" w:cs="Times New Roman"/>
          <w:b/>
          <w:bCs/>
          <w:noProof/>
          <w:sz w:val="24"/>
          <w:szCs w:val="24"/>
        </w:rPr>
        <w:t xml:space="preserve"> European</w:t>
      </w:r>
      <w:r w:rsidR="00C36F54" w:rsidRPr="00C36F54">
        <w:rPr>
          <w:rFonts w:ascii="Times New Roman" w:hAnsi="Times New Roman" w:cs="Times New Roman"/>
          <w:b/>
          <w:bCs/>
          <w:noProof/>
          <w:sz w:val="24"/>
          <w:szCs w:val="24"/>
        </w:rPr>
        <w:t xml:space="preserve"> Public Procurement </w:t>
      </w:r>
      <w:r w:rsidR="00B65F79">
        <w:rPr>
          <w:rFonts w:ascii="Times New Roman" w:hAnsi="Times New Roman" w:cs="Times New Roman"/>
          <w:b/>
          <w:bCs/>
          <w:noProof/>
          <w:sz w:val="24"/>
          <w:szCs w:val="24"/>
        </w:rPr>
        <w:t>framework</w:t>
      </w:r>
      <w:r w:rsidR="00C36F54" w:rsidRPr="00C36F54">
        <w:rPr>
          <w:rFonts w:ascii="Times New Roman" w:hAnsi="Times New Roman" w:cs="Times New Roman"/>
          <w:b/>
          <w:bCs/>
          <w:noProof/>
          <w:sz w:val="24"/>
          <w:szCs w:val="24"/>
        </w:rPr>
        <w:t>,</w:t>
      </w:r>
      <w:r w:rsidR="00C36F54" w:rsidRPr="00C36F54">
        <w:rPr>
          <w:rFonts w:ascii="Times New Roman" w:hAnsi="Times New Roman" w:cs="Times New Roman"/>
          <w:noProof/>
          <w:sz w:val="24"/>
          <w:szCs w:val="24"/>
        </w:rPr>
        <w:t xml:space="preserve"> announced for next year, will </w:t>
      </w:r>
      <w:r w:rsidR="00B15872">
        <w:rPr>
          <w:rFonts w:ascii="Times New Roman" w:hAnsi="Times New Roman" w:cs="Times New Roman"/>
          <w:noProof/>
          <w:sz w:val="24"/>
          <w:szCs w:val="24"/>
        </w:rPr>
        <w:t xml:space="preserve">also </w:t>
      </w:r>
      <w:r w:rsidR="00C36F54" w:rsidRPr="00C36F54">
        <w:rPr>
          <w:rFonts w:ascii="Times New Roman" w:hAnsi="Times New Roman" w:cs="Times New Roman"/>
          <w:noProof/>
          <w:sz w:val="24"/>
          <w:szCs w:val="24"/>
        </w:rPr>
        <w:t>be crucial in further promoting the objective of supporting our manufacturing base, including grids technologies that are “Made in Europe”.</w:t>
      </w:r>
    </w:p>
    <w:p w14:paraId="558E8E86" w14:textId="77777777" w:rsidR="00C36F54" w:rsidRPr="00C36F54" w:rsidRDefault="00C36F54" w:rsidP="00C36F54">
      <w:pPr>
        <w:jc w:val="both"/>
        <w:rPr>
          <w:rFonts w:ascii="Times New Roman" w:hAnsi="Times New Roman" w:cs="Times New Roman"/>
          <w:bCs/>
          <w:iCs/>
          <w:noProof/>
          <w:sz w:val="24"/>
          <w:szCs w:val="24"/>
        </w:rPr>
      </w:pPr>
      <w:r w:rsidRPr="00C36F54">
        <w:rPr>
          <w:rFonts w:ascii="Times New Roman" w:hAnsi="Times New Roman" w:cs="Times New Roman"/>
          <w:noProof/>
          <w:sz w:val="24"/>
          <w:szCs w:val="24"/>
        </w:rPr>
        <w:t xml:space="preserve">Third, </w:t>
      </w:r>
      <w:r w:rsidRPr="00C36F54">
        <w:rPr>
          <w:rFonts w:ascii="Times New Roman" w:hAnsi="Times New Roman" w:cs="Times New Roman"/>
          <w:b/>
          <w:bCs/>
          <w:noProof/>
          <w:sz w:val="24"/>
          <w:szCs w:val="24"/>
          <w:u w:val="single"/>
        </w:rPr>
        <w:t>mobilising private investment</w:t>
      </w:r>
      <w:r w:rsidRPr="00C36F54">
        <w:rPr>
          <w:rFonts w:ascii="Times New Roman" w:hAnsi="Times New Roman" w:cs="Times New Roman"/>
          <w:noProof/>
          <w:sz w:val="24"/>
          <w:szCs w:val="24"/>
        </w:rPr>
        <w:t xml:space="preserve"> is needed to ensure an </w:t>
      </w:r>
      <w:r w:rsidRPr="00C36F54">
        <w:rPr>
          <w:rFonts w:ascii="Times New Roman" w:hAnsi="Times New Roman" w:cs="Times New Roman"/>
          <w:b/>
          <w:bCs/>
          <w:noProof/>
          <w:sz w:val="24"/>
          <w:szCs w:val="24"/>
        </w:rPr>
        <w:t>affordable grid roll-out</w:t>
      </w:r>
      <w:r w:rsidRPr="00C36F54">
        <w:rPr>
          <w:rFonts w:ascii="Times New Roman" w:hAnsi="Times New Roman" w:cs="Times New Roman"/>
          <w:noProof/>
          <w:sz w:val="24"/>
          <w:szCs w:val="24"/>
        </w:rPr>
        <w:t>. As grid infrastructure is largely financed through tariffs, meeting the substantial investments needed (EUR 1.2 trillion by 2040 for electricity grids, including EUR 730 billion for distribution grids alone, and EUR 240 billion for hydrogen networks</w:t>
      </w:r>
      <w:r w:rsidRPr="00C36F54">
        <w:rPr>
          <w:rFonts w:ascii="Times New Roman" w:hAnsi="Times New Roman" w:cs="Times New Roman"/>
          <w:noProof/>
          <w:sz w:val="24"/>
          <w:szCs w:val="24"/>
          <w:vertAlign w:val="superscript"/>
        </w:rPr>
        <w:footnoteReference w:id="27"/>
      </w:r>
      <w:r w:rsidRPr="00C36F54">
        <w:rPr>
          <w:rFonts w:ascii="Times New Roman" w:hAnsi="Times New Roman" w:cs="Times New Roman"/>
          <w:noProof/>
          <w:sz w:val="24"/>
          <w:szCs w:val="24"/>
        </w:rPr>
        <w:t xml:space="preserve">) poses a challenge. Relying on the current framework could lead to higher prices for consumers, making EU action in this area necessary. </w:t>
      </w:r>
    </w:p>
    <w:p w14:paraId="58FE84BE" w14:textId="39AD024A"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We therefore need to ensure future-proof network charges</w:t>
      </w:r>
      <w:r w:rsidRPr="00C36F54">
        <w:rPr>
          <w:rStyle w:val="FootnoteReference"/>
          <w:rFonts w:ascii="Times New Roman" w:hAnsi="Times New Roman" w:cs="Times New Roman"/>
          <w:noProof/>
          <w:sz w:val="24"/>
          <w:szCs w:val="24"/>
        </w:rPr>
        <w:footnoteReference w:id="28"/>
      </w:r>
      <w:r w:rsidRPr="00C36F54">
        <w:rPr>
          <w:rFonts w:ascii="Times New Roman" w:hAnsi="Times New Roman" w:cs="Times New Roman"/>
          <w:noProof/>
          <w:sz w:val="24"/>
          <w:szCs w:val="24"/>
        </w:rPr>
        <w:t xml:space="preserve">, </w:t>
      </w:r>
      <w:r w:rsidRPr="00C36F54">
        <w:rPr>
          <w:rFonts w:ascii="Times New Roman" w:hAnsi="Times New Roman" w:cs="Times New Roman"/>
          <w:b/>
          <w:bCs/>
          <w:noProof/>
          <w:sz w:val="24"/>
          <w:szCs w:val="24"/>
        </w:rPr>
        <w:t>exploring additional ways of financing infrastructure</w:t>
      </w:r>
      <w:r w:rsidRPr="00C36F54">
        <w:rPr>
          <w:rFonts w:ascii="Times New Roman" w:hAnsi="Times New Roman" w:cs="Times New Roman"/>
          <w:noProof/>
          <w:sz w:val="24"/>
          <w:szCs w:val="24"/>
        </w:rPr>
        <w:t xml:space="preserve"> where needed, including by requiring </w:t>
      </w:r>
      <w:r w:rsidR="00032FC3">
        <w:rPr>
          <w:rFonts w:ascii="Times New Roman" w:hAnsi="Times New Roman" w:cs="Times New Roman"/>
          <w:noProof/>
          <w:sz w:val="24"/>
          <w:szCs w:val="24"/>
        </w:rPr>
        <w:t>t</w:t>
      </w:r>
      <w:r w:rsidR="003960C3">
        <w:rPr>
          <w:rFonts w:ascii="Times New Roman" w:hAnsi="Times New Roman" w:cs="Times New Roman"/>
          <w:noProof/>
          <w:sz w:val="24"/>
          <w:szCs w:val="24"/>
        </w:rPr>
        <w:t>he</w:t>
      </w:r>
      <w:r w:rsidR="00032FC3">
        <w:rPr>
          <w:rFonts w:ascii="Times New Roman" w:hAnsi="Times New Roman" w:cs="Times New Roman"/>
          <w:noProof/>
          <w:sz w:val="24"/>
          <w:szCs w:val="24"/>
        </w:rPr>
        <w:t xml:space="preserve"> use</w:t>
      </w:r>
      <w:r w:rsidRPr="00C36F54">
        <w:rPr>
          <w:rFonts w:ascii="Times New Roman" w:hAnsi="Times New Roman" w:cs="Times New Roman"/>
          <w:noProof/>
          <w:sz w:val="24"/>
          <w:szCs w:val="24"/>
        </w:rPr>
        <w:t xml:space="preserve"> </w:t>
      </w:r>
      <w:r w:rsidR="003960C3">
        <w:rPr>
          <w:rFonts w:ascii="Times New Roman" w:hAnsi="Times New Roman" w:cs="Times New Roman"/>
          <w:noProof/>
          <w:sz w:val="24"/>
          <w:szCs w:val="24"/>
        </w:rPr>
        <w:t xml:space="preserve">of </w:t>
      </w:r>
      <w:r w:rsidRPr="00C36F54">
        <w:rPr>
          <w:rFonts w:ascii="Times New Roman" w:hAnsi="Times New Roman" w:cs="Times New Roman"/>
          <w:noProof/>
          <w:sz w:val="24"/>
          <w:szCs w:val="24"/>
        </w:rPr>
        <w:t xml:space="preserve">part of </w:t>
      </w:r>
      <w:r w:rsidRPr="00C36F54">
        <w:rPr>
          <w:rFonts w:ascii="Times New Roman" w:hAnsi="Times New Roman" w:cs="Times New Roman"/>
          <w:b/>
          <w:bCs/>
          <w:noProof/>
          <w:sz w:val="24"/>
          <w:szCs w:val="24"/>
        </w:rPr>
        <w:t>congestion income for investments in interconnectors on the PCI/PMI list</w:t>
      </w:r>
      <w:r w:rsidRPr="00C36F54">
        <w:rPr>
          <w:rFonts w:ascii="Times New Roman" w:hAnsi="Times New Roman" w:cs="Times New Roman"/>
          <w:noProof/>
          <w:sz w:val="24"/>
          <w:szCs w:val="24"/>
        </w:rPr>
        <w:t xml:space="preserve">. Furthermore, as cross-border energy infrastructure increasingly integrates, </w:t>
      </w:r>
      <w:r w:rsidRPr="00C36F54">
        <w:rPr>
          <w:rFonts w:ascii="Times New Roman" w:hAnsi="Times New Roman" w:cs="Times New Roman"/>
          <w:b/>
          <w:bCs/>
          <w:noProof/>
          <w:sz w:val="24"/>
          <w:szCs w:val="24"/>
        </w:rPr>
        <w:t>more projects deliver benefits beyond the territories where they are built</w:t>
      </w:r>
      <w:r w:rsidRPr="00C36F54">
        <w:rPr>
          <w:rFonts w:ascii="Times New Roman" w:hAnsi="Times New Roman" w:cs="Times New Roman"/>
          <w:noProof/>
          <w:sz w:val="24"/>
          <w:szCs w:val="24"/>
        </w:rPr>
        <w:t xml:space="preserve">. This makes fair and transparent cost-sharing essential to avoid disproportionate burdens on local consumers. To tackle this, the European Grids Package aims to provide more transparency, certainty and fairness in the way costs and benefits are assessed and shared and to </w:t>
      </w:r>
      <w:r w:rsidRPr="00C36F54">
        <w:rPr>
          <w:rFonts w:ascii="Times New Roman" w:hAnsi="Times New Roman" w:cs="Times New Roman"/>
          <w:b/>
          <w:bCs/>
          <w:noProof/>
          <w:sz w:val="24"/>
          <w:szCs w:val="24"/>
        </w:rPr>
        <w:t>enable the bundling of PCIs or PMIs</w:t>
      </w:r>
      <w:r>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in order to facilitate</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 xml:space="preserve">cost-sharing discussions. Bundling can also make financing easier, for example through the establishment of special purpose vehicles, thereby attracting additional investment. </w:t>
      </w:r>
    </w:p>
    <w:p w14:paraId="15D44244" w14:textId="570787F5" w:rsidR="00660F4D"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Europe is scaling up financial support for energy infrastructure</w:t>
      </w:r>
      <w:r w:rsidR="00903C44">
        <w:rPr>
          <w:rFonts w:ascii="Times New Roman" w:hAnsi="Times New Roman" w:cs="Times New Roman"/>
          <w:noProof/>
          <w:sz w:val="24"/>
          <w:szCs w:val="24"/>
        </w:rPr>
        <w:t xml:space="preserve">. </w:t>
      </w:r>
      <w:r w:rsidR="00553ACE">
        <w:rPr>
          <w:rFonts w:ascii="Times New Roman" w:hAnsi="Times New Roman" w:cs="Times New Roman"/>
          <w:noProof/>
          <w:sz w:val="24"/>
          <w:szCs w:val="24"/>
        </w:rPr>
        <w:t xml:space="preserve">The recently adopted legislation on the mid-term review of Cohesion policy enables national and regional </w:t>
      </w:r>
      <w:r w:rsidR="00553ACE">
        <w:rPr>
          <w:rFonts w:ascii="Times New Roman" w:hAnsi="Times New Roman" w:cs="Times New Roman"/>
          <w:noProof/>
          <w:sz w:val="24"/>
          <w:szCs w:val="24"/>
        </w:rPr>
        <w:lastRenderedPageBreak/>
        <w:t xml:space="preserve">authorities </w:t>
      </w:r>
      <w:r w:rsidR="00CA4739">
        <w:rPr>
          <w:rFonts w:ascii="Times New Roman" w:hAnsi="Times New Roman" w:cs="Times New Roman"/>
          <w:noProof/>
          <w:sz w:val="24"/>
          <w:szCs w:val="24"/>
        </w:rPr>
        <w:t>to reallocate 2021-2027 funding to key priorities, such as the energy transition.</w:t>
      </w:r>
      <w:r w:rsidR="00CA4739">
        <w:rPr>
          <w:rStyle w:val="FootnoteReference"/>
          <w:rFonts w:ascii="Times New Roman" w:hAnsi="Times New Roman" w:cs="Times New Roman"/>
          <w:noProof/>
          <w:sz w:val="24"/>
          <w:szCs w:val="24"/>
        </w:rPr>
        <w:footnoteReference w:id="29"/>
      </w:r>
      <w:r w:rsidR="00CA4739">
        <w:rPr>
          <w:rFonts w:ascii="Times New Roman" w:hAnsi="Times New Roman" w:cs="Times New Roman"/>
          <w:noProof/>
          <w:sz w:val="24"/>
          <w:szCs w:val="24"/>
        </w:rPr>
        <w:t xml:space="preserve"> </w:t>
      </w:r>
      <w:r w:rsidR="00903C44">
        <w:rPr>
          <w:rFonts w:ascii="Times New Roman" w:hAnsi="Times New Roman" w:cs="Times New Roman"/>
          <w:noProof/>
          <w:sz w:val="24"/>
          <w:szCs w:val="24"/>
        </w:rPr>
        <w:t>Furthermore, t</w:t>
      </w:r>
      <w:r w:rsidR="00553ACE">
        <w:rPr>
          <w:rFonts w:ascii="Times New Roman" w:hAnsi="Times New Roman" w:cs="Times New Roman"/>
          <w:noProof/>
          <w:sz w:val="24"/>
          <w:szCs w:val="24"/>
        </w:rPr>
        <w:t>he Commission’s</w:t>
      </w:r>
      <w:r w:rsidRPr="00C36F54">
        <w:rPr>
          <w:rFonts w:ascii="Times New Roman" w:hAnsi="Times New Roman" w:cs="Times New Roman"/>
          <w:noProof/>
          <w:sz w:val="24"/>
          <w:szCs w:val="24"/>
        </w:rPr>
        <w:t xml:space="preserve"> proposal for the next </w:t>
      </w:r>
      <w:r w:rsidRPr="00C36F54">
        <w:rPr>
          <w:rFonts w:ascii="Times New Roman" w:hAnsi="Times New Roman" w:cs="Times New Roman"/>
          <w:b/>
          <w:bCs/>
          <w:noProof/>
          <w:sz w:val="24"/>
          <w:szCs w:val="24"/>
        </w:rPr>
        <w:t>Multiannual Financial Framework</w:t>
      </w:r>
      <w:r w:rsidRPr="00C36F54">
        <w:rPr>
          <w:rFonts w:ascii="Times New Roman" w:hAnsi="Times New Roman" w:cs="Times New Roman"/>
          <w:noProof/>
          <w:sz w:val="24"/>
          <w:szCs w:val="24"/>
          <w:vertAlign w:val="superscript"/>
        </w:rPr>
        <w:footnoteReference w:id="30"/>
      </w:r>
      <w:r w:rsidRPr="00C36F54">
        <w:rPr>
          <w:rFonts w:ascii="Times New Roman" w:hAnsi="Times New Roman" w:cs="Times New Roman"/>
          <w:noProof/>
          <w:sz w:val="24"/>
          <w:szCs w:val="24"/>
        </w:rPr>
        <w:t>, includ</w:t>
      </w:r>
      <w:r w:rsidR="00725A8D">
        <w:rPr>
          <w:rFonts w:ascii="Times New Roman" w:hAnsi="Times New Roman" w:cs="Times New Roman"/>
          <w:noProof/>
          <w:sz w:val="24"/>
          <w:szCs w:val="24"/>
        </w:rPr>
        <w:t>es</w:t>
      </w:r>
      <w:r w:rsidRPr="00C36F54">
        <w:rPr>
          <w:rFonts w:ascii="Times New Roman" w:hAnsi="Times New Roman" w:cs="Times New Roman"/>
          <w:noProof/>
          <w:sz w:val="24"/>
          <w:szCs w:val="24"/>
        </w:rPr>
        <w:t xml:space="preserve"> a significantly reinforced </w:t>
      </w:r>
      <w:r w:rsidRPr="00C36F54">
        <w:rPr>
          <w:rFonts w:ascii="Times New Roman" w:hAnsi="Times New Roman" w:cs="Times New Roman"/>
          <w:b/>
          <w:bCs/>
          <w:noProof/>
          <w:sz w:val="24"/>
          <w:szCs w:val="24"/>
        </w:rPr>
        <w:t>Connecting Europe Facility</w:t>
      </w:r>
      <w:r w:rsidRPr="00C36F54">
        <w:rPr>
          <w:rFonts w:ascii="Times New Roman" w:hAnsi="Times New Roman" w:cs="Times New Roman"/>
          <w:noProof/>
          <w:sz w:val="24"/>
          <w:szCs w:val="24"/>
        </w:rPr>
        <w:t xml:space="preserve">. However, EU funding alone cannot meet our massive investment needs. </w:t>
      </w:r>
      <w:r w:rsidR="008F2CF9">
        <w:rPr>
          <w:rFonts w:ascii="Times New Roman" w:hAnsi="Times New Roman" w:cs="Times New Roman"/>
          <w:noProof/>
          <w:sz w:val="24"/>
          <w:szCs w:val="24"/>
        </w:rPr>
        <w:t xml:space="preserve">The EU budget </w:t>
      </w:r>
      <w:r w:rsidR="00041778">
        <w:rPr>
          <w:rFonts w:ascii="Times New Roman" w:hAnsi="Times New Roman" w:cs="Times New Roman"/>
          <w:noProof/>
          <w:sz w:val="24"/>
          <w:szCs w:val="24"/>
        </w:rPr>
        <w:t xml:space="preserve">must play a stronger role in de-risking private investment and unlocking financing by institutional investors. </w:t>
      </w:r>
      <w:r w:rsidRPr="00C36F54">
        <w:rPr>
          <w:rFonts w:ascii="Times New Roman" w:hAnsi="Times New Roman" w:cs="Times New Roman"/>
          <w:noProof/>
          <w:sz w:val="24"/>
          <w:szCs w:val="24"/>
        </w:rPr>
        <w:t xml:space="preserve">The upcoming </w:t>
      </w:r>
      <w:r w:rsidRPr="00C36F54">
        <w:rPr>
          <w:rFonts w:ascii="Times New Roman" w:hAnsi="Times New Roman" w:cs="Times New Roman"/>
          <w:b/>
          <w:bCs/>
          <w:noProof/>
          <w:sz w:val="24"/>
          <w:szCs w:val="24"/>
        </w:rPr>
        <w:t>Clean Energy Investment Strategy</w:t>
      </w:r>
      <w:r w:rsidRPr="00C36F54">
        <w:rPr>
          <w:rFonts w:ascii="Times New Roman" w:hAnsi="Times New Roman" w:cs="Times New Roman"/>
          <w:noProof/>
          <w:sz w:val="24"/>
          <w:szCs w:val="24"/>
        </w:rPr>
        <w:t xml:space="preserve"> will propose concrete actions to </w:t>
      </w:r>
      <w:r w:rsidR="00041778">
        <w:rPr>
          <w:rFonts w:ascii="Times New Roman" w:hAnsi="Times New Roman" w:cs="Times New Roman"/>
          <w:noProof/>
          <w:sz w:val="24"/>
          <w:szCs w:val="24"/>
        </w:rPr>
        <w:t xml:space="preserve">crowd in and </w:t>
      </w:r>
      <w:r w:rsidRPr="00C36F54">
        <w:rPr>
          <w:rFonts w:ascii="Times New Roman" w:hAnsi="Times New Roman" w:cs="Times New Roman"/>
          <w:noProof/>
          <w:sz w:val="24"/>
          <w:szCs w:val="24"/>
        </w:rPr>
        <w:t xml:space="preserve">ensure enhanced support from </w:t>
      </w:r>
      <w:r w:rsidRPr="00C36F54">
        <w:rPr>
          <w:rFonts w:ascii="Times New Roman" w:hAnsi="Times New Roman" w:cs="Times New Roman"/>
          <w:b/>
          <w:bCs/>
          <w:noProof/>
          <w:sz w:val="24"/>
          <w:szCs w:val="24"/>
        </w:rPr>
        <w:t>private sector investment</w:t>
      </w:r>
      <w:r w:rsidRPr="00C36F54">
        <w:rPr>
          <w:rFonts w:ascii="Times New Roman" w:hAnsi="Times New Roman" w:cs="Times New Roman"/>
          <w:noProof/>
          <w:sz w:val="24"/>
          <w:szCs w:val="24"/>
        </w:rPr>
        <w:t xml:space="preserve">, including </w:t>
      </w:r>
      <w:r w:rsidR="00B35307">
        <w:rPr>
          <w:rFonts w:ascii="Times New Roman" w:hAnsi="Times New Roman" w:cs="Times New Roman"/>
          <w:noProof/>
          <w:sz w:val="24"/>
          <w:szCs w:val="24"/>
        </w:rPr>
        <w:t>with</w:t>
      </w:r>
      <w:r w:rsidRPr="00C36F54">
        <w:rPr>
          <w:rFonts w:ascii="Times New Roman" w:hAnsi="Times New Roman" w:cs="Times New Roman"/>
          <w:noProof/>
          <w:sz w:val="24"/>
          <w:szCs w:val="24"/>
        </w:rPr>
        <w:t xml:space="preserve"> support from the EIB</w:t>
      </w:r>
      <w:r w:rsidR="5D233E19" w:rsidRPr="64F71744">
        <w:rPr>
          <w:rFonts w:ascii="Times New Roman" w:hAnsi="Times New Roman" w:cs="Times New Roman"/>
          <w:noProof/>
          <w:sz w:val="24"/>
          <w:szCs w:val="24"/>
        </w:rPr>
        <w:t xml:space="preserve">, a key partner in accelerating the grid </w:t>
      </w:r>
      <w:r w:rsidR="5D233E19" w:rsidRPr="553633E9">
        <w:rPr>
          <w:rFonts w:ascii="Times New Roman" w:hAnsi="Times New Roman" w:cs="Times New Roman"/>
          <w:noProof/>
          <w:sz w:val="24"/>
          <w:szCs w:val="24"/>
        </w:rPr>
        <w:t>roll-out</w:t>
      </w:r>
      <w:r w:rsidR="0014696D" w:rsidRPr="553633E9">
        <w:rPr>
          <w:rFonts w:ascii="Times New Roman" w:hAnsi="Times New Roman" w:cs="Times New Roman"/>
          <w:noProof/>
          <w:sz w:val="24"/>
          <w:szCs w:val="24"/>
        </w:rPr>
        <w:t>.</w:t>
      </w:r>
    </w:p>
    <w:p w14:paraId="608F07F8" w14:textId="201EDA48"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For </w:t>
      </w:r>
      <w:r w:rsidRPr="00C36F54">
        <w:rPr>
          <w:rFonts w:ascii="Times New Roman" w:hAnsi="Times New Roman" w:cs="Times New Roman"/>
          <w:b/>
          <w:bCs/>
          <w:noProof/>
          <w:sz w:val="24"/>
          <w:szCs w:val="24"/>
        </w:rPr>
        <w:t>hydrogen</w:t>
      </w:r>
      <w:r w:rsidRPr="00C36F54">
        <w:rPr>
          <w:rFonts w:ascii="Times New Roman" w:hAnsi="Times New Roman" w:cs="Times New Roman"/>
          <w:noProof/>
          <w:sz w:val="24"/>
          <w:szCs w:val="24"/>
        </w:rPr>
        <w:t xml:space="preserve">, project development remains slow due to limited bankability and high risks across the value chain. </w:t>
      </w:r>
      <w:r w:rsidR="000A2A50">
        <w:rPr>
          <w:rFonts w:ascii="Times New Roman" w:hAnsi="Times New Roman" w:cs="Times New Roman"/>
          <w:noProof/>
          <w:sz w:val="24"/>
          <w:szCs w:val="24"/>
        </w:rPr>
        <w:t>To address this,</w:t>
      </w:r>
      <w:r w:rsidRPr="00C36F54">
        <w:rPr>
          <w:rFonts w:ascii="Times New Roman" w:hAnsi="Times New Roman" w:cs="Times New Roman"/>
          <w:noProof/>
          <w:sz w:val="24"/>
          <w:szCs w:val="24"/>
        </w:rPr>
        <w:t xml:space="preserve"> the </w:t>
      </w:r>
      <w:r w:rsidRPr="00C36F54">
        <w:rPr>
          <w:rFonts w:ascii="Times New Roman" w:hAnsi="Times New Roman" w:cs="Times New Roman"/>
          <w:b/>
          <w:bCs/>
          <w:noProof/>
          <w:sz w:val="24"/>
          <w:szCs w:val="24"/>
        </w:rPr>
        <w:t xml:space="preserve">Commission will assess and, where relevant, support the implementation of possible solutions, </w:t>
      </w:r>
      <w:r w:rsidRPr="00C36F54">
        <w:rPr>
          <w:rFonts w:ascii="Times New Roman" w:hAnsi="Times New Roman" w:cs="Times New Roman"/>
          <w:noProof/>
          <w:sz w:val="24"/>
          <w:szCs w:val="24"/>
        </w:rPr>
        <w:t>such as contracts for difference or cross-border coordination of regulatory tools,</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 xml:space="preserve">including as part of </w:t>
      </w:r>
      <w:r w:rsidRPr="00C36F54">
        <w:rPr>
          <w:rFonts w:ascii="Times New Roman" w:hAnsi="Times New Roman" w:cs="Times New Roman"/>
          <w:b/>
          <w:bCs/>
          <w:noProof/>
          <w:sz w:val="24"/>
          <w:szCs w:val="24"/>
        </w:rPr>
        <w:t xml:space="preserve">the regional High-level groups, </w:t>
      </w:r>
      <w:r w:rsidRPr="00C36F54">
        <w:rPr>
          <w:rFonts w:ascii="Times New Roman" w:hAnsi="Times New Roman" w:cs="Times New Roman"/>
          <w:noProof/>
          <w:sz w:val="24"/>
          <w:szCs w:val="24"/>
        </w:rPr>
        <w:t>to ensure</w:t>
      </w:r>
      <w:r w:rsidRPr="00C36F54">
        <w:rPr>
          <w:rFonts w:ascii="Times New Roman" w:hAnsi="Times New Roman" w:cs="Times New Roman"/>
          <w:b/>
          <w:bCs/>
          <w:noProof/>
          <w:sz w:val="24"/>
          <w:szCs w:val="24"/>
        </w:rPr>
        <w:t xml:space="preserve"> coordinated progress and help bridge financing gaps</w:t>
      </w:r>
      <w:r w:rsidRPr="00C36F54">
        <w:rPr>
          <w:rFonts w:ascii="Times New Roman" w:hAnsi="Times New Roman" w:cs="Times New Roman"/>
          <w:noProof/>
          <w:sz w:val="24"/>
          <w:szCs w:val="24"/>
        </w:rPr>
        <w:t xml:space="preserve">. </w:t>
      </w:r>
    </w:p>
    <w:p w14:paraId="6A31AACE" w14:textId="23859DD9" w:rsidR="00C36F54" w:rsidRPr="00C36F54" w:rsidRDefault="004A1ACA" w:rsidP="00C36F54">
      <w:pPr>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Fourth</w:t>
      </w:r>
      <w:r w:rsidR="00C36F54" w:rsidRPr="00C36F54">
        <w:rPr>
          <w:rFonts w:ascii="Times New Roman" w:eastAsia="Calibri" w:hAnsi="Times New Roman" w:cs="Times New Roman"/>
          <w:noProof/>
          <w:sz w:val="24"/>
          <w:szCs w:val="24"/>
        </w:rPr>
        <w:t xml:space="preserve">, </w:t>
      </w:r>
      <w:r w:rsidR="00C36F54" w:rsidRPr="00C36F54">
        <w:rPr>
          <w:rFonts w:ascii="Times New Roman" w:eastAsia="Calibri" w:hAnsi="Times New Roman" w:cs="Times New Roman"/>
          <w:b/>
          <w:bCs/>
          <w:noProof/>
          <w:sz w:val="24"/>
          <w:szCs w:val="24"/>
          <w:u w:val="single"/>
        </w:rPr>
        <w:t>strengthening the security and resilience of our energy infrastructure</w:t>
      </w:r>
      <w:r w:rsidR="00C36F54" w:rsidRPr="00C36F54">
        <w:rPr>
          <w:rFonts w:ascii="Times New Roman" w:eastAsia="Calibri" w:hAnsi="Times New Roman" w:cs="Times New Roman"/>
          <w:noProof/>
          <w:sz w:val="24"/>
          <w:szCs w:val="24"/>
        </w:rPr>
        <w:t xml:space="preserve"> is critical in today’s geopolitical context and in light of increasing climate-related risks. Recent incidents in the Baltic Sea, including damages to the Balticconnector and Estlink 2, highlight the vulnerabilities of cross</w:t>
      </w:r>
      <w:r w:rsidR="00C36F54">
        <w:rPr>
          <w:rFonts w:ascii="Times New Roman" w:eastAsia="Calibri" w:hAnsi="Times New Roman" w:cs="Times New Roman"/>
          <w:noProof/>
          <w:sz w:val="24"/>
          <w:szCs w:val="24"/>
        </w:rPr>
        <w:t>-</w:t>
      </w:r>
      <w:r w:rsidR="00C36F54" w:rsidRPr="00C36F54">
        <w:rPr>
          <w:rFonts w:ascii="Times New Roman" w:eastAsia="Calibri" w:hAnsi="Times New Roman" w:cs="Times New Roman"/>
          <w:noProof/>
          <w:sz w:val="24"/>
          <w:szCs w:val="24"/>
        </w:rPr>
        <w:t>border energy assets, while climate-related events and accidental disruptions remain significant risks to our security of supply.</w:t>
      </w:r>
    </w:p>
    <w:p w14:paraId="0E728864" w14:textId="3EBFA2F7" w:rsidR="00C36F54" w:rsidRPr="00C36F54" w:rsidRDefault="00C36F54" w:rsidP="00C36F54">
      <w:pPr>
        <w:spacing w:after="0" w:line="240" w:lineRule="auto"/>
        <w:jc w:val="both"/>
        <w:rPr>
          <w:rFonts w:ascii="Times New Roman" w:eastAsia="Times New Roman" w:hAnsi="Times New Roman" w:cs="Times New Roman"/>
          <w:noProof/>
          <w:kern w:val="0"/>
          <w:sz w:val="24"/>
          <w:szCs w:val="24"/>
          <w14:ligatures w14:val="none"/>
        </w:rPr>
      </w:pPr>
      <w:r w:rsidRPr="00C36F54">
        <w:rPr>
          <w:rFonts w:ascii="Times New Roman" w:eastAsia="Times New Roman" w:hAnsi="Times New Roman" w:cs="Times New Roman"/>
          <w:noProof/>
          <w:kern w:val="0"/>
          <w:sz w:val="24"/>
          <w:szCs w:val="24"/>
          <w14:ligatures w14:val="none"/>
        </w:rPr>
        <w:t>To safeguard the EU's energy independence, the Grids Package integra</w:t>
      </w:r>
      <w:r w:rsidR="00D47A8C">
        <w:rPr>
          <w:rFonts w:ascii="Times New Roman" w:eastAsia="Times New Roman" w:hAnsi="Times New Roman" w:cs="Times New Roman"/>
          <w:noProof/>
          <w:kern w:val="0"/>
          <w:sz w:val="24"/>
          <w:szCs w:val="24"/>
          <w14:ligatures w14:val="none"/>
        </w:rPr>
        <w:t>tes</w:t>
      </w:r>
      <w:r w:rsidR="00F72876" w:rsidRPr="7D5B2916">
        <w:rPr>
          <w:rFonts w:ascii="Times New Roman" w:eastAsia="Times New Roman" w:hAnsi="Times New Roman" w:cs="Times New Roman"/>
          <w:noProof/>
          <w:sz w:val="24"/>
          <w:szCs w:val="24"/>
        </w:rPr>
        <w:t xml:space="preserve"> physical and cyber</w:t>
      </w:r>
      <w:r w:rsidRPr="00C36F54">
        <w:rPr>
          <w:rFonts w:ascii="Times New Roman" w:eastAsia="Times New Roman" w:hAnsi="Times New Roman" w:cs="Times New Roman"/>
          <w:noProof/>
          <w:kern w:val="0"/>
          <w:sz w:val="24"/>
          <w:szCs w:val="24"/>
          <w14:ligatures w14:val="none"/>
        </w:rPr>
        <w:t xml:space="preserve"> security considerations into cross-border project planning from the start</w:t>
      </w:r>
      <w:r w:rsidR="00AA02B5">
        <w:rPr>
          <w:rFonts w:ascii="Times New Roman" w:eastAsia="Times New Roman" w:hAnsi="Times New Roman" w:cs="Times New Roman"/>
          <w:noProof/>
          <w:kern w:val="0"/>
          <w:sz w:val="24"/>
          <w:szCs w:val="24"/>
          <w14:ligatures w14:val="none"/>
        </w:rPr>
        <w:t>, promoting resilience</w:t>
      </w:r>
      <w:r w:rsidR="005603A7" w:rsidRPr="7D5B2916">
        <w:rPr>
          <w:rFonts w:ascii="Times New Roman" w:eastAsia="Times New Roman" w:hAnsi="Times New Roman" w:cs="Times New Roman"/>
          <w:noProof/>
          <w:sz w:val="24"/>
          <w:szCs w:val="24"/>
        </w:rPr>
        <w:t xml:space="preserve"> and security</w:t>
      </w:r>
      <w:r w:rsidR="00AA02B5">
        <w:rPr>
          <w:rFonts w:ascii="Times New Roman" w:eastAsia="Times New Roman" w:hAnsi="Times New Roman" w:cs="Times New Roman"/>
          <w:noProof/>
          <w:kern w:val="0"/>
          <w:sz w:val="24"/>
          <w:szCs w:val="24"/>
          <w14:ligatures w14:val="none"/>
        </w:rPr>
        <w:t xml:space="preserve"> by design for new infrastructure</w:t>
      </w:r>
      <w:r w:rsidRPr="00C36F54">
        <w:rPr>
          <w:rFonts w:ascii="Times New Roman" w:eastAsia="Times New Roman" w:hAnsi="Times New Roman" w:cs="Times New Roman"/>
          <w:noProof/>
          <w:kern w:val="0"/>
          <w:sz w:val="24"/>
          <w:szCs w:val="24"/>
          <w14:ligatures w14:val="none"/>
        </w:rPr>
        <w:t xml:space="preserve">, enhances transparency in ownership to avoid dependency on </w:t>
      </w:r>
      <w:r w:rsidR="005603A7" w:rsidRPr="7D5B2916">
        <w:rPr>
          <w:rFonts w:ascii="Times New Roman" w:eastAsia="Times New Roman" w:hAnsi="Times New Roman" w:cs="Times New Roman"/>
          <w:noProof/>
          <w:sz w:val="24"/>
          <w:szCs w:val="24"/>
        </w:rPr>
        <w:t>high</w:t>
      </w:r>
      <w:r w:rsidR="000F064D" w:rsidRPr="7D5B2916">
        <w:rPr>
          <w:rFonts w:ascii="Times New Roman" w:eastAsia="Times New Roman" w:hAnsi="Times New Roman" w:cs="Times New Roman"/>
          <w:noProof/>
          <w:sz w:val="24"/>
          <w:szCs w:val="24"/>
        </w:rPr>
        <w:t>-</w:t>
      </w:r>
      <w:r w:rsidR="005603A7" w:rsidRPr="7D5B2916">
        <w:rPr>
          <w:rFonts w:ascii="Times New Roman" w:eastAsia="Times New Roman" w:hAnsi="Times New Roman" w:cs="Times New Roman"/>
          <w:noProof/>
          <w:sz w:val="24"/>
          <w:szCs w:val="24"/>
        </w:rPr>
        <w:t xml:space="preserve">risk </w:t>
      </w:r>
      <w:r w:rsidRPr="00C36F54">
        <w:rPr>
          <w:rFonts w:ascii="Times New Roman" w:eastAsia="Times New Roman" w:hAnsi="Times New Roman" w:cs="Times New Roman"/>
          <w:noProof/>
          <w:kern w:val="0"/>
          <w:sz w:val="24"/>
          <w:szCs w:val="24"/>
          <w14:ligatures w14:val="none"/>
        </w:rPr>
        <w:t>foreign entities, and ensures existing infrastructure</w:t>
      </w:r>
      <w:r w:rsidR="009A21E1" w:rsidRPr="7D5B2916">
        <w:rPr>
          <w:rFonts w:ascii="Times New Roman" w:eastAsia="Times New Roman" w:hAnsi="Times New Roman" w:cs="Times New Roman"/>
          <w:noProof/>
          <w:sz w:val="24"/>
          <w:szCs w:val="24"/>
        </w:rPr>
        <w:t xml:space="preserve"> physical and cyber</w:t>
      </w:r>
      <w:r w:rsidRPr="00C36F54">
        <w:rPr>
          <w:rFonts w:ascii="Times New Roman" w:eastAsia="Times New Roman" w:hAnsi="Times New Roman" w:cs="Times New Roman"/>
          <w:noProof/>
          <w:kern w:val="0"/>
          <w:sz w:val="24"/>
          <w:szCs w:val="24"/>
          <w14:ligatures w14:val="none"/>
        </w:rPr>
        <w:t xml:space="preserve"> security</w:t>
      </w:r>
      <w:r w:rsidR="005603A7" w:rsidRPr="7D5B2916">
        <w:rPr>
          <w:rFonts w:ascii="Times New Roman" w:eastAsia="Times New Roman" w:hAnsi="Times New Roman" w:cs="Times New Roman"/>
          <w:noProof/>
          <w:sz w:val="24"/>
          <w:szCs w:val="24"/>
        </w:rPr>
        <w:t xml:space="preserve"> and resilience</w:t>
      </w:r>
      <w:r w:rsidRPr="00C36F54">
        <w:rPr>
          <w:rFonts w:ascii="Times New Roman" w:eastAsia="Times New Roman" w:hAnsi="Times New Roman" w:cs="Times New Roman"/>
          <w:noProof/>
          <w:kern w:val="0"/>
          <w:sz w:val="24"/>
          <w:szCs w:val="24"/>
          <w14:ligatures w14:val="none"/>
        </w:rPr>
        <w:t xml:space="preserve"> enhancements are eligible for CEF financing while preventing overlaps with other EU financing support.</w:t>
      </w:r>
      <w:r>
        <w:rPr>
          <w:noProof/>
        </w:rPr>
        <w:t xml:space="preserve"> </w:t>
      </w:r>
      <w:r>
        <w:rPr>
          <w:rFonts w:ascii="Times New Roman" w:eastAsia="Times New Roman" w:hAnsi="Times New Roman" w:cs="Times New Roman"/>
          <w:noProof/>
          <w:kern w:val="0"/>
          <w:sz w:val="24"/>
          <w:szCs w:val="24"/>
          <w14:ligatures w14:val="none"/>
        </w:rPr>
        <w:t>In addition, building on the Cable Security Action plan, the Commission will continue its work through Regional Cable Hubs and strengthen the application of the Cable Security Toolbox.</w:t>
      </w:r>
      <w:r>
        <w:rPr>
          <w:rStyle w:val="FootnoteReference"/>
          <w:rFonts w:ascii="Times New Roman" w:eastAsia="Times New Roman" w:hAnsi="Times New Roman" w:cs="Times New Roman"/>
          <w:noProof/>
          <w:kern w:val="0"/>
          <w:sz w:val="24"/>
          <w:szCs w:val="24"/>
          <w14:ligatures w14:val="none"/>
        </w:rPr>
        <w:footnoteReference w:id="31"/>
      </w:r>
    </w:p>
    <w:p w14:paraId="5AE718DA" w14:textId="77777777" w:rsidR="00C36F54" w:rsidRPr="00C36F54" w:rsidRDefault="00C36F54" w:rsidP="00C36F54">
      <w:pPr>
        <w:spacing w:after="0" w:line="240" w:lineRule="auto"/>
        <w:rPr>
          <w:rFonts w:ascii="Times New Roman" w:eastAsia="Times New Roman" w:hAnsi="Times New Roman" w:cs="Times New Roman"/>
          <w:noProof/>
          <w:kern w:val="0"/>
          <w:sz w:val="24"/>
          <w:szCs w:val="24"/>
          <w14:ligatures w14:val="none"/>
        </w:rPr>
      </w:pPr>
    </w:p>
    <w:p w14:paraId="6EB149B2" w14:textId="77777777" w:rsidR="00C36F54" w:rsidRPr="00C36F54" w:rsidRDefault="00C36F54" w:rsidP="00C36F54">
      <w:pPr>
        <w:spacing w:after="0" w:line="240" w:lineRule="auto"/>
        <w:jc w:val="both"/>
        <w:rPr>
          <w:rFonts w:ascii="Times New Roman" w:eastAsia="Times New Roman" w:hAnsi="Times New Roman" w:cs="Times New Roman"/>
          <w:b/>
          <w:bCs/>
          <w:noProof/>
          <w:kern w:val="0"/>
          <w:sz w:val="24"/>
          <w:szCs w:val="24"/>
          <w14:ligatures w14:val="none"/>
        </w:rPr>
      </w:pPr>
      <w:r w:rsidRPr="00C36F54">
        <w:rPr>
          <w:rFonts w:ascii="Times New Roman" w:eastAsia="Times New Roman" w:hAnsi="Times New Roman" w:cs="Times New Roman"/>
          <w:b/>
          <w:bCs/>
          <w:noProof/>
          <w:kern w:val="0"/>
          <w:sz w:val="24"/>
          <w:szCs w:val="24"/>
          <w14:ligatures w14:val="none"/>
        </w:rPr>
        <w:t xml:space="preserve">3. Eight priorities for Europe’s energy backbone: the Energy Highways Initiative </w:t>
      </w:r>
    </w:p>
    <w:p w14:paraId="22651E16" w14:textId="77777777" w:rsidR="00C36F54" w:rsidRPr="00C36F54" w:rsidRDefault="00C36F54" w:rsidP="00C36F54">
      <w:pPr>
        <w:spacing w:after="0" w:line="240" w:lineRule="auto"/>
        <w:jc w:val="both"/>
        <w:rPr>
          <w:rFonts w:ascii="Times New Roman" w:eastAsia="Times New Roman" w:hAnsi="Times New Roman" w:cs="Times New Roman"/>
          <w:noProof/>
          <w:kern w:val="0"/>
          <w:sz w:val="24"/>
          <w:szCs w:val="24"/>
          <w14:ligatures w14:val="none"/>
        </w:rPr>
      </w:pPr>
    </w:p>
    <w:p w14:paraId="1249CBA6" w14:textId="0D236C59" w:rsidR="003F013A" w:rsidRDefault="00C36F54" w:rsidP="00C36F54">
      <w:pPr>
        <w:jc w:val="both"/>
        <w:rPr>
          <w:rFonts w:ascii="Times New Roman" w:hAnsi="Times New Roman" w:cs="Times New Roman"/>
          <w:noProof/>
          <w:sz w:val="24"/>
          <w:szCs w:val="24"/>
        </w:rPr>
      </w:pPr>
      <w:r w:rsidRPr="311E35B0">
        <w:rPr>
          <w:rFonts w:ascii="Times New Roman" w:hAnsi="Times New Roman" w:cs="Times New Roman"/>
          <w:noProof/>
          <w:sz w:val="24"/>
          <w:szCs w:val="24"/>
        </w:rPr>
        <w:t>In her State of the Union address on 10 September 2025, President von der Leyen announced eight “</w:t>
      </w:r>
      <w:r w:rsidRPr="311E35B0">
        <w:rPr>
          <w:rFonts w:ascii="Times New Roman" w:hAnsi="Times New Roman" w:cs="Times New Roman"/>
          <w:b/>
          <w:bCs/>
          <w:noProof/>
          <w:sz w:val="24"/>
          <w:szCs w:val="24"/>
        </w:rPr>
        <w:t>Energy Highways</w:t>
      </w:r>
      <w:r w:rsidRPr="311E35B0">
        <w:rPr>
          <w:rFonts w:ascii="Times New Roman" w:hAnsi="Times New Roman" w:cs="Times New Roman"/>
          <w:noProof/>
          <w:sz w:val="24"/>
          <w:szCs w:val="24"/>
        </w:rPr>
        <w:t xml:space="preserve">”. Building on existing PCIs and PMIs under the TEN-E </w:t>
      </w:r>
      <w:r w:rsidRPr="311E35B0">
        <w:rPr>
          <w:rFonts w:ascii="Times New Roman" w:hAnsi="Times New Roman" w:cs="Times New Roman"/>
          <w:noProof/>
          <w:sz w:val="24"/>
          <w:szCs w:val="24"/>
        </w:rPr>
        <w:lastRenderedPageBreak/>
        <w:t xml:space="preserve">framework, as well as flagship projects referred to in the Affordable Energy Action Plan, the Energy Highways address the </w:t>
      </w:r>
      <w:r w:rsidRPr="311E35B0">
        <w:rPr>
          <w:rFonts w:ascii="Times New Roman" w:hAnsi="Times New Roman" w:cs="Times New Roman"/>
          <w:b/>
          <w:bCs/>
          <w:noProof/>
          <w:sz w:val="24"/>
          <w:szCs w:val="24"/>
        </w:rPr>
        <w:t xml:space="preserve">most urgent energy infrastructure needs that require </w:t>
      </w:r>
      <w:r w:rsidR="422DC438" w:rsidRPr="311E35B0">
        <w:rPr>
          <w:rFonts w:ascii="Times New Roman" w:hAnsi="Times New Roman" w:cs="Times New Roman"/>
          <w:b/>
          <w:bCs/>
          <w:noProof/>
          <w:sz w:val="24"/>
          <w:szCs w:val="24"/>
        </w:rPr>
        <w:t xml:space="preserve">particular </w:t>
      </w:r>
      <w:r w:rsidRPr="311E35B0">
        <w:rPr>
          <w:rFonts w:ascii="Times New Roman" w:hAnsi="Times New Roman" w:cs="Times New Roman"/>
          <w:b/>
          <w:bCs/>
          <w:noProof/>
          <w:sz w:val="24"/>
          <w:szCs w:val="24"/>
        </w:rPr>
        <w:t>additional short-term support and commitment for implementation to address bottlenecks that hinder progress</w:t>
      </w:r>
      <w:r w:rsidR="00A61F60">
        <w:rPr>
          <w:rFonts w:ascii="Times New Roman" w:hAnsi="Times New Roman" w:cs="Times New Roman"/>
          <w:noProof/>
          <w:sz w:val="24"/>
          <w:szCs w:val="24"/>
        </w:rPr>
        <w:t>.</w:t>
      </w:r>
      <w:r w:rsidR="00194A2E">
        <w:rPr>
          <w:rStyle w:val="FootnoteReference"/>
          <w:rFonts w:ascii="Times New Roman" w:hAnsi="Times New Roman" w:cs="Times New Roman"/>
          <w:noProof/>
          <w:sz w:val="24"/>
          <w:szCs w:val="24"/>
        </w:rPr>
        <w:footnoteReference w:id="32"/>
      </w:r>
      <w:r w:rsidR="00CF3473">
        <w:rPr>
          <w:rFonts w:ascii="Times New Roman" w:hAnsi="Times New Roman" w:cs="Times New Roman"/>
          <w:noProof/>
          <w:sz w:val="24"/>
          <w:szCs w:val="24"/>
        </w:rPr>
        <w:t xml:space="preserve"> </w:t>
      </w:r>
    </w:p>
    <w:p w14:paraId="1C40058A" w14:textId="1384F8C5" w:rsidR="00C36F54" w:rsidRPr="00C36F54" w:rsidRDefault="00C36F54" w:rsidP="00C36F54">
      <w:pPr>
        <w:jc w:val="both"/>
        <w:rPr>
          <w:rFonts w:ascii="Times New Roman" w:hAnsi="Times New Roman" w:cs="Times New Roman"/>
          <w:noProof/>
          <w:sz w:val="24"/>
          <w:szCs w:val="24"/>
        </w:rPr>
      </w:pPr>
      <w:r w:rsidRPr="311E35B0">
        <w:rPr>
          <w:rFonts w:ascii="Times New Roman" w:hAnsi="Times New Roman" w:cs="Times New Roman"/>
          <w:noProof/>
          <w:sz w:val="24"/>
          <w:szCs w:val="24"/>
        </w:rPr>
        <w:t xml:space="preserve">The Energy Highways will enhance energy security, reduce reliance on fossil fuels, integrate more renewables into the grid, promote electrification, decrease energy prices, accelerate the implementation of REPowerEU and help Member States adapt to the phase-out of Russian fossil fuel imports. Many of </w:t>
      </w:r>
      <w:r w:rsidR="00B75C99">
        <w:rPr>
          <w:rFonts w:ascii="Times New Roman" w:hAnsi="Times New Roman" w:cs="Times New Roman"/>
          <w:noProof/>
          <w:sz w:val="24"/>
          <w:szCs w:val="24"/>
        </w:rPr>
        <w:t>the Energy Highways</w:t>
      </w:r>
      <w:r w:rsidR="00B75C99" w:rsidRPr="311E35B0">
        <w:rPr>
          <w:rFonts w:ascii="Times New Roman" w:hAnsi="Times New Roman" w:cs="Times New Roman"/>
          <w:noProof/>
          <w:sz w:val="24"/>
          <w:szCs w:val="24"/>
        </w:rPr>
        <w:t xml:space="preserve"> </w:t>
      </w:r>
      <w:r w:rsidRPr="311E35B0">
        <w:rPr>
          <w:rFonts w:ascii="Times New Roman" w:hAnsi="Times New Roman" w:cs="Times New Roman"/>
          <w:noProof/>
          <w:sz w:val="24"/>
          <w:szCs w:val="24"/>
        </w:rPr>
        <w:t>h</w:t>
      </w:r>
      <w:r w:rsidR="00B75C99">
        <w:rPr>
          <w:rFonts w:ascii="Times New Roman" w:hAnsi="Times New Roman" w:cs="Times New Roman"/>
          <w:noProof/>
          <w:sz w:val="24"/>
          <w:szCs w:val="24"/>
        </w:rPr>
        <w:t>old</w:t>
      </w:r>
      <w:r w:rsidRPr="311E35B0">
        <w:rPr>
          <w:rFonts w:ascii="Times New Roman" w:hAnsi="Times New Roman" w:cs="Times New Roman"/>
          <w:noProof/>
          <w:sz w:val="24"/>
          <w:szCs w:val="24"/>
        </w:rPr>
        <w:t xml:space="preserve"> PCI or PMI status </w:t>
      </w:r>
      <w:r w:rsidR="00FC4EA7">
        <w:rPr>
          <w:rFonts w:ascii="Times New Roman" w:hAnsi="Times New Roman" w:cs="Times New Roman"/>
          <w:noProof/>
          <w:sz w:val="24"/>
          <w:szCs w:val="24"/>
        </w:rPr>
        <w:t>in</w:t>
      </w:r>
      <w:r w:rsidRPr="311E35B0">
        <w:rPr>
          <w:rFonts w:ascii="Times New Roman" w:hAnsi="Times New Roman" w:cs="Times New Roman"/>
          <w:noProof/>
          <w:sz w:val="24"/>
          <w:szCs w:val="24"/>
        </w:rPr>
        <w:t xml:space="preserve"> the </w:t>
      </w:r>
      <w:r w:rsidR="001A4289">
        <w:rPr>
          <w:rFonts w:ascii="Times New Roman" w:hAnsi="Times New Roman" w:cs="Times New Roman"/>
          <w:noProof/>
          <w:sz w:val="24"/>
          <w:szCs w:val="24"/>
        </w:rPr>
        <w:t>second Union</w:t>
      </w:r>
      <w:r w:rsidR="001A4289" w:rsidRPr="311E35B0">
        <w:rPr>
          <w:rFonts w:ascii="Times New Roman" w:hAnsi="Times New Roman" w:cs="Times New Roman"/>
          <w:noProof/>
          <w:sz w:val="24"/>
          <w:szCs w:val="24"/>
        </w:rPr>
        <w:t xml:space="preserve"> </w:t>
      </w:r>
      <w:r w:rsidRPr="311E35B0">
        <w:rPr>
          <w:rFonts w:ascii="Times New Roman" w:hAnsi="Times New Roman" w:cs="Times New Roman"/>
          <w:noProof/>
          <w:sz w:val="24"/>
          <w:szCs w:val="24"/>
        </w:rPr>
        <w:t>list</w:t>
      </w:r>
      <w:r w:rsidR="001A4289">
        <w:rPr>
          <w:rFonts w:ascii="Times New Roman" w:hAnsi="Times New Roman" w:cs="Times New Roman"/>
          <w:noProof/>
          <w:sz w:val="24"/>
          <w:szCs w:val="24"/>
        </w:rPr>
        <w:t xml:space="preserve"> of PCIs and PMIs</w:t>
      </w:r>
      <w:r w:rsidRPr="311E35B0">
        <w:rPr>
          <w:rFonts w:ascii="Times New Roman" w:hAnsi="Times New Roman" w:cs="Times New Roman"/>
          <w:noProof/>
          <w:sz w:val="24"/>
          <w:szCs w:val="24"/>
        </w:rPr>
        <w:t xml:space="preserve"> published</w:t>
      </w:r>
      <w:r w:rsidR="004F2D11">
        <w:rPr>
          <w:rFonts w:ascii="Times New Roman" w:hAnsi="Times New Roman" w:cs="Times New Roman"/>
          <w:noProof/>
          <w:sz w:val="24"/>
          <w:szCs w:val="24"/>
        </w:rPr>
        <w:t xml:space="preserve"> o</w:t>
      </w:r>
      <w:r w:rsidR="00FC4EA7">
        <w:rPr>
          <w:rFonts w:ascii="Times New Roman" w:hAnsi="Times New Roman" w:cs="Times New Roman"/>
          <w:noProof/>
          <w:sz w:val="24"/>
          <w:szCs w:val="24"/>
        </w:rPr>
        <w:t>n 1</w:t>
      </w:r>
      <w:r w:rsidR="004F2D11">
        <w:rPr>
          <w:rFonts w:ascii="Times New Roman" w:hAnsi="Times New Roman" w:cs="Times New Roman"/>
          <w:noProof/>
          <w:sz w:val="24"/>
          <w:szCs w:val="24"/>
        </w:rPr>
        <w:t xml:space="preserve"> December 2025</w:t>
      </w:r>
      <w:r w:rsidR="001A4289">
        <w:rPr>
          <w:rFonts w:ascii="Times New Roman" w:hAnsi="Times New Roman" w:cs="Times New Roman"/>
          <w:noProof/>
          <w:sz w:val="24"/>
          <w:szCs w:val="24"/>
        </w:rPr>
        <w:t xml:space="preserve">, which </w:t>
      </w:r>
      <w:r w:rsidR="00FC4EA7">
        <w:rPr>
          <w:rFonts w:ascii="Times New Roman" w:hAnsi="Times New Roman" w:cs="Times New Roman"/>
          <w:noProof/>
          <w:sz w:val="24"/>
          <w:szCs w:val="24"/>
        </w:rPr>
        <w:t>features</w:t>
      </w:r>
      <w:r w:rsidR="001A4289">
        <w:rPr>
          <w:rFonts w:ascii="Times New Roman" w:hAnsi="Times New Roman" w:cs="Times New Roman"/>
          <w:noProof/>
          <w:sz w:val="24"/>
          <w:szCs w:val="24"/>
        </w:rPr>
        <w:t xml:space="preserve"> 235 cross-border energy infrastructure projects </w:t>
      </w:r>
      <w:r w:rsidR="000E7EED">
        <w:rPr>
          <w:rFonts w:ascii="Times New Roman" w:hAnsi="Times New Roman" w:cs="Times New Roman"/>
          <w:noProof/>
          <w:sz w:val="24"/>
          <w:szCs w:val="24"/>
        </w:rPr>
        <w:t>within the EU and with third-country partners</w:t>
      </w:r>
      <w:r w:rsidR="00CC58F1">
        <w:rPr>
          <w:rFonts w:ascii="Times New Roman" w:hAnsi="Times New Roman" w:cs="Times New Roman"/>
          <w:noProof/>
          <w:sz w:val="24"/>
          <w:szCs w:val="24"/>
        </w:rPr>
        <w:t xml:space="preserve"> </w:t>
      </w:r>
      <w:r w:rsidR="00075E23">
        <w:rPr>
          <w:rFonts w:ascii="Times New Roman" w:hAnsi="Times New Roman" w:cs="Times New Roman"/>
          <w:noProof/>
          <w:sz w:val="24"/>
          <w:szCs w:val="24"/>
        </w:rPr>
        <w:t>such as the Celtic</w:t>
      </w:r>
      <w:r w:rsidR="00883737">
        <w:rPr>
          <w:rFonts w:ascii="Times New Roman" w:hAnsi="Times New Roman" w:cs="Times New Roman"/>
          <w:noProof/>
          <w:sz w:val="24"/>
          <w:szCs w:val="24"/>
        </w:rPr>
        <w:t xml:space="preserve"> Interconnector, the Black Sea Interconnection Cable</w:t>
      </w:r>
      <w:r w:rsidR="00614FE6">
        <w:rPr>
          <w:rFonts w:ascii="Times New Roman" w:hAnsi="Times New Roman" w:cs="Times New Roman"/>
          <w:noProof/>
          <w:sz w:val="24"/>
          <w:szCs w:val="24"/>
        </w:rPr>
        <w:t>, Estlink 3</w:t>
      </w:r>
      <w:r w:rsidR="005140D6">
        <w:rPr>
          <w:rFonts w:ascii="Times New Roman" w:hAnsi="Times New Roman" w:cs="Times New Roman"/>
          <w:noProof/>
          <w:sz w:val="24"/>
          <w:szCs w:val="24"/>
        </w:rPr>
        <w:t xml:space="preserve">. </w:t>
      </w:r>
      <w:r w:rsidR="00230BD5">
        <w:rPr>
          <w:rFonts w:ascii="Times New Roman" w:hAnsi="Times New Roman" w:cs="Times New Roman"/>
          <w:noProof/>
          <w:sz w:val="24"/>
          <w:szCs w:val="24"/>
        </w:rPr>
        <w:t>Under</w:t>
      </w:r>
      <w:r w:rsidR="005140D6">
        <w:rPr>
          <w:rFonts w:ascii="Times New Roman" w:hAnsi="Times New Roman" w:cs="Times New Roman"/>
          <w:noProof/>
          <w:sz w:val="24"/>
          <w:szCs w:val="24"/>
        </w:rPr>
        <w:t xml:space="preserve"> the TEN-E </w:t>
      </w:r>
      <w:r w:rsidR="00230BD5">
        <w:rPr>
          <w:rFonts w:ascii="Times New Roman" w:hAnsi="Times New Roman" w:cs="Times New Roman"/>
          <w:noProof/>
          <w:sz w:val="24"/>
          <w:szCs w:val="24"/>
        </w:rPr>
        <w:t>framework</w:t>
      </w:r>
      <w:r w:rsidR="005140D6">
        <w:rPr>
          <w:rFonts w:ascii="Times New Roman" w:hAnsi="Times New Roman" w:cs="Times New Roman"/>
          <w:noProof/>
          <w:sz w:val="24"/>
          <w:szCs w:val="24"/>
        </w:rPr>
        <w:t xml:space="preserve">, all PCIs and PMIs in the Union list </w:t>
      </w:r>
      <w:r w:rsidR="000E7EED">
        <w:rPr>
          <w:rFonts w:ascii="Times New Roman" w:hAnsi="Times New Roman" w:cs="Times New Roman"/>
          <w:noProof/>
          <w:sz w:val="24"/>
          <w:szCs w:val="24"/>
        </w:rPr>
        <w:t xml:space="preserve">benefit from </w:t>
      </w:r>
      <w:r w:rsidR="00CA7C6F">
        <w:rPr>
          <w:rFonts w:ascii="Times New Roman" w:hAnsi="Times New Roman" w:cs="Times New Roman"/>
          <w:noProof/>
          <w:sz w:val="24"/>
          <w:szCs w:val="24"/>
        </w:rPr>
        <w:t xml:space="preserve">several advantages, including </w:t>
      </w:r>
      <w:r w:rsidR="000B6DBF" w:rsidRPr="000B6DBF">
        <w:rPr>
          <w:rFonts w:ascii="Times New Roman" w:hAnsi="Times New Roman" w:cs="Times New Roman"/>
          <w:noProof/>
          <w:sz w:val="24"/>
          <w:szCs w:val="24"/>
        </w:rPr>
        <w:t>priority status and streamlined permit granting procedures</w:t>
      </w:r>
      <w:r w:rsidR="000B6DBF">
        <w:rPr>
          <w:rFonts w:ascii="Times New Roman" w:hAnsi="Times New Roman" w:cs="Times New Roman"/>
          <w:noProof/>
          <w:sz w:val="24"/>
          <w:szCs w:val="24"/>
        </w:rPr>
        <w:t xml:space="preserve"> as well as eligibility to apply for financial assistance under the Connecting Europe Facility</w:t>
      </w:r>
      <w:r w:rsidRPr="311E35B0">
        <w:rPr>
          <w:rFonts w:ascii="Times New Roman" w:hAnsi="Times New Roman" w:cs="Times New Roman"/>
          <w:noProof/>
          <w:sz w:val="24"/>
          <w:szCs w:val="24"/>
        </w:rPr>
        <w:t>.</w:t>
      </w:r>
    </w:p>
    <w:p w14:paraId="5F2146EA" w14:textId="288C2A61" w:rsidR="00C36F54" w:rsidRPr="00C36F54" w:rsidRDefault="0062354D" w:rsidP="0010381B">
      <w:pPr>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2442A441" wp14:editId="16116186">
            <wp:extent cx="3838353" cy="3917714"/>
            <wp:effectExtent l="0" t="0" r="0" b="6985"/>
            <wp:docPr id="798509492" name="Picture 2" descr="A map of europe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09492" name="Picture 2" descr="A map of europe with different colored line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43871" cy="3923346"/>
                    </a:xfrm>
                    <a:prstGeom prst="rect">
                      <a:avLst/>
                    </a:prstGeom>
                    <a:noFill/>
                    <a:ln>
                      <a:noFill/>
                    </a:ln>
                  </pic:spPr>
                </pic:pic>
              </a:graphicData>
            </a:graphic>
          </wp:inline>
        </w:drawing>
      </w:r>
    </w:p>
    <w:p w14:paraId="1AAA594D" w14:textId="69306257" w:rsidR="00C36F54" w:rsidRPr="00C36F54" w:rsidRDefault="00C36F54" w:rsidP="7D5B2916">
      <w:pPr>
        <w:jc w:val="center"/>
        <w:rPr>
          <w:rFonts w:ascii="Times New Roman" w:hAnsi="Times New Roman" w:cs="Times New Roman"/>
          <w:i/>
          <w:iCs/>
          <w:noProof/>
          <w:sz w:val="20"/>
          <w:szCs w:val="20"/>
        </w:rPr>
      </w:pPr>
      <w:r w:rsidRPr="7D5B2916">
        <w:rPr>
          <w:rFonts w:ascii="Times New Roman" w:hAnsi="Times New Roman" w:cs="Times New Roman"/>
          <w:i/>
          <w:iCs/>
          <w:noProof/>
          <w:sz w:val="20"/>
          <w:szCs w:val="20"/>
        </w:rPr>
        <w:t xml:space="preserve">Figure 1: Map of the Eight Energy Highways </w:t>
      </w:r>
    </w:p>
    <w:p w14:paraId="14308DBB"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1. Pyrenean crossing 1 and Pyrenean crossing 2 [</w:t>
      </w:r>
      <w:r w:rsidRPr="00C36F54">
        <w:rPr>
          <w:rFonts w:ascii="Times New Roman" w:hAnsi="Times New Roman" w:cs="Times New Roman"/>
          <w:i/>
          <w:iCs/>
          <w:noProof/>
          <w:sz w:val="24"/>
          <w:szCs w:val="24"/>
        </w:rPr>
        <w:t>Better integrate the Iberian Peninsula with power interconnectors across the Pyrenees to France</w:t>
      </w:r>
      <w:r w:rsidRPr="00C36F54">
        <w:rPr>
          <w:rFonts w:ascii="Times New Roman" w:hAnsi="Times New Roman" w:cs="Times New Roman"/>
          <w:noProof/>
          <w:sz w:val="24"/>
          <w:szCs w:val="24"/>
        </w:rPr>
        <w:t>]</w:t>
      </w:r>
    </w:p>
    <w:p w14:paraId="25B9FF99"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2. Great Sea Interconnector [</w:t>
      </w:r>
      <w:r w:rsidRPr="00C36F54">
        <w:rPr>
          <w:rFonts w:ascii="Times New Roman" w:hAnsi="Times New Roman" w:cs="Times New Roman"/>
          <w:i/>
          <w:iCs/>
          <w:noProof/>
          <w:sz w:val="24"/>
          <w:szCs w:val="24"/>
        </w:rPr>
        <w:t>Connect Cyprus with continental Europe to end its electricity isolation</w:t>
      </w:r>
      <w:r w:rsidRPr="00C36F54">
        <w:rPr>
          <w:rFonts w:ascii="Times New Roman" w:hAnsi="Times New Roman" w:cs="Times New Roman"/>
          <w:noProof/>
          <w:sz w:val="24"/>
          <w:szCs w:val="24"/>
        </w:rPr>
        <w:t>]</w:t>
      </w:r>
    </w:p>
    <w:p w14:paraId="6B8F610D"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lastRenderedPageBreak/>
        <w:t>3. Harmony Link</w:t>
      </w:r>
      <w:r w:rsidRPr="00C36F54" w:rsidDel="00D17877">
        <w:rPr>
          <w:rFonts w:ascii="Times New Roman" w:hAnsi="Times New Roman" w:cs="Times New Roman"/>
          <w:noProof/>
          <w:sz w:val="24"/>
          <w:szCs w:val="24"/>
        </w:rPr>
        <w:t xml:space="preserve"> </w:t>
      </w:r>
      <w:r w:rsidRPr="00C36F54">
        <w:rPr>
          <w:rFonts w:ascii="Times New Roman" w:hAnsi="Times New Roman" w:cs="Times New Roman"/>
          <w:noProof/>
          <w:sz w:val="24"/>
          <w:szCs w:val="24"/>
        </w:rPr>
        <w:t>[</w:t>
      </w:r>
      <w:r w:rsidRPr="00C36F54">
        <w:rPr>
          <w:rFonts w:ascii="Times New Roman" w:hAnsi="Times New Roman" w:cs="Times New Roman"/>
          <w:i/>
          <w:iCs/>
          <w:noProof/>
          <w:sz w:val="24"/>
          <w:szCs w:val="24"/>
        </w:rPr>
        <w:t>Strengthen power links with the Baltic states</w:t>
      </w:r>
      <w:r w:rsidRPr="00C36F54">
        <w:rPr>
          <w:rFonts w:ascii="Times New Roman" w:hAnsi="Times New Roman" w:cs="Times New Roman"/>
          <w:noProof/>
          <w:sz w:val="24"/>
          <w:szCs w:val="24"/>
        </w:rPr>
        <w:t>]</w:t>
      </w:r>
    </w:p>
    <w:p w14:paraId="768B3312"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4. TransBalkan Pipeline (TBP) reverse flow [</w:t>
      </w:r>
      <w:r w:rsidRPr="00C36F54">
        <w:rPr>
          <w:rFonts w:ascii="Times New Roman" w:hAnsi="Times New Roman" w:cs="Times New Roman"/>
          <w:i/>
          <w:iCs/>
          <w:noProof/>
          <w:sz w:val="24"/>
          <w:szCs w:val="24"/>
        </w:rPr>
        <w:t>Improve energy supplies in the Balkan region and eastern neighboring states</w:t>
      </w:r>
      <w:r w:rsidRPr="00C36F54">
        <w:rPr>
          <w:rFonts w:ascii="Times New Roman" w:hAnsi="Times New Roman" w:cs="Times New Roman"/>
          <w:noProof/>
          <w:sz w:val="24"/>
          <w:szCs w:val="24"/>
        </w:rPr>
        <w:t>]</w:t>
      </w:r>
    </w:p>
    <w:p w14:paraId="55332369"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5. Bornholm Energy Island [</w:t>
      </w:r>
      <w:r w:rsidRPr="00C36F54">
        <w:rPr>
          <w:rFonts w:ascii="Times New Roman" w:hAnsi="Times New Roman" w:cs="Times New Roman"/>
          <w:i/>
          <w:iCs/>
          <w:noProof/>
          <w:sz w:val="24"/>
          <w:szCs w:val="24"/>
        </w:rPr>
        <w:t>Turn the Baltic Sea into an offshore interconnector hub</w:t>
      </w:r>
      <w:r w:rsidRPr="00C36F54">
        <w:rPr>
          <w:rFonts w:ascii="Times New Roman" w:hAnsi="Times New Roman" w:cs="Times New Roman"/>
          <w:noProof/>
          <w:sz w:val="24"/>
          <w:szCs w:val="24"/>
        </w:rPr>
        <w:t>]</w:t>
      </w:r>
    </w:p>
    <w:p w14:paraId="25E26650"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6. Improve price stability and energy security in southeastern Europe</w:t>
      </w:r>
    </w:p>
    <w:p w14:paraId="797BC581"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7. SoutH2 Corridor [</w:t>
      </w:r>
      <w:r w:rsidRPr="00C36F54">
        <w:rPr>
          <w:rFonts w:ascii="Times New Roman" w:hAnsi="Times New Roman" w:cs="Times New Roman"/>
          <w:i/>
          <w:iCs/>
          <w:noProof/>
          <w:sz w:val="24"/>
          <w:szCs w:val="24"/>
        </w:rPr>
        <w:t>The South hydrogen corridor</w:t>
      </w:r>
      <w:r w:rsidRPr="00C36F54">
        <w:rPr>
          <w:rFonts w:ascii="Times New Roman" w:hAnsi="Times New Roman" w:cs="Times New Roman"/>
          <w:noProof/>
          <w:sz w:val="24"/>
          <w:szCs w:val="24"/>
        </w:rPr>
        <w:t>]</w:t>
      </w:r>
    </w:p>
    <w:p w14:paraId="1C54D9C8" w14:textId="77777777" w:rsidR="00C36F54" w:rsidRPr="00C36F54" w:rsidRDefault="00C36F54" w:rsidP="00C36F54">
      <w:pPr>
        <w:spacing w:after="0" w:line="240" w:lineRule="auto"/>
        <w:jc w:val="both"/>
        <w:rPr>
          <w:rFonts w:ascii="Times New Roman" w:hAnsi="Times New Roman" w:cs="Times New Roman"/>
          <w:noProof/>
          <w:sz w:val="24"/>
          <w:szCs w:val="24"/>
        </w:rPr>
      </w:pPr>
      <w:r w:rsidRPr="00C36F54">
        <w:rPr>
          <w:rFonts w:ascii="Times New Roman" w:hAnsi="Times New Roman" w:cs="Times New Roman"/>
          <w:noProof/>
          <w:sz w:val="24"/>
          <w:szCs w:val="24"/>
        </w:rPr>
        <w:t>8. Southwest hydrogen corridor from Portugal to Germany</w:t>
      </w:r>
    </w:p>
    <w:p w14:paraId="7E338121" w14:textId="77777777" w:rsidR="00C36F54" w:rsidRPr="00C36F54" w:rsidRDefault="00C36F54" w:rsidP="00C36F54">
      <w:pPr>
        <w:spacing w:after="0" w:line="240" w:lineRule="auto"/>
        <w:jc w:val="both"/>
        <w:rPr>
          <w:rFonts w:ascii="Times New Roman" w:hAnsi="Times New Roman" w:cs="Times New Roman"/>
          <w:i/>
          <w:iCs/>
          <w:noProof/>
          <w:sz w:val="24"/>
          <w:szCs w:val="24"/>
        </w:rPr>
      </w:pPr>
    </w:p>
    <w:p w14:paraId="494B0282" w14:textId="77777777" w:rsidR="00030457"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Commission is committed to immediately </w:t>
      </w:r>
      <w:r w:rsidRPr="00C36F54">
        <w:rPr>
          <w:rFonts w:ascii="Times New Roman" w:hAnsi="Times New Roman" w:cs="Times New Roman"/>
          <w:b/>
          <w:bCs/>
          <w:noProof/>
          <w:sz w:val="24"/>
          <w:szCs w:val="24"/>
        </w:rPr>
        <w:t>fast-tracking the Energy Highways through enhanced political coordination,</w:t>
      </w:r>
      <w:r w:rsidRPr="00C36F54">
        <w:rPr>
          <w:rFonts w:ascii="Times New Roman" w:hAnsi="Times New Roman" w:cs="Times New Roman"/>
          <w:noProof/>
          <w:sz w:val="24"/>
          <w:szCs w:val="24"/>
        </w:rPr>
        <w:t xml:space="preserve"> drawing on the Regional High-Level Groups, mobilizing support of European coordinators where relevant and working closely with the Energy Union Task Force, extending outreach beyond EU Member States where necessary. Each project will be prioritised at EU level, and the Commission will support Member States in giving them the </w:t>
      </w:r>
      <w:r w:rsidRPr="00C36F54">
        <w:rPr>
          <w:rFonts w:ascii="Times New Roman" w:hAnsi="Times New Roman" w:cs="Times New Roman"/>
          <w:b/>
          <w:bCs/>
          <w:noProof/>
          <w:sz w:val="24"/>
          <w:szCs w:val="24"/>
        </w:rPr>
        <w:t>same priority nationally</w:t>
      </w:r>
      <w:r w:rsidRPr="00C36F54">
        <w:rPr>
          <w:rFonts w:ascii="Times New Roman" w:hAnsi="Times New Roman" w:cs="Times New Roman"/>
          <w:noProof/>
          <w:sz w:val="24"/>
          <w:szCs w:val="24"/>
        </w:rPr>
        <w:t xml:space="preserve">. </w:t>
      </w:r>
    </w:p>
    <w:p w14:paraId="18EDC707" w14:textId="4C82999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To ensure </w:t>
      </w:r>
      <w:r w:rsidRPr="00C36F54">
        <w:rPr>
          <w:rFonts w:ascii="Times New Roman" w:hAnsi="Times New Roman" w:cs="Times New Roman"/>
          <w:b/>
          <w:bCs/>
          <w:noProof/>
          <w:sz w:val="24"/>
          <w:szCs w:val="24"/>
        </w:rPr>
        <w:t>effective cross-border cooperation on permitting</w:t>
      </w:r>
      <w:r w:rsidRPr="00C36F54">
        <w:rPr>
          <w:rFonts w:ascii="Times New Roman" w:hAnsi="Times New Roman" w:cs="Times New Roman"/>
          <w:noProof/>
          <w:sz w:val="24"/>
          <w:szCs w:val="24"/>
        </w:rPr>
        <w:t xml:space="preserve">, the Commission will focus on identified interconnector priority projects, strengthening its support to Member States in identifying joint procedures for an effective and efficient permitting </w:t>
      </w:r>
      <w:r w:rsidR="00032FC3">
        <w:rPr>
          <w:rFonts w:ascii="Times New Roman" w:hAnsi="Times New Roman" w:cs="Times New Roman"/>
          <w:noProof/>
          <w:sz w:val="24"/>
          <w:szCs w:val="24"/>
        </w:rPr>
        <w:t>process</w:t>
      </w:r>
      <w:r w:rsidR="00032FC3" w:rsidRPr="00C36F54">
        <w:rPr>
          <w:rFonts w:ascii="Times New Roman" w:hAnsi="Times New Roman" w:cs="Times New Roman"/>
          <w:noProof/>
          <w:sz w:val="24"/>
          <w:szCs w:val="24"/>
        </w:rPr>
        <w:t xml:space="preserve"> </w:t>
      </w:r>
      <w:r w:rsidRPr="00C36F54">
        <w:rPr>
          <w:rFonts w:ascii="Times New Roman" w:hAnsi="Times New Roman" w:cs="Times New Roman"/>
          <w:noProof/>
          <w:sz w:val="24"/>
          <w:szCs w:val="24"/>
        </w:rPr>
        <w:t>with the support of a European Coordinator, where appropriate. Drawing on this experience with the closer coordination of permit granting procedures</w:t>
      </w:r>
      <w:r w:rsidR="00032FC3">
        <w:rPr>
          <w:rFonts w:ascii="Times New Roman" w:hAnsi="Times New Roman" w:cs="Times New Roman"/>
          <w:noProof/>
          <w:sz w:val="24"/>
          <w:szCs w:val="24"/>
        </w:rPr>
        <w:t>,</w:t>
      </w:r>
      <w:r w:rsidRPr="00C36F54">
        <w:rPr>
          <w:rFonts w:ascii="Times New Roman" w:hAnsi="Times New Roman" w:cs="Times New Roman"/>
          <w:noProof/>
          <w:sz w:val="24"/>
          <w:szCs w:val="24"/>
        </w:rPr>
        <w:t xml:space="preserve"> the Commission may consider further action. Moreover, to strengthen the administrative capacity of permitting authorities and the digitalisation of renewable energy permit granting procedures, the Commission will provide support to Member States through dedicated actions that will complement the permitting regulatory framework. This will include leveraging tools like the Technical Support Instrument </w:t>
      </w:r>
      <w:r w:rsidRPr="0058723C">
        <w:rPr>
          <w:rFonts w:ascii="Times New Roman" w:hAnsi="Times New Roman" w:cs="Times New Roman"/>
          <w:noProof/>
          <w:sz w:val="24"/>
          <w:szCs w:val="24"/>
        </w:rPr>
        <w:t>and</w:t>
      </w:r>
      <w:r w:rsidR="00032FC3" w:rsidRPr="0058723C">
        <w:rPr>
          <w:rFonts w:ascii="Times New Roman" w:hAnsi="Times New Roman" w:cs="Times New Roman"/>
          <w:noProof/>
          <w:sz w:val="24"/>
          <w:szCs w:val="24"/>
        </w:rPr>
        <w:t xml:space="preserve"> </w:t>
      </w:r>
      <w:r w:rsidRPr="0058723C">
        <w:rPr>
          <w:rFonts w:ascii="Times New Roman" w:hAnsi="Times New Roman" w:cs="Times New Roman"/>
          <w:noProof/>
          <w:sz w:val="24"/>
          <w:szCs w:val="24"/>
        </w:rPr>
        <w:t xml:space="preserve">exploring </w:t>
      </w:r>
      <w:r w:rsidR="00032FC3" w:rsidRPr="0058723C">
        <w:rPr>
          <w:rFonts w:ascii="Times New Roman" w:hAnsi="Times New Roman" w:cs="Times New Roman"/>
          <w:noProof/>
          <w:sz w:val="24"/>
          <w:szCs w:val="24"/>
        </w:rPr>
        <w:t xml:space="preserve">the </w:t>
      </w:r>
      <w:bookmarkStart w:id="4" w:name="_Hlk215650741"/>
      <w:r w:rsidR="00032FC3" w:rsidRPr="0058723C">
        <w:rPr>
          <w:rFonts w:ascii="Times New Roman" w:hAnsi="Times New Roman" w:cs="Times New Roman"/>
          <w:noProof/>
          <w:sz w:val="24"/>
          <w:szCs w:val="24"/>
        </w:rPr>
        <w:t>creation of</w:t>
      </w:r>
      <w:r w:rsidRPr="0058723C">
        <w:rPr>
          <w:rFonts w:ascii="Times New Roman" w:hAnsi="Times New Roman" w:cs="Times New Roman"/>
          <w:noProof/>
          <w:sz w:val="24"/>
          <w:szCs w:val="24"/>
        </w:rPr>
        <w:t xml:space="preserve"> a pilot facility on permitting through </w:t>
      </w:r>
      <w:bookmarkEnd w:id="4"/>
      <w:r w:rsidR="0058723C" w:rsidRPr="0058723C">
        <w:rPr>
          <w:rFonts w:ascii="Times New Roman" w:hAnsi="Times New Roman" w:cs="Times New Roman"/>
          <w:noProof/>
          <w:sz w:val="24"/>
          <w:szCs w:val="24"/>
        </w:rPr>
        <w:t>existing advisory facilities</w:t>
      </w:r>
      <w:r w:rsidRPr="0058723C">
        <w:rPr>
          <w:rFonts w:ascii="Times New Roman" w:hAnsi="Times New Roman" w:cs="Times New Roman"/>
          <w:noProof/>
          <w:sz w:val="24"/>
          <w:szCs w:val="24"/>
        </w:rPr>
        <w:t xml:space="preserve"> to </w:t>
      </w:r>
      <w:r w:rsidR="00032FC3" w:rsidRPr="0058723C">
        <w:rPr>
          <w:rFonts w:ascii="Times New Roman" w:hAnsi="Times New Roman" w:cs="Times New Roman"/>
          <w:noProof/>
          <w:sz w:val="24"/>
          <w:szCs w:val="24"/>
        </w:rPr>
        <w:t xml:space="preserve">enhance </w:t>
      </w:r>
      <w:r w:rsidRPr="0058723C">
        <w:rPr>
          <w:rFonts w:ascii="Times New Roman" w:hAnsi="Times New Roman" w:cs="Times New Roman"/>
          <w:noProof/>
          <w:sz w:val="24"/>
          <w:szCs w:val="24"/>
        </w:rPr>
        <w:t>capacity building and access to financing for investments and reforms on permittin</w:t>
      </w:r>
      <w:r w:rsidR="0058723C">
        <w:rPr>
          <w:rFonts w:ascii="Times New Roman" w:hAnsi="Times New Roman" w:cs="Times New Roman"/>
          <w:noProof/>
          <w:sz w:val="24"/>
          <w:szCs w:val="24"/>
        </w:rPr>
        <w:t>g</w:t>
      </w:r>
      <w:r w:rsidRPr="0058723C">
        <w:rPr>
          <w:rFonts w:ascii="Times New Roman" w:hAnsi="Times New Roman" w:cs="Times New Roman"/>
          <w:noProof/>
          <w:sz w:val="24"/>
          <w:szCs w:val="24"/>
        </w:rPr>
        <w:t>.</w:t>
      </w:r>
      <w:r w:rsidRPr="00C36F54">
        <w:rPr>
          <w:rFonts w:ascii="Times New Roman" w:hAnsi="Times New Roman" w:cs="Times New Roman"/>
          <w:noProof/>
          <w:sz w:val="24"/>
          <w:szCs w:val="24"/>
        </w:rPr>
        <w:t xml:space="preserve"> The Commission will also </w:t>
      </w:r>
      <w:r w:rsidR="00032FC3">
        <w:rPr>
          <w:rFonts w:ascii="Times New Roman" w:hAnsi="Times New Roman" w:cs="Times New Roman"/>
          <w:noProof/>
          <w:sz w:val="24"/>
          <w:szCs w:val="24"/>
        </w:rPr>
        <w:t>promote</w:t>
      </w:r>
      <w:r w:rsidR="00032FC3" w:rsidRPr="00C36F54">
        <w:rPr>
          <w:rFonts w:ascii="Times New Roman" w:hAnsi="Times New Roman" w:cs="Times New Roman"/>
          <w:noProof/>
          <w:sz w:val="24"/>
          <w:szCs w:val="24"/>
        </w:rPr>
        <w:t xml:space="preserve"> </w:t>
      </w:r>
      <w:r w:rsidRPr="00C36F54">
        <w:rPr>
          <w:rFonts w:ascii="Times New Roman" w:hAnsi="Times New Roman" w:cs="Times New Roman"/>
          <w:noProof/>
          <w:sz w:val="24"/>
          <w:szCs w:val="24"/>
        </w:rPr>
        <w:t>knowledge</w:t>
      </w:r>
      <w:r w:rsidR="00032FC3">
        <w:rPr>
          <w:rFonts w:ascii="Times New Roman" w:hAnsi="Times New Roman" w:cs="Times New Roman"/>
          <w:noProof/>
          <w:sz w:val="24"/>
          <w:szCs w:val="24"/>
        </w:rPr>
        <w:t>-</w:t>
      </w:r>
      <w:r w:rsidRPr="00C36F54">
        <w:rPr>
          <w:rFonts w:ascii="Times New Roman" w:hAnsi="Times New Roman" w:cs="Times New Roman"/>
          <w:noProof/>
          <w:sz w:val="24"/>
          <w:szCs w:val="24"/>
        </w:rPr>
        <w:t xml:space="preserve">sharing about funding possibilities and </w:t>
      </w:r>
      <w:r w:rsidR="000A2A50">
        <w:rPr>
          <w:rFonts w:ascii="Times New Roman" w:hAnsi="Times New Roman" w:cs="Times New Roman"/>
          <w:noProof/>
          <w:sz w:val="24"/>
          <w:szCs w:val="24"/>
        </w:rPr>
        <w:t>the development of new</w:t>
      </w:r>
      <w:r w:rsidR="000A2A50" w:rsidRPr="00C36F54">
        <w:rPr>
          <w:rFonts w:ascii="Times New Roman" w:hAnsi="Times New Roman" w:cs="Times New Roman"/>
          <w:noProof/>
          <w:sz w:val="24"/>
          <w:szCs w:val="24"/>
        </w:rPr>
        <w:t xml:space="preserve"> </w:t>
      </w:r>
      <w:r w:rsidRPr="00C36F54">
        <w:rPr>
          <w:rFonts w:ascii="Times New Roman" w:hAnsi="Times New Roman" w:cs="Times New Roman"/>
          <w:noProof/>
          <w:sz w:val="24"/>
          <w:szCs w:val="24"/>
        </w:rPr>
        <w:t>digital platforms for permitting through the Permitting Expert group.  </w:t>
      </w:r>
      <w:r w:rsidR="00F52D7F" w:rsidRPr="00BA7EAA" w:rsidDel="00F52D7F">
        <w:rPr>
          <w:rFonts w:ascii="Times New Roman" w:hAnsi="Times New Roman" w:cs="Times New Roman"/>
          <w:noProof/>
          <w:sz w:val="24"/>
          <w:szCs w:val="24"/>
        </w:rPr>
        <w:t xml:space="preserve"> </w:t>
      </w:r>
    </w:p>
    <w:p w14:paraId="45CF96DB" w14:textId="2300522C" w:rsidR="0010381B" w:rsidRDefault="00C36F54" w:rsidP="009664B4">
      <w:pPr>
        <w:jc w:val="both"/>
        <w:rPr>
          <w:rFonts w:ascii="Times New Roman" w:hAnsi="Times New Roman" w:cs="Times New Roman"/>
          <w:noProof/>
          <w:sz w:val="24"/>
          <w:szCs w:val="24"/>
        </w:rPr>
      </w:pPr>
      <w:r w:rsidRPr="00C36F54">
        <w:rPr>
          <w:rFonts w:ascii="Times New Roman" w:hAnsi="Times New Roman" w:cs="Times New Roman"/>
          <w:noProof/>
          <w:sz w:val="24"/>
          <w:szCs w:val="24"/>
        </w:rPr>
        <w:t>Some projects are already recognised as Important Projects of Common European Interest (IPCEIs), bringing additional benefits in terms of funding and coordination</w:t>
      </w:r>
      <w:r w:rsidR="003960C3">
        <w:rPr>
          <w:rFonts w:ascii="Times New Roman" w:hAnsi="Times New Roman" w:cs="Times New Roman"/>
          <w:noProof/>
          <w:sz w:val="24"/>
          <w:szCs w:val="24"/>
        </w:rPr>
        <w:t xml:space="preserve">. </w:t>
      </w:r>
      <w:r w:rsidR="003960C3" w:rsidRPr="003103A5">
        <w:rPr>
          <w:rFonts w:ascii="Times New Roman" w:hAnsi="Times New Roman" w:cs="Times New Roman"/>
          <w:noProof/>
          <w:sz w:val="24"/>
          <w:szCs w:val="24"/>
        </w:rPr>
        <w:t xml:space="preserve">Likewise, the </w:t>
      </w:r>
      <w:r w:rsidR="000651A0" w:rsidRPr="7D5B2916">
        <w:rPr>
          <w:rFonts w:ascii="Times New Roman" w:hAnsi="Times New Roman" w:cs="Times New Roman"/>
          <w:noProof/>
          <w:sz w:val="24"/>
          <w:szCs w:val="24"/>
        </w:rPr>
        <w:t xml:space="preserve">Pyrenean crossing 1 and Pyrenean crossing 2 </w:t>
      </w:r>
      <w:r>
        <w:rPr>
          <w:rFonts w:ascii="Times New Roman" w:hAnsi="Times New Roman" w:cs="Times New Roman"/>
          <w:noProof/>
          <w:sz w:val="24"/>
          <w:szCs w:val="24"/>
        </w:rPr>
        <w:t>highways</w:t>
      </w:r>
      <w:r w:rsidR="000651A0" w:rsidRPr="7D5B2916">
        <w:rPr>
          <w:rFonts w:ascii="Times New Roman" w:hAnsi="Times New Roman" w:cs="Times New Roman"/>
          <w:noProof/>
          <w:sz w:val="24"/>
          <w:szCs w:val="24"/>
        </w:rPr>
        <w:t xml:space="preserve">, </w:t>
      </w:r>
      <w:r w:rsidR="003960C3" w:rsidRPr="003103A5">
        <w:rPr>
          <w:rFonts w:ascii="Times New Roman" w:hAnsi="Times New Roman" w:cs="Times New Roman"/>
          <w:noProof/>
          <w:sz w:val="24"/>
          <w:szCs w:val="24"/>
        </w:rPr>
        <w:t xml:space="preserve">the southwest hydrogen corridor and the South-Eastern Europe highway </w:t>
      </w:r>
      <w:r w:rsidR="000A2A50" w:rsidRPr="003103A5">
        <w:rPr>
          <w:rFonts w:ascii="Times New Roman" w:hAnsi="Times New Roman" w:cs="Times New Roman"/>
          <w:noProof/>
          <w:sz w:val="24"/>
          <w:szCs w:val="24"/>
        </w:rPr>
        <w:t>will be designated as</w:t>
      </w:r>
      <w:r w:rsidRPr="003103A5">
        <w:rPr>
          <w:rFonts w:ascii="Times New Roman" w:hAnsi="Times New Roman" w:cs="Times New Roman"/>
          <w:noProof/>
          <w:sz w:val="24"/>
          <w:szCs w:val="24"/>
        </w:rPr>
        <w:t xml:space="preserve"> </w:t>
      </w:r>
      <w:r w:rsidR="003960C3" w:rsidRPr="003103A5">
        <w:rPr>
          <w:rFonts w:ascii="Times New Roman" w:hAnsi="Times New Roman" w:cs="Times New Roman"/>
          <w:noProof/>
          <w:sz w:val="24"/>
          <w:szCs w:val="24"/>
        </w:rPr>
        <w:t>p</w:t>
      </w:r>
      <w:r w:rsidRPr="003103A5">
        <w:rPr>
          <w:rFonts w:ascii="Times New Roman" w:hAnsi="Times New Roman" w:cs="Times New Roman"/>
          <w:noProof/>
          <w:sz w:val="24"/>
          <w:szCs w:val="24"/>
        </w:rPr>
        <w:t xml:space="preserve">ilots under the </w:t>
      </w:r>
      <w:r w:rsidRPr="006154EC">
        <w:rPr>
          <w:rFonts w:ascii="Times New Roman" w:hAnsi="Times New Roman" w:cs="Times New Roman"/>
          <w:b/>
          <w:bCs/>
          <w:noProof/>
          <w:sz w:val="24"/>
          <w:szCs w:val="24"/>
        </w:rPr>
        <w:t>Competitiveness Coordination Tool</w:t>
      </w:r>
      <w:r w:rsidRPr="003103A5">
        <w:rPr>
          <w:rFonts w:ascii="Times New Roman" w:hAnsi="Times New Roman" w:cs="Times New Roman"/>
          <w:noProof/>
          <w:sz w:val="24"/>
          <w:szCs w:val="24"/>
        </w:rPr>
        <w:t xml:space="preserve"> allowing them to benefit from the </w:t>
      </w:r>
      <w:r w:rsidR="003960C3" w:rsidRPr="003103A5">
        <w:rPr>
          <w:rFonts w:ascii="Times New Roman" w:hAnsi="Times New Roman" w:cs="Times New Roman"/>
          <w:noProof/>
          <w:sz w:val="24"/>
          <w:szCs w:val="24"/>
        </w:rPr>
        <w:t xml:space="preserve">tool’s </w:t>
      </w:r>
      <w:r w:rsidRPr="003103A5">
        <w:rPr>
          <w:rFonts w:ascii="Times New Roman" w:hAnsi="Times New Roman" w:cs="Times New Roman"/>
          <w:noProof/>
          <w:sz w:val="24"/>
          <w:szCs w:val="24"/>
        </w:rPr>
        <w:t xml:space="preserve">whole-of-government approach </w:t>
      </w:r>
      <w:r w:rsidR="003960C3" w:rsidRPr="003103A5">
        <w:rPr>
          <w:rFonts w:ascii="Times New Roman" w:hAnsi="Times New Roman" w:cs="Times New Roman"/>
          <w:noProof/>
          <w:sz w:val="24"/>
          <w:szCs w:val="24"/>
        </w:rPr>
        <w:t>and specific capacity to address horizontal issues</w:t>
      </w:r>
      <w:r w:rsidRPr="003103A5">
        <w:rPr>
          <w:rFonts w:ascii="Times New Roman" w:hAnsi="Times New Roman" w:cs="Times New Roman"/>
          <w:noProof/>
          <w:sz w:val="24"/>
          <w:szCs w:val="24"/>
        </w:rPr>
        <w:t xml:space="preserve">. </w:t>
      </w:r>
      <w:r w:rsidR="00BA7EAA" w:rsidRPr="003103A5">
        <w:rPr>
          <w:rFonts w:ascii="Times New Roman" w:hAnsi="Times New Roman" w:cs="Times New Roman"/>
          <w:noProof/>
          <w:sz w:val="24"/>
          <w:szCs w:val="24"/>
        </w:rPr>
        <w:t xml:space="preserve">The priority actions that will be established under the CCT will be carried out in conjunction with the efforts of the respective High-level groups or fora and will reflect the respective needs of each </w:t>
      </w:r>
      <w:r w:rsidR="00592614" w:rsidRPr="7D5B2916">
        <w:rPr>
          <w:rFonts w:ascii="Times New Roman" w:hAnsi="Times New Roman" w:cs="Times New Roman"/>
          <w:noProof/>
          <w:sz w:val="24"/>
          <w:szCs w:val="24"/>
        </w:rPr>
        <w:t>h</w:t>
      </w:r>
      <w:r w:rsidR="00BA7EAA" w:rsidRPr="003103A5">
        <w:rPr>
          <w:rFonts w:ascii="Times New Roman" w:hAnsi="Times New Roman" w:cs="Times New Roman"/>
          <w:noProof/>
          <w:sz w:val="24"/>
          <w:szCs w:val="24"/>
        </w:rPr>
        <w:t>ighway, such as improving energy system flexibility, addressing supply-chain issues or financing challenges</w:t>
      </w:r>
      <w:r w:rsidR="003103A5">
        <w:rPr>
          <w:rFonts w:ascii="Times New Roman" w:hAnsi="Times New Roman" w:cs="Times New Roman"/>
          <w:noProof/>
          <w:sz w:val="24"/>
          <w:szCs w:val="24"/>
        </w:rPr>
        <w:t>.</w:t>
      </w:r>
    </w:p>
    <w:p w14:paraId="74F90AB7" w14:textId="31DA39DF"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Moreover, the Baltic and Central- and South-East European region Highways have recently been assigned European Coordinators under the TEN-E framework</w:t>
      </w:r>
      <w:r w:rsidR="003960C3">
        <w:rPr>
          <w:rFonts w:ascii="Times New Roman" w:hAnsi="Times New Roman" w:cs="Times New Roman"/>
          <w:noProof/>
          <w:sz w:val="24"/>
          <w:szCs w:val="24"/>
        </w:rPr>
        <w:t>,</w:t>
      </w:r>
      <w:r w:rsidR="003960C3">
        <w:rPr>
          <w:rStyle w:val="FootnoteReference"/>
          <w:rFonts w:ascii="Times New Roman" w:hAnsi="Times New Roman" w:cs="Times New Roman"/>
          <w:noProof/>
          <w:sz w:val="24"/>
          <w:szCs w:val="24"/>
        </w:rPr>
        <w:footnoteReference w:id="33"/>
      </w:r>
      <w:r w:rsidRPr="00C36F54">
        <w:rPr>
          <w:rFonts w:ascii="Times New Roman" w:hAnsi="Times New Roman" w:cs="Times New Roman"/>
          <w:noProof/>
          <w:sz w:val="24"/>
          <w:szCs w:val="24"/>
        </w:rPr>
        <w:t xml:space="preserve"> to facilitate the timely </w:t>
      </w:r>
      <w:r w:rsidRPr="00C36F54">
        <w:rPr>
          <w:rFonts w:ascii="Times New Roman" w:hAnsi="Times New Roman" w:cs="Times New Roman"/>
          <w:noProof/>
          <w:sz w:val="24"/>
          <w:szCs w:val="24"/>
        </w:rPr>
        <w:lastRenderedPageBreak/>
        <w:t xml:space="preserve">implementation of projects by promoting cross-border dialogue, supporting permitting and financing, ensuring Member State backing, and reporting on progress and obstacles. </w:t>
      </w:r>
      <w:r w:rsidR="009664B4" w:rsidRPr="00C36F54">
        <w:rPr>
          <w:rFonts w:ascii="Times New Roman" w:hAnsi="Times New Roman" w:cs="Times New Roman"/>
          <w:b/>
          <w:bCs/>
          <w:noProof/>
          <w:sz w:val="24"/>
          <w:szCs w:val="24"/>
        </w:rPr>
        <w:t xml:space="preserve">The Commission </w:t>
      </w:r>
      <w:r w:rsidR="009664B4" w:rsidRPr="0075608D">
        <w:rPr>
          <w:rFonts w:ascii="Times New Roman" w:hAnsi="Times New Roman" w:cs="Times New Roman"/>
          <w:noProof/>
          <w:sz w:val="24"/>
          <w:szCs w:val="24"/>
        </w:rPr>
        <w:t>will also</w:t>
      </w:r>
      <w:r w:rsidR="009664B4" w:rsidRPr="00C36F54">
        <w:rPr>
          <w:rFonts w:ascii="Times New Roman" w:hAnsi="Times New Roman" w:cs="Times New Roman"/>
          <w:b/>
          <w:bCs/>
          <w:noProof/>
          <w:sz w:val="24"/>
          <w:szCs w:val="24"/>
        </w:rPr>
        <w:t xml:space="preserve"> </w:t>
      </w:r>
      <w:r w:rsidR="009664B4" w:rsidRPr="0075608D">
        <w:rPr>
          <w:rFonts w:ascii="Times New Roman" w:hAnsi="Times New Roman" w:cs="Times New Roman"/>
          <w:b/>
          <w:bCs/>
          <w:noProof/>
          <w:sz w:val="24"/>
          <w:szCs w:val="24"/>
        </w:rPr>
        <w:t>strengthen existing structures and ensure dedicated resources</w:t>
      </w:r>
      <w:r w:rsidR="009664B4">
        <w:rPr>
          <w:rFonts w:ascii="Times New Roman" w:hAnsi="Times New Roman" w:cs="Times New Roman"/>
          <w:noProof/>
          <w:sz w:val="24"/>
          <w:szCs w:val="24"/>
        </w:rPr>
        <w:t xml:space="preserve"> to achieve an increased and continuous focus on the delivery of the eight Energy Highways</w:t>
      </w:r>
      <w:r w:rsidR="009664B4" w:rsidRPr="00C36F54">
        <w:rPr>
          <w:rFonts w:ascii="Times New Roman" w:hAnsi="Times New Roman" w:cs="Times New Roman"/>
          <w:noProof/>
          <w:sz w:val="24"/>
          <w:szCs w:val="24"/>
        </w:rPr>
        <w:t>, in close cooperation with the European Coordinators, where appropriate.</w:t>
      </w:r>
    </w:p>
    <w:p w14:paraId="111D1102" w14:textId="77777777" w:rsid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Commission </w:t>
      </w:r>
      <w:r w:rsidRPr="00C36F54">
        <w:rPr>
          <w:rFonts w:ascii="Times New Roman" w:hAnsi="Times New Roman" w:cs="Times New Roman"/>
          <w:b/>
          <w:bCs/>
          <w:noProof/>
          <w:sz w:val="24"/>
          <w:szCs w:val="24"/>
        </w:rPr>
        <w:t>will actively collaborate with all concerned Member States making full use of the above toolkit</w:t>
      </w:r>
      <w:r w:rsidRPr="00C36F54">
        <w:rPr>
          <w:rFonts w:ascii="Times New Roman" w:hAnsi="Times New Roman" w:cs="Times New Roman"/>
          <w:noProof/>
          <w:sz w:val="24"/>
          <w:szCs w:val="24"/>
        </w:rPr>
        <w:t xml:space="preserve"> to ensure the successful implementation of the Energy Highways. Regular progress updates will be provided to the European Council to ensure political commitment while ensuring transparency and accountability.  </w:t>
      </w:r>
    </w:p>
    <w:p w14:paraId="2580E0E9" w14:textId="34AA8ECC" w:rsidR="00AA1996" w:rsidRDefault="00AA1996">
      <w:pPr>
        <w:rPr>
          <w:rFonts w:ascii="Times New Roman" w:hAnsi="Times New Roman" w:cs="Times New Roman"/>
          <w:noProof/>
          <w:sz w:val="24"/>
          <w:szCs w:val="24"/>
        </w:rPr>
      </w:pPr>
      <w:r>
        <w:rPr>
          <w:rFonts w:ascii="Times New Roman" w:hAnsi="Times New Roman" w:cs="Times New Roman"/>
          <w:noProof/>
          <w:sz w:val="24"/>
          <w:szCs w:val="24"/>
        </w:rPr>
        <w:br w:type="page"/>
      </w:r>
    </w:p>
    <w:p w14:paraId="0E350433" w14:textId="77777777" w:rsidR="00030457" w:rsidRDefault="00030457" w:rsidP="00C36F54">
      <w:pPr>
        <w:jc w:val="both"/>
        <w:rPr>
          <w:rFonts w:ascii="Times New Roman" w:hAnsi="Times New Roman" w:cs="Times New Roman"/>
          <w:noProof/>
          <w:sz w:val="24"/>
          <w:szCs w:val="24"/>
        </w:rPr>
      </w:pPr>
    </w:p>
    <w:p w14:paraId="703EC715" w14:textId="77777777" w:rsidR="00C36F54" w:rsidRPr="00C36F54" w:rsidRDefault="00C36F54" w:rsidP="00C36F54">
      <w:pPr>
        <w:jc w:val="center"/>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t>Annex: Additional short-term targeted action for each of the Energy Highways</w:t>
      </w:r>
    </w:p>
    <w:p w14:paraId="3368697D"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In addition to the horizontal support presented above, the Commission will provide </w:t>
      </w:r>
      <w:r w:rsidRPr="00C36F54">
        <w:rPr>
          <w:rFonts w:ascii="Times New Roman" w:hAnsi="Times New Roman" w:cs="Times New Roman"/>
          <w:b/>
          <w:bCs/>
          <w:noProof/>
          <w:sz w:val="24"/>
          <w:szCs w:val="24"/>
        </w:rPr>
        <w:t>targeted short-term actions to address specific challenges for each of the Highways</w:t>
      </w:r>
      <w:r w:rsidRPr="00C36F54">
        <w:rPr>
          <w:rFonts w:ascii="Times New Roman" w:hAnsi="Times New Roman" w:cs="Times New Roman"/>
          <w:noProof/>
          <w:sz w:val="24"/>
          <w:szCs w:val="24"/>
        </w:rPr>
        <w:t xml:space="preserve">, to ensure concrete progress and deliverables can be achieved within the next 6-9 months. </w:t>
      </w:r>
    </w:p>
    <w:p w14:paraId="47A3B9CD" w14:textId="0CC8AC7D" w:rsidR="00C36F54" w:rsidRPr="00C36F54" w:rsidRDefault="00C36F54" w:rsidP="00C36F54">
      <w:pPr>
        <w:jc w:val="both"/>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t xml:space="preserve">1. </w:t>
      </w:r>
      <w:r w:rsidR="002A4C99">
        <w:rPr>
          <w:rFonts w:ascii="Times New Roman" w:hAnsi="Times New Roman" w:cs="Times New Roman"/>
          <w:b/>
          <w:bCs/>
          <w:noProof/>
          <w:sz w:val="24"/>
          <w:szCs w:val="24"/>
          <w:u w:val="single"/>
        </w:rPr>
        <w:t xml:space="preserve"> </w:t>
      </w:r>
      <w:r w:rsidRPr="00C36F54">
        <w:rPr>
          <w:rFonts w:ascii="Times New Roman" w:hAnsi="Times New Roman" w:cs="Times New Roman"/>
          <w:b/>
          <w:bCs/>
          <w:noProof/>
          <w:sz w:val="24"/>
          <w:szCs w:val="24"/>
          <w:u w:val="single"/>
        </w:rPr>
        <w:t>Pyrenean crossing 1 and Pyrenean crossing 2</w:t>
      </w:r>
      <w:r w:rsidRPr="00C36F54">
        <w:rPr>
          <w:rFonts w:ascii="Times New Roman" w:hAnsi="Times New Roman" w:cs="Times New Roman"/>
          <w:b/>
          <w:bCs/>
          <w:i/>
          <w:iCs/>
          <w:noProof/>
          <w:sz w:val="24"/>
          <w:szCs w:val="24"/>
          <w:u w:val="single"/>
        </w:rPr>
        <w:t xml:space="preserve"> </w:t>
      </w:r>
      <w:r w:rsidRPr="00C36F54">
        <w:rPr>
          <w:rFonts w:ascii="Times New Roman" w:hAnsi="Times New Roman" w:cs="Times New Roman"/>
          <w:b/>
          <w:bCs/>
          <w:noProof/>
          <w:sz w:val="24"/>
          <w:szCs w:val="24"/>
          <w:u w:val="single"/>
        </w:rPr>
        <w:t>[</w:t>
      </w:r>
      <w:r w:rsidRPr="00C36F54">
        <w:rPr>
          <w:rFonts w:ascii="Times New Roman" w:hAnsi="Times New Roman" w:cs="Times New Roman"/>
          <w:b/>
          <w:bCs/>
          <w:i/>
          <w:iCs/>
          <w:noProof/>
          <w:sz w:val="24"/>
          <w:szCs w:val="24"/>
          <w:u w:val="single"/>
        </w:rPr>
        <w:t>Electricity interconnections across the Pyreneans to better integrate the Iberian Peninsula</w:t>
      </w:r>
      <w:r w:rsidRPr="00C36F54">
        <w:rPr>
          <w:rFonts w:ascii="Times New Roman" w:hAnsi="Times New Roman" w:cs="Times New Roman"/>
          <w:b/>
          <w:bCs/>
          <w:noProof/>
          <w:sz w:val="24"/>
          <w:szCs w:val="24"/>
          <w:u w:val="single"/>
        </w:rPr>
        <w:t>]</w:t>
      </w:r>
    </w:p>
    <w:p w14:paraId="6F1BBBB2"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Iberian Peninsula remains insufficiently connected to the rest of the EU energy market, with current cross-border capacity between France and Spain limited to 2.5 GW. This hampers market integration, drives persistent price differentials, and constrains renewable integration. In addition to the Biscay Bay interconnection project that is under construction, the objective of these two additional Pyrenean projects is to </w:t>
      </w:r>
      <w:r w:rsidRPr="00C36F54">
        <w:rPr>
          <w:rFonts w:ascii="Times New Roman" w:hAnsi="Times New Roman" w:cs="Times New Roman"/>
          <w:b/>
          <w:bCs/>
          <w:noProof/>
          <w:sz w:val="24"/>
          <w:szCs w:val="24"/>
        </w:rPr>
        <w:t>raise total interconnection capacity to 8 GW by 2040,</w:t>
      </w:r>
      <w:r w:rsidRPr="00C36F54">
        <w:rPr>
          <w:rFonts w:ascii="Times New Roman" w:hAnsi="Times New Roman" w:cs="Times New Roman"/>
          <w:noProof/>
          <w:sz w:val="24"/>
          <w:szCs w:val="24"/>
        </w:rPr>
        <w:t xml:space="preserve"> strengthen system resilience, and reducing renewable curtailment. The two Pyrenean interconnection projects have been </w:t>
      </w:r>
      <w:r w:rsidRPr="00C36F54">
        <w:rPr>
          <w:rFonts w:ascii="Times New Roman" w:hAnsi="Times New Roman" w:cs="Times New Roman"/>
          <w:b/>
          <w:bCs/>
          <w:noProof/>
          <w:sz w:val="24"/>
          <w:szCs w:val="24"/>
        </w:rPr>
        <w:t>reconfirmed in the current PCI/PMI list</w:t>
      </w:r>
      <w:r w:rsidRPr="00C36F54">
        <w:rPr>
          <w:rFonts w:ascii="Times New Roman" w:hAnsi="Times New Roman" w:cs="Times New Roman"/>
          <w:noProof/>
          <w:sz w:val="24"/>
          <w:szCs w:val="24"/>
        </w:rPr>
        <w:t xml:space="preserve"> as priority projects to address this bottleneck. In May 2025, the Navarra (ES) - Landes (FR) project received a EUR 11.1 million Connecting Europe Facility (CEF) grant for preparatory studies. Despite their strategic importance, progress has been relatively slow, with further work needed on internal reinforcements and on clarifying the financing approach.</w:t>
      </w:r>
    </w:p>
    <w:p w14:paraId="15FC8DC8" w14:textId="629E2FF3" w:rsidR="00C36F54" w:rsidRPr="00C36F54" w:rsidRDefault="00C36F54" w:rsidP="00C36F54">
      <w:pPr>
        <w:jc w:val="both"/>
        <w:rPr>
          <w:rFonts w:ascii="Times New Roman" w:hAnsi="Times New Roman" w:cs="Times New Roman"/>
          <w:noProof/>
          <w:sz w:val="24"/>
          <w:szCs w:val="24"/>
          <w:u w:val="single"/>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 xml:space="preserve">The Commission will work to facilitate a joint political declaration at the next Ministerial meeting of the High-Level Group South-West Europe (Q1 2026), with the objective of confirming the </w:t>
      </w:r>
      <w:r w:rsidRPr="00C36F54">
        <w:rPr>
          <w:rFonts w:ascii="Times New Roman" w:hAnsi="Times New Roman" w:cs="Times New Roman"/>
          <w:b/>
          <w:bCs/>
          <w:noProof/>
          <w:sz w:val="24"/>
          <w:szCs w:val="24"/>
        </w:rPr>
        <w:t>start of implementation for at least one of the projects</w:t>
      </w:r>
      <w:r w:rsidRPr="00C36F54">
        <w:rPr>
          <w:rFonts w:ascii="Times New Roman" w:hAnsi="Times New Roman" w:cs="Times New Roman"/>
          <w:noProof/>
          <w:sz w:val="24"/>
          <w:szCs w:val="24"/>
        </w:rPr>
        <w:t xml:space="preserve"> and addressing the necessary internal grid reinforcements. </w:t>
      </w:r>
    </w:p>
    <w:p w14:paraId="14D7FDB6" w14:textId="77777777" w:rsidR="00C36F54" w:rsidRPr="00C36F54" w:rsidRDefault="00C36F54" w:rsidP="00C36F54">
      <w:pPr>
        <w:jc w:val="both"/>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t>2. Great Sea Interconnector [</w:t>
      </w:r>
      <w:r w:rsidRPr="00C36F54">
        <w:rPr>
          <w:rFonts w:ascii="Times New Roman" w:hAnsi="Times New Roman" w:cs="Times New Roman"/>
          <w:b/>
          <w:bCs/>
          <w:i/>
          <w:iCs/>
          <w:noProof/>
          <w:sz w:val="24"/>
          <w:szCs w:val="24"/>
          <w:u w:val="single"/>
        </w:rPr>
        <w:t>Electricity interconnection of Cyprus with continental Europe to end electricity isolation</w:t>
      </w:r>
      <w:r w:rsidRPr="00C36F54">
        <w:rPr>
          <w:rFonts w:ascii="Times New Roman" w:hAnsi="Times New Roman" w:cs="Times New Roman"/>
          <w:b/>
          <w:bCs/>
          <w:noProof/>
          <w:sz w:val="24"/>
          <w:szCs w:val="24"/>
          <w:u w:val="single"/>
        </w:rPr>
        <w:t>]</w:t>
      </w:r>
    </w:p>
    <w:p w14:paraId="3D2CF09B"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Cyprus is the last EU Member State not connected to the European electricity grid</w:t>
      </w:r>
      <w:r w:rsidRPr="00C36F54">
        <w:rPr>
          <w:rFonts w:ascii="Times New Roman" w:hAnsi="Times New Roman" w:cs="Times New Roman"/>
          <w:noProof/>
          <w:sz w:val="24"/>
          <w:szCs w:val="24"/>
          <w:vertAlign w:val="superscript"/>
        </w:rPr>
        <w:footnoteReference w:id="34"/>
      </w:r>
      <w:r w:rsidRPr="00C36F54">
        <w:rPr>
          <w:rFonts w:ascii="Times New Roman" w:hAnsi="Times New Roman" w:cs="Times New Roman"/>
          <w:noProof/>
          <w:sz w:val="24"/>
          <w:szCs w:val="24"/>
        </w:rPr>
        <w:t>, limiting its integration into the internal energy market and constraining opportunities for renewable integration. The planned Great Sea Interconnector between Greece and Cyprus will address this gap, ending Cyprus’ electricity isolation, supporting Cyprus’s decarbonization and strengthening the resilience of the European energy system. It will also facilitate greater integration of renewable energy in the wider Mediterranean region.</w:t>
      </w:r>
    </w:p>
    <w:p w14:paraId="00173AB6" w14:textId="606E2D31"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project, reconfirmed in the current PCI/PMI list, will be the world’s longest submarine power cable, with a length of nearly 900 km. It has been supported by CEF grants, including EUR 2.3 million for feasibility studies and EUR 658 million for works to construct the </w:t>
      </w:r>
      <w:r w:rsidRPr="00C36F54">
        <w:rPr>
          <w:rFonts w:ascii="Times New Roman" w:hAnsi="Times New Roman" w:cs="Times New Roman"/>
          <w:noProof/>
          <w:sz w:val="24"/>
          <w:szCs w:val="24"/>
        </w:rPr>
        <w:lastRenderedPageBreak/>
        <w:t>section between Greece and Cyprus. In May 2025, work was completed on the undersea cable linking the Greek mainland to Crete, a key step towards the full interconnection.</w:t>
      </w:r>
    </w:p>
    <w:p w14:paraId="163407C6"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Progress on the project has been hampered by a complex geopolitical context, with potential implications for timelines and costs. The strategic value of this interconnection highlights the importance of strong coordination between Member States to address these challenges and ensure completion of the project.</w:t>
      </w:r>
    </w:p>
    <w:p w14:paraId="651AFE7C"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noProof/>
          <w:sz w:val="24"/>
          <w:szCs w:val="24"/>
        </w:rPr>
        <w:t xml:space="preserve">: The Commission will continue to give strong political and technical support to the project of highest strategic importance in close cooperation with the upcoming Cyprus Council Presidency in 2026, including through dedicated events and high-level discussions, and with additional engagement to addressing geopolitical aspects. </w:t>
      </w:r>
    </w:p>
    <w:p w14:paraId="57A1D473" w14:textId="77777777" w:rsidR="00C36F54" w:rsidRPr="00C36F54" w:rsidRDefault="00C36F54" w:rsidP="00C36F54">
      <w:pPr>
        <w:jc w:val="both"/>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t>3. Harmony Link [</w:t>
      </w:r>
      <w:r w:rsidRPr="00C36F54">
        <w:rPr>
          <w:rFonts w:ascii="Times New Roman" w:hAnsi="Times New Roman" w:cs="Times New Roman"/>
          <w:b/>
          <w:bCs/>
          <w:i/>
          <w:iCs/>
          <w:noProof/>
          <w:sz w:val="24"/>
          <w:szCs w:val="24"/>
          <w:u w:val="single"/>
        </w:rPr>
        <w:t>Strengthening the Electricity interconnection of the Baltic States to boost security benefits of their independence from Russia</w:t>
      </w:r>
      <w:r w:rsidRPr="00C36F54">
        <w:rPr>
          <w:rFonts w:ascii="Times New Roman" w:hAnsi="Times New Roman" w:cs="Times New Roman"/>
          <w:b/>
          <w:bCs/>
          <w:noProof/>
          <w:sz w:val="24"/>
          <w:szCs w:val="24"/>
          <w:u w:val="single"/>
        </w:rPr>
        <w:t>]</w:t>
      </w:r>
    </w:p>
    <w:p w14:paraId="76601BA3"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On 9 February 2025, the three Baltic States successfully synchronised their electricity systems with continental Europe, a landmark achievement for European energy security. A key remaining investment under the Baltic Synchronisation PCI is the </w:t>
      </w:r>
      <w:r w:rsidRPr="00C36F54">
        <w:rPr>
          <w:rFonts w:ascii="Times New Roman" w:hAnsi="Times New Roman" w:cs="Times New Roman"/>
          <w:b/>
          <w:bCs/>
          <w:noProof/>
          <w:sz w:val="24"/>
          <w:szCs w:val="24"/>
        </w:rPr>
        <w:t>Harmony Link interconnector between Lithuania and Poland</w:t>
      </w:r>
      <w:r w:rsidRPr="00C36F54">
        <w:rPr>
          <w:rFonts w:ascii="Times New Roman" w:hAnsi="Times New Roman" w:cs="Times New Roman"/>
          <w:noProof/>
          <w:sz w:val="24"/>
          <w:szCs w:val="24"/>
        </w:rPr>
        <w:t xml:space="preserve">, which will complete the full integration of the Baltic electricity markets. The recent appointment of a European coordination for the completion of this project should support swift delivery. </w:t>
      </w:r>
    </w:p>
    <w:p w14:paraId="60113094"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Once completed, the Harmony Link will enhance market integration, enabling electricity trade through Poland and fostering competition that can lower prices for consumers and businesses in the region. It will also facilitate the integration of renewable energy. Harmony Link will also significantly strengthen energy security in the Baltic States. Today, the LitPol Link interconnector is the only connection between the Baltics and continental Europe, and outage would carry serious consequences for the Baltic energy system. </w:t>
      </w:r>
    </w:p>
    <w:p w14:paraId="0E817B0E" w14:textId="304B5395"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b/>
          <w:bCs/>
          <w:noProof/>
          <w:sz w:val="24"/>
          <w:szCs w:val="24"/>
        </w:rPr>
        <w:t>:</w:t>
      </w:r>
      <w:r w:rsidRPr="00C36F54">
        <w:rPr>
          <w:rFonts w:ascii="Times New Roman" w:hAnsi="Times New Roman" w:cs="Times New Roman"/>
          <w:noProof/>
          <w:sz w:val="24"/>
          <w:szCs w:val="24"/>
        </w:rPr>
        <w:t xml:space="preserve"> The Commission will support the timely delivery of this project through enhanced regional cooperation and take stock at Ministerial level during the next BEMIP High-Level meeting in 2026, following the signature of the updated BEMIP Memorandum of Understanding last year, and ensure that the adoption of the new BEMIP High-Level Group Action Plan prioritises delivery of this highway.</w:t>
      </w:r>
    </w:p>
    <w:p w14:paraId="185A8109" w14:textId="5A817793" w:rsidR="00C36F54" w:rsidRPr="00C36F54" w:rsidRDefault="00C36F54" w:rsidP="00C36F54">
      <w:pPr>
        <w:jc w:val="both"/>
        <w:rPr>
          <w:rFonts w:ascii="Times New Roman" w:hAnsi="Times New Roman" w:cs="Times New Roman"/>
          <w:noProof/>
          <w:sz w:val="24"/>
          <w:szCs w:val="24"/>
          <w:u w:val="single"/>
        </w:rPr>
      </w:pPr>
      <w:r w:rsidRPr="00C36F54">
        <w:rPr>
          <w:rFonts w:ascii="Times New Roman" w:hAnsi="Times New Roman" w:cs="Times New Roman"/>
          <w:noProof/>
          <w:sz w:val="24"/>
          <w:szCs w:val="24"/>
          <w:u w:val="single"/>
        </w:rPr>
        <w:t xml:space="preserve">4. </w:t>
      </w:r>
      <w:r w:rsidRPr="00C36F54">
        <w:rPr>
          <w:rFonts w:ascii="Times New Roman" w:hAnsi="Times New Roman" w:cs="Times New Roman"/>
          <w:b/>
          <w:bCs/>
          <w:noProof/>
          <w:sz w:val="24"/>
          <w:szCs w:val="24"/>
          <w:u w:val="single"/>
        </w:rPr>
        <w:t>TransBalkan Pipeline (TBP) reverse flow</w:t>
      </w:r>
      <w:r w:rsidRPr="00C36F54">
        <w:rPr>
          <w:rFonts w:ascii="Times New Roman" w:hAnsi="Times New Roman" w:cs="Times New Roman"/>
          <w:noProof/>
          <w:sz w:val="24"/>
          <w:szCs w:val="24"/>
          <w:u w:val="single"/>
        </w:rPr>
        <w:t xml:space="preserve"> [</w:t>
      </w:r>
      <w:r w:rsidRPr="00C36F54">
        <w:rPr>
          <w:rFonts w:ascii="Times New Roman" w:hAnsi="Times New Roman" w:cs="Times New Roman"/>
          <w:b/>
          <w:bCs/>
          <w:i/>
          <w:iCs/>
          <w:noProof/>
          <w:sz w:val="24"/>
          <w:szCs w:val="24"/>
          <w:u w:val="single"/>
        </w:rPr>
        <w:t>Resilience of energy supplies in the Balkan region and our eastern neighbourhood</w:t>
      </w:r>
      <w:r w:rsidRPr="00C36F54">
        <w:rPr>
          <w:rFonts w:ascii="Times New Roman" w:hAnsi="Times New Roman" w:cs="Times New Roman"/>
          <w:b/>
          <w:bCs/>
          <w:i/>
          <w:iCs/>
          <w:noProof/>
          <w:sz w:val="24"/>
          <w:szCs w:val="24"/>
        </w:rPr>
        <w:t>]</w:t>
      </w:r>
    </w:p>
    <w:p w14:paraId="6314EB8B"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w:t>
      </w:r>
      <w:r w:rsidRPr="00C36F54">
        <w:rPr>
          <w:rFonts w:ascii="Times New Roman" w:hAnsi="Times New Roman" w:cs="Times New Roman"/>
          <w:b/>
          <w:bCs/>
          <w:noProof/>
          <w:sz w:val="24"/>
          <w:szCs w:val="24"/>
        </w:rPr>
        <w:t>Trans</w:t>
      </w:r>
      <w:r w:rsidRPr="00C36F54">
        <w:rPr>
          <w:rFonts w:ascii="Times New Roman" w:hAnsi="Times New Roman" w:cs="Times New Roman"/>
          <w:b/>
          <w:bCs/>
          <w:noProof/>
          <w:sz w:val="24"/>
          <w:szCs w:val="24"/>
        </w:rPr>
        <w:noBreakHyphen/>
        <w:t>Balkan Pipeline (TBP) reverse flow</w:t>
      </w:r>
      <w:r w:rsidRPr="00C36F54">
        <w:rPr>
          <w:rFonts w:ascii="Times New Roman" w:hAnsi="Times New Roman" w:cs="Times New Roman"/>
          <w:noProof/>
          <w:sz w:val="24"/>
          <w:szCs w:val="24"/>
        </w:rPr>
        <w:t xml:space="preserve"> is not a capacity expansion project, but a coordinated effort in the Central- and South-East European region to </w:t>
      </w:r>
      <w:r w:rsidRPr="00C36F54">
        <w:rPr>
          <w:rFonts w:ascii="Times New Roman" w:hAnsi="Times New Roman" w:cs="Times New Roman"/>
          <w:b/>
          <w:bCs/>
          <w:noProof/>
          <w:sz w:val="24"/>
          <w:szCs w:val="24"/>
        </w:rPr>
        <w:t>enable the maximized use of existing natural gas transmission capacity in the reverse direction, from South to North</w:t>
      </w:r>
      <w:r w:rsidRPr="00C36F54">
        <w:rPr>
          <w:rFonts w:ascii="Times New Roman" w:hAnsi="Times New Roman" w:cs="Times New Roman"/>
          <w:noProof/>
          <w:sz w:val="24"/>
          <w:szCs w:val="24"/>
        </w:rPr>
        <w:t>. This functionality is key to diversifying natural gas supplies in South</w:t>
      </w:r>
      <w:r w:rsidRPr="00C36F54">
        <w:rPr>
          <w:rFonts w:ascii="Times New Roman" w:hAnsi="Times New Roman" w:cs="Times New Roman"/>
          <w:noProof/>
          <w:sz w:val="24"/>
          <w:szCs w:val="24"/>
        </w:rPr>
        <w:noBreakHyphen/>
        <w:t>East Europe and to ending Russian imports.</w:t>
      </w:r>
    </w:p>
    <w:p w14:paraId="349D12F5"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With significant transport capacity, the TBP can play a central role in regional diversification and in delivering on the REPowerEU objectives. This potential will grow further from 2027, </w:t>
      </w:r>
      <w:r w:rsidRPr="00C36F54">
        <w:rPr>
          <w:rFonts w:ascii="Times New Roman" w:hAnsi="Times New Roman" w:cs="Times New Roman"/>
          <w:noProof/>
          <w:sz w:val="24"/>
          <w:szCs w:val="24"/>
        </w:rPr>
        <w:lastRenderedPageBreak/>
        <w:t>when the Neptun Deep gas field in Romania is expected to come online. Full South</w:t>
      </w:r>
      <w:r w:rsidRPr="00C36F54">
        <w:rPr>
          <w:rFonts w:ascii="Times New Roman" w:hAnsi="Times New Roman" w:cs="Times New Roman"/>
          <w:noProof/>
          <w:sz w:val="24"/>
          <w:szCs w:val="24"/>
        </w:rPr>
        <w:noBreakHyphen/>
        <w:t>North operation of the TBP, combined with source diversification, would foster greater trade, competition, and market liquidity in the region without the need for costly new infrastructure.</w:t>
      </w:r>
    </w:p>
    <w:p w14:paraId="08ED0438"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Despite this potential, </w:t>
      </w:r>
      <w:r w:rsidRPr="00C36F54">
        <w:rPr>
          <w:rFonts w:ascii="Times New Roman" w:hAnsi="Times New Roman" w:cs="Times New Roman"/>
          <w:b/>
          <w:bCs/>
          <w:noProof/>
          <w:sz w:val="24"/>
          <w:szCs w:val="24"/>
        </w:rPr>
        <w:t>current regulatory and market obstacles in several Member States along the pipeline create obstacles to the TBP’s use and commercial viability</w:t>
      </w:r>
      <w:r w:rsidRPr="00C36F54">
        <w:rPr>
          <w:rFonts w:ascii="Times New Roman" w:hAnsi="Times New Roman" w:cs="Times New Roman"/>
          <w:noProof/>
          <w:sz w:val="24"/>
          <w:szCs w:val="24"/>
        </w:rPr>
        <w:t>. The recent appointment of a European Coordinator for the CESEC region will strengthen EU’s support the resolution of these barriers.</w:t>
      </w:r>
    </w:p>
    <w:p w14:paraId="07C78933" w14:textId="5E5D3288" w:rsidR="00C36F54" w:rsidRPr="00C36F54" w:rsidRDefault="00C36F54" w:rsidP="00C36F54">
      <w:pPr>
        <w:jc w:val="both"/>
        <w:rPr>
          <w:rFonts w:ascii="Times New Roman" w:hAnsi="Times New Roman" w:cs="Times New Roman"/>
          <w:noProof/>
          <w:sz w:val="24"/>
          <w:szCs w:val="24"/>
          <w:u w:val="single"/>
        </w:rPr>
      </w:pPr>
      <w:r w:rsidRPr="7D5B2916">
        <w:rPr>
          <w:rFonts w:ascii="Times New Roman" w:hAnsi="Times New Roman" w:cs="Times New Roman"/>
          <w:b/>
          <w:bCs/>
          <w:noProof/>
          <w:sz w:val="24"/>
          <w:szCs w:val="24"/>
          <w:u w:val="single"/>
        </w:rPr>
        <w:t>Short-term actions</w:t>
      </w:r>
      <w:r w:rsidRPr="7D5B2916">
        <w:rPr>
          <w:rFonts w:ascii="Times New Roman" w:hAnsi="Times New Roman" w:cs="Times New Roman"/>
          <w:noProof/>
          <w:sz w:val="24"/>
          <w:szCs w:val="24"/>
        </w:rPr>
        <w:t xml:space="preserve">: The Commission will intensify coordination under the CESEC </w:t>
      </w:r>
      <w:r>
        <w:rPr>
          <w:rFonts w:ascii="Times New Roman" w:hAnsi="Times New Roman" w:cs="Times New Roman"/>
          <w:noProof/>
          <w:sz w:val="24"/>
          <w:szCs w:val="24"/>
        </w:rPr>
        <w:t>High-Level</w:t>
      </w:r>
      <w:r w:rsidRPr="7D5B2916">
        <w:rPr>
          <w:rFonts w:ascii="Times New Roman" w:hAnsi="Times New Roman" w:cs="Times New Roman"/>
          <w:noProof/>
          <w:sz w:val="24"/>
          <w:szCs w:val="24"/>
        </w:rPr>
        <w:t xml:space="preserve"> Group</w:t>
      </w:r>
      <w:r w:rsidR="009B0B87" w:rsidRPr="7D5B2916">
        <w:rPr>
          <w:rFonts w:ascii="Times New Roman" w:hAnsi="Times New Roman" w:cs="Times New Roman"/>
          <w:noProof/>
          <w:sz w:val="24"/>
          <w:szCs w:val="24"/>
        </w:rPr>
        <w:t>,</w:t>
      </w:r>
      <w:r w:rsidR="00336603" w:rsidRPr="7D5B2916">
        <w:rPr>
          <w:rFonts w:ascii="Times New Roman" w:hAnsi="Times New Roman" w:cs="Times New Roman"/>
          <w:noProof/>
          <w:sz w:val="24"/>
          <w:szCs w:val="24"/>
        </w:rPr>
        <w:t xml:space="preserve"> with all concerned countries</w:t>
      </w:r>
      <w:r w:rsidR="009B0B87" w:rsidRPr="7D5B2916">
        <w:rPr>
          <w:rFonts w:ascii="Times New Roman" w:hAnsi="Times New Roman" w:cs="Times New Roman"/>
          <w:noProof/>
          <w:sz w:val="24"/>
          <w:szCs w:val="24"/>
        </w:rPr>
        <w:t xml:space="preserve"> </w:t>
      </w:r>
      <w:r w:rsidR="00BE4636" w:rsidRPr="7D5B2916">
        <w:rPr>
          <w:rFonts w:ascii="Times New Roman" w:hAnsi="Times New Roman" w:cs="Times New Roman"/>
          <w:noProof/>
          <w:sz w:val="24"/>
          <w:szCs w:val="24"/>
        </w:rPr>
        <w:t>including</w:t>
      </w:r>
      <w:r w:rsidR="001D611D" w:rsidRPr="7D5B2916">
        <w:rPr>
          <w:rFonts w:ascii="Times New Roman" w:hAnsi="Times New Roman" w:cs="Times New Roman"/>
          <w:noProof/>
          <w:sz w:val="24"/>
          <w:szCs w:val="24"/>
        </w:rPr>
        <w:t xml:space="preserve"> M</w:t>
      </w:r>
      <w:r w:rsidR="00C6614D" w:rsidRPr="7D5B2916">
        <w:rPr>
          <w:rFonts w:ascii="Times New Roman" w:hAnsi="Times New Roman" w:cs="Times New Roman"/>
          <w:noProof/>
          <w:sz w:val="24"/>
          <w:szCs w:val="24"/>
        </w:rPr>
        <w:t>oldova</w:t>
      </w:r>
      <w:r w:rsidR="001D611D" w:rsidRPr="7D5B2916">
        <w:rPr>
          <w:rFonts w:ascii="Times New Roman" w:hAnsi="Times New Roman" w:cs="Times New Roman"/>
          <w:noProof/>
          <w:sz w:val="24"/>
          <w:szCs w:val="24"/>
        </w:rPr>
        <w:t xml:space="preserve"> and </w:t>
      </w:r>
      <w:r w:rsidR="00C6614D" w:rsidRPr="7D5B2916">
        <w:rPr>
          <w:rFonts w:ascii="Times New Roman" w:hAnsi="Times New Roman" w:cs="Times New Roman"/>
          <w:noProof/>
          <w:sz w:val="24"/>
          <w:szCs w:val="24"/>
        </w:rPr>
        <w:t>Ukraine</w:t>
      </w:r>
      <w:r w:rsidRPr="7D5B2916">
        <w:rPr>
          <w:rFonts w:ascii="Times New Roman" w:hAnsi="Times New Roman" w:cs="Times New Roman"/>
          <w:noProof/>
          <w:sz w:val="24"/>
          <w:szCs w:val="24"/>
        </w:rPr>
        <w:t xml:space="preserve">, with a view to </w:t>
      </w:r>
      <w:r w:rsidRPr="7D5B2916">
        <w:rPr>
          <w:rFonts w:ascii="Times New Roman" w:hAnsi="Times New Roman" w:cs="Times New Roman"/>
          <w:b/>
          <w:bCs/>
          <w:noProof/>
          <w:sz w:val="24"/>
          <w:szCs w:val="24"/>
        </w:rPr>
        <w:t>increasing the commercial attractiveness of the pipeline as soon as possible</w:t>
      </w:r>
      <w:r w:rsidRPr="7D5B2916">
        <w:rPr>
          <w:rFonts w:ascii="Times New Roman" w:hAnsi="Times New Roman" w:cs="Times New Roman"/>
          <w:noProof/>
          <w:sz w:val="24"/>
          <w:szCs w:val="24"/>
        </w:rPr>
        <w:t xml:space="preserve">, while ensuring long-term compliance with the EU energy acquis. In this context, the Commission will further support the work of the CESEC High-level Group on gas quality harmonisation, and </w:t>
      </w:r>
      <w:r w:rsidRPr="7D5B2916">
        <w:rPr>
          <w:rFonts w:ascii="Times New Roman" w:hAnsi="Times New Roman" w:cs="Times New Roman"/>
          <w:b/>
          <w:bCs/>
          <w:noProof/>
          <w:sz w:val="24"/>
          <w:szCs w:val="24"/>
        </w:rPr>
        <w:t>the removal of obstacles to the maximized utilization of the Trans-Balkan Pipeline</w:t>
      </w:r>
      <w:r w:rsidRPr="7D5B2916">
        <w:rPr>
          <w:rFonts w:ascii="Times New Roman" w:hAnsi="Times New Roman" w:cs="Times New Roman"/>
          <w:noProof/>
          <w:sz w:val="24"/>
          <w:szCs w:val="24"/>
        </w:rPr>
        <w:t>.</w:t>
      </w:r>
    </w:p>
    <w:p w14:paraId="0CE72D7E" w14:textId="5A5F1580" w:rsidR="00C36F54" w:rsidRPr="00C36F54" w:rsidRDefault="00C36F54" w:rsidP="00C36F54">
      <w:pPr>
        <w:jc w:val="both"/>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t xml:space="preserve">5. </w:t>
      </w:r>
      <w:r w:rsidR="002A4C99">
        <w:rPr>
          <w:rFonts w:ascii="Times New Roman" w:hAnsi="Times New Roman" w:cs="Times New Roman"/>
          <w:b/>
          <w:bCs/>
          <w:noProof/>
          <w:sz w:val="24"/>
          <w:szCs w:val="24"/>
          <w:u w:val="single"/>
        </w:rPr>
        <w:t xml:space="preserve"> </w:t>
      </w:r>
      <w:r w:rsidRPr="00C36F54">
        <w:rPr>
          <w:rFonts w:ascii="Times New Roman" w:hAnsi="Times New Roman" w:cs="Times New Roman"/>
          <w:b/>
          <w:bCs/>
          <w:noProof/>
          <w:sz w:val="24"/>
          <w:szCs w:val="24"/>
          <w:u w:val="single"/>
        </w:rPr>
        <w:t>Bornholm Energy Island [</w:t>
      </w:r>
      <w:r w:rsidRPr="00C36F54">
        <w:rPr>
          <w:rFonts w:ascii="Times New Roman" w:hAnsi="Times New Roman" w:cs="Times New Roman"/>
          <w:b/>
          <w:bCs/>
          <w:i/>
          <w:iCs/>
          <w:noProof/>
          <w:sz w:val="24"/>
          <w:szCs w:val="24"/>
          <w:u w:val="single"/>
        </w:rPr>
        <w:t>Turning the Baltic Sea into an offshore interconnector hub</w:t>
      </w:r>
      <w:r w:rsidRPr="00C36F54">
        <w:rPr>
          <w:rFonts w:ascii="Times New Roman" w:hAnsi="Times New Roman" w:cs="Times New Roman"/>
          <w:b/>
          <w:bCs/>
          <w:noProof/>
          <w:sz w:val="24"/>
          <w:szCs w:val="24"/>
          <w:u w:val="single"/>
        </w:rPr>
        <w:t>]</w:t>
      </w:r>
    </w:p>
    <w:p w14:paraId="1BC8E496" w14:textId="3A576180"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rPr>
        <w:t>As a first-of-its kind project, the Bornholm Energy Island (BEI) is a hybrid offshore project</w:t>
      </w:r>
      <w:r w:rsidRPr="00C36F54">
        <w:rPr>
          <w:rFonts w:ascii="Times New Roman" w:hAnsi="Times New Roman" w:cs="Times New Roman"/>
          <w:noProof/>
          <w:sz w:val="24"/>
          <w:szCs w:val="24"/>
        </w:rPr>
        <w:t xml:space="preserve">, located southwest of Bornholm, in the Exclusive Economic Zone of Denmark. The project is planned as a future energy hub, with </w:t>
      </w:r>
      <w:r w:rsidRPr="00C36F54">
        <w:rPr>
          <w:rFonts w:ascii="Times New Roman" w:hAnsi="Times New Roman" w:cs="Times New Roman"/>
          <w:b/>
          <w:bCs/>
          <w:noProof/>
          <w:sz w:val="24"/>
          <w:szCs w:val="24"/>
        </w:rPr>
        <w:t>potential to expand and connect to more interconnectors</w:t>
      </w:r>
      <w:r w:rsidRPr="00C36F54">
        <w:rPr>
          <w:rFonts w:ascii="Times New Roman" w:hAnsi="Times New Roman" w:cs="Times New Roman"/>
          <w:noProof/>
          <w:sz w:val="24"/>
          <w:szCs w:val="24"/>
        </w:rPr>
        <w:t xml:space="preserve"> with other countries. It is reconfirmed in the 2</w:t>
      </w:r>
      <w:r w:rsidRPr="00C36F54">
        <w:rPr>
          <w:rFonts w:ascii="Times New Roman" w:hAnsi="Times New Roman" w:cs="Times New Roman"/>
          <w:noProof/>
          <w:sz w:val="24"/>
          <w:szCs w:val="24"/>
          <w:vertAlign w:val="superscript"/>
        </w:rPr>
        <w:t>nd</w:t>
      </w:r>
      <w:r w:rsidRPr="00C36F54">
        <w:rPr>
          <w:rFonts w:ascii="Times New Roman" w:hAnsi="Times New Roman" w:cs="Times New Roman"/>
          <w:noProof/>
          <w:sz w:val="24"/>
          <w:szCs w:val="24"/>
        </w:rPr>
        <w:t xml:space="preserve"> PCI/PMI list and received a CEF grant for works (EUR 645.2 million) in September 2025. BEI is a blueprint for future EU offshore initiatives; it will increase market integration, enhance security of supply at EU level and benefit Denmark and Germany and Member States beyond the region. By linking offshore generation with the Danish and German national grids, offshore wind energy is transformed from a national resource into a shared European asset for further electrification, strengthening our collective resilience and energy independence</w:t>
      </w:r>
      <w:r w:rsidRPr="00C36F54">
        <w:rPr>
          <w:rFonts w:ascii="Times New Roman" w:hAnsi="Times New Roman" w:cs="Times New Roman"/>
          <w:i/>
          <w:iCs/>
          <w:noProof/>
          <w:sz w:val="24"/>
          <w:szCs w:val="24"/>
        </w:rPr>
        <w:t xml:space="preserve">. </w:t>
      </w:r>
      <w:r w:rsidRPr="00C36F54">
        <w:rPr>
          <w:rFonts w:ascii="Times New Roman" w:hAnsi="Times New Roman" w:cs="Times New Roman"/>
          <w:noProof/>
          <w:sz w:val="24"/>
          <w:szCs w:val="24"/>
        </w:rPr>
        <w:t>Remaining challenges relate to an agreement between Denmark and Germany on how to share the additional support costs for the offshore wind farm in Denmark and completion of the regulatory framework in Denmark, particularly on cross-border liability.</w:t>
      </w:r>
    </w:p>
    <w:p w14:paraId="04F60F9C" w14:textId="70670D07" w:rsidR="00C36F54" w:rsidRPr="00C36F54" w:rsidRDefault="00C36F54" w:rsidP="00C36F54">
      <w:pPr>
        <w:jc w:val="both"/>
        <w:rPr>
          <w:rFonts w:ascii="Times New Roman" w:hAnsi="Times New Roman" w:cs="Times New Roman"/>
          <w:noProof/>
          <w:sz w:val="24"/>
          <w:szCs w:val="24"/>
          <w:u w:val="single"/>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noProof/>
          <w:sz w:val="24"/>
          <w:szCs w:val="24"/>
          <w:u w:val="single"/>
        </w:rPr>
        <w:t>:</w:t>
      </w:r>
      <w:r w:rsidRPr="00C36F54">
        <w:rPr>
          <w:rFonts w:ascii="Times New Roman" w:hAnsi="Times New Roman" w:cs="Times New Roman"/>
          <w:noProof/>
          <w:sz w:val="24"/>
          <w:szCs w:val="24"/>
        </w:rPr>
        <w:t xml:space="preserve"> : Following the signature of the CEF grant agreement worth </w:t>
      </w:r>
      <w:r w:rsidR="00E72ED3">
        <w:rPr>
          <w:rFonts w:ascii="Times New Roman" w:hAnsi="Times New Roman" w:cs="Times New Roman"/>
          <w:noProof/>
          <w:sz w:val="24"/>
          <w:szCs w:val="24"/>
        </w:rPr>
        <w:t xml:space="preserve">EUR </w:t>
      </w:r>
      <w:r w:rsidRPr="00C36F54">
        <w:rPr>
          <w:rFonts w:ascii="Times New Roman" w:hAnsi="Times New Roman" w:cs="Times New Roman"/>
          <w:noProof/>
          <w:sz w:val="24"/>
          <w:szCs w:val="24"/>
        </w:rPr>
        <w:t>645 million to support the Danish side of the Bornholm Energy Island (BEI) on 4 September 2025 in Copenhagen, for the construction of two new converter stations and the installation of an submarine cable system, the Commission will continue supporting Denmark and Germany in reaching a political agreement on the cost sharing for the offshore generation located in Danish waters, as well as in finalizing their regulatory framework on cross-border liability. Furthermore, the Commission will continue to support work on the interoperability of offshore networks to ensure that the BEI can in the future develop into a true offshore hub for the Baltic region.</w:t>
      </w:r>
    </w:p>
    <w:p w14:paraId="6EC1813A" w14:textId="77777777" w:rsidR="00C36F54" w:rsidRPr="00C36F54" w:rsidRDefault="00C36F54" w:rsidP="0027132F">
      <w:pPr>
        <w:keepNext/>
        <w:widowControl w:val="0"/>
        <w:spacing w:after="0" w:line="240" w:lineRule="auto"/>
        <w:jc w:val="both"/>
        <w:rPr>
          <w:rFonts w:ascii="Times New Roman" w:hAnsi="Times New Roman" w:cs="Times New Roman"/>
          <w:noProof/>
          <w:sz w:val="24"/>
          <w:szCs w:val="24"/>
          <w:u w:val="single"/>
        </w:rPr>
      </w:pPr>
      <w:r w:rsidRPr="002A4C99">
        <w:rPr>
          <w:rFonts w:ascii="Times New Roman" w:hAnsi="Times New Roman" w:cs="Times New Roman"/>
          <w:b/>
          <w:bCs/>
          <w:noProof/>
          <w:sz w:val="24"/>
          <w:szCs w:val="24"/>
          <w:u w:val="single"/>
        </w:rPr>
        <w:t>6.</w:t>
      </w:r>
      <w:r w:rsidRPr="00C36F54">
        <w:rPr>
          <w:rFonts w:ascii="Times New Roman" w:hAnsi="Times New Roman" w:cs="Times New Roman"/>
          <w:noProof/>
          <w:sz w:val="24"/>
          <w:szCs w:val="24"/>
          <w:u w:val="single"/>
        </w:rPr>
        <w:t xml:space="preserve"> </w:t>
      </w:r>
      <w:r w:rsidRPr="00C36F54">
        <w:rPr>
          <w:rFonts w:ascii="Times New Roman" w:hAnsi="Times New Roman" w:cs="Times New Roman"/>
          <w:b/>
          <w:bCs/>
          <w:noProof/>
          <w:sz w:val="24"/>
          <w:szCs w:val="24"/>
          <w:u w:val="single"/>
        </w:rPr>
        <w:t>Improve price stability and energy security in southeastern Europe, including through storage</w:t>
      </w:r>
    </w:p>
    <w:p w14:paraId="108778B2" w14:textId="77777777" w:rsidR="00C36F54" w:rsidRPr="00C36F54" w:rsidRDefault="00C36F54" w:rsidP="0027132F">
      <w:pPr>
        <w:keepNext/>
        <w:widowControl w:val="0"/>
        <w:spacing w:after="0" w:line="240" w:lineRule="auto"/>
        <w:jc w:val="both"/>
        <w:rPr>
          <w:rFonts w:ascii="Times New Roman" w:hAnsi="Times New Roman" w:cs="Times New Roman"/>
          <w:noProof/>
          <w:sz w:val="24"/>
          <w:szCs w:val="24"/>
        </w:rPr>
      </w:pPr>
    </w:p>
    <w:p w14:paraId="382E0A6C" w14:textId="77777777" w:rsidR="00C36F54" w:rsidRPr="00C36F54" w:rsidRDefault="00C36F54" w:rsidP="0027132F">
      <w:pPr>
        <w:keepNext/>
        <w:widowControl w:val="0"/>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South-Eastern European region suffers from structural high price differentials, as </w:t>
      </w:r>
      <w:r w:rsidRPr="00C36F54">
        <w:rPr>
          <w:rFonts w:ascii="Times New Roman" w:hAnsi="Times New Roman" w:cs="Times New Roman"/>
          <w:noProof/>
          <w:sz w:val="24"/>
          <w:szCs w:val="24"/>
        </w:rPr>
        <w:lastRenderedPageBreak/>
        <w:t>evidenced by 2024 price spikes, causing average price disparities of more than 10 EUR/MWh between respective countries.</w:t>
      </w:r>
    </w:p>
    <w:p w14:paraId="5952AF31"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w:t>
      </w:r>
      <w:r w:rsidRPr="00C36F54">
        <w:rPr>
          <w:rFonts w:ascii="Times New Roman" w:hAnsi="Times New Roman" w:cs="Times New Roman"/>
          <w:b/>
          <w:noProof/>
          <w:sz w:val="24"/>
          <w:szCs w:val="24"/>
        </w:rPr>
        <w:t xml:space="preserve">South-Eastern Europe </w:t>
      </w:r>
      <w:r w:rsidRPr="00C36F54">
        <w:rPr>
          <w:rFonts w:ascii="Times New Roman" w:hAnsi="Times New Roman" w:cs="Times New Roman"/>
          <w:b/>
          <w:bCs/>
          <w:noProof/>
          <w:sz w:val="24"/>
          <w:szCs w:val="24"/>
        </w:rPr>
        <w:t>electricity interconnections</w:t>
      </w:r>
      <w:r w:rsidRPr="00C36F54">
        <w:rPr>
          <w:rFonts w:ascii="Times New Roman" w:hAnsi="Times New Roman" w:cs="Times New Roman"/>
          <w:noProof/>
          <w:sz w:val="24"/>
          <w:szCs w:val="24"/>
        </w:rPr>
        <w:t xml:space="preserve"> Energy Highway addresses critical electricity infrastructure gaps in the region, with the aim of improving price stability, enhancing security of supply, and fostering regional market integration. It involves making better use of existing interconnections and addressing future cross-border needs to eliminate current price disparities. According to ENTSO-E 2024 TYNDP system needs assessment, infrastructure reinforcements are needed on most of the borders in the region. Swift implementation of existing projects of common interest and priority electricity infrastructure projects of the Central and South-Eastern Europe Energy Connectivity High-Level Group (CESEC) will be crucial to fulfil those needs. Accelerating storage in the region will also improve system flexibility.</w:t>
      </w:r>
    </w:p>
    <w:p w14:paraId="5417E276" w14:textId="7D7D2753"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noProof/>
          <w:sz w:val="24"/>
          <w:szCs w:val="24"/>
        </w:rPr>
        <w:t xml:space="preserve">: Strong coordination and support from the CESEC High-Level Group, together with the CESEC Coordinator, will be essential to accelerate progress. The Commission will ensure that dedicated high-level discussions are held next year at all levels to maintain momentum and support implementation. </w:t>
      </w:r>
    </w:p>
    <w:p w14:paraId="3357A5C8" w14:textId="0F7A1AB4" w:rsidR="00C36F54" w:rsidRPr="00C36F54" w:rsidRDefault="00C36F54" w:rsidP="00C36F54">
      <w:pPr>
        <w:spacing w:after="0" w:line="240" w:lineRule="auto"/>
        <w:jc w:val="both"/>
        <w:rPr>
          <w:rFonts w:ascii="Times New Roman" w:hAnsi="Times New Roman" w:cs="Times New Roman"/>
          <w:b/>
          <w:bCs/>
          <w:noProof/>
          <w:sz w:val="24"/>
          <w:szCs w:val="24"/>
          <w:u w:val="single"/>
        </w:rPr>
      </w:pPr>
      <w:r w:rsidRPr="002A4C99">
        <w:rPr>
          <w:rFonts w:ascii="Times New Roman" w:hAnsi="Times New Roman" w:cs="Times New Roman"/>
          <w:b/>
          <w:bCs/>
          <w:noProof/>
          <w:sz w:val="24"/>
          <w:szCs w:val="24"/>
          <w:u w:val="single"/>
        </w:rPr>
        <w:t>7.</w:t>
      </w:r>
      <w:r w:rsidR="002A4C99">
        <w:rPr>
          <w:rFonts w:ascii="Times New Roman" w:hAnsi="Times New Roman" w:cs="Times New Roman"/>
          <w:noProof/>
          <w:sz w:val="24"/>
          <w:szCs w:val="24"/>
          <w:u w:val="single"/>
        </w:rPr>
        <w:t xml:space="preserve"> </w:t>
      </w:r>
      <w:r w:rsidRPr="00C36F54">
        <w:rPr>
          <w:rFonts w:ascii="Times New Roman" w:hAnsi="Times New Roman" w:cs="Times New Roman"/>
          <w:b/>
          <w:bCs/>
          <w:noProof/>
          <w:sz w:val="24"/>
          <w:szCs w:val="24"/>
          <w:u w:val="single"/>
        </w:rPr>
        <w:t>SouthH2 Corridor</w:t>
      </w:r>
      <w:r w:rsidRPr="00C36F54">
        <w:rPr>
          <w:rFonts w:ascii="Times New Roman" w:hAnsi="Times New Roman" w:cs="Times New Roman"/>
          <w:noProof/>
          <w:sz w:val="24"/>
          <w:szCs w:val="24"/>
          <w:u w:val="single"/>
        </w:rPr>
        <w:t xml:space="preserve"> [</w:t>
      </w:r>
      <w:r w:rsidRPr="00C36F54">
        <w:rPr>
          <w:rFonts w:ascii="Times New Roman" w:hAnsi="Times New Roman" w:cs="Times New Roman"/>
          <w:b/>
          <w:bCs/>
          <w:i/>
          <w:iCs/>
          <w:noProof/>
          <w:sz w:val="24"/>
          <w:szCs w:val="24"/>
          <w:u w:val="single"/>
        </w:rPr>
        <w:t>The South hydrogen corridor (Tunisia, Italy, Austria and Germany)</w:t>
      </w:r>
      <w:r w:rsidRPr="00C36F54">
        <w:rPr>
          <w:rFonts w:ascii="Times New Roman" w:hAnsi="Times New Roman" w:cs="Times New Roman"/>
          <w:b/>
          <w:bCs/>
          <w:noProof/>
          <w:sz w:val="24"/>
          <w:szCs w:val="24"/>
          <w:u w:val="single"/>
        </w:rPr>
        <w:t>]</w:t>
      </w:r>
    </w:p>
    <w:p w14:paraId="447FA620" w14:textId="77777777" w:rsidR="00C36F54" w:rsidRPr="00C36F54" w:rsidRDefault="00C36F54" w:rsidP="00C36F54">
      <w:pPr>
        <w:spacing w:after="0" w:line="240" w:lineRule="auto"/>
        <w:jc w:val="both"/>
        <w:rPr>
          <w:rFonts w:ascii="Times New Roman" w:hAnsi="Times New Roman" w:cs="Times New Roman"/>
          <w:noProof/>
          <w:sz w:val="24"/>
          <w:szCs w:val="24"/>
        </w:rPr>
      </w:pPr>
    </w:p>
    <w:p w14:paraId="7014E380"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w:t>
      </w:r>
      <w:r w:rsidRPr="00C36F54">
        <w:rPr>
          <w:rFonts w:ascii="Times New Roman" w:hAnsi="Times New Roman" w:cs="Times New Roman"/>
          <w:bCs/>
          <w:noProof/>
          <w:sz w:val="24"/>
          <w:szCs w:val="24"/>
        </w:rPr>
        <w:t>South hydrogen corridor</w:t>
      </w:r>
      <w:r w:rsidRPr="00C36F54">
        <w:rPr>
          <w:rFonts w:ascii="Times New Roman" w:hAnsi="Times New Roman" w:cs="Times New Roman"/>
          <w:b/>
          <w:noProof/>
          <w:sz w:val="24"/>
          <w:szCs w:val="24"/>
        </w:rPr>
        <w:t xml:space="preserve"> </w:t>
      </w:r>
      <w:r w:rsidRPr="00C36F54">
        <w:rPr>
          <w:rFonts w:ascii="Times New Roman" w:hAnsi="Times New Roman" w:cs="Times New Roman"/>
          <w:noProof/>
          <w:sz w:val="24"/>
          <w:szCs w:val="24"/>
        </w:rPr>
        <w:t xml:space="preserve">will be key to advancing a just and sustainable energy transition across the Mediterranean, particularly in North Africa, while enabling the decarbonization of industrial hubs along its route. It offers significant potential to scale up renewable hydrogen production, infrastructure and offtake markets, foster market integration, and establish a supportive regulatory and investment framework aligned with the EU’s hydrogen strategy and regulatory framework. </w:t>
      </w:r>
    </w:p>
    <w:p w14:paraId="6C68A972"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This corridor </w:t>
      </w:r>
      <w:r w:rsidRPr="00C36F54">
        <w:rPr>
          <w:rFonts w:ascii="Times New Roman" w:hAnsi="Times New Roman" w:cs="Times New Roman"/>
          <w:b/>
          <w:bCs/>
          <w:noProof/>
          <w:sz w:val="24"/>
          <w:szCs w:val="24"/>
        </w:rPr>
        <w:t>includes four Projects of Common Interest (PCI),</w:t>
      </w:r>
      <w:r w:rsidRPr="00C36F54">
        <w:rPr>
          <w:rFonts w:ascii="Times New Roman" w:hAnsi="Times New Roman" w:cs="Times New Roman"/>
          <w:noProof/>
          <w:sz w:val="24"/>
          <w:szCs w:val="24"/>
        </w:rPr>
        <w:t xml:space="preserve"> some having already benefit from CEF grants for studies, and [one Project of Mutual Interest with Tunisia], all reconfirmed in the 2</w:t>
      </w:r>
      <w:r w:rsidRPr="00C36F54">
        <w:rPr>
          <w:rFonts w:ascii="Times New Roman" w:hAnsi="Times New Roman" w:cs="Times New Roman"/>
          <w:noProof/>
          <w:sz w:val="24"/>
          <w:szCs w:val="24"/>
          <w:vertAlign w:val="superscript"/>
        </w:rPr>
        <w:t>nd</w:t>
      </w:r>
      <w:r w:rsidRPr="00C36F54">
        <w:rPr>
          <w:rFonts w:ascii="Times New Roman" w:hAnsi="Times New Roman" w:cs="Times New Roman"/>
          <w:noProof/>
          <w:sz w:val="24"/>
          <w:szCs w:val="24"/>
        </w:rPr>
        <w:t xml:space="preserve"> PCI/PMI list. Going ahead and given the early stages of hydrogen market development, further conceptual work will be needed, in particular to further derisk related investments while maintaining a mutually beneficial partnership with North Africa.</w:t>
      </w:r>
    </w:p>
    <w:p w14:paraId="063975AD" w14:textId="02F8C8C8"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noProof/>
          <w:sz w:val="24"/>
          <w:szCs w:val="24"/>
        </w:rPr>
        <w:t>: In the short term, the Commission</w:t>
      </w:r>
      <w:r w:rsidRPr="00C36F54">
        <w:rPr>
          <w:rFonts w:ascii="Times New Roman" w:hAnsi="Times New Roman" w:cs="Times New Roman"/>
          <w:b/>
          <w:bCs/>
          <w:noProof/>
          <w:sz w:val="24"/>
          <w:szCs w:val="24"/>
        </w:rPr>
        <w:t xml:space="preserve"> </w:t>
      </w:r>
      <w:r w:rsidRPr="00C36F54">
        <w:rPr>
          <w:rFonts w:ascii="Times New Roman" w:hAnsi="Times New Roman" w:cs="Times New Roman"/>
          <w:noProof/>
          <w:sz w:val="24"/>
          <w:szCs w:val="24"/>
        </w:rPr>
        <w:t>will reinforce coordination and implementation efforts of the SoutH2 Secretariat, under the joint leadership of DG MENA and DG ENER. Regional dialogues will also be intensified through meetings of the Southern Hydrogen Corridor Trilateral EU Joint Working Group (Italy, Austria and Germany) and the Penta-lateral group (Algeria, Tunisia, Italy, Austria, and Germany) in early 2026, to advance the initiative.</w:t>
      </w:r>
      <w:r w:rsidR="00145CD4">
        <w:rPr>
          <w:rFonts w:ascii="Times New Roman" w:hAnsi="Times New Roman" w:cs="Times New Roman"/>
          <w:noProof/>
          <w:sz w:val="24"/>
          <w:szCs w:val="24"/>
        </w:rPr>
        <w:t xml:space="preserve"> The </w:t>
      </w:r>
      <w:r w:rsidR="009F7C82">
        <w:rPr>
          <w:rFonts w:ascii="Times New Roman" w:hAnsi="Times New Roman" w:cs="Times New Roman"/>
          <w:noProof/>
          <w:sz w:val="24"/>
          <w:szCs w:val="24"/>
        </w:rPr>
        <w:t>Trans-Mediterranean Renewable Energy and Clean Tec</w:t>
      </w:r>
      <w:r w:rsidR="00D71032">
        <w:rPr>
          <w:rFonts w:ascii="Times New Roman" w:hAnsi="Times New Roman" w:cs="Times New Roman"/>
          <w:noProof/>
          <w:sz w:val="24"/>
          <w:szCs w:val="24"/>
        </w:rPr>
        <w:t xml:space="preserve">h (T-Med) flagship initiative, launched </w:t>
      </w:r>
      <w:r w:rsidR="00A16BF2">
        <w:rPr>
          <w:rFonts w:ascii="Times New Roman" w:hAnsi="Times New Roman" w:cs="Times New Roman"/>
          <w:noProof/>
          <w:sz w:val="24"/>
          <w:szCs w:val="24"/>
        </w:rPr>
        <w:t>under the Pact for the Mediterranean,</w:t>
      </w:r>
      <w:r w:rsidR="00A16BF2">
        <w:rPr>
          <w:rStyle w:val="FootnoteReference"/>
          <w:rFonts w:ascii="Times New Roman" w:hAnsi="Times New Roman" w:cs="Times New Roman"/>
          <w:noProof/>
          <w:sz w:val="24"/>
          <w:szCs w:val="24"/>
        </w:rPr>
        <w:footnoteReference w:id="35"/>
      </w:r>
      <w:r w:rsidR="00A16BF2">
        <w:rPr>
          <w:rFonts w:ascii="Times New Roman" w:hAnsi="Times New Roman" w:cs="Times New Roman"/>
          <w:noProof/>
          <w:sz w:val="24"/>
          <w:szCs w:val="24"/>
        </w:rPr>
        <w:t xml:space="preserve"> will also contribute to the realisation of this </w:t>
      </w:r>
      <w:r w:rsidR="00592614">
        <w:rPr>
          <w:rFonts w:ascii="Times New Roman" w:hAnsi="Times New Roman" w:cs="Times New Roman"/>
          <w:noProof/>
          <w:sz w:val="24"/>
          <w:szCs w:val="24"/>
        </w:rPr>
        <w:t>E</w:t>
      </w:r>
      <w:r w:rsidR="00A16BF2">
        <w:rPr>
          <w:rFonts w:ascii="Times New Roman" w:hAnsi="Times New Roman" w:cs="Times New Roman"/>
          <w:noProof/>
          <w:sz w:val="24"/>
          <w:szCs w:val="24"/>
        </w:rPr>
        <w:t xml:space="preserve">nergy </w:t>
      </w:r>
      <w:r w:rsidR="00592614">
        <w:rPr>
          <w:rFonts w:ascii="Times New Roman" w:hAnsi="Times New Roman" w:cs="Times New Roman"/>
          <w:noProof/>
          <w:sz w:val="24"/>
          <w:szCs w:val="24"/>
        </w:rPr>
        <w:t>H</w:t>
      </w:r>
      <w:r w:rsidR="00A16BF2">
        <w:rPr>
          <w:rFonts w:ascii="Times New Roman" w:hAnsi="Times New Roman" w:cs="Times New Roman"/>
          <w:noProof/>
          <w:sz w:val="24"/>
          <w:szCs w:val="24"/>
        </w:rPr>
        <w:t xml:space="preserve">ighway. </w:t>
      </w:r>
      <w:r w:rsidR="00D71032">
        <w:rPr>
          <w:rFonts w:ascii="Times New Roman" w:hAnsi="Times New Roman" w:cs="Times New Roman"/>
          <w:noProof/>
          <w:sz w:val="24"/>
          <w:szCs w:val="24"/>
        </w:rPr>
        <w:t xml:space="preserve"> </w:t>
      </w:r>
    </w:p>
    <w:p w14:paraId="656419AE" w14:textId="26172096" w:rsidR="00C36F54" w:rsidRPr="00C36F54" w:rsidRDefault="00C36F54" w:rsidP="00C36F54">
      <w:pPr>
        <w:spacing w:after="0" w:line="240" w:lineRule="auto"/>
        <w:jc w:val="both"/>
        <w:rPr>
          <w:rFonts w:ascii="Times New Roman" w:hAnsi="Times New Roman" w:cs="Times New Roman"/>
          <w:b/>
          <w:bCs/>
          <w:noProof/>
          <w:sz w:val="24"/>
          <w:szCs w:val="24"/>
          <w:u w:val="single"/>
        </w:rPr>
      </w:pPr>
      <w:r w:rsidRPr="00C36F54">
        <w:rPr>
          <w:rFonts w:ascii="Times New Roman" w:hAnsi="Times New Roman" w:cs="Times New Roman"/>
          <w:b/>
          <w:bCs/>
          <w:noProof/>
          <w:sz w:val="24"/>
          <w:szCs w:val="24"/>
          <w:u w:val="single"/>
        </w:rPr>
        <w:lastRenderedPageBreak/>
        <w:t xml:space="preserve">8. </w:t>
      </w:r>
      <w:r w:rsidR="002A4C99">
        <w:rPr>
          <w:rFonts w:ascii="Times New Roman" w:hAnsi="Times New Roman" w:cs="Times New Roman"/>
          <w:b/>
          <w:bCs/>
          <w:noProof/>
          <w:sz w:val="24"/>
          <w:szCs w:val="24"/>
          <w:u w:val="single"/>
        </w:rPr>
        <w:t xml:space="preserve"> </w:t>
      </w:r>
      <w:r w:rsidRPr="00C36F54">
        <w:rPr>
          <w:rFonts w:ascii="Times New Roman" w:hAnsi="Times New Roman" w:cs="Times New Roman"/>
          <w:b/>
          <w:bCs/>
          <w:noProof/>
          <w:sz w:val="24"/>
          <w:szCs w:val="24"/>
          <w:u w:val="single"/>
        </w:rPr>
        <w:t>Southwest hydrogen corridor from Portugal to Germany</w:t>
      </w:r>
    </w:p>
    <w:p w14:paraId="4C3A0C04" w14:textId="77777777" w:rsidR="00C36F54" w:rsidRPr="00C36F54" w:rsidRDefault="00C36F54" w:rsidP="00C36F54">
      <w:pPr>
        <w:spacing w:after="0" w:line="240" w:lineRule="auto"/>
        <w:jc w:val="both"/>
        <w:rPr>
          <w:rFonts w:ascii="Times New Roman" w:hAnsi="Times New Roman" w:cs="Times New Roman"/>
          <w:noProof/>
          <w:sz w:val="24"/>
          <w:szCs w:val="24"/>
        </w:rPr>
      </w:pPr>
    </w:p>
    <w:p w14:paraId="69EBCD31"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 xml:space="preserve">The </w:t>
      </w:r>
      <w:r w:rsidRPr="00C36F54">
        <w:rPr>
          <w:rFonts w:ascii="Times New Roman" w:hAnsi="Times New Roman" w:cs="Times New Roman"/>
          <w:bCs/>
          <w:noProof/>
          <w:sz w:val="24"/>
          <w:szCs w:val="24"/>
        </w:rPr>
        <w:t>Southwest hydrogen corridor</w:t>
      </w:r>
      <w:r w:rsidRPr="00C36F54">
        <w:rPr>
          <w:rFonts w:ascii="Times New Roman" w:hAnsi="Times New Roman" w:cs="Times New Roman"/>
          <w:noProof/>
          <w:sz w:val="24"/>
          <w:szCs w:val="24"/>
        </w:rPr>
        <w:t xml:space="preserve"> will transport decarbonised hydrogen from production sites in Southwest Europe to industrial demand centres, accelerating the decarbonization of hard-to-abate sectors and enabling efficient integration of renewable energy. The initiative encompasses </w:t>
      </w:r>
      <w:r w:rsidRPr="00C36F54">
        <w:rPr>
          <w:rFonts w:ascii="Times New Roman" w:hAnsi="Times New Roman" w:cs="Times New Roman"/>
          <w:b/>
          <w:bCs/>
          <w:noProof/>
          <w:sz w:val="24"/>
          <w:szCs w:val="24"/>
        </w:rPr>
        <w:t>key PCI projects between Portugal, Spain, and France, as well as internal links extending towards Germany.</w:t>
      </w:r>
      <w:r w:rsidRPr="00C36F54">
        <w:rPr>
          <w:rFonts w:ascii="Times New Roman" w:hAnsi="Times New Roman" w:cs="Times New Roman"/>
          <w:noProof/>
          <w:sz w:val="24"/>
          <w:szCs w:val="24"/>
        </w:rPr>
        <w:t xml:space="preserve"> Together, these projects aim to deliver up to </w:t>
      </w:r>
      <w:r w:rsidRPr="00C36F54">
        <w:rPr>
          <w:rFonts w:ascii="Times New Roman" w:hAnsi="Times New Roman" w:cs="Times New Roman"/>
          <w:b/>
          <w:bCs/>
          <w:noProof/>
          <w:sz w:val="24"/>
          <w:szCs w:val="24"/>
        </w:rPr>
        <w:t>2 million tonnes of renewable hydrogen annually by 2030</w:t>
      </w:r>
      <w:r w:rsidRPr="00C36F54">
        <w:rPr>
          <w:rFonts w:ascii="Times New Roman" w:hAnsi="Times New Roman" w:cs="Times New Roman"/>
          <w:noProof/>
          <w:sz w:val="24"/>
          <w:szCs w:val="24"/>
        </w:rPr>
        <w:t>, strengthening energy security and flexibility across the region.</w:t>
      </w:r>
    </w:p>
    <w:p w14:paraId="162BC58B" w14:textId="77777777"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noProof/>
          <w:sz w:val="24"/>
          <w:szCs w:val="24"/>
        </w:rPr>
        <w:t>However, progress has been limited, and several challenges persist, including the lack of uptake, delays in regulatory implementation, difficulties in securing financing and coordinating de-risking measures along the corridor, and strategic priorities across Member States to ensure the corridor delivers shared benefits for all participants.</w:t>
      </w:r>
    </w:p>
    <w:p w14:paraId="284618D3" w14:textId="14596721" w:rsidR="00C36F54" w:rsidRPr="00C36F54" w:rsidRDefault="00C36F54" w:rsidP="00C36F54">
      <w:pPr>
        <w:jc w:val="both"/>
        <w:rPr>
          <w:rFonts w:ascii="Times New Roman" w:hAnsi="Times New Roman" w:cs="Times New Roman"/>
          <w:noProof/>
          <w:sz w:val="24"/>
          <w:szCs w:val="24"/>
        </w:rPr>
      </w:pPr>
      <w:r w:rsidRPr="00C36F54">
        <w:rPr>
          <w:rFonts w:ascii="Times New Roman" w:hAnsi="Times New Roman" w:cs="Times New Roman"/>
          <w:b/>
          <w:bCs/>
          <w:noProof/>
          <w:sz w:val="24"/>
          <w:szCs w:val="24"/>
          <w:u w:val="single"/>
        </w:rPr>
        <w:t>Short-term actions</w:t>
      </w:r>
      <w:r w:rsidRPr="00C36F54">
        <w:rPr>
          <w:rFonts w:ascii="Times New Roman" w:hAnsi="Times New Roman" w:cs="Times New Roman"/>
          <w:noProof/>
          <w:sz w:val="24"/>
          <w:szCs w:val="24"/>
        </w:rPr>
        <w:t>:</w:t>
      </w:r>
      <w:r w:rsidRPr="00C36F54">
        <w:rPr>
          <w:rFonts w:ascii="Segoe UI" w:hAnsi="Segoe UI" w:cs="Segoe UI"/>
          <w:noProof/>
          <w:color w:val="002060"/>
          <w:kern w:val="0"/>
          <w:sz w:val="20"/>
          <w:szCs w:val="20"/>
        </w:rPr>
        <w:t xml:space="preserve"> </w:t>
      </w:r>
      <w:r w:rsidRPr="00C36F54">
        <w:rPr>
          <w:rFonts w:ascii="Times New Roman" w:hAnsi="Times New Roman" w:cs="Times New Roman"/>
          <w:noProof/>
          <w:sz w:val="24"/>
          <w:szCs w:val="24"/>
        </w:rPr>
        <w:t xml:space="preserve">Strong coordination and renewed political support through the South-West High-Level Group will be essential to accelerate progress. The upcoming Ministerial Meeting of the High-Level Group on South-West Europe in Q1 2026 will help step up efforts and facilitate exchanges among Member States on key technical, financial, and de-risking aspects of the corridor’s development. </w:t>
      </w:r>
    </w:p>
    <w:p w14:paraId="24331A64" w14:textId="77777777" w:rsidR="00C36F54" w:rsidRPr="00C36F54" w:rsidRDefault="00C36F54" w:rsidP="00C36F54">
      <w:pPr>
        <w:jc w:val="both"/>
        <w:rPr>
          <w:rFonts w:ascii="Times New Roman" w:hAnsi="Times New Roman" w:cs="Times New Roman"/>
          <w:noProof/>
          <w:sz w:val="24"/>
          <w:szCs w:val="24"/>
        </w:rPr>
      </w:pPr>
    </w:p>
    <w:p w14:paraId="57882998" w14:textId="77777777" w:rsidR="00C36F54" w:rsidRPr="00C36F54" w:rsidRDefault="00C36F54" w:rsidP="00C36F54">
      <w:pPr>
        <w:jc w:val="both"/>
        <w:rPr>
          <w:rFonts w:ascii="Times New Roman" w:hAnsi="Times New Roman" w:cs="Times New Roman"/>
          <w:noProof/>
          <w:sz w:val="24"/>
          <w:szCs w:val="24"/>
        </w:rPr>
      </w:pPr>
    </w:p>
    <w:p w14:paraId="46E7FCCE" w14:textId="23AE1FA5" w:rsidR="007E2115" w:rsidRDefault="007E2115">
      <w:pPr>
        <w:rPr>
          <w:noProof/>
        </w:rPr>
      </w:pPr>
    </w:p>
    <w:sectPr w:rsidR="007E2115" w:rsidSect="00C36F54">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DC62B" w14:textId="77777777" w:rsidR="00DB0933" w:rsidRPr="00C36F54" w:rsidRDefault="00DB0933" w:rsidP="00343D67">
      <w:pPr>
        <w:spacing w:after="0" w:line="240" w:lineRule="auto"/>
      </w:pPr>
      <w:r w:rsidRPr="00C36F54">
        <w:separator/>
      </w:r>
    </w:p>
  </w:endnote>
  <w:endnote w:type="continuationSeparator" w:id="0">
    <w:p w14:paraId="0E5FFAA5" w14:textId="77777777" w:rsidR="00DB0933" w:rsidRPr="00C36F54" w:rsidRDefault="00DB0933" w:rsidP="00343D67">
      <w:pPr>
        <w:spacing w:after="0" w:line="240" w:lineRule="auto"/>
      </w:pPr>
      <w:r w:rsidRPr="00C36F54">
        <w:continuationSeparator/>
      </w:r>
    </w:p>
  </w:endnote>
  <w:endnote w:type="continuationNotice" w:id="1">
    <w:p w14:paraId="31E4B121" w14:textId="77777777" w:rsidR="00DB0933" w:rsidRDefault="00DB0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C19A" w14:textId="0D5147BF" w:rsidR="00F1172A" w:rsidRPr="00F1172A" w:rsidRDefault="00F1172A" w:rsidP="00F1172A">
    <w:pPr>
      <w:pStyle w:val="FooterCoverPage"/>
      <w:rPr>
        <w:rFonts w:ascii="Arial" w:hAnsi="Arial" w:cs="Arial"/>
        <w:b/>
        <w:sz w:val="48"/>
      </w:rPr>
    </w:pPr>
    <w:r w:rsidRPr="00F1172A">
      <w:rPr>
        <w:rFonts w:ascii="Arial" w:hAnsi="Arial" w:cs="Arial"/>
        <w:b/>
        <w:sz w:val="48"/>
      </w:rPr>
      <w:t>EN</w:t>
    </w:r>
    <w:r w:rsidRPr="00F1172A">
      <w:rPr>
        <w:rFonts w:ascii="Arial" w:hAnsi="Arial" w:cs="Arial"/>
        <w:b/>
        <w:sz w:val="48"/>
      </w:rPr>
      <w:tab/>
    </w:r>
    <w:r w:rsidRPr="00F1172A">
      <w:rPr>
        <w:rFonts w:ascii="Arial" w:hAnsi="Arial" w:cs="Arial"/>
        <w:b/>
        <w:sz w:val="48"/>
      </w:rPr>
      <w:tab/>
    </w:r>
    <w:r w:rsidRPr="00F1172A">
      <w:tab/>
    </w:r>
    <w:r w:rsidRPr="00F117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40BB" w14:textId="028514FA" w:rsidR="00F1172A" w:rsidRPr="00F1172A" w:rsidRDefault="00F1172A" w:rsidP="00F1172A">
    <w:pPr>
      <w:pStyle w:val="FooterCoverPage"/>
      <w:rPr>
        <w:rFonts w:ascii="Arial" w:hAnsi="Arial" w:cs="Arial"/>
        <w:b/>
        <w:sz w:val="48"/>
      </w:rPr>
    </w:pPr>
    <w:r w:rsidRPr="00F1172A">
      <w:rPr>
        <w:rFonts w:ascii="Arial" w:hAnsi="Arial" w:cs="Arial"/>
        <w:b/>
        <w:sz w:val="48"/>
      </w:rPr>
      <w:t>EN</w:t>
    </w:r>
    <w:r w:rsidRPr="00F1172A">
      <w:rPr>
        <w:rFonts w:ascii="Arial" w:hAnsi="Arial" w:cs="Arial"/>
        <w:b/>
        <w:sz w:val="48"/>
      </w:rPr>
      <w:tab/>
    </w:r>
    <w:r w:rsidRPr="00F1172A">
      <w:rPr>
        <w:rFonts w:ascii="Arial" w:hAnsi="Arial" w:cs="Arial"/>
        <w:b/>
        <w:sz w:val="48"/>
      </w:rPr>
      <w:tab/>
    </w:r>
    <w:r w:rsidRPr="00F1172A">
      <w:tab/>
    </w:r>
    <w:r w:rsidRPr="00F117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CE76" w14:textId="77777777" w:rsidR="00F1172A" w:rsidRPr="00F1172A" w:rsidRDefault="00F1172A" w:rsidP="00F117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2285" w14:textId="77777777" w:rsidR="004A1ACA" w:rsidRPr="00C36F54" w:rsidRDefault="004A1A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87512707"/>
      <w:docPartObj>
        <w:docPartGallery w:val="Page Numbers (Bottom of Page)"/>
        <w:docPartUnique/>
      </w:docPartObj>
    </w:sdtPr>
    <w:sdtEndPr/>
    <w:sdtContent>
      <w:p w14:paraId="3606451B" w14:textId="12DFB571" w:rsidR="004A1ACA" w:rsidRPr="006154EC" w:rsidRDefault="004A1ACA">
        <w:pPr>
          <w:pStyle w:val="Footer"/>
          <w:jc w:val="right"/>
          <w:rPr>
            <w:rFonts w:ascii="Times New Roman" w:hAnsi="Times New Roman" w:cs="Times New Roman"/>
          </w:rPr>
        </w:pPr>
        <w:r w:rsidRPr="006154EC">
          <w:rPr>
            <w:rFonts w:ascii="Times New Roman" w:hAnsi="Times New Roman" w:cs="Times New Roman"/>
          </w:rPr>
          <w:fldChar w:fldCharType="begin"/>
        </w:r>
        <w:r w:rsidRPr="006154EC">
          <w:rPr>
            <w:rFonts w:ascii="Times New Roman" w:hAnsi="Times New Roman" w:cs="Times New Roman"/>
          </w:rPr>
          <w:instrText xml:space="preserve"> PAGE   \* MERGEFORMAT </w:instrText>
        </w:r>
        <w:r w:rsidRPr="006154EC">
          <w:rPr>
            <w:rFonts w:ascii="Times New Roman" w:hAnsi="Times New Roman" w:cs="Times New Roman"/>
          </w:rPr>
          <w:fldChar w:fldCharType="separate"/>
        </w:r>
        <w:r w:rsidR="00F1172A">
          <w:rPr>
            <w:rFonts w:ascii="Times New Roman" w:hAnsi="Times New Roman" w:cs="Times New Roman"/>
            <w:noProof/>
          </w:rPr>
          <w:t>7</w:t>
        </w:r>
        <w:r w:rsidRPr="006154EC">
          <w:rPr>
            <w:rFonts w:ascii="Times New Roman" w:hAnsi="Times New Roman" w:cs="Times New Roman"/>
          </w:rPr>
          <w:fldChar w:fldCharType="end"/>
        </w:r>
      </w:p>
    </w:sdtContent>
  </w:sdt>
  <w:p w14:paraId="2995DD2C" w14:textId="77777777" w:rsidR="004A1ACA" w:rsidRPr="00C36F54" w:rsidRDefault="004A1A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4CA3" w14:textId="77777777" w:rsidR="004A1ACA" w:rsidRPr="00C36F54" w:rsidRDefault="004A1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5C6CA" w14:textId="77777777" w:rsidR="00DB0933" w:rsidRPr="00C36F54" w:rsidRDefault="00DB0933" w:rsidP="00343D67">
      <w:pPr>
        <w:spacing w:after="0" w:line="240" w:lineRule="auto"/>
      </w:pPr>
      <w:r w:rsidRPr="00C36F54">
        <w:separator/>
      </w:r>
    </w:p>
  </w:footnote>
  <w:footnote w:type="continuationSeparator" w:id="0">
    <w:p w14:paraId="23F8FB76" w14:textId="77777777" w:rsidR="00DB0933" w:rsidRPr="00C36F54" w:rsidRDefault="00DB0933" w:rsidP="00343D67">
      <w:pPr>
        <w:spacing w:after="0" w:line="240" w:lineRule="auto"/>
      </w:pPr>
      <w:r w:rsidRPr="00C36F54">
        <w:continuationSeparator/>
      </w:r>
    </w:p>
  </w:footnote>
  <w:footnote w:type="continuationNotice" w:id="1">
    <w:p w14:paraId="4CB24C2F" w14:textId="77777777" w:rsidR="00DB0933" w:rsidRDefault="00DB0933">
      <w:pPr>
        <w:spacing w:after="0" w:line="240" w:lineRule="auto"/>
      </w:pPr>
    </w:p>
  </w:footnote>
  <w:footnote w:id="2">
    <w:p w14:paraId="5133803B" w14:textId="77777777" w:rsidR="00706445" w:rsidRDefault="00706445" w:rsidP="00706445">
      <w:pPr>
        <w:pStyle w:val="FootnoteText"/>
        <w:jc w:val="both"/>
        <w:rPr>
          <w:rFonts w:ascii="Times New Roman" w:hAnsi="Times New Roman" w:cs="Times New Roman"/>
          <w:color w:val="000000"/>
          <w:lang w:val="fr-BE"/>
        </w:rPr>
      </w:pPr>
      <w:r>
        <w:rPr>
          <w:rStyle w:val="FootnoteReference"/>
          <w:rFonts w:ascii="Times New Roman" w:hAnsi="Times New Roman" w:cs="Times New Roman"/>
        </w:rPr>
        <w:footnoteRef/>
      </w:r>
      <w:r w:rsidRPr="006154EC">
        <w:rPr>
          <w:rFonts w:ascii="Times New Roman" w:hAnsi="Times New Roman" w:cs="Times New Roman"/>
          <w:lang w:val="fr-BE"/>
        </w:rPr>
        <w:t xml:space="preserve"> </w:t>
      </w:r>
      <w:hyperlink r:id="rId1" w:history="1">
        <w:r w:rsidRPr="006154EC">
          <w:rPr>
            <w:rStyle w:val="Hyperlink"/>
            <w:rFonts w:ascii="Times New Roman" w:hAnsi="Times New Roman" w:cs="Times New Roman"/>
            <w:color w:val="000000"/>
            <w:lang w:val="fr-BE"/>
          </w:rPr>
          <w:t>EUR-Lex - 52025DC0079 - EN - EUR-Lex</w:t>
        </w:r>
      </w:hyperlink>
    </w:p>
  </w:footnote>
  <w:footnote w:id="3">
    <w:p w14:paraId="61A6941C" w14:textId="3709AD1E" w:rsidR="004434B1" w:rsidRPr="0027132F" w:rsidRDefault="004434B1">
      <w:pPr>
        <w:pStyle w:val="FootnoteText"/>
        <w:rPr>
          <w:rFonts w:ascii="Times New Roman" w:hAnsi="Times New Roman" w:cs="Times New Roman"/>
        </w:rPr>
      </w:pPr>
      <w:r w:rsidRPr="0027132F">
        <w:rPr>
          <w:rStyle w:val="FootnoteReference"/>
          <w:rFonts w:ascii="Times New Roman" w:hAnsi="Times New Roman" w:cs="Times New Roman"/>
        </w:rPr>
        <w:footnoteRef/>
      </w:r>
      <w:r w:rsidRPr="0027132F">
        <w:rPr>
          <w:rFonts w:ascii="Times New Roman" w:hAnsi="Times New Roman" w:cs="Times New Roman"/>
        </w:rPr>
        <w:t xml:space="preserve"> </w:t>
      </w:r>
      <w:hyperlink r:id="rId2" w:history="1">
        <w:r w:rsidR="00172A34" w:rsidRPr="0027132F">
          <w:rPr>
            <w:rStyle w:val="Hyperlink"/>
            <w:rFonts w:ascii="Times New Roman" w:hAnsi="Times New Roman" w:cs="Times New Roman"/>
          </w:rPr>
          <w:t>REPowerEU</w:t>
        </w:r>
      </w:hyperlink>
    </w:p>
  </w:footnote>
  <w:footnote w:id="4">
    <w:p w14:paraId="6CE22228" w14:textId="77777777" w:rsidR="00C36F54" w:rsidRPr="00C36F54" w:rsidRDefault="00C36F54" w:rsidP="00C36F54">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3" w:history="1">
        <w:r w:rsidRPr="00C36F54">
          <w:rPr>
            <w:rStyle w:val="Hyperlink"/>
            <w:rFonts w:ascii="Times New Roman" w:hAnsi="Times New Roman" w:cs="Times New Roman"/>
          </w:rPr>
          <w:t>Renewables, electrification and flexibility - For a competitive EU energy system transformation by 2030 | Publications | European Environment Agency (EEA)</w:t>
        </w:r>
      </w:hyperlink>
      <w:r w:rsidRPr="00C36F54">
        <w:rPr>
          <w:rFonts w:ascii="Times New Roman" w:hAnsi="Times New Roman" w:cs="Times New Roman"/>
        </w:rPr>
        <w:t>, p. 6 and 16.</w:t>
      </w:r>
    </w:p>
  </w:footnote>
  <w:footnote w:id="5">
    <w:p w14:paraId="01D24016" w14:textId="7F01C377" w:rsidR="004A6000" w:rsidRPr="004A6000" w:rsidRDefault="004A6000">
      <w:pPr>
        <w:pStyle w:val="FootnoteText"/>
      </w:pPr>
      <w:r>
        <w:rPr>
          <w:rStyle w:val="FootnoteReference"/>
        </w:rPr>
        <w:footnoteRef/>
      </w:r>
      <w:r>
        <w:t xml:space="preserve"> </w:t>
      </w:r>
      <w:hyperlink r:id="rId4" w:history="1">
        <w:r w:rsidRPr="00C36F54">
          <w:rPr>
            <w:rStyle w:val="Hyperlink"/>
            <w:rFonts w:ascii="Times New Roman" w:hAnsi="Times New Roman" w:cs="Times New Roman"/>
          </w:rPr>
          <w:t>Imports of energy products to the EU down in 2024 - News articles - Eurostat</w:t>
        </w:r>
      </w:hyperlink>
    </w:p>
  </w:footnote>
  <w:footnote w:id="6">
    <w:p w14:paraId="0DFD3D91" w14:textId="77777777" w:rsidR="00C36F54" w:rsidRPr="00C36F54" w:rsidRDefault="00C36F54" w:rsidP="00C36F54">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5" w:history="1">
        <w:r w:rsidRPr="00C36F54">
          <w:rPr>
            <w:rStyle w:val="Hyperlink"/>
            <w:rFonts w:ascii="Times New Roman" w:hAnsi="Times New Roman" w:cs="Times New Roman"/>
          </w:rPr>
          <w:t>China’s energy dominance in three charts | MIT Technology Review</w:t>
        </w:r>
      </w:hyperlink>
    </w:p>
  </w:footnote>
  <w:footnote w:id="7">
    <w:p w14:paraId="2B8F6806" w14:textId="496359EC" w:rsidR="003D767E" w:rsidRDefault="003D767E">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sidR="00260466">
        <w:rPr>
          <w:rFonts w:ascii="Times New Roman" w:hAnsi="Times New Roman"/>
        </w:rPr>
        <w:t xml:space="preserve">European Commission, </w:t>
      </w:r>
      <w:r>
        <w:rPr>
          <w:rFonts w:ascii="Times New Roman" w:hAnsi="Times New Roman"/>
          <w:lang w:val="en-US"/>
        </w:rPr>
        <w:t>Affordable Energy Action Plan</w:t>
      </w:r>
      <w:r w:rsidR="001E6F02">
        <w:rPr>
          <w:rFonts w:ascii="Times New Roman" w:hAnsi="Times New Roman"/>
          <w:lang w:val="en-US"/>
        </w:rPr>
        <w:t xml:space="preserve"> (COM(2025) 79), p. </w:t>
      </w:r>
      <w:r w:rsidR="00665499">
        <w:rPr>
          <w:rFonts w:ascii="Times New Roman" w:hAnsi="Times New Roman"/>
          <w:lang w:val="en-US"/>
        </w:rPr>
        <w:t xml:space="preserve">1. </w:t>
      </w:r>
    </w:p>
  </w:footnote>
  <w:footnote w:id="8">
    <w:p w14:paraId="3E0813BF" w14:textId="1F702ADC" w:rsidR="00C42F56" w:rsidRPr="00C42F56" w:rsidRDefault="00C42F56">
      <w:pPr>
        <w:pStyle w:val="FootnoteText"/>
        <w:tabs>
          <w:tab w:val="left" w:pos="5850"/>
        </w:tabs>
      </w:pPr>
      <w:r>
        <w:rPr>
          <w:rStyle w:val="FootnoteReference"/>
        </w:rPr>
        <w:footnoteRef/>
      </w:r>
      <w:r>
        <w:t xml:space="preserve"> </w:t>
      </w:r>
      <w:hyperlink r:id="rId6" w:history="1">
        <w:r w:rsidRPr="00C36F54">
          <w:rPr>
            <w:rStyle w:val="Hyperlink"/>
            <w:rFonts w:ascii="Times New Roman" w:hAnsi="Times New Roman" w:cs="Times New Roman"/>
          </w:rPr>
          <w:t>Electricity price statistics - Statistics Explained - Eurostat</w:t>
        </w:r>
      </w:hyperlink>
      <w:r>
        <w:tab/>
      </w:r>
    </w:p>
  </w:footnote>
  <w:footnote w:id="9">
    <w:p w14:paraId="501D6D0B" w14:textId="77777777" w:rsidR="00C36F54" w:rsidRPr="00C36F54" w:rsidRDefault="00C36F54" w:rsidP="006154EC">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7" w:history="1">
        <w:r w:rsidRPr="00C36F54">
          <w:rPr>
            <w:rStyle w:val="Hyperlink"/>
            <w:rFonts w:ascii="Times New Roman" w:hAnsi="Times New Roman" w:cs="Times New Roman"/>
          </w:rPr>
          <w:t>TYNDP 2024 / Infrastructure Gaps Report / Opportunities for a more efficient European power system by 2050</w:t>
        </w:r>
      </w:hyperlink>
      <w:r w:rsidRPr="00C36F54">
        <w:rPr>
          <w:rFonts w:ascii="Times New Roman" w:hAnsi="Times New Roman" w:cs="Times New Roman"/>
        </w:rPr>
        <w:t xml:space="preserve">  </w:t>
      </w:r>
    </w:p>
  </w:footnote>
  <w:footnote w:id="10">
    <w:p w14:paraId="13ED2354" w14:textId="77777777" w:rsidR="00C36F54" w:rsidRPr="00C36F54" w:rsidRDefault="00C36F54" w:rsidP="006154EC">
      <w:pPr>
        <w:pStyle w:val="FootnoteText"/>
        <w:jc w:val="both"/>
      </w:pPr>
      <w:r w:rsidRPr="00C36F54">
        <w:rPr>
          <w:rStyle w:val="FootnoteReference"/>
        </w:rPr>
        <w:footnoteRef/>
      </w:r>
      <w:r w:rsidRPr="00C36F54">
        <w:t xml:space="preserve"> </w:t>
      </w:r>
      <w:hyperlink r:id="rId8" w:history="1">
        <w:r w:rsidRPr="00C36F54">
          <w:rPr>
            <w:rStyle w:val="Hyperlink"/>
            <w:rFonts w:ascii="Times New Roman" w:hAnsi="Times New Roman" w:cs="Times New Roman"/>
          </w:rPr>
          <w:t>Electricity and heat statistics - Statistics Explained - Eurostat</w:t>
        </w:r>
      </w:hyperlink>
    </w:p>
  </w:footnote>
  <w:footnote w:id="11">
    <w:p w14:paraId="0B710950" w14:textId="77777777"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IMF Staff Background note on EU Energy Market Integration, 17 January 2025, </w:t>
      </w:r>
      <w:hyperlink r:id="rId9" w:history="1">
        <w:r w:rsidRPr="00C36F54">
          <w:rPr>
            <w:rStyle w:val="Hyperlink"/>
            <w:rFonts w:ascii="Times New Roman" w:hAnsi="Times New Roman" w:cs="Times New Roman"/>
          </w:rPr>
          <w:t>https://data.consilium.europa.eu/doc/document/ST-5438-2025-INIT/en/pdf</w:t>
        </w:r>
      </w:hyperlink>
      <w:r w:rsidRPr="00C36F54">
        <w:rPr>
          <w:rFonts w:ascii="Times New Roman" w:hAnsi="Times New Roman" w:cs="Times New Roman"/>
        </w:rPr>
        <w:t>, p. 5.</w:t>
      </w:r>
    </w:p>
  </w:footnote>
  <w:footnote w:id="12">
    <w:p w14:paraId="0A7EF398" w14:textId="577350C4" w:rsidR="00C36F54" w:rsidRPr="00C36F54" w:rsidRDefault="00C36F54" w:rsidP="006154EC">
      <w:pPr>
        <w:pStyle w:val="FootnoteText"/>
        <w:jc w:val="both"/>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10" w:history="1">
        <w:r w:rsidR="00E86870" w:rsidRPr="00C36F54">
          <w:rPr>
            <w:rStyle w:val="Hyperlink"/>
            <w:rFonts w:ascii="Times New Roman" w:hAnsi="Times New Roman" w:cs="Times New Roman"/>
          </w:rPr>
          <w:t>TYNDP 2024 / Infrastructure Gaps Report / Opportunities for a more efficient European power system by 2050</w:t>
        </w:r>
      </w:hyperlink>
      <w:r w:rsidR="00E86870" w:rsidRPr="00C36F54">
        <w:rPr>
          <w:rFonts w:ascii="Times New Roman" w:hAnsi="Times New Roman" w:cs="Times New Roman"/>
        </w:rPr>
        <w:t xml:space="preserve">  </w:t>
      </w:r>
    </w:p>
  </w:footnote>
  <w:footnote w:id="13">
    <w:p w14:paraId="4353C42B" w14:textId="77777777" w:rsidR="00C36F54" w:rsidRPr="00C36F54" w:rsidRDefault="00C36F54" w:rsidP="006154EC">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11" w:history="1">
        <w:r w:rsidRPr="00C36F54">
          <w:rPr>
            <w:rStyle w:val="Hyperlink"/>
            <w:rFonts w:ascii="Times New Roman" w:hAnsi="Times New Roman" w:cs="Times New Roman"/>
          </w:rPr>
          <w:t>CINEA Project Portfolio - Welcome | Sheet - Qlik Sense</w:t>
        </w:r>
      </w:hyperlink>
    </w:p>
  </w:footnote>
  <w:footnote w:id="14">
    <w:p w14:paraId="1D4C14AE" w14:textId="6EDF404D" w:rsidR="004A1ACA" w:rsidRPr="00C36F54" w:rsidRDefault="004A1ACA" w:rsidP="0027132F">
      <w:pPr>
        <w:pStyle w:val="FootnoteText"/>
        <w:jc w:val="both"/>
      </w:pPr>
      <w:r w:rsidRPr="00C36F54">
        <w:rPr>
          <w:rStyle w:val="FootnoteReference"/>
        </w:rPr>
        <w:footnoteRef/>
      </w:r>
      <w:r w:rsidRPr="00C36F54">
        <w:t xml:space="preserve"> </w:t>
      </w:r>
      <w:hyperlink r:id="rId12" w:history="1">
        <w:r w:rsidR="001B1433" w:rsidRPr="0027132F">
          <w:rPr>
            <w:rStyle w:val="Hyperlink"/>
            <w:rFonts w:ascii="Times New Roman" w:hAnsi="Times New Roman" w:cs="Times New Roman"/>
          </w:rPr>
          <w:t>Grids, the missing link - An EU Action Plan for Grids</w:t>
        </w:r>
      </w:hyperlink>
      <w:r w:rsidR="001B1433" w:rsidRPr="0027132F">
        <w:rPr>
          <w:rFonts w:ascii="Times New Roman" w:hAnsi="Times New Roman" w:cs="Times New Roman"/>
        </w:rPr>
        <w:t>,</w:t>
      </w:r>
      <w:r w:rsidR="001B1433" w:rsidRPr="001B1433">
        <w:t xml:space="preserve"> </w:t>
      </w:r>
      <w:r w:rsidRPr="001B1433">
        <w:rPr>
          <w:rFonts w:ascii="Times New Roman" w:hAnsi="Times New Roman" w:cs="Times New Roman"/>
        </w:rPr>
        <w:t>COM (2023) 757 final</w:t>
      </w:r>
    </w:p>
  </w:footnote>
  <w:footnote w:id="15">
    <w:p w14:paraId="3D79B206" w14:textId="3747F7CB" w:rsidR="00C36F54" w:rsidRPr="00C36F54" w:rsidRDefault="00C36F54" w:rsidP="00C36F54">
      <w:pPr>
        <w:pStyle w:val="FootnoteText"/>
        <w:rPr>
          <w:rFonts w:ascii="Times New Roman" w:hAnsi="Times New Roman" w:cs="Times New Roman"/>
        </w:rPr>
      </w:pPr>
      <w:r w:rsidRPr="0027132F">
        <w:rPr>
          <w:rFonts w:ascii="Times New Roman" w:hAnsi="Times New Roman" w:cs="Times New Roman"/>
          <w:vertAlign w:val="superscript"/>
        </w:rPr>
        <w:footnoteRef/>
      </w:r>
      <w:r w:rsidRPr="00945B88">
        <w:rPr>
          <w:rFonts w:ascii="Times New Roman" w:hAnsi="Times New Roman" w:cs="Times New Roman"/>
        </w:rPr>
        <w:t xml:space="preserve"> 2024</w:t>
      </w:r>
      <w:r w:rsidRPr="00C36F54">
        <w:rPr>
          <w:rFonts w:ascii="Times New Roman" w:hAnsi="Times New Roman" w:cs="Times New Roman"/>
        </w:rPr>
        <w:t xml:space="preserve"> ACER monitoring report on electricity infrastructure,</w:t>
      </w:r>
      <w:r w:rsidR="00945B88">
        <w:rPr>
          <w:rFonts w:ascii="Times New Roman" w:hAnsi="Times New Roman" w:cs="Times New Roman"/>
        </w:rPr>
        <w:t xml:space="preserve"> </w:t>
      </w:r>
      <w:hyperlink r:id="rId13" w:history="1">
        <w:r w:rsidRPr="00C36F54">
          <w:rPr>
            <w:rStyle w:val="Hyperlink"/>
            <w:rFonts w:ascii="Times New Roman" w:hAnsi="Times New Roman" w:cs="Times New Roman"/>
          </w:rPr>
          <w:t>ACER_2024_Monitoring_Electricity_Infrastructure.pdf</w:t>
        </w:r>
      </w:hyperlink>
    </w:p>
  </w:footnote>
  <w:footnote w:id="16">
    <w:p w14:paraId="00AF6AEC" w14:textId="76FDAAA1" w:rsidR="00C36F54" w:rsidRPr="00C36F54" w:rsidRDefault="00C36F54" w:rsidP="00C36F54">
      <w:pPr>
        <w:pStyle w:val="FootnoteText"/>
        <w:jc w:val="both"/>
        <w:rPr>
          <w:rFonts w:ascii="Times New Roman" w:hAnsi="Times New Roman" w:cs="Times New Roman"/>
        </w:rPr>
      </w:pPr>
      <w:r w:rsidRPr="004C5A7E">
        <w:rPr>
          <w:rStyle w:val="FootnoteReference"/>
          <w:rFonts w:ascii="Times New Roman" w:hAnsi="Times New Roman" w:cs="Times New Roman"/>
        </w:rPr>
        <w:footnoteRef/>
      </w:r>
      <w:r w:rsidRPr="004C5A7E">
        <w:rPr>
          <w:rFonts w:ascii="Times New Roman" w:hAnsi="Times New Roman" w:cs="Times New Roman"/>
        </w:rPr>
        <w:t xml:space="preserve"> </w:t>
      </w:r>
      <w:hyperlink r:id="rId14" w:history="1">
        <w:r w:rsidR="00AF7161" w:rsidRPr="00AF7161">
          <w:rPr>
            <w:rStyle w:val="Hyperlink"/>
            <w:rFonts w:ascii="Times New Roman" w:hAnsi="Times New Roman" w:cs="Times New Roman"/>
          </w:rPr>
          <w:t>TSO DSO Technopedia - Home</w:t>
        </w:r>
      </w:hyperlink>
      <w:r w:rsidR="00AF7161" w:rsidRPr="00AF7161" w:rsidDel="00AF7161">
        <w:rPr>
          <w:rFonts w:ascii="Times New Roman" w:hAnsi="Times New Roman" w:cs="Times New Roman"/>
        </w:rPr>
        <w:t xml:space="preserve"> </w:t>
      </w:r>
    </w:p>
  </w:footnote>
  <w:footnote w:id="17">
    <w:p w14:paraId="3EDC727D" w14:textId="77777777" w:rsidR="00C36F54" w:rsidRPr="00C36F54" w:rsidRDefault="00C36F54" w:rsidP="006154EC">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As foreseen under 15(2) of Regulation (EU) 2019/943 on the internal market for electricity, that minimum capacity shall be reached by 31 December 2025. </w:t>
      </w:r>
    </w:p>
  </w:footnote>
  <w:footnote w:id="18">
    <w:p w14:paraId="2A210399" w14:textId="73ADAAE2" w:rsidR="00C36F54" w:rsidRPr="00C36F54" w:rsidRDefault="00C36F54" w:rsidP="006154EC">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15" w:history="1">
        <w:r w:rsidRPr="00C36F54">
          <w:rPr>
            <w:rStyle w:val="Hyperlink"/>
            <w:rFonts w:ascii="Times New Roman" w:hAnsi="Times New Roman" w:cs="Times New Roman"/>
          </w:rPr>
          <w:t>2023_ACER_PCI_Report.pdf</w:t>
        </w:r>
      </w:hyperlink>
      <w:r w:rsidR="00B37407">
        <w:t xml:space="preserve"> .</w:t>
      </w:r>
    </w:p>
  </w:footnote>
  <w:footnote w:id="19">
    <w:p w14:paraId="4F93C46C" w14:textId="747AC9EC" w:rsidR="00C36F54" w:rsidRPr="00C36F54" w:rsidRDefault="00C36F54" w:rsidP="006154EC">
      <w:pPr>
        <w:pStyle w:val="FootnoteText"/>
        <w:jc w:val="both"/>
        <w:rPr>
          <w:rFonts w:ascii="Times New Roman" w:hAnsi="Times New Roman" w:cs="Times New Roman"/>
        </w:rPr>
      </w:pPr>
      <w:r w:rsidRPr="00C36F54">
        <w:rPr>
          <w:rStyle w:val="FootnoteReference"/>
        </w:rPr>
        <w:footnoteRef/>
      </w:r>
      <w:r w:rsidRPr="00C36F54">
        <w:t xml:space="preserve"> </w:t>
      </w:r>
      <w:r w:rsidRPr="00C36F54">
        <w:rPr>
          <w:rFonts w:ascii="Times New Roman" w:hAnsi="Times New Roman" w:cs="Times New Roman"/>
        </w:rPr>
        <w:t>ACER Monitoring Report 2024, Electricity infrastructure development to support a competitive and sustainable energy system, p. 18</w:t>
      </w:r>
      <w:r w:rsidR="00B37407">
        <w:rPr>
          <w:rFonts w:ascii="Times New Roman" w:hAnsi="Times New Roman" w:cs="Times New Roman"/>
        </w:rPr>
        <w:t>.</w:t>
      </w:r>
    </w:p>
  </w:footnote>
  <w:footnote w:id="20">
    <w:p w14:paraId="72E333C8" w14:textId="3299509F" w:rsidR="00C36F54" w:rsidRPr="00C36F54" w:rsidRDefault="00C36F54" w:rsidP="006154EC">
      <w:pPr>
        <w:pStyle w:val="FootnoteText"/>
        <w:jc w:val="both"/>
      </w:pPr>
      <w:r w:rsidRPr="00C36F54">
        <w:rPr>
          <w:rStyle w:val="FootnoteReference"/>
        </w:rPr>
        <w:footnoteRef/>
      </w:r>
      <w:r w:rsidRPr="00C36F54">
        <w:t xml:space="preserve"> </w:t>
      </w:r>
      <w:hyperlink r:id="rId16" w:history="1">
        <w:r w:rsidR="00B37407" w:rsidRPr="000A6371">
          <w:rPr>
            <w:rStyle w:val="Hyperlink"/>
            <w:rFonts w:ascii="Times New Roman" w:hAnsi="Times New Roman" w:cs="Times New Roman"/>
          </w:rPr>
          <w:t>https://www.acer.europa.eu/media/charts/PCIs-and-PMIs-monitoring-2025</w:t>
        </w:r>
      </w:hyperlink>
      <w:r w:rsidR="00B37407">
        <w:rPr>
          <w:rFonts w:ascii="Times New Roman" w:hAnsi="Times New Roman" w:cs="Times New Roman"/>
        </w:rPr>
        <w:t xml:space="preserve">. </w:t>
      </w:r>
    </w:p>
  </w:footnote>
  <w:footnote w:id="21">
    <w:p w14:paraId="1146639D" w14:textId="22CC16EA"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Final report to be found here: </w:t>
      </w:r>
      <w:hyperlink r:id="rId17">
        <w:r w:rsidRPr="00C36F54">
          <w:rPr>
            <w:rStyle w:val="Hyperlink"/>
            <w:rFonts w:ascii="Times New Roman" w:hAnsi="Times New Roman" w:cs="Times New Roman"/>
          </w:rPr>
          <w:t>Technical support for RES policy development and implementation – simplification of permission and administrative procedures for RES installations (RES Simplify) - Publications Office of the EU</w:t>
        </w:r>
      </w:hyperlink>
      <w:r w:rsidR="00B37407">
        <w:t>.</w:t>
      </w:r>
    </w:p>
  </w:footnote>
  <w:footnote w:id="22">
    <w:p w14:paraId="54683D80" w14:textId="7C87DC18"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Fraunhofer Institute for Systems and Innovation Research ISI, et al., </w:t>
      </w:r>
      <w:hyperlink r:id="rId18" w:history="1">
        <w:r w:rsidRPr="00C36F54">
          <w:rPr>
            <w:rStyle w:val="Hyperlink"/>
            <w:rFonts w:ascii="Times New Roman" w:hAnsi="Times New Roman" w:cs="Times New Roman"/>
          </w:rPr>
          <w:t>Study on energy storage</w:t>
        </w:r>
      </w:hyperlink>
      <w:r w:rsidRPr="00C36F54">
        <w:rPr>
          <w:rFonts w:ascii="Times New Roman" w:hAnsi="Times New Roman" w:cs="Times New Roman"/>
        </w:rPr>
        <w:t>, 2023</w:t>
      </w:r>
      <w:r w:rsidR="00B37407">
        <w:rPr>
          <w:rFonts w:ascii="Times New Roman" w:hAnsi="Times New Roman" w:cs="Times New Roman"/>
        </w:rPr>
        <w:t>.</w:t>
      </w:r>
      <w:r w:rsidRPr="00C36F54">
        <w:rPr>
          <w:rFonts w:ascii="Times New Roman" w:hAnsi="Times New Roman" w:cs="Times New Roman"/>
        </w:rPr>
        <w:t xml:space="preserve"> </w:t>
      </w:r>
    </w:p>
  </w:footnote>
  <w:footnote w:id="23">
    <w:p w14:paraId="3E0C2B92" w14:textId="28B52E57"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Information collected by EV charging organisations, notably ChargeUp Europe, Ionity and Milence</w:t>
      </w:r>
      <w:r w:rsidR="00B37407">
        <w:rPr>
          <w:rFonts w:ascii="Times New Roman" w:hAnsi="Times New Roman" w:cs="Times New Roman"/>
        </w:rPr>
        <w:t>.</w:t>
      </w:r>
    </w:p>
  </w:footnote>
  <w:footnote w:id="24">
    <w:p w14:paraId="73F0523C" w14:textId="13C7D030"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Relevant good practice examples can be found in SWD (2024) 124 final - Guidance to Member States on good practices to speed up permit-granting procedures for renewable energy and related infrastructure projects.</w:t>
      </w:r>
    </w:p>
  </w:footnote>
  <w:footnote w:id="25">
    <w:p w14:paraId="658FAB99" w14:textId="77777777"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Such as the Covenant of Mayors, the Pact for Engagement and the Fast &amp; Fair Renewables and Grids initiative. </w:t>
      </w:r>
    </w:p>
  </w:footnote>
  <w:footnote w:id="26">
    <w:p w14:paraId="53B70AAF" w14:textId="1DBFB06B" w:rsidR="00C36F54" w:rsidRPr="00C36F54" w:rsidRDefault="00C36F54" w:rsidP="0027132F">
      <w:pPr>
        <w:pStyle w:val="FootnoteText"/>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For example, prices and lead times for new transformers and cables nearly doubled in 2025 compared with 2021–2022 (Source: </w:t>
      </w:r>
      <w:hyperlink r:id="rId19" w:history="1">
        <w:r w:rsidRPr="00C36F54">
          <w:rPr>
            <w:rStyle w:val="Hyperlink"/>
            <w:rFonts w:ascii="Times New Roman" w:hAnsi="Times New Roman" w:cs="Times New Roman"/>
          </w:rPr>
          <w:t>Building the future transmission grid – Strategies to navigate supply chain challenges</w:t>
        </w:r>
      </w:hyperlink>
      <w:r w:rsidRPr="00C36F54">
        <w:rPr>
          <w:rFonts w:ascii="Times New Roman" w:hAnsi="Times New Roman" w:cs="Times New Roman"/>
        </w:rPr>
        <w:t>; IEA, February 2025).</w:t>
      </w:r>
    </w:p>
  </w:footnote>
  <w:footnote w:id="27">
    <w:p w14:paraId="1C4166C1" w14:textId="77777777" w:rsidR="00C36F54" w:rsidRPr="00C36F54" w:rsidRDefault="00C36F54" w:rsidP="002D1E16">
      <w:pPr>
        <w:pStyle w:val="FootnoteText"/>
        <w:jc w:val="both"/>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Artelys, LBST, Trinomics, Finesso, A. et al., </w:t>
      </w:r>
      <w:hyperlink r:id="rId20" w:history="1">
        <w:r w:rsidRPr="00C36F54">
          <w:rPr>
            <w:rStyle w:val="Hyperlink"/>
            <w:rFonts w:ascii="Times New Roman" w:hAnsi="Times New Roman" w:cs="Times New Roman"/>
          </w:rPr>
          <w:t>Investment needs of European energy infrastructure to enable a decarbonised economy</w:t>
        </w:r>
      </w:hyperlink>
      <w:r w:rsidRPr="00C36F54">
        <w:rPr>
          <w:rFonts w:ascii="Times New Roman" w:hAnsi="Times New Roman" w:cs="Times New Roman"/>
        </w:rPr>
        <w:t xml:space="preserve">, 2025. </w:t>
      </w:r>
    </w:p>
  </w:footnote>
  <w:footnote w:id="28">
    <w:p w14:paraId="140FBDDA" w14:textId="071BA8AD" w:rsidR="00C36F54" w:rsidRPr="00C36F54" w:rsidRDefault="00C36F54" w:rsidP="00C36F54">
      <w:pPr>
        <w:pStyle w:val="FootnoteText"/>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w:t>
      </w:r>
      <w:hyperlink r:id="rId21" w:history="1">
        <w:r w:rsidR="00306202" w:rsidRPr="00AE261F">
          <w:rPr>
            <w:rStyle w:val="Hyperlink"/>
            <w:rFonts w:ascii="Times New Roman" w:hAnsi="Times New Roman" w:cs="Times New Roman"/>
          </w:rPr>
          <w:t>https://energy.ec.europa.eu/publications/communication-future-proof-network-charges-reduced-energy-system-costs_en</w:t>
        </w:r>
      </w:hyperlink>
      <w:r w:rsidR="00306202">
        <w:rPr>
          <w:rFonts w:ascii="Times New Roman" w:hAnsi="Times New Roman" w:cs="Times New Roman"/>
        </w:rPr>
        <w:t xml:space="preserve"> </w:t>
      </w:r>
    </w:p>
  </w:footnote>
  <w:footnote w:id="29">
    <w:p w14:paraId="521540B8" w14:textId="277C6F78" w:rsidR="00CA4739" w:rsidRPr="0027132F" w:rsidRDefault="00CA4739" w:rsidP="0027132F">
      <w:pPr>
        <w:pStyle w:val="FootnoteText"/>
        <w:jc w:val="both"/>
        <w:rPr>
          <w:rFonts w:ascii="Times New Roman" w:hAnsi="Times New Roman" w:cs="Times New Roman"/>
        </w:rPr>
      </w:pPr>
      <w:r w:rsidRPr="0027132F">
        <w:rPr>
          <w:rStyle w:val="FootnoteReference"/>
          <w:rFonts w:ascii="Times New Roman" w:hAnsi="Times New Roman" w:cs="Times New Roman"/>
        </w:rPr>
        <w:footnoteRef/>
      </w:r>
      <w:r w:rsidRPr="0027132F">
        <w:rPr>
          <w:rFonts w:ascii="Times New Roman" w:hAnsi="Times New Roman" w:cs="Times New Roman"/>
        </w:rPr>
        <w:t xml:space="preserve"> </w:t>
      </w:r>
      <w:r w:rsidR="002D30E0" w:rsidRPr="0027132F">
        <w:rPr>
          <w:rFonts w:ascii="Times New Roman" w:hAnsi="Times New Roman" w:cs="Times New Roman"/>
        </w:rPr>
        <w:t>Support could go towards developing cross-border energy interconnectors, expanding renewable energy sources like solar and wind, the deployment of recharging infrastructure and upgrading energy distribution networks to manage efficiently fluctuations in supply.</w:t>
      </w:r>
    </w:p>
  </w:footnote>
  <w:footnote w:id="30">
    <w:p w14:paraId="3AF30F77" w14:textId="77777777" w:rsidR="00C36F54" w:rsidRPr="00C36F54" w:rsidRDefault="00C36F54" w:rsidP="00C36F54">
      <w:pPr>
        <w:pStyle w:val="FootnoteText"/>
        <w:jc w:val="both"/>
        <w:rPr>
          <w:rFonts w:ascii="Calibri" w:hAnsi="Calibri" w:cs="Calibri"/>
        </w:rPr>
      </w:pPr>
      <w:r w:rsidRPr="00C36F54">
        <w:rPr>
          <w:rStyle w:val="FootnoteReference"/>
          <w:rFonts w:ascii="Times New Roman" w:hAnsi="Times New Roman" w:cs="Times New Roman"/>
        </w:rPr>
        <w:footnoteRef/>
      </w:r>
      <w:r w:rsidRPr="00C36F54">
        <w:rPr>
          <w:rFonts w:ascii="Times New Roman" w:hAnsi="Times New Roman" w:cs="Times New Roman"/>
        </w:rPr>
        <w:t xml:space="preserve">The EU currently provides substantial support through the Connecting Europe Facility, European Regional Development Funds, Cohesion Funds or Recovery and Resilience Plans, amongst others. </w:t>
      </w:r>
      <w:r w:rsidRPr="00C36F54">
        <w:rPr>
          <w:rFonts w:ascii="Times New Roman" w:eastAsia="Times New Roman" w:hAnsi="Times New Roman" w:cs="Times New Roman"/>
        </w:rPr>
        <w:t xml:space="preserve">Under the Commission’s proposal for the next Multiannual Financial Framework, the budget of the </w:t>
      </w:r>
      <w:r w:rsidRPr="00C36F54">
        <w:rPr>
          <w:rFonts w:ascii="Times New Roman" w:eastAsia="Times New Roman" w:hAnsi="Times New Roman" w:cs="Times New Roman"/>
          <w:b/>
          <w:bCs/>
        </w:rPr>
        <w:t>Connecting Europe Facility for Energy</w:t>
      </w:r>
      <w:r w:rsidRPr="00C36F54">
        <w:rPr>
          <w:rFonts w:ascii="Times New Roman" w:eastAsia="Times New Roman" w:hAnsi="Times New Roman" w:cs="Times New Roman"/>
        </w:rPr>
        <w:t xml:space="preserve"> (CEF-E) would rise significantly, from EUR 5.84 billion for 2021–2027 to EUR 29.91 billion for 2028–2034.  The </w:t>
      </w:r>
      <w:r w:rsidRPr="00C36F54">
        <w:rPr>
          <w:rFonts w:ascii="Times New Roman" w:eastAsia="Times New Roman" w:hAnsi="Times New Roman" w:cs="Times New Roman"/>
          <w:b/>
          <w:bCs/>
        </w:rPr>
        <w:t>European Competitiveness Fund</w:t>
      </w:r>
      <w:r w:rsidRPr="00C36F54">
        <w:rPr>
          <w:rFonts w:ascii="Times New Roman" w:eastAsia="Times New Roman" w:hAnsi="Times New Roman" w:cs="Times New Roman"/>
        </w:rPr>
        <w:t xml:space="preserve"> will provide a consolidated funding stream (EUR 234.3 billion) with dedicated funding (EUR 26.2 billion) for scaling up and deploying decarbonisation and clean transition technologies, including infrastructure. The </w:t>
      </w:r>
      <w:r w:rsidRPr="00C36F54">
        <w:rPr>
          <w:rFonts w:ascii="Times New Roman" w:eastAsia="Times New Roman" w:hAnsi="Times New Roman" w:cs="Times New Roman"/>
          <w:b/>
          <w:bCs/>
        </w:rPr>
        <w:t>National and Regional Partnership Plans</w:t>
      </w:r>
      <w:r w:rsidRPr="00C36F54">
        <w:rPr>
          <w:rFonts w:ascii="Times New Roman" w:eastAsia="Times New Roman" w:hAnsi="Times New Roman" w:cs="Times New Roman"/>
        </w:rPr>
        <w:t xml:space="preserve"> (EUR 865 billion) will bring together clean energy investments and reforms and support the implementation of National Energy and Climate Plans.</w:t>
      </w:r>
    </w:p>
  </w:footnote>
  <w:footnote w:id="31">
    <w:p w14:paraId="58DBAAE8" w14:textId="498E1406" w:rsidR="00B44C28" w:rsidRPr="00C960AD" w:rsidRDefault="00B44C2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 Action Plan on Cable Security, JOIN(2025) 9 final, </w:t>
      </w:r>
      <w:hyperlink r:id="rId22" w:history="1">
        <w:r>
          <w:rPr>
            <w:rStyle w:val="Hyperlink"/>
            <w:rFonts w:ascii="Times New Roman" w:hAnsi="Times New Roman" w:cs="Times New Roman"/>
          </w:rPr>
          <w:t>eur-lex.europa.eu/legal-content/EN/TXT/PDF/?uri=CELEX:52025JC0009</w:t>
        </w:r>
      </w:hyperlink>
    </w:p>
  </w:footnote>
  <w:footnote w:id="32">
    <w:p w14:paraId="7079007F" w14:textId="6F48C834" w:rsidR="00194A2E" w:rsidRPr="0027132F" w:rsidRDefault="00194A2E">
      <w:pPr>
        <w:pStyle w:val="FootnoteText"/>
        <w:rPr>
          <w:rFonts w:ascii="Times New Roman" w:hAnsi="Times New Roman" w:cs="Times New Roman"/>
        </w:rPr>
      </w:pPr>
      <w:r w:rsidRPr="0027132F">
        <w:rPr>
          <w:rStyle w:val="FootnoteReference"/>
          <w:rFonts w:ascii="Times New Roman" w:hAnsi="Times New Roman" w:cs="Times New Roman"/>
        </w:rPr>
        <w:footnoteRef/>
      </w:r>
      <w:r w:rsidRPr="0027132F">
        <w:rPr>
          <w:rFonts w:ascii="Times New Roman" w:hAnsi="Times New Roman" w:cs="Times New Roman"/>
        </w:rPr>
        <w:t xml:space="preserve"> </w:t>
      </w:r>
      <w:hyperlink r:id="rId23" w:history="1">
        <w:r w:rsidRPr="0027132F">
          <w:rPr>
            <w:rStyle w:val="Hyperlink"/>
            <w:rFonts w:ascii="Times New Roman" w:hAnsi="Times New Roman" w:cs="Times New Roman"/>
          </w:rPr>
          <w:t>Delegated Regulation on the second Union list of Projects of Common and Mutual Interest and its annex - Energy</w:t>
        </w:r>
      </w:hyperlink>
      <w:r w:rsidR="00B37407">
        <w:rPr>
          <w:rFonts w:ascii="Times New Roman" w:hAnsi="Times New Roman" w:cs="Times New Roman"/>
        </w:rPr>
        <w:t>.</w:t>
      </w:r>
    </w:p>
  </w:footnote>
  <w:footnote w:id="33">
    <w:p w14:paraId="42280548" w14:textId="373F74C9" w:rsidR="003960C3" w:rsidRPr="0010381B" w:rsidRDefault="003960C3">
      <w:pPr>
        <w:pStyle w:val="FootnoteText"/>
        <w:rPr>
          <w:rFonts w:ascii="Times New Roman" w:hAnsi="Times New Roman" w:cs="Times New Roman"/>
        </w:rPr>
      </w:pPr>
      <w:r w:rsidRPr="006154EC">
        <w:rPr>
          <w:rStyle w:val="FootnoteReference"/>
          <w:rFonts w:ascii="Times New Roman" w:hAnsi="Times New Roman" w:cs="Times New Roman"/>
        </w:rPr>
        <w:footnoteRef/>
      </w:r>
      <w:r w:rsidRPr="006154EC">
        <w:rPr>
          <w:rFonts w:ascii="Times New Roman" w:hAnsi="Times New Roman" w:cs="Times New Roman"/>
        </w:rPr>
        <w:t xml:space="preserve"> </w:t>
      </w:r>
      <w:hyperlink r:id="rId24" w:history="1">
        <w:r w:rsidR="0010381B" w:rsidRPr="006154EC">
          <w:rPr>
            <w:rStyle w:val="Hyperlink"/>
            <w:rFonts w:ascii="Times New Roman" w:hAnsi="Times New Roman" w:cs="Times New Roman"/>
          </w:rPr>
          <w:t>New European coordinator appointed to oversee completion of Baltic synchronisation energy project - European Commission</w:t>
        </w:r>
      </w:hyperlink>
    </w:p>
    <w:p w14:paraId="0B8BDFCA" w14:textId="107CB306" w:rsidR="0010381B" w:rsidRPr="006154EC" w:rsidRDefault="0010381B">
      <w:pPr>
        <w:pStyle w:val="FootnoteText"/>
        <w:rPr>
          <w:rFonts w:ascii="Times New Roman" w:hAnsi="Times New Roman" w:cs="Times New Roman"/>
        </w:rPr>
      </w:pPr>
      <w:hyperlink r:id="rId25" w:history="1">
        <w:r w:rsidRPr="0010381B">
          <w:rPr>
            <w:rStyle w:val="Hyperlink"/>
            <w:rFonts w:ascii="Times New Roman" w:hAnsi="Times New Roman" w:cs="Times New Roman"/>
          </w:rPr>
          <w:t>New European coordinator appointed for the Central and South-East European energy interconnectivity</w:t>
        </w:r>
      </w:hyperlink>
    </w:p>
  </w:footnote>
  <w:footnote w:id="34">
    <w:p w14:paraId="6D3E938C" w14:textId="77777777" w:rsidR="00C36F54" w:rsidRDefault="00C36F54" w:rsidP="00C36F54">
      <w:pPr>
        <w:pStyle w:val="FootnoteText"/>
        <w:rPr>
          <w:rFonts w:ascii="Times New Roman" w:hAnsi="Times New Roman" w:cs="Times New Roman"/>
        </w:rPr>
      </w:pPr>
      <w:r w:rsidRPr="00C36F54">
        <w:rPr>
          <w:rStyle w:val="FootnoteReference"/>
          <w:rFonts w:ascii="Times New Roman" w:hAnsi="Times New Roman" w:cs="Times New Roman"/>
        </w:rPr>
        <w:footnoteRef/>
      </w:r>
      <w:r w:rsidRPr="00C36F54">
        <w:rPr>
          <w:rFonts w:ascii="Times New Roman" w:hAnsi="Times New Roman" w:cs="Times New Roman"/>
        </w:rPr>
        <w:t xml:space="preserve"> Ireland will be directly connected to EU electricity grid through the on-going Celtic Interconnector project between Ireland and France.</w:t>
      </w:r>
    </w:p>
  </w:footnote>
  <w:footnote w:id="35">
    <w:p w14:paraId="48860D4E" w14:textId="5B852D53" w:rsidR="00A16BF2" w:rsidRPr="0027132F" w:rsidRDefault="00A16BF2">
      <w:pPr>
        <w:pStyle w:val="FootnoteText"/>
        <w:rPr>
          <w:rFonts w:ascii="Times New Roman" w:hAnsi="Times New Roman" w:cs="Times New Roman"/>
        </w:rPr>
      </w:pPr>
      <w:r w:rsidRPr="0027132F">
        <w:rPr>
          <w:rStyle w:val="FootnoteReference"/>
          <w:rFonts w:ascii="Times New Roman" w:hAnsi="Times New Roman" w:cs="Times New Roman"/>
        </w:rPr>
        <w:footnoteRef/>
      </w:r>
      <w:r w:rsidRPr="0027132F">
        <w:rPr>
          <w:rFonts w:ascii="Times New Roman" w:hAnsi="Times New Roman" w:cs="Times New Roman"/>
        </w:rPr>
        <w:t xml:space="preserve"> </w:t>
      </w:r>
      <w:hyperlink r:id="rId26" w:history="1">
        <w:r w:rsidR="00E94C84" w:rsidRPr="0027132F">
          <w:rPr>
            <w:rStyle w:val="Hyperlink"/>
            <w:rFonts w:ascii="Times New Roman" w:hAnsi="Times New Roman" w:cs="Times New Roman"/>
          </w:rPr>
          <w:t>Joint communication on the Pact for the Mediterranean - Middle East, North Africa and the Gulf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0A17" w14:textId="77777777" w:rsidR="00F1172A" w:rsidRPr="00F1172A" w:rsidRDefault="00F1172A" w:rsidP="00F1172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637D" w14:textId="77777777" w:rsidR="00F1172A" w:rsidRPr="00F1172A" w:rsidRDefault="00F1172A" w:rsidP="00F117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2D87" w14:textId="77777777" w:rsidR="00F1172A" w:rsidRPr="00F1172A" w:rsidRDefault="00F1172A" w:rsidP="00F117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570D" w14:textId="77777777" w:rsidR="004A1ACA" w:rsidRPr="00C36F54" w:rsidRDefault="004A1A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F8D82" w14:textId="77777777" w:rsidR="004A1ACA" w:rsidRPr="00C36F54" w:rsidRDefault="004A1A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2063" w14:textId="77777777" w:rsidR="004A1ACA" w:rsidRPr="00C36F54" w:rsidRDefault="004A1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2F89"/>
    <w:multiLevelType w:val="hybridMultilevel"/>
    <w:tmpl w:val="B3EE2640"/>
    <w:lvl w:ilvl="0" w:tplc="C6ECC4AC">
      <w:start w:val="1"/>
      <w:numFmt w:val="bullet"/>
      <w:lvlText w:val=""/>
      <w:lvlJc w:val="left"/>
      <w:pPr>
        <w:ind w:left="720" w:hanging="360"/>
      </w:pPr>
      <w:rPr>
        <w:rFonts w:ascii="Symbol" w:hAnsi="Symbol"/>
      </w:rPr>
    </w:lvl>
    <w:lvl w:ilvl="1" w:tplc="7C0693BE">
      <w:start w:val="1"/>
      <w:numFmt w:val="bullet"/>
      <w:lvlText w:val=""/>
      <w:lvlJc w:val="left"/>
      <w:pPr>
        <w:ind w:left="720" w:hanging="360"/>
      </w:pPr>
      <w:rPr>
        <w:rFonts w:ascii="Symbol" w:hAnsi="Symbol"/>
      </w:rPr>
    </w:lvl>
    <w:lvl w:ilvl="2" w:tplc="88048CB8">
      <w:start w:val="1"/>
      <w:numFmt w:val="bullet"/>
      <w:lvlText w:val=""/>
      <w:lvlJc w:val="left"/>
      <w:pPr>
        <w:ind w:left="720" w:hanging="360"/>
      </w:pPr>
      <w:rPr>
        <w:rFonts w:ascii="Symbol" w:hAnsi="Symbol"/>
      </w:rPr>
    </w:lvl>
    <w:lvl w:ilvl="3" w:tplc="0F5E0D6A">
      <w:start w:val="1"/>
      <w:numFmt w:val="bullet"/>
      <w:lvlText w:val=""/>
      <w:lvlJc w:val="left"/>
      <w:pPr>
        <w:ind w:left="720" w:hanging="360"/>
      </w:pPr>
      <w:rPr>
        <w:rFonts w:ascii="Symbol" w:hAnsi="Symbol"/>
      </w:rPr>
    </w:lvl>
    <w:lvl w:ilvl="4" w:tplc="EC2CDB2E">
      <w:start w:val="1"/>
      <w:numFmt w:val="bullet"/>
      <w:lvlText w:val=""/>
      <w:lvlJc w:val="left"/>
      <w:pPr>
        <w:ind w:left="720" w:hanging="360"/>
      </w:pPr>
      <w:rPr>
        <w:rFonts w:ascii="Symbol" w:hAnsi="Symbol"/>
      </w:rPr>
    </w:lvl>
    <w:lvl w:ilvl="5" w:tplc="0262AC48">
      <w:start w:val="1"/>
      <w:numFmt w:val="bullet"/>
      <w:lvlText w:val=""/>
      <w:lvlJc w:val="left"/>
      <w:pPr>
        <w:ind w:left="720" w:hanging="360"/>
      </w:pPr>
      <w:rPr>
        <w:rFonts w:ascii="Symbol" w:hAnsi="Symbol"/>
      </w:rPr>
    </w:lvl>
    <w:lvl w:ilvl="6" w:tplc="D9F08118">
      <w:start w:val="1"/>
      <w:numFmt w:val="bullet"/>
      <w:lvlText w:val=""/>
      <w:lvlJc w:val="left"/>
      <w:pPr>
        <w:ind w:left="720" w:hanging="360"/>
      </w:pPr>
      <w:rPr>
        <w:rFonts w:ascii="Symbol" w:hAnsi="Symbol"/>
      </w:rPr>
    </w:lvl>
    <w:lvl w:ilvl="7" w:tplc="FA149522">
      <w:start w:val="1"/>
      <w:numFmt w:val="bullet"/>
      <w:lvlText w:val=""/>
      <w:lvlJc w:val="left"/>
      <w:pPr>
        <w:ind w:left="720" w:hanging="360"/>
      </w:pPr>
      <w:rPr>
        <w:rFonts w:ascii="Symbol" w:hAnsi="Symbol"/>
      </w:rPr>
    </w:lvl>
    <w:lvl w:ilvl="8" w:tplc="9FAE4546">
      <w:start w:val="1"/>
      <w:numFmt w:val="bullet"/>
      <w:lvlText w:val=""/>
      <w:lvlJc w:val="left"/>
      <w:pPr>
        <w:ind w:left="720" w:hanging="360"/>
      </w:pPr>
      <w:rPr>
        <w:rFonts w:ascii="Symbol" w:hAnsi="Symbol"/>
      </w:rPr>
    </w:lvl>
  </w:abstractNum>
  <w:abstractNum w:abstractNumId="1" w15:restartNumberingAfterBreak="0">
    <w:nsid w:val="339352F2"/>
    <w:multiLevelType w:val="hybridMultilevel"/>
    <w:tmpl w:val="CB26FA9A"/>
    <w:lvl w:ilvl="0" w:tplc="285CC6B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B70C83"/>
    <w:multiLevelType w:val="hybridMultilevel"/>
    <w:tmpl w:val="F9BE9500"/>
    <w:lvl w:ilvl="0" w:tplc="37E6C6BE">
      <w:start w:val="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5051899"/>
    <w:multiLevelType w:val="hybridMultilevel"/>
    <w:tmpl w:val="B7CEE654"/>
    <w:lvl w:ilvl="0" w:tplc="D6A8A8A0">
      <w:start w:val="1"/>
      <w:numFmt w:val="decimal"/>
      <w:lvlText w:val="%1."/>
      <w:lvlJc w:val="left"/>
      <w:pPr>
        <w:ind w:left="720" w:hanging="360"/>
      </w:pPr>
    </w:lvl>
    <w:lvl w:ilvl="1" w:tplc="B01CC9C4">
      <w:start w:val="1"/>
      <w:numFmt w:val="lowerLetter"/>
      <w:lvlText w:val="%2."/>
      <w:lvlJc w:val="left"/>
      <w:pPr>
        <w:ind w:left="1440" w:hanging="360"/>
      </w:pPr>
    </w:lvl>
    <w:lvl w:ilvl="2" w:tplc="19C63732">
      <w:start w:val="1"/>
      <w:numFmt w:val="lowerRoman"/>
      <w:lvlText w:val="%3."/>
      <w:lvlJc w:val="right"/>
      <w:pPr>
        <w:ind w:left="2160" w:hanging="180"/>
      </w:pPr>
    </w:lvl>
    <w:lvl w:ilvl="3" w:tplc="DBBEA894">
      <w:start w:val="1"/>
      <w:numFmt w:val="decimal"/>
      <w:lvlText w:val="%4."/>
      <w:lvlJc w:val="left"/>
      <w:pPr>
        <w:ind w:left="2880" w:hanging="360"/>
      </w:pPr>
    </w:lvl>
    <w:lvl w:ilvl="4" w:tplc="E8A81FAA">
      <w:start w:val="1"/>
      <w:numFmt w:val="lowerLetter"/>
      <w:lvlText w:val="%5."/>
      <w:lvlJc w:val="left"/>
      <w:pPr>
        <w:ind w:left="3600" w:hanging="360"/>
      </w:pPr>
    </w:lvl>
    <w:lvl w:ilvl="5" w:tplc="261EDA64">
      <w:start w:val="1"/>
      <w:numFmt w:val="lowerRoman"/>
      <w:lvlText w:val="%6."/>
      <w:lvlJc w:val="right"/>
      <w:pPr>
        <w:ind w:left="4320" w:hanging="180"/>
      </w:pPr>
    </w:lvl>
    <w:lvl w:ilvl="6" w:tplc="A8D4605E">
      <w:start w:val="1"/>
      <w:numFmt w:val="decimal"/>
      <w:lvlText w:val="%7."/>
      <w:lvlJc w:val="left"/>
      <w:pPr>
        <w:ind w:left="5040" w:hanging="360"/>
      </w:pPr>
    </w:lvl>
    <w:lvl w:ilvl="7" w:tplc="6024B20E">
      <w:start w:val="1"/>
      <w:numFmt w:val="lowerLetter"/>
      <w:lvlText w:val="%8."/>
      <w:lvlJc w:val="left"/>
      <w:pPr>
        <w:ind w:left="5760" w:hanging="360"/>
      </w:pPr>
    </w:lvl>
    <w:lvl w:ilvl="8" w:tplc="7B0608BC">
      <w:start w:val="1"/>
      <w:numFmt w:val="lowerRoman"/>
      <w:lvlText w:val="%9."/>
      <w:lvlJc w:val="right"/>
      <w:pPr>
        <w:ind w:left="6480" w:hanging="180"/>
      </w:pPr>
    </w:lvl>
  </w:abstractNum>
  <w:num w:numId="1" w16cid:durableId="2124840099">
    <w:abstractNumId w:val="3"/>
  </w:num>
  <w:num w:numId="2" w16cid:durableId="1413743523">
    <w:abstractNumId w:val="1"/>
  </w:num>
  <w:num w:numId="3" w16cid:durableId="351340299">
    <w:abstractNumId w:val="0"/>
  </w:num>
  <w:num w:numId="4" w16cid:durableId="1394503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303156D-7A66-46E9-8F74-65B9F2AF7C20"/>
    <w:docVar w:name="LW_COVERPAGE_TYPE" w:val="1"/>
    <w:docVar w:name="LW_CROSSREFERENCE" w:val="&lt;UNUSED&gt;"/>
    <w:docVar w:name="LW_DocType" w:val="NORMAL"/>
    <w:docVar w:name="LW_EMISSION" w:val="10.12.2025"/>
    <w:docVar w:name="LW_EMISSION_ISODATE" w:val="2025-12-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0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Grids Package'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343D67"/>
    <w:rsid w:val="00001293"/>
    <w:rsid w:val="00005F94"/>
    <w:rsid w:val="0000664A"/>
    <w:rsid w:val="00006993"/>
    <w:rsid w:val="00007206"/>
    <w:rsid w:val="000125F9"/>
    <w:rsid w:val="000179B2"/>
    <w:rsid w:val="00030263"/>
    <w:rsid w:val="00030457"/>
    <w:rsid w:val="00032FC3"/>
    <w:rsid w:val="00034765"/>
    <w:rsid w:val="00041778"/>
    <w:rsid w:val="0004446B"/>
    <w:rsid w:val="00053BF0"/>
    <w:rsid w:val="000561E0"/>
    <w:rsid w:val="00056740"/>
    <w:rsid w:val="0006026B"/>
    <w:rsid w:val="00062049"/>
    <w:rsid w:val="000651A0"/>
    <w:rsid w:val="000658E6"/>
    <w:rsid w:val="00067DFD"/>
    <w:rsid w:val="00073325"/>
    <w:rsid w:val="00075E23"/>
    <w:rsid w:val="00077028"/>
    <w:rsid w:val="00077DD5"/>
    <w:rsid w:val="00085162"/>
    <w:rsid w:val="00087C7A"/>
    <w:rsid w:val="000914EE"/>
    <w:rsid w:val="000A074F"/>
    <w:rsid w:val="000A1D9C"/>
    <w:rsid w:val="000A2A50"/>
    <w:rsid w:val="000A7F70"/>
    <w:rsid w:val="000B123D"/>
    <w:rsid w:val="000B2C94"/>
    <w:rsid w:val="000B2FE2"/>
    <w:rsid w:val="000B5C8A"/>
    <w:rsid w:val="000B6DBF"/>
    <w:rsid w:val="000C60BA"/>
    <w:rsid w:val="000C7237"/>
    <w:rsid w:val="000D4EB8"/>
    <w:rsid w:val="000D5511"/>
    <w:rsid w:val="000D6B7D"/>
    <w:rsid w:val="000D7023"/>
    <w:rsid w:val="000D75CF"/>
    <w:rsid w:val="000E457F"/>
    <w:rsid w:val="000E7EED"/>
    <w:rsid w:val="000F01D5"/>
    <w:rsid w:val="000F064D"/>
    <w:rsid w:val="000F515C"/>
    <w:rsid w:val="0010381B"/>
    <w:rsid w:val="00113095"/>
    <w:rsid w:val="00115835"/>
    <w:rsid w:val="00122141"/>
    <w:rsid w:val="00122435"/>
    <w:rsid w:val="0012301F"/>
    <w:rsid w:val="00123EFB"/>
    <w:rsid w:val="00124D8C"/>
    <w:rsid w:val="0012541D"/>
    <w:rsid w:val="00126420"/>
    <w:rsid w:val="00132526"/>
    <w:rsid w:val="00137A12"/>
    <w:rsid w:val="00140ED0"/>
    <w:rsid w:val="00141925"/>
    <w:rsid w:val="00144EE4"/>
    <w:rsid w:val="00145CD4"/>
    <w:rsid w:val="0014696D"/>
    <w:rsid w:val="00146AA6"/>
    <w:rsid w:val="00146F48"/>
    <w:rsid w:val="001513BF"/>
    <w:rsid w:val="00152F27"/>
    <w:rsid w:val="00162981"/>
    <w:rsid w:val="00164B2D"/>
    <w:rsid w:val="00165522"/>
    <w:rsid w:val="0016747E"/>
    <w:rsid w:val="00170D4B"/>
    <w:rsid w:val="00172A34"/>
    <w:rsid w:val="00174A2C"/>
    <w:rsid w:val="00180642"/>
    <w:rsid w:val="00185FB7"/>
    <w:rsid w:val="00192605"/>
    <w:rsid w:val="001948FF"/>
    <w:rsid w:val="00194A2E"/>
    <w:rsid w:val="001A17A7"/>
    <w:rsid w:val="001A4289"/>
    <w:rsid w:val="001A611C"/>
    <w:rsid w:val="001A63F1"/>
    <w:rsid w:val="001B1433"/>
    <w:rsid w:val="001B1A8D"/>
    <w:rsid w:val="001B6745"/>
    <w:rsid w:val="001C4119"/>
    <w:rsid w:val="001C475D"/>
    <w:rsid w:val="001C58AE"/>
    <w:rsid w:val="001C7CFA"/>
    <w:rsid w:val="001D611D"/>
    <w:rsid w:val="001E6F02"/>
    <w:rsid w:val="001F0E15"/>
    <w:rsid w:val="001F168A"/>
    <w:rsid w:val="001F687D"/>
    <w:rsid w:val="00206E6E"/>
    <w:rsid w:val="00210A84"/>
    <w:rsid w:val="00214930"/>
    <w:rsid w:val="00215379"/>
    <w:rsid w:val="00216123"/>
    <w:rsid w:val="002164B6"/>
    <w:rsid w:val="002167B2"/>
    <w:rsid w:val="002257D1"/>
    <w:rsid w:val="002309C7"/>
    <w:rsid w:val="00230BD5"/>
    <w:rsid w:val="00240444"/>
    <w:rsid w:val="0024087D"/>
    <w:rsid w:val="00246730"/>
    <w:rsid w:val="00251C2E"/>
    <w:rsid w:val="00253AAB"/>
    <w:rsid w:val="00260466"/>
    <w:rsid w:val="00261AA4"/>
    <w:rsid w:val="00265A77"/>
    <w:rsid w:val="00266303"/>
    <w:rsid w:val="0027132F"/>
    <w:rsid w:val="00272956"/>
    <w:rsid w:val="0027493E"/>
    <w:rsid w:val="002768A7"/>
    <w:rsid w:val="0029106A"/>
    <w:rsid w:val="00292FEF"/>
    <w:rsid w:val="00294A36"/>
    <w:rsid w:val="00295122"/>
    <w:rsid w:val="002957CB"/>
    <w:rsid w:val="002A2B1B"/>
    <w:rsid w:val="002A4C99"/>
    <w:rsid w:val="002A545A"/>
    <w:rsid w:val="002A57A1"/>
    <w:rsid w:val="002B0FD4"/>
    <w:rsid w:val="002B6ACD"/>
    <w:rsid w:val="002B723A"/>
    <w:rsid w:val="002C2FC6"/>
    <w:rsid w:val="002C3674"/>
    <w:rsid w:val="002C4F6E"/>
    <w:rsid w:val="002D1E16"/>
    <w:rsid w:val="002D30E0"/>
    <w:rsid w:val="002D6902"/>
    <w:rsid w:val="002D72D6"/>
    <w:rsid w:val="002E0433"/>
    <w:rsid w:val="002E1C93"/>
    <w:rsid w:val="002E7ABF"/>
    <w:rsid w:val="002F3CDD"/>
    <w:rsid w:val="002F4CC3"/>
    <w:rsid w:val="002F5898"/>
    <w:rsid w:val="002F7A45"/>
    <w:rsid w:val="00301080"/>
    <w:rsid w:val="00302324"/>
    <w:rsid w:val="00303A54"/>
    <w:rsid w:val="00304803"/>
    <w:rsid w:val="00304B96"/>
    <w:rsid w:val="00304EE1"/>
    <w:rsid w:val="00306202"/>
    <w:rsid w:val="003103A5"/>
    <w:rsid w:val="00312ACA"/>
    <w:rsid w:val="00312B2C"/>
    <w:rsid w:val="00321476"/>
    <w:rsid w:val="003233CD"/>
    <w:rsid w:val="00330096"/>
    <w:rsid w:val="00330AAB"/>
    <w:rsid w:val="00335610"/>
    <w:rsid w:val="00336603"/>
    <w:rsid w:val="003414FC"/>
    <w:rsid w:val="00343D67"/>
    <w:rsid w:val="00351A45"/>
    <w:rsid w:val="00364AE5"/>
    <w:rsid w:val="003651A6"/>
    <w:rsid w:val="003657FD"/>
    <w:rsid w:val="00374819"/>
    <w:rsid w:val="003753D1"/>
    <w:rsid w:val="003778C3"/>
    <w:rsid w:val="00380B27"/>
    <w:rsid w:val="00384105"/>
    <w:rsid w:val="00391C68"/>
    <w:rsid w:val="003960C3"/>
    <w:rsid w:val="003A4E8E"/>
    <w:rsid w:val="003A6587"/>
    <w:rsid w:val="003A674F"/>
    <w:rsid w:val="003A6E1B"/>
    <w:rsid w:val="003A7AB6"/>
    <w:rsid w:val="003B015D"/>
    <w:rsid w:val="003B098D"/>
    <w:rsid w:val="003B50CA"/>
    <w:rsid w:val="003B6371"/>
    <w:rsid w:val="003B788D"/>
    <w:rsid w:val="003C30E6"/>
    <w:rsid w:val="003D179E"/>
    <w:rsid w:val="003D35FA"/>
    <w:rsid w:val="003D767E"/>
    <w:rsid w:val="003E3A92"/>
    <w:rsid w:val="003E4982"/>
    <w:rsid w:val="003F013A"/>
    <w:rsid w:val="003F08FD"/>
    <w:rsid w:val="003F233C"/>
    <w:rsid w:val="003F2A38"/>
    <w:rsid w:val="003F7587"/>
    <w:rsid w:val="0040271D"/>
    <w:rsid w:val="00404052"/>
    <w:rsid w:val="0041469E"/>
    <w:rsid w:val="00415D90"/>
    <w:rsid w:val="00420DE8"/>
    <w:rsid w:val="0042248C"/>
    <w:rsid w:val="00424A1B"/>
    <w:rsid w:val="004268F7"/>
    <w:rsid w:val="00426EE0"/>
    <w:rsid w:val="004300AD"/>
    <w:rsid w:val="00436B62"/>
    <w:rsid w:val="00437123"/>
    <w:rsid w:val="00443063"/>
    <w:rsid w:val="004434B1"/>
    <w:rsid w:val="004449DE"/>
    <w:rsid w:val="00447981"/>
    <w:rsid w:val="004567F6"/>
    <w:rsid w:val="00466AE7"/>
    <w:rsid w:val="004671E0"/>
    <w:rsid w:val="00473680"/>
    <w:rsid w:val="0047495A"/>
    <w:rsid w:val="00477F95"/>
    <w:rsid w:val="004830DA"/>
    <w:rsid w:val="00484E89"/>
    <w:rsid w:val="00490CA6"/>
    <w:rsid w:val="0049134B"/>
    <w:rsid w:val="00494FFA"/>
    <w:rsid w:val="00496DA0"/>
    <w:rsid w:val="004A0BE8"/>
    <w:rsid w:val="004A1ACA"/>
    <w:rsid w:val="004A5672"/>
    <w:rsid w:val="004A6000"/>
    <w:rsid w:val="004A692C"/>
    <w:rsid w:val="004B0DDC"/>
    <w:rsid w:val="004B62FB"/>
    <w:rsid w:val="004C23B5"/>
    <w:rsid w:val="004C256C"/>
    <w:rsid w:val="004C2EEA"/>
    <w:rsid w:val="004C5A7E"/>
    <w:rsid w:val="004C6B9C"/>
    <w:rsid w:val="004D00B2"/>
    <w:rsid w:val="004D2295"/>
    <w:rsid w:val="004D64DA"/>
    <w:rsid w:val="004D714D"/>
    <w:rsid w:val="004E0128"/>
    <w:rsid w:val="004E5132"/>
    <w:rsid w:val="004E5964"/>
    <w:rsid w:val="004E6BAE"/>
    <w:rsid w:val="004E6FB9"/>
    <w:rsid w:val="004E7ECD"/>
    <w:rsid w:val="004F08E2"/>
    <w:rsid w:val="004F1C67"/>
    <w:rsid w:val="004F2D11"/>
    <w:rsid w:val="00510082"/>
    <w:rsid w:val="005140D6"/>
    <w:rsid w:val="00514FA7"/>
    <w:rsid w:val="00515C15"/>
    <w:rsid w:val="005177EA"/>
    <w:rsid w:val="0052063C"/>
    <w:rsid w:val="0052795D"/>
    <w:rsid w:val="0053277C"/>
    <w:rsid w:val="00540FA5"/>
    <w:rsid w:val="00550D4B"/>
    <w:rsid w:val="00553ACE"/>
    <w:rsid w:val="00557E55"/>
    <w:rsid w:val="005603A7"/>
    <w:rsid w:val="00563203"/>
    <w:rsid w:val="00564DF2"/>
    <w:rsid w:val="00573D8C"/>
    <w:rsid w:val="00580C26"/>
    <w:rsid w:val="005845ED"/>
    <w:rsid w:val="00584742"/>
    <w:rsid w:val="00585F5F"/>
    <w:rsid w:val="0058723C"/>
    <w:rsid w:val="00590295"/>
    <w:rsid w:val="00592614"/>
    <w:rsid w:val="0059413D"/>
    <w:rsid w:val="005A15F3"/>
    <w:rsid w:val="005A4A65"/>
    <w:rsid w:val="005B0103"/>
    <w:rsid w:val="005B2C67"/>
    <w:rsid w:val="005B3B3F"/>
    <w:rsid w:val="005B55B1"/>
    <w:rsid w:val="005B6E39"/>
    <w:rsid w:val="005C3FA3"/>
    <w:rsid w:val="005C4DB0"/>
    <w:rsid w:val="005D1976"/>
    <w:rsid w:val="005D19A6"/>
    <w:rsid w:val="005D203B"/>
    <w:rsid w:val="005E649D"/>
    <w:rsid w:val="005F0DDD"/>
    <w:rsid w:val="005F5245"/>
    <w:rsid w:val="005F6276"/>
    <w:rsid w:val="00600C8F"/>
    <w:rsid w:val="00601208"/>
    <w:rsid w:val="00601CD9"/>
    <w:rsid w:val="006022C7"/>
    <w:rsid w:val="00610BEA"/>
    <w:rsid w:val="00611DCA"/>
    <w:rsid w:val="00614A0E"/>
    <w:rsid w:val="00614FE6"/>
    <w:rsid w:val="006154EC"/>
    <w:rsid w:val="00617C4A"/>
    <w:rsid w:val="00621B34"/>
    <w:rsid w:val="00623543"/>
    <w:rsid w:val="0062354D"/>
    <w:rsid w:val="00630766"/>
    <w:rsid w:val="006310F5"/>
    <w:rsid w:val="006337FA"/>
    <w:rsid w:val="00636C1A"/>
    <w:rsid w:val="00640280"/>
    <w:rsid w:val="006407DF"/>
    <w:rsid w:val="00642951"/>
    <w:rsid w:val="006451B5"/>
    <w:rsid w:val="006451F5"/>
    <w:rsid w:val="00645C30"/>
    <w:rsid w:val="00646269"/>
    <w:rsid w:val="006512AD"/>
    <w:rsid w:val="00652FA7"/>
    <w:rsid w:val="00660F4D"/>
    <w:rsid w:val="00665499"/>
    <w:rsid w:val="00673E85"/>
    <w:rsid w:val="006831F8"/>
    <w:rsid w:val="00686771"/>
    <w:rsid w:val="00691EDD"/>
    <w:rsid w:val="00697D68"/>
    <w:rsid w:val="006A4F66"/>
    <w:rsid w:val="006A7350"/>
    <w:rsid w:val="006B2142"/>
    <w:rsid w:val="006B469D"/>
    <w:rsid w:val="006B6D84"/>
    <w:rsid w:val="006B7B3B"/>
    <w:rsid w:val="006C46DE"/>
    <w:rsid w:val="006C63DF"/>
    <w:rsid w:val="006D2176"/>
    <w:rsid w:val="006D37C1"/>
    <w:rsid w:val="006D4500"/>
    <w:rsid w:val="006D772C"/>
    <w:rsid w:val="006D776D"/>
    <w:rsid w:val="006D7F15"/>
    <w:rsid w:val="006E2B42"/>
    <w:rsid w:val="006E336C"/>
    <w:rsid w:val="006E60B6"/>
    <w:rsid w:val="006F056F"/>
    <w:rsid w:val="006F2258"/>
    <w:rsid w:val="006F463B"/>
    <w:rsid w:val="006F47E4"/>
    <w:rsid w:val="006F62A2"/>
    <w:rsid w:val="006F7601"/>
    <w:rsid w:val="00702E82"/>
    <w:rsid w:val="00705A5B"/>
    <w:rsid w:val="00706445"/>
    <w:rsid w:val="00713169"/>
    <w:rsid w:val="00723C42"/>
    <w:rsid w:val="00724B7B"/>
    <w:rsid w:val="00725A8D"/>
    <w:rsid w:val="00730F4D"/>
    <w:rsid w:val="007332D9"/>
    <w:rsid w:val="00741240"/>
    <w:rsid w:val="00741FC6"/>
    <w:rsid w:val="00744E57"/>
    <w:rsid w:val="007457A1"/>
    <w:rsid w:val="00745A1A"/>
    <w:rsid w:val="007521C3"/>
    <w:rsid w:val="00757736"/>
    <w:rsid w:val="0077017A"/>
    <w:rsid w:val="00784A64"/>
    <w:rsid w:val="007907AE"/>
    <w:rsid w:val="00792A8B"/>
    <w:rsid w:val="00794773"/>
    <w:rsid w:val="007A40BA"/>
    <w:rsid w:val="007B67DE"/>
    <w:rsid w:val="007C1733"/>
    <w:rsid w:val="007C5974"/>
    <w:rsid w:val="007C7DC0"/>
    <w:rsid w:val="007D2A04"/>
    <w:rsid w:val="007D564A"/>
    <w:rsid w:val="007D6007"/>
    <w:rsid w:val="007D7B3C"/>
    <w:rsid w:val="007E0CA5"/>
    <w:rsid w:val="007E2115"/>
    <w:rsid w:val="00800E4A"/>
    <w:rsid w:val="008030EB"/>
    <w:rsid w:val="008040BA"/>
    <w:rsid w:val="00805BCE"/>
    <w:rsid w:val="00813C41"/>
    <w:rsid w:val="00814293"/>
    <w:rsid w:val="0082400D"/>
    <w:rsid w:val="00831A29"/>
    <w:rsid w:val="008329B3"/>
    <w:rsid w:val="00834242"/>
    <w:rsid w:val="008401BC"/>
    <w:rsid w:val="008439B8"/>
    <w:rsid w:val="00844706"/>
    <w:rsid w:val="008472A0"/>
    <w:rsid w:val="0086660D"/>
    <w:rsid w:val="00871155"/>
    <w:rsid w:val="008736DC"/>
    <w:rsid w:val="00875CEE"/>
    <w:rsid w:val="008819DC"/>
    <w:rsid w:val="00883737"/>
    <w:rsid w:val="00885126"/>
    <w:rsid w:val="00891E4D"/>
    <w:rsid w:val="00892B52"/>
    <w:rsid w:val="008939C0"/>
    <w:rsid w:val="008941FB"/>
    <w:rsid w:val="008A5C4D"/>
    <w:rsid w:val="008A673F"/>
    <w:rsid w:val="008B026D"/>
    <w:rsid w:val="008B394C"/>
    <w:rsid w:val="008B472A"/>
    <w:rsid w:val="008C0DF4"/>
    <w:rsid w:val="008C1232"/>
    <w:rsid w:val="008C6EB9"/>
    <w:rsid w:val="008D386F"/>
    <w:rsid w:val="008D7038"/>
    <w:rsid w:val="008E73DF"/>
    <w:rsid w:val="008F1EEB"/>
    <w:rsid w:val="008F2CF9"/>
    <w:rsid w:val="008F4275"/>
    <w:rsid w:val="009021A8"/>
    <w:rsid w:val="00903C44"/>
    <w:rsid w:val="009042E7"/>
    <w:rsid w:val="0090431B"/>
    <w:rsid w:val="00912FAA"/>
    <w:rsid w:val="009137F3"/>
    <w:rsid w:val="00922912"/>
    <w:rsid w:val="00931A57"/>
    <w:rsid w:val="00933796"/>
    <w:rsid w:val="0093535C"/>
    <w:rsid w:val="009403F3"/>
    <w:rsid w:val="0094044B"/>
    <w:rsid w:val="00941DB4"/>
    <w:rsid w:val="009433D8"/>
    <w:rsid w:val="00945B88"/>
    <w:rsid w:val="00946322"/>
    <w:rsid w:val="009474FE"/>
    <w:rsid w:val="00953B66"/>
    <w:rsid w:val="00954505"/>
    <w:rsid w:val="009579AA"/>
    <w:rsid w:val="00961642"/>
    <w:rsid w:val="0096225B"/>
    <w:rsid w:val="009656B6"/>
    <w:rsid w:val="009664B4"/>
    <w:rsid w:val="0097067C"/>
    <w:rsid w:val="00971B6A"/>
    <w:rsid w:val="00973DC3"/>
    <w:rsid w:val="0097444B"/>
    <w:rsid w:val="0098091C"/>
    <w:rsid w:val="00981E7B"/>
    <w:rsid w:val="009845C2"/>
    <w:rsid w:val="00986594"/>
    <w:rsid w:val="00994D22"/>
    <w:rsid w:val="00997EED"/>
    <w:rsid w:val="009A16D9"/>
    <w:rsid w:val="009A21E1"/>
    <w:rsid w:val="009A21EF"/>
    <w:rsid w:val="009A2912"/>
    <w:rsid w:val="009A5BB4"/>
    <w:rsid w:val="009B05EB"/>
    <w:rsid w:val="009B0B87"/>
    <w:rsid w:val="009B3F98"/>
    <w:rsid w:val="009B6006"/>
    <w:rsid w:val="009B7F93"/>
    <w:rsid w:val="009D300B"/>
    <w:rsid w:val="009D3DC0"/>
    <w:rsid w:val="009D510B"/>
    <w:rsid w:val="009D5AB7"/>
    <w:rsid w:val="009F3B56"/>
    <w:rsid w:val="009F3E9E"/>
    <w:rsid w:val="009F718A"/>
    <w:rsid w:val="009F7C82"/>
    <w:rsid w:val="00A00AEB"/>
    <w:rsid w:val="00A0176E"/>
    <w:rsid w:val="00A0585A"/>
    <w:rsid w:val="00A105ED"/>
    <w:rsid w:val="00A109B0"/>
    <w:rsid w:val="00A12BB7"/>
    <w:rsid w:val="00A14E24"/>
    <w:rsid w:val="00A16BF2"/>
    <w:rsid w:val="00A17F29"/>
    <w:rsid w:val="00A23431"/>
    <w:rsid w:val="00A24084"/>
    <w:rsid w:val="00A3091C"/>
    <w:rsid w:val="00A30F03"/>
    <w:rsid w:val="00A33F96"/>
    <w:rsid w:val="00A3776D"/>
    <w:rsid w:val="00A4217D"/>
    <w:rsid w:val="00A42D7A"/>
    <w:rsid w:val="00A46090"/>
    <w:rsid w:val="00A50C8D"/>
    <w:rsid w:val="00A50FF4"/>
    <w:rsid w:val="00A53945"/>
    <w:rsid w:val="00A579DA"/>
    <w:rsid w:val="00A60E51"/>
    <w:rsid w:val="00A61985"/>
    <w:rsid w:val="00A61CC5"/>
    <w:rsid w:val="00A61F60"/>
    <w:rsid w:val="00A62147"/>
    <w:rsid w:val="00A62453"/>
    <w:rsid w:val="00A63FE5"/>
    <w:rsid w:val="00A67066"/>
    <w:rsid w:val="00A6723B"/>
    <w:rsid w:val="00A7320C"/>
    <w:rsid w:val="00A75B09"/>
    <w:rsid w:val="00A9429A"/>
    <w:rsid w:val="00AA02B5"/>
    <w:rsid w:val="00AA1996"/>
    <w:rsid w:val="00AA32BA"/>
    <w:rsid w:val="00AB0938"/>
    <w:rsid w:val="00AB4DBC"/>
    <w:rsid w:val="00AB5B8B"/>
    <w:rsid w:val="00AC537F"/>
    <w:rsid w:val="00AC6D16"/>
    <w:rsid w:val="00AD11BD"/>
    <w:rsid w:val="00AD7028"/>
    <w:rsid w:val="00AE03C6"/>
    <w:rsid w:val="00AE0801"/>
    <w:rsid w:val="00AE2733"/>
    <w:rsid w:val="00AE32E7"/>
    <w:rsid w:val="00AE7EE9"/>
    <w:rsid w:val="00AF502A"/>
    <w:rsid w:val="00AF7161"/>
    <w:rsid w:val="00B01B98"/>
    <w:rsid w:val="00B05817"/>
    <w:rsid w:val="00B074EB"/>
    <w:rsid w:val="00B15872"/>
    <w:rsid w:val="00B22B85"/>
    <w:rsid w:val="00B24742"/>
    <w:rsid w:val="00B3116D"/>
    <w:rsid w:val="00B32491"/>
    <w:rsid w:val="00B35307"/>
    <w:rsid w:val="00B37407"/>
    <w:rsid w:val="00B44C28"/>
    <w:rsid w:val="00B451CD"/>
    <w:rsid w:val="00B51707"/>
    <w:rsid w:val="00B51E61"/>
    <w:rsid w:val="00B53F2B"/>
    <w:rsid w:val="00B55C7A"/>
    <w:rsid w:val="00B564AC"/>
    <w:rsid w:val="00B61CAE"/>
    <w:rsid w:val="00B64255"/>
    <w:rsid w:val="00B65F79"/>
    <w:rsid w:val="00B70713"/>
    <w:rsid w:val="00B72980"/>
    <w:rsid w:val="00B75C99"/>
    <w:rsid w:val="00B80E06"/>
    <w:rsid w:val="00B84B29"/>
    <w:rsid w:val="00B85BEF"/>
    <w:rsid w:val="00B9021D"/>
    <w:rsid w:val="00B927B2"/>
    <w:rsid w:val="00B97AFA"/>
    <w:rsid w:val="00BA23A9"/>
    <w:rsid w:val="00BA7EAA"/>
    <w:rsid w:val="00BB0A81"/>
    <w:rsid w:val="00BB0B8D"/>
    <w:rsid w:val="00BB1A63"/>
    <w:rsid w:val="00BB37E7"/>
    <w:rsid w:val="00BC1180"/>
    <w:rsid w:val="00BC4421"/>
    <w:rsid w:val="00BC6A5B"/>
    <w:rsid w:val="00BC6E20"/>
    <w:rsid w:val="00BC75EA"/>
    <w:rsid w:val="00BD18D5"/>
    <w:rsid w:val="00BD6783"/>
    <w:rsid w:val="00BE4636"/>
    <w:rsid w:val="00BF031C"/>
    <w:rsid w:val="00BF6BE3"/>
    <w:rsid w:val="00C00D88"/>
    <w:rsid w:val="00C04D48"/>
    <w:rsid w:val="00C100BE"/>
    <w:rsid w:val="00C111F2"/>
    <w:rsid w:val="00C12349"/>
    <w:rsid w:val="00C15695"/>
    <w:rsid w:val="00C2637F"/>
    <w:rsid w:val="00C26575"/>
    <w:rsid w:val="00C31A49"/>
    <w:rsid w:val="00C36F54"/>
    <w:rsid w:val="00C40C1B"/>
    <w:rsid w:val="00C42F56"/>
    <w:rsid w:val="00C42FDC"/>
    <w:rsid w:val="00C4562D"/>
    <w:rsid w:val="00C60483"/>
    <w:rsid w:val="00C634BB"/>
    <w:rsid w:val="00C64038"/>
    <w:rsid w:val="00C65D91"/>
    <w:rsid w:val="00C6614D"/>
    <w:rsid w:val="00C6768A"/>
    <w:rsid w:val="00C73382"/>
    <w:rsid w:val="00C82DCD"/>
    <w:rsid w:val="00C85AF0"/>
    <w:rsid w:val="00C91C83"/>
    <w:rsid w:val="00C91F60"/>
    <w:rsid w:val="00C95C96"/>
    <w:rsid w:val="00C960AD"/>
    <w:rsid w:val="00C9635A"/>
    <w:rsid w:val="00CA4739"/>
    <w:rsid w:val="00CA563E"/>
    <w:rsid w:val="00CA7C6F"/>
    <w:rsid w:val="00CB1F71"/>
    <w:rsid w:val="00CB5857"/>
    <w:rsid w:val="00CC1BCE"/>
    <w:rsid w:val="00CC5074"/>
    <w:rsid w:val="00CC50DF"/>
    <w:rsid w:val="00CC58F1"/>
    <w:rsid w:val="00CC6551"/>
    <w:rsid w:val="00CD26DE"/>
    <w:rsid w:val="00CD3EED"/>
    <w:rsid w:val="00CD4CFE"/>
    <w:rsid w:val="00CE0C28"/>
    <w:rsid w:val="00CE1DFB"/>
    <w:rsid w:val="00CE2193"/>
    <w:rsid w:val="00CF23A6"/>
    <w:rsid w:val="00CF3473"/>
    <w:rsid w:val="00CF7F61"/>
    <w:rsid w:val="00D00AF7"/>
    <w:rsid w:val="00D04060"/>
    <w:rsid w:val="00D041FD"/>
    <w:rsid w:val="00D11569"/>
    <w:rsid w:val="00D22B27"/>
    <w:rsid w:val="00D24CCE"/>
    <w:rsid w:val="00D262AF"/>
    <w:rsid w:val="00D3287E"/>
    <w:rsid w:val="00D362CE"/>
    <w:rsid w:val="00D42AFD"/>
    <w:rsid w:val="00D47A8C"/>
    <w:rsid w:val="00D53F15"/>
    <w:rsid w:val="00D61491"/>
    <w:rsid w:val="00D67464"/>
    <w:rsid w:val="00D71032"/>
    <w:rsid w:val="00D727A1"/>
    <w:rsid w:val="00D72A2E"/>
    <w:rsid w:val="00D73C8F"/>
    <w:rsid w:val="00D76CC5"/>
    <w:rsid w:val="00D77DD7"/>
    <w:rsid w:val="00D80592"/>
    <w:rsid w:val="00D80E7D"/>
    <w:rsid w:val="00D822C2"/>
    <w:rsid w:val="00D850A6"/>
    <w:rsid w:val="00D878E6"/>
    <w:rsid w:val="00D94B1E"/>
    <w:rsid w:val="00D9724A"/>
    <w:rsid w:val="00D97590"/>
    <w:rsid w:val="00DA1A07"/>
    <w:rsid w:val="00DA2CB0"/>
    <w:rsid w:val="00DA3014"/>
    <w:rsid w:val="00DA34B8"/>
    <w:rsid w:val="00DA3A5E"/>
    <w:rsid w:val="00DB0933"/>
    <w:rsid w:val="00DB4584"/>
    <w:rsid w:val="00DB4F90"/>
    <w:rsid w:val="00DB50DF"/>
    <w:rsid w:val="00DC0AF8"/>
    <w:rsid w:val="00DC3681"/>
    <w:rsid w:val="00DC432A"/>
    <w:rsid w:val="00DC4BA0"/>
    <w:rsid w:val="00DD0EBC"/>
    <w:rsid w:val="00DD228C"/>
    <w:rsid w:val="00DD6207"/>
    <w:rsid w:val="00DD7556"/>
    <w:rsid w:val="00DE1071"/>
    <w:rsid w:val="00DE47FA"/>
    <w:rsid w:val="00DE66A0"/>
    <w:rsid w:val="00DE6CDC"/>
    <w:rsid w:val="00DF02D6"/>
    <w:rsid w:val="00DF4F0A"/>
    <w:rsid w:val="00DF4F6C"/>
    <w:rsid w:val="00DF60DB"/>
    <w:rsid w:val="00E02CDC"/>
    <w:rsid w:val="00E03E30"/>
    <w:rsid w:val="00E047C7"/>
    <w:rsid w:val="00E15700"/>
    <w:rsid w:val="00E27217"/>
    <w:rsid w:val="00E27DDB"/>
    <w:rsid w:val="00E3082E"/>
    <w:rsid w:val="00E336F5"/>
    <w:rsid w:val="00E366F4"/>
    <w:rsid w:val="00E467B9"/>
    <w:rsid w:val="00E643EA"/>
    <w:rsid w:val="00E64C32"/>
    <w:rsid w:val="00E65DF1"/>
    <w:rsid w:val="00E679C0"/>
    <w:rsid w:val="00E70504"/>
    <w:rsid w:val="00E70FF3"/>
    <w:rsid w:val="00E72ED3"/>
    <w:rsid w:val="00E747DB"/>
    <w:rsid w:val="00E75616"/>
    <w:rsid w:val="00E75CC7"/>
    <w:rsid w:val="00E8030E"/>
    <w:rsid w:val="00E826AB"/>
    <w:rsid w:val="00E86870"/>
    <w:rsid w:val="00E86E8D"/>
    <w:rsid w:val="00E91E88"/>
    <w:rsid w:val="00E93120"/>
    <w:rsid w:val="00E94C84"/>
    <w:rsid w:val="00E95527"/>
    <w:rsid w:val="00E97B77"/>
    <w:rsid w:val="00EA22C9"/>
    <w:rsid w:val="00EA4209"/>
    <w:rsid w:val="00EB0F21"/>
    <w:rsid w:val="00EB3C28"/>
    <w:rsid w:val="00EB3E8B"/>
    <w:rsid w:val="00EB46F8"/>
    <w:rsid w:val="00EB5FEE"/>
    <w:rsid w:val="00EB6122"/>
    <w:rsid w:val="00EC3DEA"/>
    <w:rsid w:val="00ED04FA"/>
    <w:rsid w:val="00ED1016"/>
    <w:rsid w:val="00ED12AC"/>
    <w:rsid w:val="00ED743F"/>
    <w:rsid w:val="00EE02CA"/>
    <w:rsid w:val="00EE089B"/>
    <w:rsid w:val="00EE12A0"/>
    <w:rsid w:val="00EE2A14"/>
    <w:rsid w:val="00EE63A6"/>
    <w:rsid w:val="00EE7075"/>
    <w:rsid w:val="00EF41F4"/>
    <w:rsid w:val="00F00D63"/>
    <w:rsid w:val="00F01541"/>
    <w:rsid w:val="00F03C2C"/>
    <w:rsid w:val="00F1031D"/>
    <w:rsid w:val="00F104E2"/>
    <w:rsid w:val="00F1172A"/>
    <w:rsid w:val="00F161F0"/>
    <w:rsid w:val="00F22597"/>
    <w:rsid w:val="00F22D14"/>
    <w:rsid w:val="00F23F73"/>
    <w:rsid w:val="00F301D7"/>
    <w:rsid w:val="00F30509"/>
    <w:rsid w:val="00F341FE"/>
    <w:rsid w:val="00F42759"/>
    <w:rsid w:val="00F44755"/>
    <w:rsid w:val="00F515DA"/>
    <w:rsid w:val="00F52988"/>
    <w:rsid w:val="00F52D7F"/>
    <w:rsid w:val="00F57850"/>
    <w:rsid w:val="00F616D8"/>
    <w:rsid w:val="00F716BF"/>
    <w:rsid w:val="00F71D6C"/>
    <w:rsid w:val="00F72876"/>
    <w:rsid w:val="00F740EE"/>
    <w:rsid w:val="00F811EA"/>
    <w:rsid w:val="00F8148B"/>
    <w:rsid w:val="00F81E4D"/>
    <w:rsid w:val="00F841B7"/>
    <w:rsid w:val="00F91049"/>
    <w:rsid w:val="00F92535"/>
    <w:rsid w:val="00F93913"/>
    <w:rsid w:val="00F96773"/>
    <w:rsid w:val="00F972D2"/>
    <w:rsid w:val="00FA382F"/>
    <w:rsid w:val="00FA3E01"/>
    <w:rsid w:val="00FA51F3"/>
    <w:rsid w:val="00FB5255"/>
    <w:rsid w:val="00FC4EA7"/>
    <w:rsid w:val="00FC7061"/>
    <w:rsid w:val="00FD1834"/>
    <w:rsid w:val="00FD5F27"/>
    <w:rsid w:val="00FE2BFC"/>
    <w:rsid w:val="00FE4705"/>
    <w:rsid w:val="00FE556E"/>
    <w:rsid w:val="00FE681D"/>
    <w:rsid w:val="00FE7911"/>
    <w:rsid w:val="00FE7981"/>
    <w:rsid w:val="00FF1252"/>
    <w:rsid w:val="037ACAF4"/>
    <w:rsid w:val="05693858"/>
    <w:rsid w:val="05FD6BC0"/>
    <w:rsid w:val="082E414C"/>
    <w:rsid w:val="0E3D6F60"/>
    <w:rsid w:val="109B2C6E"/>
    <w:rsid w:val="145C5080"/>
    <w:rsid w:val="15BBA0D5"/>
    <w:rsid w:val="15C3FECB"/>
    <w:rsid w:val="170DEF3B"/>
    <w:rsid w:val="1DC8B114"/>
    <w:rsid w:val="2062B91B"/>
    <w:rsid w:val="22EC3A64"/>
    <w:rsid w:val="23FB5FA2"/>
    <w:rsid w:val="24F3AC02"/>
    <w:rsid w:val="260E68F5"/>
    <w:rsid w:val="2A51BB37"/>
    <w:rsid w:val="2FA97155"/>
    <w:rsid w:val="3009B66A"/>
    <w:rsid w:val="311E35B0"/>
    <w:rsid w:val="3233BE32"/>
    <w:rsid w:val="3337E8B9"/>
    <w:rsid w:val="33872560"/>
    <w:rsid w:val="38193634"/>
    <w:rsid w:val="422DC438"/>
    <w:rsid w:val="528B64CA"/>
    <w:rsid w:val="54C933D3"/>
    <w:rsid w:val="553633E9"/>
    <w:rsid w:val="584F2401"/>
    <w:rsid w:val="5C6CB6E1"/>
    <w:rsid w:val="5D233E19"/>
    <w:rsid w:val="6144401C"/>
    <w:rsid w:val="64F71744"/>
    <w:rsid w:val="66C5E379"/>
    <w:rsid w:val="68B0F714"/>
    <w:rsid w:val="69C7DE62"/>
    <w:rsid w:val="79512943"/>
    <w:rsid w:val="7D5B29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2A449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43D67"/>
    <w:rPr>
      <w:color w:val="0000FF"/>
      <w:shd w:val="clear" w:color="auto" w:fill="auto"/>
    </w:rPr>
  </w:style>
  <w:style w:type="paragraph" w:styleId="Header">
    <w:name w:val="header"/>
    <w:basedOn w:val="Normal"/>
    <w:link w:val="HeaderChar"/>
    <w:uiPriority w:val="99"/>
    <w:unhideWhenUsed/>
    <w:rsid w:val="0034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D67"/>
    <w:rPr>
      <w:lang w:val="fr-BE"/>
    </w:rPr>
  </w:style>
  <w:style w:type="paragraph" w:styleId="Footer">
    <w:name w:val="footer"/>
    <w:basedOn w:val="Normal"/>
    <w:link w:val="FooterChar"/>
    <w:uiPriority w:val="99"/>
    <w:unhideWhenUsed/>
    <w:rsid w:val="0034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D67"/>
    <w:rPr>
      <w:lang w:val="fr-BE"/>
    </w:rPr>
  </w:style>
  <w:style w:type="paragraph" w:customStyle="1" w:styleId="Pagedecouverture">
    <w:name w:val="Page de couverture"/>
    <w:basedOn w:val="Normal"/>
    <w:next w:val="Normal"/>
    <w:rsid w:val="00343D6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43D6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43D67"/>
    <w:rPr>
      <w:rFonts w:ascii="Times New Roman" w:hAnsi="Times New Roman" w:cs="Times New Roman"/>
      <w:sz w:val="24"/>
      <w:lang w:val="en-IE"/>
    </w:rPr>
  </w:style>
  <w:style w:type="paragraph" w:customStyle="1" w:styleId="FooterSensitivity">
    <w:name w:val="Footer Sensitivity"/>
    <w:basedOn w:val="Normal"/>
    <w:link w:val="FooterSensitivityChar"/>
    <w:rsid w:val="00343D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43D67"/>
    <w:rPr>
      <w:rFonts w:ascii="Times New Roman" w:hAnsi="Times New Roman" w:cs="Times New Roman"/>
      <w:b/>
      <w:sz w:val="32"/>
      <w:lang w:val="en-IE"/>
    </w:rPr>
  </w:style>
  <w:style w:type="paragraph" w:customStyle="1" w:styleId="HeaderCoverPage">
    <w:name w:val="Header Cover Page"/>
    <w:basedOn w:val="Normal"/>
    <w:link w:val="HeaderCoverPageChar"/>
    <w:rsid w:val="00343D6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43D67"/>
    <w:rPr>
      <w:rFonts w:ascii="Times New Roman" w:hAnsi="Times New Roman" w:cs="Times New Roman"/>
      <w:sz w:val="24"/>
      <w:lang w:val="en-IE"/>
    </w:rPr>
  </w:style>
  <w:style w:type="paragraph" w:customStyle="1" w:styleId="HeaderSensitivity">
    <w:name w:val="Header Sensitivity"/>
    <w:basedOn w:val="Normal"/>
    <w:link w:val="HeaderSensitivityChar"/>
    <w:rsid w:val="00343D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43D67"/>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573D8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43D67"/>
    <w:rPr>
      <w:rFonts w:ascii="Times New Roman" w:hAnsi="Times New Roman" w:cs="Times New Roman"/>
      <w:sz w:val="28"/>
      <w:lang w:val="en-IE"/>
    </w:rPr>
  </w:style>
  <w:style w:type="paragraph" w:customStyle="1" w:styleId="Languesfaisantfoi">
    <w:name w:val="Langues faisant foi"/>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892B5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892B52"/>
    <w:pPr>
      <w:spacing w:after="0"/>
    </w:pPr>
  </w:style>
  <w:style w:type="paragraph" w:customStyle="1" w:styleId="IntrtEEEPagedecouverture">
    <w:name w:val="Intérêt EEE (Page de couverture)"/>
    <w:basedOn w:val="IntrtEEE"/>
    <w:next w:val="Normal"/>
    <w:rsid w:val="00892B52"/>
  </w:style>
  <w:style w:type="paragraph" w:styleId="ListParagraph">
    <w:name w:val="List Paragraph"/>
    <w:basedOn w:val="Normal"/>
    <w:uiPriority w:val="34"/>
    <w:qFormat/>
    <w:rsid w:val="00C36F54"/>
    <w:pPr>
      <w:spacing w:after="160" w:line="259" w:lineRule="auto"/>
      <w:ind w:left="720"/>
      <w:contextualSpacing/>
    </w:pPr>
  </w:style>
  <w:style w:type="character" w:customStyle="1" w:styleId="normaltextrun">
    <w:name w:val="normaltextrun"/>
    <w:basedOn w:val="DefaultParagraphFont"/>
    <w:rsid w:val="00C36F54"/>
  </w:style>
  <w:style w:type="paragraph" w:styleId="FootnoteText">
    <w:name w:val="footnote text"/>
    <w:basedOn w:val="Normal"/>
    <w:link w:val="FootnoteTextChar"/>
    <w:uiPriority w:val="99"/>
    <w:unhideWhenUsed/>
    <w:rsid w:val="00C36F54"/>
    <w:pPr>
      <w:spacing w:after="0" w:line="240" w:lineRule="auto"/>
    </w:pPr>
    <w:rPr>
      <w:sz w:val="20"/>
      <w:szCs w:val="20"/>
    </w:rPr>
  </w:style>
  <w:style w:type="character" w:customStyle="1" w:styleId="FootnoteTextChar">
    <w:name w:val="Footnote Text Char"/>
    <w:basedOn w:val="DefaultParagraphFont"/>
    <w:link w:val="FootnoteText"/>
    <w:uiPriority w:val="99"/>
    <w:rsid w:val="00C36F54"/>
    <w:rPr>
      <w:sz w:val="20"/>
      <w:szCs w:val="20"/>
      <w:lang w:val="fr-B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CharCharChar1"/>
    <w:unhideWhenUsed/>
    <w:qFormat/>
    <w:rsid w:val="00C36F54"/>
    <w:rPr>
      <w:vertAlign w:val="superscript"/>
    </w:rPr>
  </w:style>
  <w:style w:type="character" w:styleId="Hyperlink">
    <w:name w:val="Hyperlink"/>
    <w:basedOn w:val="DefaultParagraphFont"/>
    <w:uiPriority w:val="99"/>
    <w:unhideWhenUsed/>
    <w:rsid w:val="00C36F54"/>
    <w:rPr>
      <w:color w:val="0000FF"/>
      <w:u w:val="single"/>
    </w:rPr>
  </w:style>
  <w:style w:type="paragraph" w:styleId="CommentText">
    <w:name w:val="annotation text"/>
    <w:basedOn w:val="Normal"/>
    <w:link w:val="CommentTextChar"/>
    <w:uiPriority w:val="99"/>
    <w:unhideWhenUsed/>
    <w:rsid w:val="00C36F54"/>
    <w:pPr>
      <w:spacing w:after="160" w:line="240" w:lineRule="auto"/>
    </w:pPr>
    <w:rPr>
      <w:sz w:val="20"/>
      <w:szCs w:val="20"/>
    </w:rPr>
  </w:style>
  <w:style w:type="character" w:customStyle="1" w:styleId="CommentTextChar">
    <w:name w:val="Comment Text Char"/>
    <w:basedOn w:val="DefaultParagraphFont"/>
    <w:link w:val="CommentText"/>
    <w:uiPriority w:val="99"/>
    <w:rsid w:val="00C36F54"/>
    <w:rPr>
      <w:sz w:val="20"/>
      <w:szCs w:val="20"/>
      <w:lang w:val="fr-BE"/>
    </w:rPr>
  </w:style>
  <w:style w:type="character" w:styleId="CommentReference">
    <w:name w:val="annotation reference"/>
    <w:basedOn w:val="DefaultParagraphFont"/>
    <w:uiPriority w:val="99"/>
    <w:semiHidden/>
    <w:unhideWhenUsed/>
    <w:rsid w:val="00C36F54"/>
    <w:rPr>
      <w:sz w:val="16"/>
      <w:szCs w:val="16"/>
    </w:rPr>
  </w:style>
  <w:style w:type="paragraph" w:customStyle="1" w:styleId="CharCharChar1">
    <w:name w:val="Char Char Char1"/>
    <w:basedOn w:val="Normal"/>
    <w:link w:val="FootnoteReference"/>
    <w:rsid w:val="00C36F54"/>
    <w:pPr>
      <w:spacing w:after="160" w:line="240" w:lineRule="exact"/>
      <w:jc w:val="both"/>
    </w:pPr>
    <w:rPr>
      <w:vertAlign w:val="superscript"/>
      <w:lang w:val="en-GB"/>
    </w:rPr>
  </w:style>
  <w:style w:type="character" w:styleId="FollowedHyperlink">
    <w:name w:val="FollowedHyperlink"/>
    <w:basedOn w:val="DefaultParagraphFont"/>
    <w:uiPriority w:val="99"/>
    <w:semiHidden/>
    <w:unhideWhenUsed/>
    <w:rsid w:val="00C36F54"/>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C36F54"/>
    <w:pPr>
      <w:spacing w:after="200"/>
    </w:pPr>
    <w:rPr>
      <w:b/>
      <w:bCs/>
    </w:rPr>
  </w:style>
  <w:style w:type="character" w:customStyle="1" w:styleId="CommentSubjectChar">
    <w:name w:val="Comment Subject Char"/>
    <w:basedOn w:val="CommentTextChar"/>
    <w:link w:val="CommentSubject"/>
    <w:uiPriority w:val="99"/>
    <w:semiHidden/>
    <w:rsid w:val="00C36F54"/>
    <w:rPr>
      <w:b/>
      <w:bCs/>
      <w:sz w:val="20"/>
      <w:szCs w:val="20"/>
      <w:lang w:val="en-IE"/>
    </w:rPr>
  </w:style>
  <w:style w:type="character" w:customStyle="1" w:styleId="UnresolvedMention1">
    <w:name w:val="Unresolved Mention1"/>
    <w:basedOn w:val="DefaultParagraphFont"/>
    <w:uiPriority w:val="99"/>
    <w:semiHidden/>
    <w:unhideWhenUsed/>
    <w:rsid w:val="004C5A7E"/>
    <w:rPr>
      <w:color w:val="605E5C"/>
      <w:shd w:val="clear" w:color="auto" w:fill="E1DFDD"/>
    </w:rPr>
  </w:style>
  <w:style w:type="paragraph" w:styleId="Revision">
    <w:name w:val="Revision"/>
    <w:hidden/>
    <w:uiPriority w:val="99"/>
    <w:semiHidden/>
    <w:rsid w:val="00032FC3"/>
    <w:pPr>
      <w:spacing w:after="0" w:line="240" w:lineRule="auto"/>
    </w:pPr>
    <w:rPr>
      <w:lang w:val="en-IE"/>
    </w:rPr>
  </w:style>
  <w:style w:type="character" w:customStyle="1" w:styleId="Mention1">
    <w:name w:val="Mention1"/>
    <w:basedOn w:val="DefaultParagraphFont"/>
    <w:uiPriority w:val="99"/>
    <w:unhideWhenUsed/>
    <w:rsid w:val="00140ED0"/>
    <w:rPr>
      <w:color w:val="2B579A"/>
      <w:shd w:val="clear" w:color="auto" w:fill="E1DFDD"/>
    </w:rPr>
  </w:style>
  <w:style w:type="paragraph" w:customStyle="1" w:styleId="Disclaimer">
    <w:name w:val="Disclaimer"/>
    <w:basedOn w:val="Normal"/>
    <w:rsid w:val="00573D8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73D8C"/>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573D8C"/>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573D8C"/>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7555">
      <w:bodyDiv w:val="1"/>
      <w:marLeft w:val="0"/>
      <w:marRight w:val="0"/>
      <w:marTop w:val="0"/>
      <w:marBottom w:val="0"/>
      <w:divBdr>
        <w:top w:val="none" w:sz="0" w:space="0" w:color="auto"/>
        <w:left w:val="none" w:sz="0" w:space="0" w:color="auto"/>
        <w:bottom w:val="none" w:sz="0" w:space="0" w:color="auto"/>
        <w:right w:val="none" w:sz="0" w:space="0" w:color="auto"/>
      </w:divBdr>
    </w:div>
    <w:div w:id="495804332">
      <w:bodyDiv w:val="1"/>
      <w:marLeft w:val="0"/>
      <w:marRight w:val="0"/>
      <w:marTop w:val="0"/>
      <w:marBottom w:val="0"/>
      <w:divBdr>
        <w:top w:val="none" w:sz="0" w:space="0" w:color="auto"/>
        <w:left w:val="none" w:sz="0" w:space="0" w:color="auto"/>
        <w:bottom w:val="none" w:sz="0" w:space="0" w:color="auto"/>
        <w:right w:val="none" w:sz="0" w:space="0" w:color="auto"/>
      </w:divBdr>
      <w:divsChild>
        <w:div w:id="437142023">
          <w:marLeft w:val="0"/>
          <w:marRight w:val="0"/>
          <w:marTop w:val="0"/>
          <w:marBottom w:val="0"/>
          <w:divBdr>
            <w:top w:val="none" w:sz="0" w:space="0" w:color="auto"/>
            <w:left w:val="none" w:sz="0" w:space="0" w:color="auto"/>
            <w:bottom w:val="none" w:sz="0" w:space="0" w:color="auto"/>
            <w:right w:val="none" w:sz="0" w:space="0" w:color="auto"/>
          </w:divBdr>
          <w:divsChild>
            <w:div w:id="842553144">
              <w:marLeft w:val="0"/>
              <w:marRight w:val="0"/>
              <w:marTop w:val="0"/>
              <w:marBottom w:val="0"/>
              <w:divBdr>
                <w:top w:val="none" w:sz="0" w:space="0" w:color="auto"/>
                <w:left w:val="none" w:sz="0" w:space="0" w:color="auto"/>
                <w:bottom w:val="none" w:sz="0" w:space="0" w:color="auto"/>
                <w:right w:val="none" w:sz="0" w:space="0" w:color="auto"/>
              </w:divBdr>
              <w:divsChild>
                <w:div w:id="1439836194">
                  <w:marLeft w:val="0"/>
                  <w:marRight w:val="0"/>
                  <w:marTop w:val="0"/>
                  <w:marBottom w:val="0"/>
                  <w:divBdr>
                    <w:top w:val="none" w:sz="0" w:space="0" w:color="auto"/>
                    <w:left w:val="none" w:sz="0" w:space="0" w:color="auto"/>
                    <w:bottom w:val="none" w:sz="0" w:space="0" w:color="auto"/>
                    <w:right w:val="none" w:sz="0" w:space="0" w:color="auto"/>
                  </w:divBdr>
                  <w:divsChild>
                    <w:div w:id="36047114">
                      <w:marLeft w:val="0"/>
                      <w:marRight w:val="0"/>
                      <w:marTop w:val="0"/>
                      <w:marBottom w:val="0"/>
                      <w:divBdr>
                        <w:top w:val="none" w:sz="0" w:space="0" w:color="auto"/>
                        <w:left w:val="none" w:sz="0" w:space="0" w:color="auto"/>
                        <w:bottom w:val="none" w:sz="0" w:space="0" w:color="auto"/>
                        <w:right w:val="none" w:sz="0" w:space="0" w:color="auto"/>
                      </w:divBdr>
                      <w:divsChild>
                        <w:div w:id="731655184">
                          <w:marLeft w:val="0"/>
                          <w:marRight w:val="0"/>
                          <w:marTop w:val="0"/>
                          <w:marBottom w:val="0"/>
                          <w:divBdr>
                            <w:top w:val="none" w:sz="0" w:space="0" w:color="auto"/>
                            <w:left w:val="none" w:sz="0" w:space="0" w:color="auto"/>
                            <w:bottom w:val="none" w:sz="0" w:space="0" w:color="auto"/>
                            <w:right w:val="none" w:sz="0" w:space="0" w:color="auto"/>
                          </w:divBdr>
                          <w:divsChild>
                            <w:div w:id="3580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696217">
      <w:bodyDiv w:val="1"/>
      <w:marLeft w:val="0"/>
      <w:marRight w:val="0"/>
      <w:marTop w:val="0"/>
      <w:marBottom w:val="0"/>
      <w:divBdr>
        <w:top w:val="none" w:sz="0" w:space="0" w:color="auto"/>
        <w:left w:val="none" w:sz="0" w:space="0" w:color="auto"/>
        <w:bottom w:val="none" w:sz="0" w:space="0" w:color="auto"/>
        <w:right w:val="none" w:sz="0" w:space="0" w:color="auto"/>
      </w:divBdr>
    </w:div>
    <w:div w:id="697127863">
      <w:bodyDiv w:val="1"/>
      <w:marLeft w:val="0"/>
      <w:marRight w:val="0"/>
      <w:marTop w:val="0"/>
      <w:marBottom w:val="0"/>
      <w:divBdr>
        <w:top w:val="none" w:sz="0" w:space="0" w:color="auto"/>
        <w:left w:val="none" w:sz="0" w:space="0" w:color="auto"/>
        <w:bottom w:val="none" w:sz="0" w:space="0" w:color="auto"/>
        <w:right w:val="none" w:sz="0" w:space="0" w:color="auto"/>
      </w:divBdr>
    </w:div>
    <w:div w:id="741299290">
      <w:bodyDiv w:val="1"/>
      <w:marLeft w:val="0"/>
      <w:marRight w:val="0"/>
      <w:marTop w:val="0"/>
      <w:marBottom w:val="0"/>
      <w:divBdr>
        <w:top w:val="none" w:sz="0" w:space="0" w:color="auto"/>
        <w:left w:val="none" w:sz="0" w:space="0" w:color="auto"/>
        <w:bottom w:val="none" w:sz="0" w:space="0" w:color="auto"/>
        <w:right w:val="none" w:sz="0" w:space="0" w:color="auto"/>
      </w:divBdr>
    </w:div>
    <w:div w:id="765882237">
      <w:bodyDiv w:val="1"/>
      <w:marLeft w:val="0"/>
      <w:marRight w:val="0"/>
      <w:marTop w:val="0"/>
      <w:marBottom w:val="0"/>
      <w:divBdr>
        <w:top w:val="none" w:sz="0" w:space="0" w:color="auto"/>
        <w:left w:val="none" w:sz="0" w:space="0" w:color="auto"/>
        <w:bottom w:val="none" w:sz="0" w:space="0" w:color="auto"/>
        <w:right w:val="none" w:sz="0" w:space="0" w:color="auto"/>
      </w:divBdr>
    </w:div>
    <w:div w:id="871697696">
      <w:bodyDiv w:val="1"/>
      <w:marLeft w:val="0"/>
      <w:marRight w:val="0"/>
      <w:marTop w:val="0"/>
      <w:marBottom w:val="0"/>
      <w:divBdr>
        <w:top w:val="none" w:sz="0" w:space="0" w:color="auto"/>
        <w:left w:val="none" w:sz="0" w:space="0" w:color="auto"/>
        <w:bottom w:val="none" w:sz="0" w:space="0" w:color="auto"/>
        <w:right w:val="none" w:sz="0" w:space="0" w:color="auto"/>
      </w:divBdr>
    </w:div>
    <w:div w:id="1086271825">
      <w:bodyDiv w:val="1"/>
      <w:marLeft w:val="0"/>
      <w:marRight w:val="0"/>
      <w:marTop w:val="0"/>
      <w:marBottom w:val="0"/>
      <w:divBdr>
        <w:top w:val="none" w:sz="0" w:space="0" w:color="auto"/>
        <w:left w:val="none" w:sz="0" w:space="0" w:color="auto"/>
        <w:bottom w:val="none" w:sz="0" w:space="0" w:color="auto"/>
        <w:right w:val="none" w:sz="0" w:space="0" w:color="auto"/>
      </w:divBdr>
    </w:div>
    <w:div w:id="1346904535">
      <w:bodyDiv w:val="1"/>
      <w:marLeft w:val="0"/>
      <w:marRight w:val="0"/>
      <w:marTop w:val="0"/>
      <w:marBottom w:val="0"/>
      <w:divBdr>
        <w:top w:val="none" w:sz="0" w:space="0" w:color="auto"/>
        <w:left w:val="none" w:sz="0" w:space="0" w:color="auto"/>
        <w:bottom w:val="none" w:sz="0" w:space="0" w:color="auto"/>
        <w:right w:val="none" w:sz="0" w:space="0" w:color="auto"/>
      </w:divBdr>
    </w:div>
    <w:div w:id="1370566452">
      <w:bodyDiv w:val="1"/>
      <w:marLeft w:val="0"/>
      <w:marRight w:val="0"/>
      <w:marTop w:val="0"/>
      <w:marBottom w:val="0"/>
      <w:divBdr>
        <w:top w:val="none" w:sz="0" w:space="0" w:color="auto"/>
        <w:left w:val="none" w:sz="0" w:space="0" w:color="auto"/>
        <w:bottom w:val="none" w:sz="0" w:space="0" w:color="auto"/>
        <w:right w:val="none" w:sz="0" w:space="0" w:color="auto"/>
      </w:divBdr>
      <w:divsChild>
        <w:div w:id="2136827229">
          <w:marLeft w:val="0"/>
          <w:marRight w:val="0"/>
          <w:marTop w:val="0"/>
          <w:marBottom w:val="0"/>
          <w:divBdr>
            <w:top w:val="none" w:sz="0" w:space="0" w:color="auto"/>
            <w:left w:val="none" w:sz="0" w:space="0" w:color="auto"/>
            <w:bottom w:val="none" w:sz="0" w:space="0" w:color="auto"/>
            <w:right w:val="none" w:sz="0" w:space="0" w:color="auto"/>
          </w:divBdr>
          <w:divsChild>
            <w:div w:id="1296910775">
              <w:marLeft w:val="0"/>
              <w:marRight w:val="0"/>
              <w:marTop w:val="0"/>
              <w:marBottom w:val="0"/>
              <w:divBdr>
                <w:top w:val="none" w:sz="0" w:space="0" w:color="auto"/>
                <w:left w:val="none" w:sz="0" w:space="0" w:color="auto"/>
                <w:bottom w:val="none" w:sz="0" w:space="0" w:color="auto"/>
                <w:right w:val="none" w:sz="0" w:space="0" w:color="auto"/>
              </w:divBdr>
              <w:divsChild>
                <w:div w:id="1887335461">
                  <w:marLeft w:val="0"/>
                  <w:marRight w:val="0"/>
                  <w:marTop w:val="0"/>
                  <w:marBottom w:val="0"/>
                  <w:divBdr>
                    <w:top w:val="none" w:sz="0" w:space="0" w:color="auto"/>
                    <w:left w:val="none" w:sz="0" w:space="0" w:color="auto"/>
                    <w:bottom w:val="none" w:sz="0" w:space="0" w:color="auto"/>
                    <w:right w:val="none" w:sz="0" w:space="0" w:color="auto"/>
                  </w:divBdr>
                  <w:divsChild>
                    <w:div w:id="181558732">
                      <w:marLeft w:val="0"/>
                      <w:marRight w:val="0"/>
                      <w:marTop w:val="0"/>
                      <w:marBottom w:val="0"/>
                      <w:divBdr>
                        <w:top w:val="none" w:sz="0" w:space="0" w:color="auto"/>
                        <w:left w:val="none" w:sz="0" w:space="0" w:color="auto"/>
                        <w:bottom w:val="none" w:sz="0" w:space="0" w:color="auto"/>
                        <w:right w:val="none" w:sz="0" w:space="0" w:color="auto"/>
                      </w:divBdr>
                      <w:divsChild>
                        <w:div w:id="1947157916">
                          <w:marLeft w:val="0"/>
                          <w:marRight w:val="0"/>
                          <w:marTop w:val="0"/>
                          <w:marBottom w:val="0"/>
                          <w:divBdr>
                            <w:top w:val="none" w:sz="0" w:space="0" w:color="auto"/>
                            <w:left w:val="none" w:sz="0" w:space="0" w:color="auto"/>
                            <w:bottom w:val="none" w:sz="0" w:space="0" w:color="auto"/>
                            <w:right w:val="none" w:sz="0" w:space="0" w:color="auto"/>
                          </w:divBdr>
                          <w:divsChild>
                            <w:div w:id="210653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156958">
      <w:bodyDiv w:val="1"/>
      <w:marLeft w:val="0"/>
      <w:marRight w:val="0"/>
      <w:marTop w:val="0"/>
      <w:marBottom w:val="0"/>
      <w:divBdr>
        <w:top w:val="none" w:sz="0" w:space="0" w:color="auto"/>
        <w:left w:val="none" w:sz="0" w:space="0" w:color="auto"/>
        <w:bottom w:val="none" w:sz="0" w:space="0" w:color="auto"/>
        <w:right w:val="none" w:sz="0" w:space="0" w:color="auto"/>
      </w:divBdr>
      <w:divsChild>
        <w:div w:id="108865838">
          <w:marLeft w:val="0"/>
          <w:marRight w:val="0"/>
          <w:marTop w:val="0"/>
          <w:marBottom w:val="0"/>
          <w:divBdr>
            <w:top w:val="none" w:sz="0" w:space="0" w:color="auto"/>
            <w:left w:val="none" w:sz="0" w:space="0" w:color="auto"/>
            <w:bottom w:val="none" w:sz="0" w:space="0" w:color="auto"/>
            <w:right w:val="none" w:sz="0" w:space="0" w:color="auto"/>
          </w:divBdr>
          <w:divsChild>
            <w:div w:id="843589224">
              <w:marLeft w:val="0"/>
              <w:marRight w:val="0"/>
              <w:marTop w:val="0"/>
              <w:marBottom w:val="0"/>
              <w:divBdr>
                <w:top w:val="none" w:sz="0" w:space="0" w:color="auto"/>
                <w:left w:val="none" w:sz="0" w:space="0" w:color="auto"/>
                <w:bottom w:val="none" w:sz="0" w:space="0" w:color="auto"/>
                <w:right w:val="none" w:sz="0" w:space="0" w:color="auto"/>
              </w:divBdr>
              <w:divsChild>
                <w:div w:id="1548294671">
                  <w:marLeft w:val="0"/>
                  <w:marRight w:val="0"/>
                  <w:marTop w:val="0"/>
                  <w:marBottom w:val="0"/>
                  <w:divBdr>
                    <w:top w:val="none" w:sz="0" w:space="0" w:color="auto"/>
                    <w:left w:val="none" w:sz="0" w:space="0" w:color="auto"/>
                    <w:bottom w:val="none" w:sz="0" w:space="0" w:color="auto"/>
                    <w:right w:val="none" w:sz="0" w:space="0" w:color="auto"/>
                  </w:divBdr>
                  <w:divsChild>
                    <w:div w:id="1914655939">
                      <w:marLeft w:val="0"/>
                      <w:marRight w:val="0"/>
                      <w:marTop w:val="0"/>
                      <w:marBottom w:val="0"/>
                      <w:divBdr>
                        <w:top w:val="none" w:sz="0" w:space="0" w:color="auto"/>
                        <w:left w:val="none" w:sz="0" w:space="0" w:color="auto"/>
                        <w:bottom w:val="none" w:sz="0" w:space="0" w:color="auto"/>
                        <w:right w:val="none" w:sz="0" w:space="0" w:color="auto"/>
                      </w:divBdr>
                      <w:divsChild>
                        <w:div w:id="894899414">
                          <w:marLeft w:val="0"/>
                          <w:marRight w:val="0"/>
                          <w:marTop w:val="0"/>
                          <w:marBottom w:val="0"/>
                          <w:divBdr>
                            <w:top w:val="none" w:sz="0" w:space="0" w:color="auto"/>
                            <w:left w:val="none" w:sz="0" w:space="0" w:color="auto"/>
                            <w:bottom w:val="none" w:sz="0" w:space="0" w:color="auto"/>
                            <w:right w:val="none" w:sz="0" w:space="0" w:color="auto"/>
                          </w:divBdr>
                          <w:divsChild>
                            <w:div w:id="178325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749253">
      <w:bodyDiv w:val="1"/>
      <w:marLeft w:val="0"/>
      <w:marRight w:val="0"/>
      <w:marTop w:val="0"/>
      <w:marBottom w:val="0"/>
      <w:divBdr>
        <w:top w:val="none" w:sz="0" w:space="0" w:color="auto"/>
        <w:left w:val="none" w:sz="0" w:space="0" w:color="auto"/>
        <w:bottom w:val="none" w:sz="0" w:space="0" w:color="auto"/>
        <w:right w:val="none" w:sz="0" w:space="0" w:color="auto"/>
      </w:divBdr>
    </w:div>
    <w:div w:id="1764376547">
      <w:bodyDiv w:val="1"/>
      <w:marLeft w:val="0"/>
      <w:marRight w:val="0"/>
      <w:marTop w:val="0"/>
      <w:marBottom w:val="0"/>
      <w:divBdr>
        <w:top w:val="none" w:sz="0" w:space="0" w:color="auto"/>
        <w:left w:val="none" w:sz="0" w:space="0" w:color="auto"/>
        <w:bottom w:val="none" w:sz="0" w:space="0" w:color="auto"/>
        <w:right w:val="none" w:sz="0" w:space="0" w:color="auto"/>
      </w:divBdr>
    </w:div>
    <w:div w:id="1798916441">
      <w:bodyDiv w:val="1"/>
      <w:marLeft w:val="0"/>
      <w:marRight w:val="0"/>
      <w:marTop w:val="0"/>
      <w:marBottom w:val="0"/>
      <w:divBdr>
        <w:top w:val="none" w:sz="0" w:space="0" w:color="auto"/>
        <w:left w:val="none" w:sz="0" w:space="0" w:color="auto"/>
        <w:bottom w:val="none" w:sz="0" w:space="0" w:color="auto"/>
        <w:right w:val="none" w:sz="0" w:space="0" w:color="auto"/>
      </w:divBdr>
      <w:divsChild>
        <w:div w:id="733896463">
          <w:marLeft w:val="0"/>
          <w:marRight w:val="0"/>
          <w:marTop w:val="0"/>
          <w:marBottom w:val="0"/>
          <w:divBdr>
            <w:top w:val="none" w:sz="0" w:space="0" w:color="auto"/>
            <w:left w:val="none" w:sz="0" w:space="0" w:color="auto"/>
            <w:bottom w:val="none" w:sz="0" w:space="0" w:color="auto"/>
            <w:right w:val="none" w:sz="0" w:space="0" w:color="auto"/>
          </w:divBdr>
          <w:divsChild>
            <w:div w:id="998538270">
              <w:marLeft w:val="0"/>
              <w:marRight w:val="0"/>
              <w:marTop w:val="0"/>
              <w:marBottom w:val="0"/>
              <w:divBdr>
                <w:top w:val="none" w:sz="0" w:space="0" w:color="auto"/>
                <w:left w:val="none" w:sz="0" w:space="0" w:color="auto"/>
                <w:bottom w:val="none" w:sz="0" w:space="0" w:color="auto"/>
                <w:right w:val="none" w:sz="0" w:space="0" w:color="auto"/>
              </w:divBdr>
              <w:divsChild>
                <w:div w:id="866605150">
                  <w:marLeft w:val="0"/>
                  <w:marRight w:val="0"/>
                  <w:marTop w:val="0"/>
                  <w:marBottom w:val="0"/>
                  <w:divBdr>
                    <w:top w:val="none" w:sz="0" w:space="0" w:color="auto"/>
                    <w:left w:val="none" w:sz="0" w:space="0" w:color="auto"/>
                    <w:bottom w:val="none" w:sz="0" w:space="0" w:color="auto"/>
                    <w:right w:val="none" w:sz="0" w:space="0" w:color="auto"/>
                  </w:divBdr>
                  <w:divsChild>
                    <w:div w:id="569736429">
                      <w:marLeft w:val="0"/>
                      <w:marRight w:val="0"/>
                      <w:marTop w:val="0"/>
                      <w:marBottom w:val="0"/>
                      <w:divBdr>
                        <w:top w:val="none" w:sz="0" w:space="0" w:color="auto"/>
                        <w:left w:val="none" w:sz="0" w:space="0" w:color="auto"/>
                        <w:bottom w:val="none" w:sz="0" w:space="0" w:color="auto"/>
                        <w:right w:val="none" w:sz="0" w:space="0" w:color="auto"/>
                      </w:divBdr>
                      <w:divsChild>
                        <w:div w:id="922488854">
                          <w:marLeft w:val="0"/>
                          <w:marRight w:val="0"/>
                          <w:marTop w:val="0"/>
                          <w:marBottom w:val="0"/>
                          <w:divBdr>
                            <w:top w:val="none" w:sz="0" w:space="0" w:color="auto"/>
                            <w:left w:val="none" w:sz="0" w:space="0" w:color="auto"/>
                            <w:bottom w:val="none" w:sz="0" w:space="0" w:color="auto"/>
                            <w:right w:val="none" w:sz="0" w:space="0" w:color="auto"/>
                          </w:divBdr>
                          <w:divsChild>
                            <w:div w:id="18333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31076">
      <w:bodyDiv w:val="1"/>
      <w:marLeft w:val="0"/>
      <w:marRight w:val="0"/>
      <w:marTop w:val="0"/>
      <w:marBottom w:val="0"/>
      <w:divBdr>
        <w:top w:val="none" w:sz="0" w:space="0" w:color="auto"/>
        <w:left w:val="none" w:sz="0" w:space="0" w:color="auto"/>
        <w:bottom w:val="none" w:sz="0" w:space="0" w:color="auto"/>
        <w:right w:val="none" w:sz="0" w:space="0" w:color="auto"/>
      </w:divBdr>
    </w:div>
    <w:div w:id="1952200840">
      <w:bodyDiv w:val="1"/>
      <w:marLeft w:val="0"/>
      <w:marRight w:val="0"/>
      <w:marTop w:val="0"/>
      <w:marBottom w:val="0"/>
      <w:divBdr>
        <w:top w:val="none" w:sz="0" w:space="0" w:color="auto"/>
        <w:left w:val="none" w:sz="0" w:space="0" w:color="auto"/>
        <w:bottom w:val="none" w:sz="0" w:space="0" w:color="auto"/>
        <w:right w:val="none" w:sz="0" w:space="0" w:color="auto"/>
      </w:divBdr>
    </w:div>
    <w:div w:id="1952276363">
      <w:bodyDiv w:val="1"/>
      <w:marLeft w:val="0"/>
      <w:marRight w:val="0"/>
      <w:marTop w:val="0"/>
      <w:marBottom w:val="0"/>
      <w:divBdr>
        <w:top w:val="none" w:sz="0" w:space="0" w:color="auto"/>
        <w:left w:val="none" w:sz="0" w:space="0" w:color="auto"/>
        <w:bottom w:val="none" w:sz="0" w:space="0" w:color="auto"/>
        <w:right w:val="none" w:sz="0" w:space="0" w:color="auto"/>
      </w:divBdr>
    </w:div>
    <w:div w:id="201441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Electricity_and_heat_statistics" TargetMode="External"/><Relationship Id="rId13" Type="http://schemas.openxmlformats.org/officeDocument/2006/relationships/hyperlink" Target="https://www.acer.europa.eu/sites/default/files/documents/Publications/ACER_2024_Monitoring_Electricity_Infrastructure.pdf" TargetMode="External"/><Relationship Id="rId18" Type="http://schemas.openxmlformats.org/officeDocument/2006/relationships/hyperlink" Target="https://data.europa.eu/doi/10.2833/333409" TargetMode="External"/><Relationship Id="rId26" Type="http://schemas.openxmlformats.org/officeDocument/2006/relationships/hyperlink" Target="https://north-africa-middle-east-gulf.ec.europa.eu/joint-communication-pact-mediterranean_en" TargetMode="External"/><Relationship Id="rId3" Type="http://schemas.openxmlformats.org/officeDocument/2006/relationships/hyperlink" Target="https://www.eea.europa.eu/en/analysis/publications/renewables-electrification-and-flexibility-for-a-competitive-eu-energy-system" TargetMode="External"/><Relationship Id="rId21" Type="http://schemas.openxmlformats.org/officeDocument/2006/relationships/hyperlink" Target="https://energy.ec.europa.eu/publications/communication-future-proof-network-charges-reduced-energy-system-costs_en" TargetMode="External"/><Relationship Id="rId7" Type="http://schemas.openxmlformats.org/officeDocument/2006/relationships/hyperlink" Target="https://eepublicdownloads.blob.core.windows.net/public-cdn-container/tyndp-documents/TYNDP2024/foropinion/Infrastructure_Gaps_Report.pdf" TargetMode="External"/><Relationship Id="rId12" Type="http://schemas.openxmlformats.org/officeDocument/2006/relationships/hyperlink" Target="https://eur-lex.europa.eu/legal-content/EN/TXT/?uri=celex:52023DC0757" TargetMode="External"/><Relationship Id="rId17" Type="http://schemas.openxmlformats.org/officeDocument/2006/relationships/hyperlink" Target="https://op.europa.eu/en/publication-detail/-/publication/949ddae8-0674-11ee-b12e-01aa75ed71a1" TargetMode="External"/><Relationship Id="rId25" Type="http://schemas.openxmlformats.org/officeDocument/2006/relationships/hyperlink" Target="https://energy.ec.europa.eu/news/new-european-coordinator-appointed-central-and-south-east-european-energy-interconnectivity-2025-10-24_en" TargetMode="External"/><Relationship Id="rId2" Type="http://schemas.openxmlformats.org/officeDocument/2006/relationships/hyperlink" Target="https://commission.europa.eu/topics/energy/repowereu_en" TargetMode="External"/><Relationship Id="rId16" Type="http://schemas.openxmlformats.org/officeDocument/2006/relationships/hyperlink" Target="https://www.acer.europa.eu/media/charts/PCIs-and-PMIs-monitoring-2025" TargetMode="External"/><Relationship Id="rId20" Type="http://schemas.openxmlformats.org/officeDocument/2006/relationships/hyperlink" Target="https://data.europa.eu/doi/10.2833/8232521" TargetMode="External"/><Relationship Id="rId1" Type="http://schemas.openxmlformats.org/officeDocument/2006/relationships/hyperlink" Target="https://eur-lex.europa.eu/legal-content/EN/TXT/?uri=CELEX%3A52025DC0079&amp;qid=1741780110418" TargetMode="External"/><Relationship Id="rId6" Type="http://schemas.openxmlformats.org/officeDocument/2006/relationships/hyperlink" Target="https://ec.europa.eu/eurostat/statistics-explained/index.php?title=Electricity_price_statistics" TargetMode="External"/><Relationship Id="rId11" Type="http://schemas.openxmlformats.org/officeDocument/2006/relationships/hyperlink" Target="https://dashboard.tech.ec.europa.eu/qs_digit_dashboard_mt/public/sense/app/3744499f-670f-42f8-9ef3-0d98f6cd586f/sheet/4c9ea8df-f0f9-4c0d-b26b-99fc0218d9d9/state/analysis" TargetMode="External"/><Relationship Id="rId24" Type="http://schemas.openxmlformats.org/officeDocument/2006/relationships/hyperlink" Target="https://energy.ec.europa.eu/news/new-european-coordinator-appointed-oversee-completion-baltic-synchronisation-energy-project-2025-01-08_en" TargetMode="External"/><Relationship Id="rId5" Type="http://schemas.openxmlformats.org/officeDocument/2006/relationships/hyperlink" Target="https://www.technologyreview.com/2025/07/10/1119941/china-energy-dominance-three-charts/" TargetMode="External"/><Relationship Id="rId15" Type="http://schemas.openxmlformats.org/officeDocument/2006/relationships/hyperlink" Target="https://acer.europa.eu/sites/default/files/documents/Publications/2023_ACER_PCI_Report.pdf" TargetMode="External"/><Relationship Id="rId23" Type="http://schemas.openxmlformats.org/officeDocument/2006/relationships/hyperlink" Target="https://energy.ec.europa.eu/publications/delegated-regulation-second-union-list-projects-common-and-mutual-interest-and-its-annex_en" TargetMode="External"/><Relationship Id="rId10" Type="http://schemas.openxmlformats.org/officeDocument/2006/relationships/hyperlink" Target="https://eepublicdownloads.blob.core.windows.net/public-cdn-container/tyndp-documents/TYNDP2024/foropinion/Infrastructure_Gaps_Report.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s://ec.europa.eu/eurostat/web/products-eurostat-news/w/ddn-20250321-1" TargetMode="External"/><Relationship Id="rId9" Type="http://schemas.openxmlformats.org/officeDocument/2006/relationships/hyperlink" Target="https://data.consilium.europa.eu/doc/document/ST-5438-2025-INIT/en/pdf" TargetMode="External"/><Relationship Id="rId14" Type="http://schemas.openxmlformats.org/officeDocument/2006/relationships/hyperlink" Target="https://dso-tso-technopedia.eu/" TargetMode="External"/><Relationship Id="rId22" Type="http://schemas.openxmlformats.org/officeDocument/2006/relationships/hyperlink" Target="https://eur-lex.europa.eu/legal-content/EN/TXT/PDF/?uri=CELEX:52025JC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20295-8C91-4B56-AC65-8F7CB3D31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5431</Words>
  <Characters>32318</Characters>
  <Application>Microsoft Office Word</Application>
  <DocSecurity>0</DocSecurity>
  <Lines>475</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2025-12-09T20:23:00Z</dcterms:created>
  <dcterms:modified xsi:type="dcterms:W3CDTF">2025-12-09T20:23:00Z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2025-12-08T00:15:23Z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9c1d75c4-7792-4647-ad01-4312c83a7a82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