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4F2A7" w14:textId="7E16F914" w:rsidR="00F1172A" w:rsidRDefault="00AB61FD" w:rsidP="00AB61FD">
      <w:pPr>
        <w:pStyle w:val="Pagedecouverture"/>
        <w:rPr>
          <w:noProof/>
        </w:rPr>
      </w:pPr>
      <w:bookmarkStart w:id="0" w:name="LW_BM_COVERPAGE"/>
      <w:r>
        <w:rPr>
          <w:noProof/>
        </w:rPr>
        <w:pict w14:anchorId="67D50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647977-90A3-4EAD-9461-53FD56988055" style="width:455.25pt;height:327.75pt">
            <v:imagedata r:id="rId8" o:title=""/>
          </v:shape>
        </w:pict>
      </w:r>
    </w:p>
    <w:bookmarkEnd w:id="0"/>
    <w:p w14:paraId="6B6F1295" w14:textId="77777777" w:rsidR="00F1172A" w:rsidRDefault="00F1172A" w:rsidP="00F1172A">
      <w:pPr>
        <w:rPr>
          <w:noProof/>
        </w:rPr>
        <w:sectPr w:rsidR="00F1172A" w:rsidSect="00AB61F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9F78CE5" w14:textId="77777777" w:rsidR="00C36F54" w:rsidRPr="00C36F54" w:rsidRDefault="00C36F54" w:rsidP="00C36F54">
      <w:pPr>
        <w:pStyle w:val="ListParagraph"/>
        <w:numPr>
          <w:ilvl w:val="0"/>
          <w:numId w:val="1"/>
        </w:numPr>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Introduction</w:t>
      </w:r>
    </w:p>
    <w:p w14:paraId="4E2DFD30" w14:textId="660D91FB" w:rsidR="004449DE" w:rsidRDefault="00C36F54" w:rsidP="00C36F54">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Ces dernières années, </w:t>
      </w:r>
      <w:r>
        <w:rPr>
          <w:rFonts w:ascii="Times New Roman" w:hAnsi="Times New Roman"/>
          <w:b/>
          <w:bCs/>
          <w:noProof/>
          <w:sz w:val="24"/>
        </w:rPr>
        <w:t>l’Union européenne s’est trouvée à un carrefour critique</w:t>
      </w:r>
      <w:r>
        <w:rPr>
          <w:rFonts w:ascii="Times New Roman" w:hAnsi="Times New Roman"/>
          <w:noProof/>
          <w:sz w:val="24"/>
        </w:rPr>
        <w:t xml:space="preserve"> en raison de changements géopolitiques et de fluctuations commerciales sans précédent au niveau mondial. La poursuite de la guerre d’agression menée par la Russie contre l’Ukraine a mis en évidence </w:t>
      </w:r>
      <w:r>
        <w:rPr>
          <w:rFonts w:ascii="Times New Roman" w:hAnsi="Times New Roman"/>
          <w:b/>
          <w:bCs/>
          <w:noProof/>
          <w:sz w:val="24"/>
        </w:rPr>
        <w:t>l’importance capitale de la sécurité énergétique et de la compétitivité pour façonner notre destin collectif</w:t>
      </w:r>
      <w:r>
        <w:rPr>
          <w:rFonts w:ascii="Times New Roman" w:hAnsi="Times New Roman"/>
          <w:noProof/>
          <w:sz w:val="24"/>
        </w:rPr>
        <w:t>. Il est essentiel de veiller à ce que nos entreprises et nos citoyens, quel que soit l’État membre dans lequel ils se trouvent, aient accès à une énergie abondante, propre et abordable produite en Europe.</w:t>
      </w:r>
    </w:p>
    <w:p w14:paraId="63324FA9" w14:textId="69167107" w:rsidR="00986594" w:rsidRPr="006154EC" w:rsidRDefault="00C36F54" w:rsidP="00C36F54">
      <w:pPr>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Cet objectif ne peut toutefois être atteint que par le </w:t>
      </w:r>
      <w:r>
        <w:rPr>
          <w:rFonts w:ascii="Times New Roman" w:hAnsi="Times New Roman"/>
          <w:b/>
          <w:bCs/>
          <w:noProof/>
          <w:sz w:val="24"/>
        </w:rPr>
        <w:t>renforcement de nos infrastructures énergétiques, qui constituent l’épine dorsale non seulement de notre système énergétique, mais aussi de l’Europe elle-même</w:t>
      </w:r>
      <w:r>
        <w:rPr>
          <w:rFonts w:ascii="Times New Roman" w:hAnsi="Times New Roman"/>
          <w:noProof/>
          <w:sz w:val="24"/>
        </w:rPr>
        <w:t xml:space="preserve">. Les réseaux sont au cœur de cet effort. En permettant à l’énergie de circuler efficacement dans l’ensemble des États membres, en intégrant une énergie propre moins chère et en accélérant l’électrification, ils contribuent à la </w:t>
      </w:r>
      <w:r>
        <w:rPr>
          <w:rFonts w:ascii="Times New Roman" w:hAnsi="Times New Roman"/>
          <w:b/>
          <w:bCs/>
          <w:noProof/>
          <w:sz w:val="24"/>
        </w:rPr>
        <w:t>baisse des prix de l’énergie et au soutien de conditions de vie abordables pour tous les Européens</w:t>
      </w:r>
      <w:r>
        <w:rPr>
          <w:rFonts w:ascii="Times New Roman" w:hAnsi="Times New Roman"/>
          <w:noProof/>
          <w:sz w:val="24"/>
        </w:rPr>
        <w:t>, comme le souligne le plan d’action de la Commission pour une énergie abordable</w:t>
      </w:r>
      <w:r>
        <w:rPr>
          <w:rFonts w:ascii="Times New Roman" w:eastAsia="Times New Roman" w:hAnsi="Times New Roman" w:cs="Times New Roman"/>
          <w:noProof/>
          <w:kern w:val="0"/>
          <w:sz w:val="24"/>
          <w:szCs w:val="24"/>
          <w:vertAlign w:val="superscript"/>
          <w:lang w:val="en-US"/>
        </w:rPr>
        <w:footnoteReference w:id="2"/>
      </w:r>
      <w:r>
        <w:rPr>
          <w:rFonts w:ascii="Times New Roman" w:hAnsi="Times New Roman"/>
          <w:noProof/>
          <w:sz w:val="24"/>
        </w:rPr>
        <w:t xml:space="preserve">. Dans le même temps, ils garantissent un approvisionnement sûr et fiable et permettent aux pays de se soutenir mutuellement en cas de besoin, ce qui est conforme aux </w:t>
      </w:r>
      <w:r>
        <w:rPr>
          <w:rFonts w:ascii="Times New Roman" w:hAnsi="Times New Roman"/>
          <w:b/>
          <w:bCs/>
          <w:noProof/>
          <w:sz w:val="24"/>
        </w:rPr>
        <w:t>objectifs du plan REPowerEU et rend possible la suppression progressive des importations d’énergie russe</w:t>
      </w:r>
      <w:r>
        <w:rPr>
          <w:rStyle w:val="FootnoteReference"/>
          <w:rFonts w:ascii="Times New Roman" w:eastAsia="Times New Roman" w:hAnsi="Times New Roman" w:cs="Times New Roman"/>
          <w:noProof/>
          <w:kern w:val="0"/>
          <w:sz w:val="24"/>
          <w:szCs w:val="24"/>
        </w:rPr>
        <w:footnoteReference w:id="3"/>
      </w:r>
      <w:r>
        <w:rPr>
          <w:noProof/>
        </w:rPr>
        <w:t>.</w:t>
      </w:r>
      <w:r>
        <w:rPr>
          <w:rFonts w:ascii="Times New Roman" w:hAnsi="Times New Roman"/>
          <w:noProof/>
          <w:sz w:val="24"/>
        </w:rPr>
        <w:t xml:space="preserve"> </w:t>
      </w:r>
    </w:p>
    <w:p w14:paraId="17CDA5E3" w14:textId="45E1C869" w:rsidR="003960C3" w:rsidRDefault="00C36F54" w:rsidP="00C36F54">
      <w:pPr>
        <w:jc w:val="both"/>
        <w:rPr>
          <w:rFonts w:ascii="Times New Roman" w:eastAsia="Times New Roman" w:hAnsi="Times New Roman" w:cs="Times New Roman"/>
          <w:noProof/>
          <w:kern w:val="0"/>
          <w:sz w:val="24"/>
          <w:szCs w:val="24"/>
          <w14:ligatures w14:val="none"/>
        </w:rPr>
      </w:pPr>
      <w:r>
        <w:rPr>
          <w:rFonts w:ascii="Times New Roman" w:hAnsi="Times New Roman"/>
          <w:b/>
          <w:bCs/>
          <w:noProof/>
          <w:sz w:val="24"/>
        </w:rPr>
        <w:t>Malgré les progrès réalisés dans le cadre juridique actuel de l’UE, nous avons encore trop peu d’énergie produite localement et n’avons pas atteint le niveau d’interconnexion entre les États membres qui permettrait une véritable union de l’énergie</w:t>
      </w:r>
      <w:r>
        <w:rPr>
          <w:rFonts w:ascii="Times New Roman" w:hAnsi="Times New Roman"/>
          <w:noProof/>
          <w:sz w:val="24"/>
        </w:rPr>
        <w:t xml:space="preserve">, étant donné que plusieurs États membres ne sont pas en bonne voie pour atteindre l’objectif de 15 % d’interconnexion d’ici à 2030. </w:t>
      </w:r>
      <w:r>
        <w:rPr>
          <w:rFonts w:ascii="Times New Roman" w:hAnsi="Times New Roman"/>
          <w:b/>
          <w:bCs/>
          <w:noProof/>
          <w:sz w:val="24"/>
        </w:rPr>
        <w:t>Le coût de l’inaction est effarant</w:t>
      </w:r>
      <w:r>
        <w:rPr>
          <w:rFonts w:ascii="Times New Roman" w:hAnsi="Times New Roman"/>
          <w:noProof/>
          <w:sz w:val="24"/>
        </w:rPr>
        <w:t>: en 2022, les combustibles fossiles représentaient la plus grande part de la consommation brute d’énergie disponible de l’UE (70 %), 98 % de l’ensemble du pétrole et du gaz utilisés dans les États membres étant importés</w:t>
      </w:r>
      <w:r>
        <w:rPr>
          <w:rStyle w:val="FootnoteReference"/>
          <w:rFonts w:ascii="Times New Roman" w:eastAsia="Times New Roman" w:hAnsi="Times New Roman" w:cs="Times New Roman"/>
          <w:noProof/>
          <w:kern w:val="0"/>
          <w:sz w:val="24"/>
          <w:szCs w:val="24"/>
        </w:rPr>
        <w:footnoteReference w:id="4"/>
      </w:r>
      <w:r>
        <w:rPr>
          <w:noProof/>
        </w:rPr>
        <w:t>.</w:t>
      </w:r>
      <w:r>
        <w:rPr>
          <w:rFonts w:ascii="Times New Roman" w:hAnsi="Times New Roman"/>
          <w:noProof/>
          <w:sz w:val="24"/>
        </w:rPr>
        <w:t xml:space="preserve"> Une telle situation expose l’UE à la volatilité des prix et aux risques géopolitiques. En 2024, l’Europe a dépensé environ 375 milliards d’EUR pour les importations de combustibles fossiles</w:t>
      </w:r>
      <w:r>
        <w:rPr>
          <w:rStyle w:val="FootnoteReference"/>
          <w:rFonts w:ascii="Times New Roman" w:eastAsia="Times New Roman" w:hAnsi="Times New Roman" w:cs="Times New Roman"/>
          <w:noProof/>
          <w:kern w:val="0"/>
          <w:sz w:val="24"/>
          <w:szCs w:val="24"/>
        </w:rPr>
        <w:footnoteReference w:id="5"/>
      </w:r>
      <w:r>
        <w:rPr>
          <w:noProof/>
        </w:rPr>
        <w:t>.</w:t>
      </w:r>
      <w:r>
        <w:rPr>
          <w:rFonts w:ascii="Times New Roman" w:hAnsi="Times New Roman"/>
          <w:noProof/>
          <w:sz w:val="24"/>
        </w:rPr>
        <w:t xml:space="preserve"> En revanche, les investissements dans les énergies renouvelables et les réseaux restent relativement faibles: l’Europe a dépensé 117 milliards de dollars en 2025, alors que la Chine en a dépensé 327 milliards</w:t>
      </w:r>
      <w:r>
        <w:rPr>
          <w:rStyle w:val="FootnoteReference"/>
          <w:rFonts w:ascii="Times New Roman" w:eastAsia="Times New Roman" w:hAnsi="Times New Roman" w:cs="Times New Roman"/>
          <w:noProof/>
          <w:kern w:val="0"/>
          <w:sz w:val="24"/>
          <w:szCs w:val="24"/>
        </w:rPr>
        <w:footnoteReference w:id="6"/>
      </w:r>
      <w:r>
        <w:rPr>
          <w:noProof/>
        </w:rPr>
        <w:t>.</w:t>
      </w:r>
      <w:r>
        <w:rPr>
          <w:rFonts w:ascii="Times New Roman" w:hAnsi="Times New Roman"/>
          <w:noProof/>
          <w:sz w:val="24"/>
        </w:rPr>
        <w:t xml:space="preserve"> </w:t>
      </w:r>
    </w:p>
    <w:p w14:paraId="0D596C21" w14:textId="31A62616" w:rsidR="00AF502A" w:rsidRDefault="009B7F93" w:rsidP="00C36F54">
      <w:pPr>
        <w:jc w:val="both"/>
        <w:rPr>
          <w:rFonts w:ascii="Times New Roman" w:eastAsia="Times New Roman" w:hAnsi="Times New Roman" w:cs="Times New Roman"/>
          <w:noProof/>
          <w:sz w:val="24"/>
          <w:szCs w:val="24"/>
        </w:rPr>
      </w:pPr>
      <w:r>
        <w:rPr>
          <w:rFonts w:ascii="Times New Roman" w:hAnsi="Times New Roman"/>
          <w:noProof/>
          <w:sz w:val="24"/>
        </w:rPr>
        <w:t xml:space="preserve">L’intégration insuffisante et le sous-investissement dans nos infrastructures énergétiques ont une </w:t>
      </w:r>
      <w:r>
        <w:rPr>
          <w:rFonts w:ascii="Times New Roman" w:hAnsi="Times New Roman"/>
          <w:b/>
          <w:bCs/>
          <w:noProof/>
          <w:sz w:val="24"/>
        </w:rPr>
        <w:t>incidence directe sur les factures énergétiques des citoyens européens</w:t>
      </w:r>
      <w:r>
        <w:rPr>
          <w:rFonts w:ascii="Times New Roman" w:hAnsi="Times New Roman"/>
          <w:noProof/>
          <w:sz w:val="24"/>
        </w:rPr>
        <w:t xml:space="preserve"> et sur le développement dans l’ensemble de l’UE de secteurs stratégiques tels que les industries à zéro émission nette ou le numérique. Les rapports Draghi et Letta soulignent que nos </w:t>
      </w:r>
      <w:r>
        <w:rPr>
          <w:rFonts w:ascii="Times New Roman" w:hAnsi="Times New Roman"/>
          <w:b/>
          <w:bCs/>
          <w:noProof/>
          <w:sz w:val="24"/>
        </w:rPr>
        <w:t>prix de l’électricité restent 2 à 3 fois plus élevés</w:t>
      </w:r>
      <w:r>
        <w:rPr>
          <w:rFonts w:ascii="Times New Roman" w:hAnsi="Times New Roman"/>
          <w:noProof/>
          <w:sz w:val="24"/>
        </w:rPr>
        <w:t xml:space="preserve"> que ceux des États-Unis. Les prix de détail de l’électricité dans l’UE pour l’industrie étaient, au deuxième trimestre 2024, 2,2 fois plus élevés que ceux pratiqués aux États-Unis, 2 fois plus élevés que ceux pratiqués en Chine et 1,2 fois plus élevés que ceux pratiqués au Japon (historiquement plus faibles)</w:t>
      </w:r>
      <w:r>
        <w:rPr>
          <w:rStyle w:val="FootnoteReference"/>
          <w:rFonts w:ascii="Times New Roman" w:eastAsia="Times New Roman" w:hAnsi="Times New Roman" w:cs="Times New Roman"/>
          <w:noProof/>
          <w:sz w:val="24"/>
          <w:szCs w:val="24"/>
        </w:rPr>
        <w:footnoteReference w:id="7"/>
      </w:r>
      <w:r>
        <w:rPr>
          <w:noProof/>
        </w:rPr>
        <w:t>.</w:t>
      </w:r>
      <w:r>
        <w:rPr>
          <w:rFonts w:ascii="Times New Roman" w:hAnsi="Times New Roman"/>
          <w:noProof/>
          <w:sz w:val="24"/>
        </w:rPr>
        <w:t xml:space="preserve"> Au cours du premier semestre de 2025, le prix moyen de l’électricité pour les consommateurs de l’UE variait de 0,3835 EUR par kWh en Allemagne à 0,1040 EUR par kWh en Hongrie, tandis que les prix de l’électricité non domestique variaient de 0,2726 EUR par kWh en Irlande à 0,0804 EUR par kWh en Finlande</w:t>
      </w:r>
      <w:r>
        <w:rPr>
          <w:rStyle w:val="FootnoteReference"/>
          <w:rFonts w:ascii="Times New Roman" w:eastAsia="Times New Roman" w:hAnsi="Times New Roman" w:cs="Times New Roman"/>
          <w:noProof/>
          <w:sz w:val="24"/>
          <w:szCs w:val="24"/>
        </w:rPr>
        <w:footnoteReference w:id="8"/>
      </w:r>
      <w:r>
        <w:rPr>
          <w:noProof/>
        </w:rPr>
        <w:t>.</w:t>
      </w:r>
      <w:r>
        <w:rPr>
          <w:rFonts w:ascii="Times New Roman" w:hAnsi="Times New Roman"/>
          <w:noProof/>
          <w:sz w:val="24"/>
        </w:rPr>
        <w:t xml:space="preserve"> L’une des principales raisons de cette disparité est le niveau insuffisant d’investissement dans nos infrastructures et d’intégration de celles-ci. </w:t>
      </w:r>
      <w:r>
        <w:rPr>
          <w:rFonts w:ascii="Times New Roman" w:hAnsi="Times New Roman"/>
          <w:b/>
          <w:bCs/>
          <w:noProof/>
          <w:sz w:val="24"/>
        </w:rPr>
        <w:t>Si nous n’agissons pas</w:t>
      </w:r>
      <w:r>
        <w:rPr>
          <w:rFonts w:ascii="Times New Roman" w:hAnsi="Times New Roman"/>
          <w:noProof/>
          <w:sz w:val="24"/>
        </w:rPr>
        <w:t>, 45 % des besoins transfrontaliers en matière de capacités électriques (soit 41 GW)</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ne seront toujours pas satisfaits d’ici à 2030 et les énergies renouvelables non utilisées pourraient atteindre jusqu’à 310 TWh d’ici à 2040</w:t>
      </w:r>
      <w:r>
        <w:rPr>
          <w:rStyle w:val="FootnoteReference"/>
          <w:rFonts w:ascii="Times New Roman" w:eastAsia="Times New Roman" w:hAnsi="Times New Roman" w:cs="Times New Roman"/>
          <w:noProof/>
          <w:kern w:val="0"/>
          <w:sz w:val="24"/>
          <w:szCs w:val="24"/>
        </w:rPr>
        <w:footnoteReference w:id="10"/>
      </w:r>
      <w:r>
        <w:rPr>
          <w:rFonts w:ascii="Times New Roman" w:hAnsi="Times New Roman"/>
          <w:noProof/>
          <w:sz w:val="24"/>
        </w:rPr>
        <w:t xml:space="preserve">, soit près de la moitié de la consommation d’électricité en 2023. </w:t>
      </w:r>
    </w:p>
    <w:p w14:paraId="2A008F26" w14:textId="7DAF3CF6" w:rsidR="00C36F54" w:rsidRPr="00C36F54" w:rsidRDefault="004434B1" w:rsidP="00C36F54">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D’un autre côté, </w:t>
      </w:r>
      <w:r>
        <w:rPr>
          <w:rFonts w:ascii="Times New Roman" w:hAnsi="Times New Roman"/>
          <w:b/>
          <w:bCs/>
          <w:noProof/>
          <w:sz w:val="24"/>
        </w:rPr>
        <w:t>les avantages qu’il y a à agir sont évidents:</w:t>
      </w:r>
      <w:r>
        <w:rPr>
          <w:rFonts w:ascii="Times New Roman" w:hAnsi="Times New Roman"/>
          <w:noProof/>
          <w:sz w:val="24"/>
        </w:rPr>
        <w:t xml:space="preserve"> une meilleure intégration du marché pourrait permettre de réaliser des économies annuelles de 40 milliards d’EUR, tandis que la stimulation des échanges transfrontaliers d’électricité de 50 % pourrait accroître la croissance annuelle du PIB de l’UE d’environ 18 milliards d’EUR d’ici à 2030 (soit 0,1 %</w:t>
      </w:r>
      <w:r>
        <w:rPr>
          <w:rStyle w:val="FootnoteReference"/>
          <w:rFonts w:ascii="Times New Roman" w:eastAsia="Times New Roman" w:hAnsi="Times New Roman" w:cs="Times New Roman"/>
          <w:noProof/>
          <w:kern w:val="0"/>
          <w:sz w:val="24"/>
          <w:szCs w:val="24"/>
        </w:rPr>
        <w:footnoteReference w:id="11"/>
      </w:r>
      <w:r>
        <w:rPr>
          <w:rFonts w:ascii="Times New Roman" w:hAnsi="Times New Roman"/>
          <w:noProof/>
          <w:sz w:val="24"/>
        </w:rPr>
        <w:t>).</w:t>
      </w:r>
      <w:r>
        <w:rPr>
          <w:noProof/>
        </w:rPr>
        <w:t xml:space="preserve"> </w:t>
      </w:r>
      <w:r>
        <w:rPr>
          <w:rFonts w:ascii="Times New Roman" w:hAnsi="Times New Roman"/>
          <w:noProof/>
          <w:sz w:val="24"/>
        </w:rPr>
        <w:t xml:space="preserve">Jusqu’en 2030, il nous manquera 88 GW de capacité de transport transfrontalier d’électricité. Investir 5 milliards d’EUR permettrait de réduire les coûts du système de 8 milliards d’EUR, ce qui générerait un </w:t>
      </w:r>
      <w:r>
        <w:rPr>
          <w:rFonts w:ascii="Times New Roman" w:hAnsi="Times New Roman"/>
          <w:b/>
          <w:bCs/>
          <w:noProof/>
          <w:sz w:val="24"/>
        </w:rPr>
        <w:t>gain économique net de 3 milliards d’EUR</w:t>
      </w:r>
      <w:r>
        <w:rPr>
          <w:rFonts w:ascii="Times New Roman" w:hAnsi="Times New Roman"/>
          <w:noProof/>
          <w:sz w:val="24"/>
        </w:rPr>
        <w:t xml:space="preserve"> et mettrait en évidence la manière dont le développement des réseaux peut apporter une réelle valeur ajoutée et des économies de coûts aux Européens</w:t>
      </w:r>
      <w:r>
        <w:rPr>
          <w:rStyle w:val="FootnoteReference"/>
          <w:rFonts w:ascii="Times New Roman" w:eastAsia="Times New Roman" w:hAnsi="Times New Roman" w:cs="Times New Roman"/>
          <w:noProof/>
          <w:sz w:val="24"/>
          <w:szCs w:val="24"/>
        </w:rPr>
        <w:footnoteReference w:id="12"/>
      </w:r>
      <w:r>
        <w:rPr>
          <w:noProof/>
        </w:rPr>
        <w:t>.</w:t>
      </w:r>
      <w:r>
        <w:rPr>
          <w:rFonts w:ascii="Times New Roman" w:hAnsi="Times New Roman"/>
          <w:noProof/>
          <w:sz w:val="24"/>
        </w:rPr>
        <w:t xml:space="preserve"> </w:t>
      </w:r>
    </w:p>
    <w:p w14:paraId="728077D3" w14:textId="6C3EE3B7" w:rsidR="00C36F54" w:rsidRPr="00C36F54" w:rsidRDefault="00C36F54" w:rsidP="00C36F54">
      <w:pPr>
        <w:jc w:val="both"/>
        <w:rPr>
          <w:rFonts w:ascii="Times New Roman" w:eastAsia="Times New Roman" w:hAnsi="Times New Roman" w:cs="Times New Roman"/>
          <w:b/>
          <w:bCs/>
          <w:noProof/>
          <w:kern w:val="0"/>
          <w:sz w:val="24"/>
          <w:szCs w:val="24"/>
          <w14:ligatures w14:val="none"/>
        </w:rPr>
      </w:pPr>
      <w:r>
        <w:rPr>
          <w:rFonts w:ascii="Times New Roman" w:hAnsi="Times New Roman"/>
          <w:b/>
          <w:bCs/>
          <w:noProof/>
          <w:sz w:val="24"/>
        </w:rPr>
        <w:t>Il est donc impératif que nous prenions collectivement des mesures décisives pour résoudre les problèmes structurels dans la planification et la mise en œuvre des infrastructures énergétiques de l’UE afin de parvenir à une véritable union de l’énergie qui permette l’indépendance énergétique, renforce notre compétitivité, stimule la décarbonation et favorise notre sécurité énergétique</w:t>
      </w:r>
      <w:r>
        <w:rPr>
          <w:rFonts w:ascii="Times New Roman" w:hAnsi="Times New Roman"/>
          <w:noProof/>
          <w:sz w:val="24"/>
        </w:rPr>
        <w:t xml:space="preserve">. C’est exactement ce que vise le </w:t>
      </w:r>
      <w:r>
        <w:rPr>
          <w:rFonts w:ascii="Times New Roman" w:hAnsi="Times New Roman"/>
          <w:b/>
          <w:bCs/>
          <w:noProof/>
          <w:sz w:val="24"/>
        </w:rPr>
        <w:t>train de mesures sur les réseaux européens</w:t>
      </w:r>
      <w:r>
        <w:rPr>
          <w:rFonts w:ascii="Times New Roman" w:hAnsi="Times New Roman"/>
          <w:noProof/>
          <w:sz w:val="24"/>
        </w:rPr>
        <w:t xml:space="preserve"> présenté aujourd’hui par la Commission. En complément de ces mesures, l’</w:t>
      </w:r>
      <w:r>
        <w:rPr>
          <w:rFonts w:ascii="Times New Roman" w:hAnsi="Times New Roman"/>
          <w:b/>
          <w:bCs/>
          <w:noProof/>
          <w:sz w:val="24"/>
        </w:rPr>
        <w:t>initiative «Autoroutes de l’énergie»</w:t>
      </w:r>
      <w:r>
        <w:rPr>
          <w:rFonts w:ascii="Times New Roman" w:hAnsi="Times New Roman"/>
          <w:noProof/>
          <w:sz w:val="24"/>
        </w:rPr>
        <w:t xml:space="preserve">, lancée en 2025 par la présidente von der Leyen dans son discours sur l’état de l’Union, vise à accélérer les progrès concernant les projets d’infrastructures énergétiques critiques et absolument indispensables par une </w:t>
      </w:r>
      <w:r>
        <w:rPr>
          <w:rFonts w:ascii="Times New Roman" w:hAnsi="Times New Roman"/>
          <w:b/>
          <w:bCs/>
          <w:noProof/>
          <w:sz w:val="24"/>
        </w:rPr>
        <w:t>action immédiate</w:t>
      </w:r>
      <w:r>
        <w:rPr>
          <w:rFonts w:ascii="Times New Roman" w:hAnsi="Times New Roman"/>
          <w:noProof/>
          <w:sz w:val="24"/>
        </w:rPr>
        <w:t xml:space="preserve">, en veillant à ce que nous puissions exploiter pleinement le potentiel de notre système énergétique pour alimenter une Europe plus résiliente, compétitive et durable. </w:t>
      </w:r>
    </w:p>
    <w:p w14:paraId="4581BD62" w14:textId="77777777" w:rsidR="00C36F54" w:rsidRPr="00C36F54" w:rsidRDefault="00C36F54" w:rsidP="00C36F54">
      <w:pPr>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2. Remédier aux goulets d’étranglement structurels grâce au train de mesures sur les réseaux européens </w:t>
      </w:r>
    </w:p>
    <w:p w14:paraId="1D4B2974" w14:textId="77777777" w:rsidR="00C36F54" w:rsidRPr="00C36F54" w:rsidRDefault="00C36F54" w:rsidP="00C36F54">
      <w:pPr>
        <w:pStyle w:val="ListParagraph"/>
        <w:numPr>
          <w:ilvl w:val="0"/>
          <w:numId w:val="2"/>
        </w:numPr>
        <w:jc w:val="both"/>
        <w:rPr>
          <w:rStyle w:val="normaltextrun"/>
          <w:rFonts w:ascii="Times New Roman" w:hAnsi="Times New Roman" w:cs="Times New Roman"/>
          <w:b/>
          <w:bCs/>
          <w:noProof/>
          <w:sz w:val="24"/>
          <w:szCs w:val="24"/>
        </w:rPr>
      </w:pPr>
      <w:r>
        <w:rPr>
          <w:rStyle w:val="normaltextrun"/>
          <w:rFonts w:ascii="Times New Roman" w:hAnsi="Times New Roman"/>
          <w:b/>
          <w:noProof/>
          <w:color w:val="000000"/>
          <w:sz w:val="24"/>
          <w:shd w:val="clear" w:color="auto" w:fill="FFFFFF"/>
        </w:rPr>
        <w:t>Construire un avenir énergétique unifié: renforcer la planification des infrastructures transfrontalières à l’échelle de l’UE et optimiser l’utilisation des infrastructures existantes</w:t>
      </w:r>
    </w:p>
    <w:p w14:paraId="6781FA3D" w14:textId="34E92B3B"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Le cadre actuel de planification des réseaux prévu par le règlement sur les réseaux transeuropéens d’énergie (RTE-E) a considérablement fait progresser la coordination et le développement de projets d’infrastructures énergétiques transfrontalières. Depuis 2014, 124 projets d’intérêt commun (PIC) et projets d’intérêt mutuel (PIM) ont été soutenus à hauteur de 8,4 milliards d’EUR par le MIE, ce qui a permis de débloquer au moins 15,8 milliards d’EUR d’investissements privés</w:t>
      </w:r>
      <w:r>
        <w:rPr>
          <w:rStyle w:val="FootnoteReference"/>
          <w:rFonts w:ascii="Times New Roman" w:hAnsi="Times New Roman" w:cs="Times New Roman"/>
          <w:noProof/>
          <w:sz w:val="24"/>
          <w:szCs w:val="24"/>
        </w:rPr>
        <w:footnoteReference w:id="13"/>
      </w:r>
      <w:r>
        <w:rPr>
          <w:noProof/>
        </w:rPr>
        <w:t>.</w:t>
      </w:r>
      <w:r>
        <w:rPr>
          <w:rFonts w:ascii="Times New Roman" w:hAnsi="Times New Roman"/>
          <w:noProof/>
          <w:sz w:val="24"/>
        </w:rPr>
        <w:t xml:space="preserve"> Toutefois, </w:t>
      </w:r>
      <w:r>
        <w:rPr>
          <w:rFonts w:ascii="Times New Roman" w:hAnsi="Times New Roman"/>
          <w:b/>
          <w:bCs/>
          <w:noProof/>
          <w:sz w:val="24"/>
        </w:rPr>
        <w:t>il est impératif de prendre de nouvelles mesures</w:t>
      </w:r>
      <w:r>
        <w:rPr>
          <w:rFonts w:ascii="Times New Roman" w:hAnsi="Times New Roman"/>
          <w:noProof/>
          <w:sz w:val="24"/>
        </w:rPr>
        <w:t xml:space="preserve"> pour assurer une coordination sans faille entre les niveaux de gouvernance nationaux, régionaux et européens et entre les différents secteurs, </w:t>
      </w:r>
      <w:r>
        <w:rPr>
          <w:rFonts w:ascii="Times New Roman" w:hAnsi="Times New Roman"/>
          <w:b/>
          <w:bCs/>
          <w:noProof/>
          <w:sz w:val="24"/>
        </w:rPr>
        <w:t>afin de garantir un réseau totalement optimisé et interconnecté</w:t>
      </w:r>
      <w:r>
        <w:rPr>
          <w:rFonts w:ascii="Times New Roman" w:hAnsi="Times New Roman"/>
          <w:noProof/>
          <w:sz w:val="24"/>
        </w:rPr>
        <w:t xml:space="preserve">. </w:t>
      </w:r>
    </w:p>
    <w:p w14:paraId="469C6824" w14:textId="6558723D" w:rsidR="000B2FE2" w:rsidRPr="00C36F54" w:rsidRDefault="00C36F54" w:rsidP="000B2FE2">
      <w:pPr>
        <w:jc w:val="both"/>
        <w:rPr>
          <w:rFonts w:ascii="Times New Roman" w:hAnsi="Times New Roman" w:cs="Times New Roman"/>
          <w:noProof/>
          <w:sz w:val="24"/>
          <w:szCs w:val="24"/>
        </w:rPr>
      </w:pPr>
      <w:bookmarkStart w:id="2" w:name="_Hlk216163880"/>
      <w:r>
        <w:rPr>
          <w:rFonts w:ascii="Times New Roman" w:hAnsi="Times New Roman"/>
          <w:noProof/>
          <w:sz w:val="24"/>
        </w:rPr>
        <w:t xml:space="preserve">Pour y parvenir, en s’appuyant sur les structures existantes, l’expérience acquise jusqu’à présent et une coopération régionale renforcée, nous devons passer à </w:t>
      </w:r>
      <w:r>
        <w:rPr>
          <w:rFonts w:ascii="Times New Roman" w:hAnsi="Times New Roman"/>
          <w:b/>
          <w:bCs/>
          <w:noProof/>
          <w:sz w:val="24"/>
        </w:rPr>
        <w:t>un cadre de planification des infrastructures énergétiques transfrontalières de l’UE</w:t>
      </w:r>
      <w:r>
        <w:rPr>
          <w:rFonts w:ascii="Times New Roman" w:hAnsi="Times New Roman"/>
          <w:noProof/>
          <w:sz w:val="24"/>
        </w:rPr>
        <w:t xml:space="preserve"> qui permette une détermination plus coordonnée et plus solide des besoins, garantissant ainsi l’alignement des projets sur les objectifs européens actuels et futurs. Le train de mesures soutient également un réseau énergétique européen mieux connecté, renforçant l’autonomie stratégique, la sécurité et la résilience de l’Europe tout en </w:t>
      </w:r>
      <w:r>
        <w:rPr>
          <w:rFonts w:ascii="Times New Roman" w:hAnsi="Times New Roman"/>
          <w:b/>
          <w:bCs/>
          <w:noProof/>
          <w:sz w:val="24"/>
        </w:rPr>
        <w:t>favorisant une coopération renforcée avec les partenaires voisins</w:t>
      </w:r>
      <w:r>
        <w:rPr>
          <w:rFonts w:ascii="Times New Roman" w:hAnsi="Times New Roman"/>
          <w:noProof/>
          <w:sz w:val="24"/>
        </w:rPr>
        <w:t xml:space="preserve"> de l’Espace économique européen (EEE), de la Communauté de l’énergie, du partenariat oriental et du voisinage méridional. </w:t>
      </w:r>
    </w:p>
    <w:bookmarkEnd w:id="2"/>
    <w:p w14:paraId="0069F1B9" w14:textId="04B79A35"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À la suite du train de mesures proposé aujourd’hui, </w:t>
      </w:r>
      <w:r>
        <w:rPr>
          <w:rFonts w:ascii="Times New Roman" w:hAnsi="Times New Roman"/>
          <w:b/>
          <w:bCs/>
          <w:noProof/>
          <w:sz w:val="24"/>
        </w:rPr>
        <w:t>la Commission élaborera</w:t>
      </w:r>
      <w:r>
        <w:rPr>
          <w:rFonts w:ascii="Times New Roman" w:hAnsi="Times New Roman"/>
          <w:noProof/>
          <w:sz w:val="24"/>
        </w:rPr>
        <w:t xml:space="preserve">, dans un délai de deux ans à compter de son adoption, </w:t>
      </w:r>
      <w:r>
        <w:rPr>
          <w:rFonts w:ascii="Times New Roman" w:hAnsi="Times New Roman"/>
          <w:b/>
          <w:bCs/>
          <w:noProof/>
          <w:sz w:val="24"/>
        </w:rPr>
        <w:t>un scénario principal global pour l’UE</w:t>
      </w:r>
      <w:r>
        <w:rPr>
          <w:rFonts w:ascii="Times New Roman" w:hAnsi="Times New Roman"/>
          <w:noProof/>
          <w:sz w:val="24"/>
        </w:rPr>
        <w:t xml:space="preserve"> conforme aux objectifs énergétiques et climatiques de l’UE et permettant de mettre en place un système rentable, compétitif et sûr au niveau de l’UE. Le scénario principal reposera sur les contributions des États membres et de toutes les parties prenantes concernées, en tenant compte des </w:t>
      </w:r>
      <w:r>
        <w:rPr>
          <w:rFonts w:ascii="Times New Roman" w:hAnsi="Times New Roman"/>
          <w:b/>
          <w:bCs/>
          <w:noProof/>
          <w:sz w:val="24"/>
        </w:rPr>
        <w:t>synergies entre les différents secteurs</w:t>
      </w:r>
      <w:r>
        <w:rPr>
          <w:rFonts w:ascii="Times New Roman" w:hAnsi="Times New Roman"/>
          <w:noProof/>
          <w:sz w:val="24"/>
        </w:rPr>
        <w:t>. Sur cette base</w:t>
      </w:r>
      <w:r>
        <w:rPr>
          <w:noProof/>
        </w:rPr>
        <w:t xml:space="preserve">, </w:t>
      </w:r>
      <w:r>
        <w:rPr>
          <w:rFonts w:ascii="Times New Roman" w:hAnsi="Times New Roman"/>
          <w:b/>
          <w:bCs/>
          <w:noProof/>
          <w:sz w:val="24"/>
        </w:rPr>
        <w:t>les REGRT et le R</w:t>
      </w:r>
      <w:r>
        <w:rPr>
          <w:rFonts w:ascii="Times New Roman" w:hAnsi="Times New Roman"/>
          <w:b/>
          <w:noProof/>
          <w:sz w:val="24"/>
        </w:rPr>
        <w:t>EGRH détermineront ensuite les besoins en infrastructures</w:t>
      </w:r>
      <w:r>
        <w:rPr>
          <w:rFonts w:ascii="Times New Roman" w:hAnsi="Times New Roman"/>
          <w:noProof/>
          <w:sz w:val="24"/>
        </w:rPr>
        <w:t xml:space="preserve">. </w:t>
      </w:r>
    </w:p>
    <w:p w14:paraId="33EC434E" w14:textId="12A387AC" w:rsidR="0059413D"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En outre, </w:t>
      </w:r>
      <w:r>
        <w:rPr>
          <w:rFonts w:ascii="Times New Roman" w:hAnsi="Times New Roman"/>
          <w:b/>
          <w:bCs/>
          <w:noProof/>
          <w:sz w:val="24"/>
        </w:rPr>
        <w:t>une intervention européenne renforcée est nécessaire lorsqu’un besoin de capacités transfrontalières a été constaté</w:t>
      </w:r>
      <w:r>
        <w:rPr>
          <w:rFonts w:ascii="Times New Roman" w:hAnsi="Times New Roman"/>
          <w:noProof/>
          <w:sz w:val="24"/>
        </w:rPr>
        <w:t xml:space="preserve">, mais que des propositions de projets pertinentes pour y répondre n’ont pas été présentées. La Commission devrait être en mesure de lancer un </w:t>
      </w:r>
      <w:r>
        <w:rPr>
          <w:rFonts w:ascii="Times New Roman" w:hAnsi="Times New Roman"/>
          <w:b/>
          <w:bCs/>
          <w:noProof/>
          <w:sz w:val="24"/>
        </w:rPr>
        <w:t>processus destiné à «combler les lacunes»</w:t>
      </w:r>
      <w:r>
        <w:rPr>
          <w:rFonts w:ascii="Times New Roman" w:hAnsi="Times New Roman"/>
          <w:noProof/>
          <w:sz w:val="24"/>
        </w:rPr>
        <w:t>, fondé sur une forte coopération régionale, invitant les gestionnaires de réseau et, éventuellement, les promoteurs de projets à proposer des projets pour répondre à des besoins non satisfaits.</w:t>
      </w:r>
    </w:p>
    <w:p w14:paraId="4F3EFFAC" w14:textId="0AC2127C"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rPr>
        <w:t>Pour parvenir à un système intégré, il est essentiel de renforcer la coordination entre la planification nationale et européenne</w:t>
      </w:r>
      <w:r>
        <w:rPr>
          <w:rFonts w:ascii="Times New Roman" w:hAnsi="Times New Roman"/>
          <w:noProof/>
          <w:sz w:val="24"/>
        </w:rPr>
        <w:t xml:space="preserve">, étant donné que les éléments de réseau internes influencent considérablement le développement des infrastructures transfrontalières, ce qui, à son tour, a une incidence sur les échanges transfrontaliers. La </w:t>
      </w:r>
      <w:r>
        <w:rPr>
          <w:rFonts w:ascii="Times New Roman" w:hAnsi="Times New Roman"/>
          <w:b/>
          <w:bCs/>
          <w:noProof/>
          <w:sz w:val="24"/>
        </w:rPr>
        <w:t>planification des réseaux de distribution</w:t>
      </w:r>
      <w:r>
        <w:rPr>
          <w:rFonts w:ascii="Times New Roman" w:hAnsi="Times New Roman"/>
          <w:noProof/>
          <w:sz w:val="24"/>
        </w:rPr>
        <w:t xml:space="preserve"> doit donc être bien coordonnée avec la planification au niveau du transport et devrait associer étroitement le public et l’industrie, afin que les futurs réseaux soient prêts à répondre à l’augmentation de la production et de la demande d’électricité. En coopération avec toutes les parties prenantes concernées, la Commission continuera de faire avancer ces travaux dans le cadre du </w:t>
      </w:r>
      <w:r>
        <w:rPr>
          <w:rFonts w:ascii="Times New Roman" w:hAnsi="Times New Roman"/>
          <w:b/>
          <w:bCs/>
          <w:noProof/>
          <w:sz w:val="24"/>
        </w:rPr>
        <w:t>plan d’action pour les réseaux de 2023</w:t>
      </w:r>
      <w:r>
        <w:rPr>
          <w:rStyle w:val="FootnoteReference"/>
          <w:rFonts w:ascii="Times New Roman" w:hAnsi="Times New Roman" w:cs="Times New Roman"/>
          <w:noProof/>
          <w:sz w:val="24"/>
          <w:szCs w:val="24"/>
        </w:rPr>
        <w:footnoteReference w:id="14"/>
      </w:r>
      <w:r>
        <w:rPr>
          <w:noProof/>
        </w:rPr>
        <w:t>.</w:t>
      </w:r>
    </w:p>
    <w:p w14:paraId="7834956A" w14:textId="68E232D1" w:rsidR="00053BF0" w:rsidRDefault="00C36F54" w:rsidP="00C36F54">
      <w:pPr>
        <w:jc w:val="both"/>
        <w:rPr>
          <w:rFonts w:ascii="Times New Roman" w:hAnsi="Times New Roman" w:cs="Times New Roman"/>
          <w:noProof/>
          <w:sz w:val="24"/>
          <w:szCs w:val="24"/>
        </w:rPr>
      </w:pPr>
      <w:r>
        <w:rPr>
          <w:rFonts w:ascii="Times New Roman" w:hAnsi="Times New Roman"/>
          <w:noProof/>
          <w:sz w:val="24"/>
        </w:rPr>
        <w:t xml:space="preserve">Dans l’intervalle, </w:t>
      </w:r>
      <w:r>
        <w:rPr>
          <w:rFonts w:ascii="Times New Roman" w:hAnsi="Times New Roman"/>
          <w:b/>
          <w:bCs/>
          <w:noProof/>
          <w:sz w:val="24"/>
        </w:rPr>
        <w:t>il est essentiel de maximiser l’utilisation des infrastructures existantes avant d’investir dans de nouvelles capacités</w:t>
      </w:r>
      <w:r>
        <w:rPr>
          <w:rFonts w:ascii="Times New Roman" w:hAnsi="Times New Roman"/>
          <w:noProof/>
          <w:sz w:val="24"/>
        </w:rPr>
        <w:t xml:space="preserve"> pour parvenir à une transition énergétique abordable et durable et garantir la sécurité énergétique. Conformément au principe de primauté de l’efficacité énergétique, il convient d’encourager davantage l’</w:t>
      </w:r>
      <w:r>
        <w:rPr>
          <w:rFonts w:ascii="Times New Roman" w:hAnsi="Times New Roman"/>
          <w:b/>
          <w:bCs/>
          <w:noProof/>
          <w:sz w:val="24"/>
        </w:rPr>
        <w:t>adoption de réseaux électriques intelligents, de technologies innovantes et numériques et de mesures d’efficacité du réseau, tant au niveau du réseau qu’au niveau des utilisateurs</w:t>
      </w:r>
      <w:r>
        <w:rPr>
          <w:rFonts w:ascii="Times New Roman" w:hAnsi="Times New Roman"/>
          <w:noProof/>
          <w:sz w:val="24"/>
        </w:rPr>
        <w:t>, tout en garantissant une capacité du réseau suffisante pour répondre à la demande supplémentaire en temps utile. À titre d’exemple, l’utilisation de technologies renforçant le réseau peut accroître la capacité globale du réseau en Europe de 20 % à 40 % d’ici à 2040 et réduire les coûts de 35 % par rapport à l’expansion traditionnelle du réseau d’ici à 2040</w:t>
      </w:r>
      <w:r>
        <w:rPr>
          <w:rFonts w:ascii="Times New Roman" w:eastAsia="Calibri" w:hAnsi="Times New Roman" w:cs="Times New Roman"/>
          <w:noProof/>
          <w:sz w:val="24"/>
          <w:szCs w:val="24"/>
          <w:vertAlign w:val="superscript"/>
        </w:rPr>
        <w:footnoteReference w:id="15"/>
      </w:r>
      <w:r>
        <w:rPr>
          <w:rFonts w:ascii="Times New Roman" w:hAnsi="Times New Roman"/>
          <w:noProof/>
          <w:sz w:val="24"/>
        </w:rPr>
        <w:t>. Le train de mesures sur les réseaux européens propose d’</w:t>
      </w:r>
      <w:r>
        <w:rPr>
          <w:rFonts w:ascii="Times New Roman" w:hAnsi="Times New Roman"/>
          <w:b/>
          <w:bCs/>
          <w:noProof/>
          <w:sz w:val="24"/>
        </w:rPr>
        <w:t>ancrer</w:t>
      </w:r>
      <w:r>
        <w:rPr>
          <w:rFonts w:ascii="Times New Roman" w:hAnsi="Times New Roman"/>
          <w:noProof/>
          <w:sz w:val="24"/>
        </w:rPr>
        <w:t xml:space="preserve"> fermement </w:t>
      </w:r>
      <w:r>
        <w:rPr>
          <w:rFonts w:ascii="Times New Roman" w:hAnsi="Times New Roman"/>
          <w:b/>
          <w:bCs/>
          <w:noProof/>
          <w:sz w:val="24"/>
        </w:rPr>
        <w:t>ces principes dans la planification des réseaux</w:t>
      </w:r>
      <w:r>
        <w:rPr>
          <w:rFonts w:ascii="Times New Roman" w:hAnsi="Times New Roman"/>
          <w:noProof/>
          <w:sz w:val="24"/>
        </w:rPr>
        <w:t xml:space="preserve"> et de </w:t>
      </w:r>
      <w:r>
        <w:rPr>
          <w:rFonts w:ascii="Times New Roman" w:hAnsi="Times New Roman"/>
          <w:b/>
          <w:bCs/>
          <w:noProof/>
          <w:sz w:val="24"/>
        </w:rPr>
        <w:t>promouvoir des projets connexes</w:t>
      </w:r>
      <w:r>
        <w:rPr>
          <w:rFonts w:ascii="Times New Roman" w:hAnsi="Times New Roman"/>
          <w:noProof/>
          <w:sz w:val="24"/>
        </w:rPr>
        <w:t xml:space="preserve"> parallèlement à l’extension des infrastructures physiques. La plateforme Technopedia, qui vient d’être lancée, présente des bonnes pratiques en matière de technologies innovantes et de renforcement du réseau</w:t>
      </w:r>
      <w:r>
        <w:rPr>
          <w:rFonts w:ascii="Times New Roman" w:eastAsia="Calibri" w:hAnsi="Times New Roman" w:cs="Times New Roman"/>
          <w:noProof/>
          <w:sz w:val="24"/>
          <w:szCs w:val="24"/>
          <w:vertAlign w:val="superscript"/>
        </w:rPr>
        <w:footnoteReference w:id="16"/>
      </w:r>
      <w:r>
        <w:rPr>
          <w:rFonts w:ascii="Times New Roman" w:hAnsi="Times New Roman"/>
          <w:noProof/>
          <w:sz w:val="24"/>
        </w:rPr>
        <w:t>. L’année prochaine, la Commission présentera également une feuille de route stratégique pour la numérisation et l’IA dans le secteur de l’énergie, qui contribuera à développer des solutions intelligentes dans l’ensemble des réseaux européens. Les outils numériques peuvent aider à remédier à la volatilité accrue due notamment à l’intégration des énergies renouvelables. En outre, les grandes infrastructures de données et en nuage peuvent contribuer à renforcer la stabilité du réseau et seront donc prises en compte lors de la procédure de planification.</w:t>
      </w:r>
    </w:p>
    <w:p w14:paraId="3EE3554E" w14:textId="6BDC2998" w:rsidR="00C36F54" w:rsidRPr="00C36F54" w:rsidRDefault="00C36F54" w:rsidP="00C36F54">
      <w:pPr>
        <w:jc w:val="both"/>
        <w:rPr>
          <w:noProof/>
        </w:rPr>
      </w:pPr>
      <w:r>
        <w:rPr>
          <w:rFonts w:ascii="Times New Roman" w:hAnsi="Times New Roman"/>
          <w:noProof/>
          <w:sz w:val="24"/>
        </w:rPr>
        <w:t xml:space="preserve">Par ailleurs, alors que l’accès aux réseaux commence à poser problème dans certains États membres, des solutions créatives peuvent contribuer à libérer des capacités et à gérer les files d’attente de manière efficace. Les </w:t>
      </w:r>
      <w:r>
        <w:rPr>
          <w:rFonts w:ascii="Times New Roman" w:hAnsi="Times New Roman"/>
          <w:b/>
          <w:bCs/>
          <w:noProof/>
          <w:sz w:val="24"/>
        </w:rPr>
        <w:t>orientations relatives à l’efficacité des raccordements au réseau</w:t>
      </w:r>
      <w:r>
        <w:rPr>
          <w:rFonts w:ascii="Times New Roman" w:hAnsi="Times New Roman"/>
          <w:noProof/>
          <w:sz w:val="24"/>
        </w:rPr>
        <w:t xml:space="preserve"> adoptées aujourd’hui fournissent des recommandations et partagent les bonnes pratiques que les États membres et les autorités de régulation nationales peuvent appliquer pour relever immédiatement ces défis et exploiter au mieux les réseaux existants. Il s’agit notamment d’appliquer le principe du «premier arrivé, premier servi» et des critères de maturité transparents pour toutes les demandes de raccordement, d’établir des étapes claires pour le développement des projets assorties de sanctions en cas de non-respect et d’assurer un suivi et un nettoyage réguliers des files d’attente de raccordement. </w:t>
      </w:r>
    </w:p>
    <w:p w14:paraId="324C79CA" w14:textId="77777777" w:rsidR="00C36F54" w:rsidRPr="00C36F54" w:rsidRDefault="00C36F54" w:rsidP="00C36F54">
      <w:pPr>
        <w:jc w:val="both"/>
        <w:rPr>
          <w:rStyle w:val="normaltextrun"/>
          <w:rFonts w:ascii="Times New Roman" w:hAnsi="Times New Roman" w:cs="Times New Roman"/>
          <w:noProof/>
          <w:sz w:val="24"/>
          <w:szCs w:val="24"/>
        </w:rPr>
      </w:pPr>
      <w:r>
        <w:rPr>
          <w:rFonts w:ascii="Times New Roman" w:hAnsi="Times New Roman"/>
          <w:noProof/>
          <w:sz w:val="24"/>
        </w:rPr>
        <w:t>Le train de mesures sur les réseaux joue donc un rôle clé pour garantir que notre marché de l’électricité reste solide et efficace. Il renforce l’utilisation efficace des infrastructures existantes, contribuant ainsi à mettre à disposition une capacité de transport de 70 % pour les échanges d’électricité entre zones</w:t>
      </w:r>
      <w:r>
        <w:rPr>
          <w:rStyle w:val="FootnoteReference"/>
          <w:rFonts w:ascii="Times New Roman" w:hAnsi="Times New Roman" w:cs="Times New Roman"/>
          <w:noProof/>
          <w:sz w:val="24"/>
          <w:szCs w:val="24"/>
        </w:rPr>
        <w:footnoteReference w:id="17"/>
      </w:r>
      <w:r>
        <w:rPr>
          <w:rFonts w:ascii="Times New Roman" w:hAnsi="Times New Roman"/>
          <w:noProof/>
          <w:sz w:val="24"/>
        </w:rPr>
        <w:t>. En outre, il soutient notre engagement à atteindre l’objectif de 15 % d’interconnexion électrique d’ici à 2030 tout en préparant les travaux de révision du règlement sur la gouvernance afin de l’aligner sur nos ambitions climatiques et énergétiques pour la décennie à venir.</w:t>
      </w:r>
    </w:p>
    <w:p w14:paraId="3AE8F5CD" w14:textId="77777777" w:rsidR="00C36F54" w:rsidRPr="00C36F54" w:rsidRDefault="00C36F54" w:rsidP="00C36F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Traduire les plans en actions: accélérer la mise en œuvre de projets d’infrastructures énergétiques sur le terrain</w:t>
      </w:r>
    </w:p>
    <w:p w14:paraId="162A94E3" w14:textId="26988F9A"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Le recensement des besoins et des projets en matière d’infrastructures ne représente que la moitié du parcours. Même lorsque des projets sont définis, la construction stagne souvent en raison de la longueur des procédures d’autorisation, du manque d’acceptation par le public, des obstacles au financement ou des difficultés à répartir les coûts entre les États membres. Toutes ces questions doivent être traitées tout en renforçant la sécurité et la résilience de nos infrastructures face aux perturbations tant délibérées qu’accidentelles.</w:t>
      </w:r>
    </w:p>
    <w:p w14:paraId="7A9E9304" w14:textId="45C9D0AD" w:rsidR="00C36F54" w:rsidRPr="00C36F54" w:rsidRDefault="00C36F54" w:rsidP="00C36F54">
      <w:pPr>
        <w:jc w:val="both"/>
        <w:rPr>
          <w:rFonts w:ascii="Times New Roman" w:eastAsia="Calibri" w:hAnsi="Times New Roman" w:cs="Times New Roman"/>
          <w:noProof/>
          <w:kern w:val="0"/>
          <w:sz w:val="24"/>
          <w:szCs w:val="24"/>
          <w14:ligatures w14:val="none"/>
        </w:rPr>
      </w:pPr>
      <w:r>
        <w:rPr>
          <w:rFonts w:ascii="Times New Roman" w:hAnsi="Times New Roman"/>
          <w:noProof/>
          <w:sz w:val="24"/>
        </w:rPr>
        <w:t xml:space="preserve">Premièrement, la lenteur des </w:t>
      </w:r>
      <w:r>
        <w:rPr>
          <w:rFonts w:ascii="Times New Roman" w:hAnsi="Times New Roman"/>
          <w:b/>
          <w:bCs/>
          <w:noProof/>
          <w:sz w:val="24"/>
          <w:u w:val="single"/>
        </w:rPr>
        <w:t>procédures d’autorisation</w:t>
      </w:r>
      <w:r>
        <w:rPr>
          <w:rFonts w:ascii="Times New Roman" w:hAnsi="Times New Roman"/>
          <w:noProof/>
          <w:sz w:val="24"/>
        </w:rPr>
        <w:t xml:space="preserve"> reste l’</w:t>
      </w:r>
      <w:r>
        <w:rPr>
          <w:rFonts w:ascii="Times New Roman" w:hAnsi="Times New Roman"/>
          <w:b/>
          <w:bCs/>
          <w:noProof/>
          <w:sz w:val="24"/>
        </w:rPr>
        <w:t>un des principaux obstacles au déploiement rapide des infrastructures et de la production énergétiques dans l’UE</w:t>
      </w:r>
      <w:r>
        <w:rPr>
          <w:rFonts w:ascii="Times New Roman" w:hAnsi="Times New Roman"/>
          <w:noProof/>
          <w:sz w:val="24"/>
        </w:rPr>
        <w:t>. En 2023, 26 % des PIC dans le secteur de l’électricité ont accusé un retard moyen de 12 mois selon l’ACER, les autorisations représentant à elles seules plus de la moitié du calendrier total de mise en œuvre des infrastructures électriques</w:t>
      </w:r>
      <w:r>
        <w:rPr>
          <w:rStyle w:val="FootnoteReference"/>
          <w:rFonts w:ascii="Times New Roman" w:eastAsia="Calibri" w:hAnsi="Times New Roman" w:cs="Times New Roman"/>
          <w:noProof/>
          <w:sz w:val="24"/>
          <w:szCs w:val="24"/>
        </w:rPr>
        <w:footnoteReference w:id="18"/>
      </w:r>
      <w:r>
        <w:rPr>
          <w:noProof/>
        </w:rPr>
        <w:t>.</w:t>
      </w:r>
      <w:r>
        <w:rPr>
          <w:rFonts w:ascii="Times New Roman" w:hAnsi="Times New Roman"/>
          <w:noProof/>
          <w:sz w:val="24"/>
        </w:rPr>
        <w:t xml:space="preserve"> De même, </w:t>
      </w:r>
      <w:r>
        <w:rPr>
          <w:rFonts w:ascii="Times New Roman" w:hAnsi="Times New Roman"/>
          <w:b/>
          <w:bCs/>
          <w:noProof/>
          <w:sz w:val="24"/>
        </w:rPr>
        <w:t>les délais d’octroi des autorisations varient considérablement d’un État membre à l’autre</w:t>
      </w:r>
      <w:r>
        <w:rPr>
          <w:rFonts w:ascii="Times New Roman" w:hAnsi="Times New Roman"/>
          <w:noProof/>
          <w:sz w:val="24"/>
        </w:rPr>
        <w:t>, les réseaux de transport prenant en moyenne 5 ans</w:t>
      </w:r>
      <w:r>
        <w:rPr>
          <w:rStyle w:val="FootnoteReference"/>
          <w:rFonts w:ascii="Times New Roman" w:eastAsia="Calibri" w:hAnsi="Times New Roman" w:cs="Times New Roman"/>
          <w:noProof/>
          <w:kern w:val="0"/>
          <w:sz w:val="24"/>
          <w:szCs w:val="24"/>
        </w:rPr>
        <w:footnoteReference w:id="19"/>
      </w:r>
      <w:r>
        <w:rPr>
          <w:rFonts w:ascii="Times New Roman" w:hAnsi="Times New Roman"/>
          <w:noProof/>
          <w:sz w:val="24"/>
        </w:rPr>
        <w:t>, les PIC en moyenne 4,3 ans</w:t>
      </w:r>
      <w:r>
        <w:rPr>
          <w:rStyle w:val="FootnoteReference"/>
          <w:rFonts w:ascii="Times New Roman" w:eastAsia="Calibri" w:hAnsi="Times New Roman" w:cs="Times New Roman"/>
          <w:noProof/>
          <w:kern w:val="0"/>
          <w:sz w:val="24"/>
          <w:szCs w:val="24"/>
        </w:rPr>
        <w:footnoteReference w:id="20"/>
      </w:r>
      <w:r>
        <w:rPr>
          <w:rFonts w:ascii="Times New Roman" w:hAnsi="Times New Roman"/>
          <w:noProof/>
          <w:sz w:val="24"/>
        </w:rPr>
        <w:t>, les projets concernant les énergies renouvelables jusqu’à 9 ans</w:t>
      </w:r>
      <w:r>
        <w:rPr>
          <w:rFonts w:ascii="Times New Roman" w:eastAsia="Calibri" w:hAnsi="Times New Roman" w:cs="Times New Roman"/>
          <w:noProof/>
          <w:kern w:val="0"/>
          <w:sz w:val="24"/>
          <w:szCs w:val="24"/>
          <w:vertAlign w:val="superscript"/>
        </w:rPr>
        <w:footnoteReference w:id="21"/>
      </w:r>
      <w:r>
        <w:rPr>
          <w:rFonts w:ascii="Times New Roman" w:hAnsi="Times New Roman"/>
          <w:noProof/>
          <w:sz w:val="24"/>
        </w:rPr>
        <w:t>, les installations de stockage de 1 à 7 ans</w:t>
      </w:r>
      <w:r>
        <w:rPr>
          <w:rFonts w:ascii="Times New Roman" w:eastAsia="Calibri" w:hAnsi="Times New Roman" w:cs="Times New Roman"/>
          <w:noProof/>
          <w:kern w:val="0"/>
          <w:sz w:val="24"/>
          <w:szCs w:val="24"/>
          <w:vertAlign w:val="superscript"/>
        </w:rPr>
        <w:footnoteReference w:id="22"/>
      </w:r>
      <w:r>
        <w:rPr>
          <w:rFonts w:ascii="Times New Roman" w:hAnsi="Times New Roman"/>
          <w:noProof/>
          <w:sz w:val="24"/>
        </w:rPr>
        <w:t xml:space="preserve"> et les stations de recharge jusqu’à 2 ans</w:t>
      </w:r>
      <w:r>
        <w:rPr>
          <w:rFonts w:ascii="Times New Roman" w:eastAsia="Calibri" w:hAnsi="Times New Roman" w:cs="Times New Roman"/>
          <w:noProof/>
          <w:kern w:val="0"/>
          <w:sz w:val="24"/>
          <w:szCs w:val="24"/>
          <w:vertAlign w:val="superscript"/>
        </w:rPr>
        <w:footnoteReference w:id="23"/>
      </w:r>
      <w:r>
        <w:rPr>
          <w:rFonts w:ascii="Times New Roman" w:hAnsi="Times New Roman"/>
          <w:noProof/>
          <w:sz w:val="24"/>
        </w:rPr>
        <w:t xml:space="preserve">. </w:t>
      </w:r>
    </w:p>
    <w:p w14:paraId="502F74F8" w14:textId="77777777" w:rsidR="002E7ABF" w:rsidRDefault="00C36F54" w:rsidP="00C36F54">
      <w:pPr>
        <w:jc w:val="both"/>
        <w:rPr>
          <w:rStyle w:val="CommentReference"/>
          <w:rFonts w:ascii="Times New Roman" w:eastAsia="Calibri" w:hAnsi="Times New Roman" w:cs="Times New Roman"/>
          <w:noProof/>
          <w:sz w:val="24"/>
          <w:szCs w:val="24"/>
        </w:rPr>
      </w:pPr>
      <w:r>
        <w:rPr>
          <w:rFonts w:ascii="Times New Roman" w:hAnsi="Times New Roman"/>
          <w:noProof/>
          <w:sz w:val="24"/>
        </w:rPr>
        <w:t xml:space="preserve">En 2022 et 2023, l’UE a pris des mesures notables pour accélérer l’octroi de permis pour les projets d’énergies renouvelables et d’infrastructures, en particulier dans le cadre du règlement d’urgence (applicable jusqu’en juin 2025) et de la révision de la directive sur les énergies renouvelables (RED). Toutefois, des retards persistent, notamment en ce qui concerne l’intégration des stations de stockage et de recharge autonomes. En outre, si l’évaluation environnementale est nécessaire pour garantir à la fois la protection de la biodiversité et l’acceptation sociale des projets, ses modalités actuelles ne rendent pas effectivement compte de la spécificité des projets ayant une incidence minimale sur l’environnement et peuvent entraîner des retards inutiles. </w:t>
      </w:r>
    </w:p>
    <w:p w14:paraId="307AF664" w14:textId="574F4BEE" w:rsidR="00C36F54" w:rsidRPr="00C36F54" w:rsidRDefault="00C36F54" w:rsidP="00C36F54">
      <w:pPr>
        <w:jc w:val="both"/>
        <w:rPr>
          <w:rFonts w:ascii="Times New Roman" w:eastAsia="Calibri" w:hAnsi="Times New Roman" w:cs="Times New Roman"/>
          <w:noProof/>
          <w:sz w:val="24"/>
          <w:szCs w:val="24"/>
        </w:rPr>
      </w:pPr>
      <w:r>
        <w:rPr>
          <w:rFonts w:ascii="Times New Roman" w:hAnsi="Times New Roman"/>
          <w:noProof/>
          <w:sz w:val="24"/>
        </w:rPr>
        <w:t xml:space="preserve">Dans ce contexte, le train de mesures sur les réseaux européens, en coordination avec le cadre réglementaire de l’UE en matière de protection de l’environnement, établit </w:t>
      </w:r>
      <w:r>
        <w:rPr>
          <w:rFonts w:ascii="Times New Roman" w:hAnsi="Times New Roman"/>
          <w:b/>
          <w:bCs/>
          <w:noProof/>
          <w:sz w:val="24"/>
        </w:rPr>
        <w:t>un cadre au niveau de l’UE afin de simplifier et d’accélérer les procédures d’autorisation</w:t>
      </w:r>
      <w:r>
        <w:rPr>
          <w:rFonts w:ascii="Times New Roman" w:hAnsi="Times New Roman"/>
          <w:noProof/>
          <w:sz w:val="24"/>
        </w:rPr>
        <w:t xml:space="preserve"> pour toutes les infrastructures de réseau, les projets concernant les énergies renouvelables, les projets de stockage et les stations de recharge, et renforce encore les dispositions relatives aux PIC/PIM. La décarbonation est la première action susceptible de contribuer à préserver la nature et à réduire la pollution atmosphérique. Ces procédures d’autorisation rationalisées ciblent les cas dans lesquels, sur la base de la vaste expérience acquise dans la mise en œuvre du cadre juridique actuel, les incidences sur l’environnement sont limitées; les modifications proposées contribuent à atteindre l’</w:t>
      </w:r>
      <w:r>
        <w:rPr>
          <w:rFonts w:ascii="Times New Roman" w:hAnsi="Times New Roman"/>
          <w:b/>
          <w:bCs/>
          <w:noProof/>
          <w:sz w:val="24"/>
        </w:rPr>
        <w:t>équilibre entre la protection de la biodiversité et le déploiement rapide d’un système énergétique propre</w:t>
      </w:r>
      <w:r>
        <w:rPr>
          <w:rFonts w:ascii="Times New Roman" w:hAnsi="Times New Roman"/>
          <w:noProof/>
          <w:sz w:val="24"/>
        </w:rPr>
        <w:t xml:space="preserve">. L’objectif est de limiter la procédure d’autorisation, en fonction du type de projet, à deux ans dans la plupart des cas, avec un maximum de trois ans pour les projets les plus complexes. </w:t>
      </w:r>
    </w:p>
    <w:p w14:paraId="784B3091" w14:textId="7B04D5BA" w:rsidR="00C36F54" w:rsidRPr="00C36F54" w:rsidRDefault="00C36F54" w:rsidP="00C36F54">
      <w:pPr>
        <w:jc w:val="both"/>
        <w:rPr>
          <w:rFonts w:ascii="Times New Roman" w:eastAsia="Calibri" w:hAnsi="Times New Roman" w:cs="Times New Roman"/>
          <w:noProof/>
          <w:sz w:val="24"/>
          <w:szCs w:val="24"/>
        </w:rPr>
      </w:pPr>
      <w:bookmarkStart w:id="3" w:name="_Hlk211194489"/>
      <w:r>
        <w:rPr>
          <w:rFonts w:ascii="Times New Roman" w:hAnsi="Times New Roman"/>
          <w:noProof/>
          <w:sz w:val="24"/>
        </w:rPr>
        <w:t xml:space="preserve">La </w:t>
      </w:r>
      <w:r>
        <w:rPr>
          <w:rFonts w:ascii="Times New Roman" w:hAnsi="Times New Roman"/>
          <w:b/>
          <w:bCs/>
          <w:noProof/>
          <w:sz w:val="24"/>
        </w:rPr>
        <w:t>participation du public</w:t>
      </w:r>
      <w:r>
        <w:rPr>
          <w:rFonts w:ascii="Times New Roman" w:hAnsi="Times New Roman"/>
          <w:noProof/>
          <w:sz w:val="24"/>
        </w:rPr>
        <w:t xml:space="preserve"> à la planification et à l’exploitation des projets est également essentielle pour instaurer la confiance et atteindre les objectifs de l’UE, réduisant ainsi au minimum les longues procédures judiciaires</w:t>
      </w:r>
      <w:r>
        <w:rPr>
          <w:rFonts w:ascii="Times New Roman" w:eastAsia="Calibri" w:hAnsi="Times New Roman" w:cs="Times New Roman"/>
          <w:noProof/>
          <w:sz w:val="24"/>
          <w:szCs w:val="24"/>
          <w:vertAlign w:val="superscript"/>
        </w:rPr>
        <w:footnoteReference w:id="24"/>
      </w:r>
      <w:r>
        <w:rPr>
          <w:rFonts w:ascii="Times New Roman" w:hAnsi="Times New Roman"/>
          <w:noProof/>
          <w:sz w:val="24"/>
        </w:rPr>
        <w:t xml:space="preserve">. </w:t>
      </w:r>
      <w:bookmarkStart w:id="4" w:name="_Hlk215516530"/>
      <w:r>
        <w:rPr>
          <w:rFonts w:ascii="Times New Roman" w:hAnsi="Times New Roman"/>
          <w:noProof/>
          <w:sz w:val="24"/>
        </w:rPr>
        <w:t xml:space="preserve">Le train de mesures sur les réseaux exige que </w:t>
      </w:r>
      <w:r>
        <w:rPr>
          <w:rFonts w:ascii="Times New Roman" w:hAnsi="Times New Roman"/>
          <w:b/>
          <w:bCs/>
          <w:noProof/>
          <w:sz w:val="24"/>
        </w:rPr>
        <w:t>les projets concernant les énergies renouvelables de plus de 10 MW redistribuent les bénéfices à la population locale, au-delà des communautés énergétiques</w:t>
      </w:r>
      <w:bookmarkEnd w:id="4"/>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Il permet également aux facilitateurs indépendants de soutenir le dialogue et la médiation à un stade précoce, réduisant encore le risque de contestations judiciaires et favorisant le développement coopératif. Afin de répondre aux préoccupations relatives à l’acceptation publique, la Commission proposera également, </w:t>
      </w:r>
      <w:r>
        <w:rPr>
          <w:rFonts w:ascii="Times New Roman" w:hAnsi="Times New Roman"/>
          <w:b/>
          <w:bCs/>
          <w:noProof/>
          <w:sz w:val="24"/>
        </w:rPr>
        <w:t>au premier trimestre de 2026</w:t>
      </w:r>
      <w:r>
        <w:rPr>
          <w:rFonts w:ascii="Times New Roman" w:hAnsi="Times New Roman"/>
          <w:noProof/>
          <w:sz w:val="24"/>
        </w:rPr>
        <w:t xml:space="preserve">, une </w:t>
      </w:r>
      <w:r>
        <w:rPr>
          <w:rFonts w:ascii="Times New Roman" w:hAnsi="Times New Roman"/>
          <w:b/>
          <w:bCs/>
          <w:noProof/>
          <w:sz w:val="24"/>
        </w:rPr>
        <w:t>boîte à outils</w:t>
      </w:r>
      <w:r>
        <w:rPr>
          <w:rFonts w:ascii="Times New Roman" w:hAnsi="Times New Roman"/>
          <w:noProof/>
          <w:sz w:val="24"/>
        </w:rPr>
        <w:t xml:space="preserve"> pratique </w:t>
      </w:r>
      <w:r>
        <w:rPr>
          <w:rFonts w:ascii="Times New Roman" w:hAnsi="Times New Roman"/>
          <w:b/>
          <w:bCs/>
          <w:noProof/>
          <w:sz w:val="24"/>
        </w:rPr>
        <w:t>sur l’inclusion du public</w:t>
      </w:r>
      <w:bookmarkEnd w:id="3"/>
      <w:r>
        <w:rPr>
          <w:rFonts w:ascii="Times New Roman" w:hAnsi="Times New Roman"/>
          <w:b/>
          <w:noProof/>
          <w:sz w:val="24"/>
        </w:rPr>
        <w:t xml:space="preserve"> </w:t>
      </w:r>
      <w:r>
        <w:rPr>
          <w:rFonts w:ascii="Times New Roman" w:hAnsi="Times New Roman"/>
          <w:noProof/>
          <w:sz w:val="24"/>
        </w:rPr>
        <w:t>, qui facilitera le partage des bonnes pratiques et le renforcement des capacités sur la manière d’associer les citoyens et les autorités locales et de promouvoir le partage des avantages des projets concernant les énergies renouvelables</w:t>
      </w:r>
      <w:r>
        <w:rPr>
          <w:rFonts w:ascii="Times New Roman" w:eastAsia="Calibri" w:hAnsi="Times New Roman" w:cs="Times New Roman"/>
          <w:noProof/>
          <w:sz w:val="24"/>
          <w:szCs w:val="24"/>
          <w:vertAlign w:val="superscript"/>
        </w:rPr>
        <w:footnoteReference w:id="25"/>
      </w:r>
      <w:r>
        <w:rPr>
          <w:noProof/>
        </w:rPr>
        <w:t>.</w:t>
      </w:r>
    </w:p>
    <w:p w14:paraId="77932D7F" w14:textId="3E107A34"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Deuxièmement, l’augmentation de la demande d’infrastructures énergétiques, qui exerce une pression considérable sur </w:t>
      </w:r>
      <w:r>
        <w:rPr>
          <w:rFonts w:ascii="Times New Roman" w:hAnsi="Times New Roman"/>
          <w:b/>
          <w:bCs/>
          <w:noProof/>
          <w:sz w:val="24"/>
          <w:u w:val="single"/>
        </w:rPr>
        <w:t>les chaînes d’approvisionnement, la disponibilité de la main-d’œuvre et les compétences</w:t>
      </w:r>
      <w:r>
        <w:rPr>
          <w:rFonts w:ascii="Times New Roman" w:hAnsi="Times New Roman"/>
          <w:noProof/>
          <w:sz w:val="24"/>
        </w:rPr>
        <w:t>, constitue un défi supplémentaire, tandis que les goulets d’étranglement dans la fabrication freinent de plus en plus l’expansion et la modernisation de notre système électrique. Bien que l’Europe compte parmi les principaux fabricants de technologies de réseau, la capacité de production actuelle dans certains segments est insuffisante pour répondre à la demande</w:t>
      </w:r>
      <w:r>
        <w:rPr>
          <w:rFonts w:ascii="Times New Roman" w:hAnsi="Times New Roman" w:cs="Times New Roman"/>
          <w:noProof/>
          <w:sz w:val="24"/>
          <w:szCs w:val="24"/>
          <w:vertAlign w:val="superscript"/>
        </w:rPr>
        <w:footnoteReference w:id="26"/>
      </w:r>
      <w:r>
        <w:rPr>
          <w:rFonts w:ascii="Times New Roman" w:hAnsi="Times New Roman"/>
          <w:noProof/>
          <w:sz w:val="24"/>
        </w:rPr>
        <w:t xml:space="preserve">, et </w:t>
      </w:r>
      <w:r>
        <w:rPr>
          <w:rFonts w:ascii="Times New Roman" w:hAnsi="Times New Roman"/>
          <w:b/>
          <w:bCs/>
          <w:noProof/>
          <w:sz w:val="24"/>
        </w:rPr>
        <w:t>le secteur doit se développer pour suivre le rythme</w:t>
      </w:r>
      <w:r>
        <w:rPr>
          <w:rFonts w:ascii="Times New Roman" w:hAnsi="Times New Roman"/>
          <w:noProof/>
          <w:sz w:val="24"/>
        </w:rPr>
        <w:t xml:space="preserve">. </w:t>
      </w:r>
    </w:p>
    <w:p w14:paraId="64456708" w14:textId="6B336A6D" w:rsidR="00C36F54" w:rsidRPr="00C36F54" w:rsidRDefault="00953B66" w:rsidP="00C36F54">
      <w:p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Comme le soulignent les orientations sur l’efficacité des raccordements au réseau, </w:t>
      </w:r>
      <w:r>
        <w:rPr>
          <w:rFonts w:ascii="Times New Roman" w:hAnsi="Times New Roman"/>
          <w:b/>
          <w:bCs/>
          <w:noProof/>
          <w:sz w:val="24"/>
        </w:rPr>
        <w:t>la visibilité</w:t>
      </w:r>
      <w:r>
        <w:rPr>
          <w:rFonts w:ascii="Times New Roman" w:hAnsi="Times New Roman"/>
          <w:noProof/>
          <w:sz w:val="24"/>
        </w:rPr>
        <w:t xml:space="preserve"> de la demande </w:t>
      </w:r>
      <w:r>
        <w:rPr>
          <w:rFonts w:ascii="Times New Roman" w:hAnsi="Times New Roman"/>
          <w:b/>
          <w:bCs/>
          <w:noProof/>
          <w:sz w:val="24"/>
        </w:rPr>
        <w:t>est essentielle pour guider les décisions d’investissement du secteur</w:t>
      </w:r>
      <w:r>
        <w:rPr>
          <w:rFonts w:ascii="Times New Roman" w:hAnsi="Times New Roman"/>
          <w:noProof/>
          <w:sz w:val="24"/>
        </w:rPr>
        <w:t xml:space="preserve">. Pour aider à remédier à cette situation, la Commission collaborera avec l’entité des GRD de l’UE afin de </w:t>
      </w:r>
      <w:r>
        <w:rPr>
          <w:rFonts w:ascii="Times New Roman" w:hAnsi="Times New Roman"/>
          <w:b/>
          <w:bCs/>
          <w:noProof/>
          <w:sz w:val="24"/>
        </w:rPr>
        <w:t>mettre en place, d’ici au forum 2026 sur les infrastructures énergétiques, une plateforme pour la planification des réseaux de distribution de l’UE</w:t>
      </w:r>
      <w:r>
        <w:rPr>
          <w:rFonts w:ascii="Times New Roman" w:hAnsi="Times New Roman"/>
          <w:noProof/>
          <w:sz w:val="24"/>
        </w:rPr>
        <w:t xml:space="preserve"> qui offrira une visibilité au niveau de la distribution sur les plans futurs et les besoins de fabrication connexes dans l’ensemble des États membres. La Commission promeut activement une série de mesures visant à atténuer les pressions exercées sur la chaîne d’approvisionnement, notamment en renforçant ses travaux, lancés dans le cadre de l’action 13 du plan d’action pour les réseaux, afin de rationaliser et d’harmoniser </w:t>
      </w:r>
      <w:r>
        <w:rPr>
          <w:rFonts w:ascii="Times New Roman" w:hAnsi="Times New Roman"/>
          <w:b/>
          <w:bCs/>
          <w:noProof/>
          <w:sz w:val="24"/>
        </w:rPr>
        <w:t>les spécifications technologiques et les exigences techniques communes</w:t>
      </w:r>
      <w:r>
        <w:rPr>
          <w:rFonts w:ascii="Times New Roman" w:hAnsi="Times New Roman"/>
          <w:noProof/>
          <w:sz w:val="24"/>
        </w:rPr>
        <w:t xml:space="preserve"> et d’améliorer l’interopérabilité des systèmes HTCC. La </w:t>
      </w:r>
      <w:r>
        <w:rPr>
          <w:rFonts w:ascii="Times New Roman" w:hAnsi="Times New Roman"/>
          <w:b/>
          <w:bCs/>
          <w:noProof/>
          <w:sz w:val="24"/>
        </w:rPr>
        <w:t>modernisation du cadre européen régissant les marchés publics</w:t>
      </w:r>
      <w:r>
        <w:rPr>
          <w:rFonts w:ascii="Times New Roman" w:hAnsi="Times New Roman"/>
          <w:noProof/>
          <w:sz w:val="24"/>
        </w:rPr>
        <w:t>, annoncée pour l’année prochaine, sera également capitale pour continuer à promouvoir l’objectif consistant à soutenir notre base manufacturière, y compris les technologies de réseaux «Made in Europe».</w:t>
      </w:r>
    </w:p>
    <w:p w14:paraId="558E8E86" w14:textId="77777777" w:rsidR="00C36F54" w:rsidRPr="00C36F54" w:rsidRDefault="00C36F54" w:rsidP="00C36F54">
      <w:pPr>
        <w:jc w:val="both"/>
        <w:rPr>
          <w:rFonts w:ascii="Times New Roman" w:hAnsi="Times New Roman" w:cs="Times New Roman"/>
          <w:bCs/>
          <w:iCs/>
          <w:noProof/>
          <w:sz w:val="24"/>
          <w:szCs w:val="24"/>
        </w:rPr>
      </w:pPr>
      <w:r>
        <w:rPr>
          <w:rFonts w:ascii="Times New Roman" w:hAnsi="Times New Roman"/>
          <w:noProof/>
          <w:sz w:val="24"/>
        </w:rPr>
        <w:t xml:space="preserve">Troisièmement, la </w:t>
      </w:r>
      <w:r>
        <w:rPr>
          <w:rFonts w:ascii="Times New Roman" w:hAnsi="Times New Roman"/>
          <w:b/>
          <w:bCs/>
          <w:noProof/>
          <w:sz w:val="24"/>
          <w:u w:val="single"/>
        </w:rPr>
        <w:t>mobilisation d’investissements privés</w:t>
      </w:r>
      <w:r>
        <w:rPr>
          <w:rFonts w:ascii="Times New Roman" w:hAnsi="Times New Roman"/>
          <w:noProof/>
          <w:sz w:val="24"/>
        </w:rPr>
        <w:t xml:space="preserve"> est nécessaire pour garantir un </w:t>
      </w:r>
      <w:r>
        <w:rPr>
          <w:rFonts w:ascii="Times New Roman" w:hAnsi="Times New Roman"/>
          <w:b/>
          <w:bCs/>
          <w:noProof/>
          <w:sz w:val="24"/>
        </w:rPr>
        <w:t>déploiement du réseau à un prix abordable</w:t>
      </w:r>
      <w:r>
        <w:rPr>
          <w:rFonts w:ascii="Times New Roman" w:hAnsi="Times New Roman"/>
          <w:noProof/>
          <w:sz w:val="24"/>
        </w:rPr>
        <w:t>. Étant donné que les infrastructures de réseau sont en grande partie financées par les tarifs, la réalisation des investissements importants nécessaires (1 200 milliards d’EUR d’ici à 2040 pour les réseaux électriques, dont 730 milliards d’EUR pour les seuls réseaux de distribution et 240 milliards d’EUR pour les réseaux d’hydrogène</w:t>
      </w:r>
      <w:r>
        <w:rPr>
          <w:rFonts w:ascii="Times New Roman" w:hAnsi="Times New Roman" w:cs="Times New Roman"/>
          <w:noProof/>
          <w:sz w:val="24"/>
          <w:szCs w:val="24"/>
          <w:vertAlign w:val="superscript"/>
        </w:rPr>
        <w:footnoteReference w:id="27"/>
      </w:r>
      <w:r>
        <w:rPr>
          <w:rFonts w:ascii="Times New Roman" w:hAnsi="Times New Roman"/>
          <w:noProof/>
          <w:sz w:val="24"/>
        </w:rPr>
        <w:t xml:space="preserve">) constitue un défi. S’appuyer sur le cadre actuel pourrait entraîner une hausse des prix pour les consommateurs, ce qui rendrait nécessaire une action de l’UE dans ce domaine. </w:t>
      </w:r>
    </w:p>
    <w:p w14:paraId="58FE84BE" w14:textId="39AD024A"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Nous devons donc garantir l’adaptation des redevances de réseau aux enjeux du futur</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w:t>
      </w:r>
      <w:r>
        <w:rPr>
          <w:rFonts w:ascii="Times New Roman" w:hAnsi="Times New Roman"/>
          <w:b/>
          <w:bCs/>
          <w:noProof/>
          <w:sz w:val="24"/>
        </w:rPr>
        <w:t>en explorant d’autres moyens de financer les infrastructures</w:t>
      </w:r>
      <w:r>
        <w:rPr>
          <w:rFonts w:ascii="Times New Roman" w:hAnsi="Times New Roman"/>
          <w:noProof/>
          <w:sz w:val="24"/>
        </w:rPr>
        <w:t xml:space="preserve"> au besoin, notamment en exigeant qu’une partie des </w:t>
      </w:r>
      <w:r>
        <w:rPr>
          <w:rFonts w:ascii="Times New Roman" w:hAnsi="Times New Roman"/>
          <w:b/>
          <w:bCs/>
          <w:noProof/>
          <w:sz w:val="24"/>
        </w:rPr>
        <w:t>recettes provenant de la congestion</w:t>
      </w:r>
      <w:r>
        <w:rPr>
          <w:rFonts w:ascii="Times New Roman" w:hAnsi="Times New Roman"/>
          <w:noProof/>
          <w:sz w:val="24"/>
        </w:rPr>
        <w:t xml:space="preserve"> soit utilisée </w:t>
      </w:r>
      <w:r>
        <w:rPr>
          <w:rFonts w:ascii="Times New Roman" w:hAnsi="Times New Roman"/>
          <w:b/>
          <w:bCs/>
          <w:noProof/>
          <w:sz w:val="24"/>
        </w:rPr>
        <w:t>pour des investissements dans les interconnecteurs figurant sur la liste des PIC/PIM</w:t>
      </w:r>
      <w:r>
        <w:rPr>
          <w:rFonts w:ascii="Times New Roman" w:hAnsi="Times New Roman"/>
          <w:noProof/>
          <w:sz w:val="24"/>
        </w:rPr>
        <w:t xml:space="preserve">. En outre, les infrastructures énergétiques transfrontières s’intégrant de plus en plus, </w:t>
      </w:r>
      <w:r>
        <w:rPr>
          <w:rFonts w:ascii="Times New Roman" w:hAnsi="Times New Roman"/>
          <w:b/>
          <w:bCs/>
          <w:noProof/>
          <w:sz w:val="24"/>
        </w:rPr>
        <w:t>un plus grand nombre de projets génère des avantages au-delà des territoires où ils sont construits</w:t>
      </w:r>
      <w:r>
        <w:rPr>
          <w:rFonts w:ascii="Times New Roman" w:hAnsi="Times New Roman"/>
          <w:noProof/>
          <w:sz w:val="24"/>
        </w:rPr>
        <w:t xml:space="preserve">. Il est donc essentiel de répartir les coûts de manière équitable et transparente afin d’éviter d’imposer des charges disproportionnées aux consommateurs locaux. Pour y parvenir, le train de mesures sur les réseaux européens vise à garantir plus de transparence, de certitude et d’équité dans la manière dont les coûts et les avantages sont évalués et répartis, et à </w:t>
      </w:r>
      <w:r>
        <w:rPr>
          <w:rFonts w:ascii="Times New Roman" w:hAnsi="Times New Roman"/>
          <w:b/>
          <w:bCs/>
          <w:noProof/>
          <w:sz w:val="24"/>
        </w:rPr>
        <w:t>permettre le regroupement des PIC ou des PIM</w:t>
      </w:r>
      <w:r>
        <w:rPr>
          <w:rFonts w:ascii="Times New Roman" w:hAnsi="Times New Roman"/>
          <w:noProof/>
          <w:sz w:val="24"/>
        </w:rPr>
        <w:t xml:space="preserve"> afin de faciliter les discussions sur la répartition des coûts. Le regroupement peut également faciliter le financement, par exemple grâce à l’établissement d’entités ad hoc, attirant ainsi des investissements supplémentaires. </w:t>
      </w:r>
    </w:p>
    <w:p w14:paraId="15D44244" w14:textId="570787F5" w:rsidR="00660F4D" w:rsidRDefault="00C36F54" w:rsidP="00C36F54">
      <w:pPr>
        <w:jc w:val="both"/>
        <w:rPr>
          <w:rFonts w:ascii="Times New Roman" w:hAnsi="Times New Roman" w:cs="Times New Roman"/>
          <w:noProof/>
          <w:sz w:val="24"/>
          <w:szCs w:val="24"/>
        </w:rPr>
      </w:pPr>
      <w:r>
        <w:rPr>
          <w:rFonts w:ascii="Times New Roman" w:hAnsi="Times New Roman"/>
          <w:noProof/>
          <w:sz w:val="24"/>
        </w:rPr>
        <w:t>L’Europe intensifie son soutien financier aux infrastructures énergétiques. La législation récemment adoptée sur l’examen à mi-parcours de la politique de cohésion permet aux autorités nationales et régionales de réaffecter les fonds de la période 2021-2027 à des priorités clés, telles que la transition énergétique</w:t>
      </w:r>
      <w:r>
        <w:rPr>
          <w:rStyle w:val="FootnoteReference"/>
          <w:rFonts w:ascii="Times New Roman" w:hAnsi="Times New Roman" w:cs="Times New Roman"/>
          <w:noProof/>
          <w:sz w:val="24"/>
          <w:szCs w:val="24"/>
        </w:rPr>
        <w:footnoteReference w:id="29"/>
      </w:r>
      <w:r>
        <w:rPr>
          <w:noProof/>
        </w:rPr>
        <w:t>.</w:t>
      </w:r>
      <w:r>
        <w:rPr>
          <w:rFonts w:ascii="Times New Roman" w:hAnsi="Times New Roman"/>
          <w:noProof/>
          <w:sz w:val="24"/>
        </w:rPr>
        <w:t xml:space="preserve"> En outre, la proposition de la Commission relative au prochain </w:t>
      </w:r>
      <w:r>
        <w:rPr>
          <w:rFonts w:ascii="Times New Roman" w:hAnsi="Times New Roman"/>
          <w:b/>
          <w:bCs/>
          <w:noProof/>
          <w:sz w:val="24"/>
        </w:rPr>
        <w:t>cadre financier pluriannuel</w:t>
      </w:r>
      <w:r>
        <w:rPr>
          <w:rFonts w:ascii="Times New Roman" w:hAnsi="Times New Roman" w:cs="Times New Roman"/>
          <w:noProof/>
          <w:sz w:val="24"/>
          <w:szCs w:val="24"/>
          <w:vertAlign w:val="superscript"/>
        </w:rPr>
        <w:footnoteReference w:id="30"/>
      </w:r>
      <w:r>
        <w:rPr>
          <w:rFonts w:ascii="Times New Roman" w:hAnsi="Times New Roman"/>
          <w:noProof/>
          <w:sz w:val="24"/>
        </w:rPr>
        <w:t xml:space="preserve"> prévoit un renforcement significatif du </w:t>
      </w:r>
      <w:r>
        <w:rPr>
          <w:rFonts w:ascii="Times New Roman" w:hAnsi="Times New Roman"/>
          <w:b/>
          <w:bCs/>
          <w:noProof/>
          <w:sz w:val="24"/>
        </w:rPr>
        <w:t>mécanisme pour l’interconnexion en Europe</w:t>
      </w:r>
      <w:r>
        <w:rPr>
          <w:rFonts w:ascii="Times New Roman" w:hAnsi="Times New Roman"/>
          <w:noProof/>
          <w:sz w:val="24"/>
        </w:rPr>
        <w:t xml:space="preserve">. Toutefois, le financement de l’UE ne peut à lui seul répondre à nos besoins d’investissement massifs. Le budget de l’UE doit jouer un rôle plus important dans la réduction des risques liés aux investissements privés et le déblocage des financements par les investisseurs institutionnels. La future </w:t>
      </w:r>
      <w:r>
        <w:rPr>
          <w:rFonts w:ascii="Times New Roman" w:hAnsi="Times New Roman"/>
          <w:b/>
          <w:bCs/>
          <w:noProof/>
          <w:sz w:val="24"/>
        </w:rPr>
        <w:t>stratégie d’investissement dans les énergies propres</w:t>
      </w:r>
      <w:r>
        <w:rPr>
          <w:rFonts w:ascii="Times New Roman" w:hAnsi="Times New Roman"/>
          <w:noProof/>
          <w:sz w:val="24"/>
        </w:rPr>
        <w:t xml:space="preserve"> proposera des actions concrètes visant à mobiliser et à garantir un soutien accru des </w:t>
      </w:r>
      <w:r>
        <w:rPr>
          <w:rFonts w:ascii="Times New Roman" w:hAnsi="Times New Roman"/>
          <w:b/>
          <w:bCs/>
          <w:noProof/>
          <w:sz w:val="24"/>
        </w:rPr>
        <w:t>investissements du secteur privé</w:t>
      </w:r>
      <w:r>
        <w:rPr>
          <w:rFonts w:ascii="Times New Roman" w:hAnsi="Times New Roman"/>
          <w:noProof/>
          <w:sz w:val="24"/>
        </w:rPr>
        <w:t>, notamment avec le soutien de la BEI, partenaire clé dans l’accélération du déploiement du réseau.</w:t>
      </w:r>
    </w:p>
    <w:p w14:paraId="608F07F8" w14:textId="201EDA48"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En ce qui concerne l’</w:t>
      </w:r>
      <w:r>
        <w:rPr>
          <w:rFonts w:ascii="Times New Roman" w:hAnsi="Times New Roman"/>
          <w:b/>
          <w:bCs/>
          <w:noProof/>
          <w:sz w:val="24"/>
        </w:rPr>
        <w:t>hydrogène</w:t>
      </w:r>
      <w:r>
        <w:rPr>
          <w:rFonts w:ascii="Times New Roman" w:hAnsi="Times New Roman"/>
          <w:noProof/>
          <w:sz w:val="24"/>
        </w:rPr>
        <w:t xml:space="preserve">, le développement des projets reste lent en raison d’une bancabilité limitée et de risques élevés tout au long de la chaîne de valeur. Pour remédier à cette situation, </w:t>
      </w:r>
      <w:r>
        <w:rPr>
          <w:rFonts w:ascii="Times New Roman" w:hAnsi="Times New Roman"/>
          <w:b/>
          <w:bCs/>
          <w:noProof/>
          <w:sz w:val="24"/>
        </w:rPr>
        <w:t>la Commission évaluera et, le cas échéant, soutiendra la mise en œuvre de solutions possibles</w:t>
      </w:r>
      <w:r>
        <w:rPr>
          <w:rFonts w:ascii="Times New Roman" w:hAnsi="Times New Roman"/>
          <w:noProof/>
          <w:sz w:val="24"/>
        </w:rPr>
        <w:t xml:space="preserve">, telles que les contrats d’écart compensatoire ou la coordination transfrontière des outils réglementaires, y compris dans le cadre des </w:t>
      </w:r>
      <w:r>
        <w:rPr>
          <w:rFonts w:ascii="Times New Roman" w:hAnsi="Times New Roman"/>
          <w:b/>
          <w:bCs/>
          <w:noProof/>
          <w:sz w:val="24"/>
        </w:rPr>
        <w:t>groupes régionaux de haut niveau</w:t>
      </w:r>
      <w:r>
        <w:rPr>
          <w:rFonts w:ascii="Times New Roman" w:hAnsi="Times New Roman"/>
          <w:noProof/>
          <w:sz w:val="24"/>
        </w:rPr>
        <w:t xml:space="preserve">, afin de garantir des </w:t>
      </w:r>
      <w:r>
        <w:rPr>
          <w:rFonts w:ascii="Times New Roman" w:hAnsi="Times New Roman"/>
          <w:b/>
          <w:bCs/>
          <w:noProof/>
          <w:sz w:val="24"/>
        </w:rPr>
        <w:t>progrès coordonnés</w:t>
      </w:r>
      <w:r>
        <w:rPr>
          <w:rFonts w:ascii="Times New Roman" w:hAnsi="Times New Roman"/>
          <w:noProof/>
          <w:sz w:val="24"/>
        </w:rPr>
        <w:t xml:space="preserve"> et de </w:t>
      </w:r>
      <w:r>
        <w:rPr>
          <w:rFonts w:ascii="Times New Roman" w:hAnsi="Times New Roman"/>
          <w:b/>
          <w:bCs/>
          <w:noProof/>
          <w:sz w:val="24"/>
        </w:rPr>
        <w:t>contribuer à combler les déficits de financement</w:t>
      </w:r>
      <w:r>
        <w:rPr>
          <w:rFonts w:ascii="Times New Roman" w:hAnsi="Times New Roman"/>
          <w:noProof/>
          <w:sz w:val="24"/>
        </w:rPr>
        <w:t xml:space="preserve">. </w:t>
      </w:r>
    </w:p>
    <w:p w14:paraId="6A31AACE" w14:textId="23859DD9" w:rsidR="00C36F54" w:rsidRPr="00C36F54" w:rsidRDefault="004A1ACA" w:rsidP="00C36F54">
      <w:pPr>
        <w:jc w:val="both"/>
        <w:rPr>
          <w:rFonts w:ascii="Times New Roman" w:eastAsia="Calibri" w:hAnsi="Times New Roman" w:cs="Times New Roman"/>
          <w:noProof/>
          <w:sz w:val="24"/>
          <w:szCs w:val="24"/>
        </w:rPr>
      </w:pPr>
      <w:r>
        <w:rPr>
          <w:rFonts w:ascii="Times New Roman" w:hAnsi="Times New Roman"/>
          <w:noProof/>
          <w:sz w:val="24"/>
        </w:rPr>
        <w:t xml:space="preserve">Quatrièmement, le </w:t>
      </w:r>
      <w:r>
        <w:rPr>
          <w:rFonts w:ascii="Times New Roman" w:hAnsi="Times New Roman"/>
          <w:b/>
          <w:bCs/>
          <w:noProof/>
          <w:sz w:val="24"/>
          <w:u w:val="single"/>
        </w:rPr>
        <w:t>renforcement de la sécurité et de la résilience de nos infrastructures énergétiques</w:t>
      </w:r>
      <w:r>
        <w:rPr>
          <w:rFonts w:ascii="Times New Roman" w:hAnsi="Times New Roman"/>
          <w:noProof/>
          <w:sz w:val="24"/>
        </w:rPr>
        <w:t xml:space="preserve"> est essentiel dans le contexte géopolitique actuel et compte tenu de l’augmentation des risques liés au climat. Les incidents survenus récemment en mer Baltique, y compris les dommages causés au «Balticconnector» et à EstLink 2, mettent en évidence les vulnérabilités des actifs énergétiques transfrontaliers, tandis que les événements liés au climat et les perturbations accidentelles restent des risques importants pour la sécurité de notre approvisionnement.</w:t>
      </w:r>
    </w:p>
    <w:p w14:paraId="0E728864" w14:textId="3EBFA2F7" w:rsidR="00C36F54" w:rsidRPr="00C36F54" w:rsidRDefault="00C36F54" w:rsidP="00C36F54">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Afin de préserver l’indépendance énergétique de l’UE, le train de mesures sur les réseaux intègre dès le départ des considérations relatives à la sécurité physique et à la cybersécurité dans la planification transfrontière des projets, en promouvant la résilience et la sécurité dès la conception de nouvelles infrastructures, renforce la transparence en matière de propriété afin d’éviter la dépendance à l’égard d’entités étrangères à haut risque, et fait en sorte que les améliorations apportées à la sécurité physique, à la cybersécurité et à la résilience des infrastructures existantes puissent bénéficier d’un financement au titre du MIE tout en évitant les chevauchements avec d’autres aides financières de l’UE.</w:t>
      </w:r>
      <w:r>
        <w:rPr>
          <w:noProof/>
        </w:rPr>
        <w:t xml:space="preserve"> </w:t>
      </w:r>
      <w:r>
        <w:rPr>
          <w:rFonts w:ascii="Times New Roman" w:hAnsi="Times New Roman"/>
          <w:noProof/>
          <w:sz w:val="24"/>
        </w:rPr>
        <w:t>En outre, en s’appuyant sur le plan d’action pour la sécurité des câbles, la Commission poursuivra ses travaux par l’intermédiaire des pôles régionaux de câbles et renforcera l’application de la boîte à outils pour la sécurité des câbles</w:t>
      </w:r>
      <w:r>
        <w:rPr>
          <w:rStyle w:val="FootnoteReference"/>
          <w:rFonts w:ascii="Times New Roman" w:eastAsia="Times New Roman" w:hAnsi="Times New Roman" w:cs="Times New Roman"/>
          <w:noProof/>
          <w:kern w:val="0"/>
          <w:sz w:val="24"/>
          <w:szCs w:val="24"/>
        </w:rPr>
        <w:footnoteReference w:id="31"/>
      </w:r>
      <w:r>
        <w:rPr>
          <w:noProof/>
        </w:rPr>
        <w:t>.</w:t>
      </w:r>
    </w:p>
    <w:p w14:paraId="5AE718DA" w14:textId="77777777" w:rsidR="00C36F54" w:rsidRPr="00C36F54" w:rsidRDefault="00C36F54" w:rsidP="00C36F54">
      <w:pPr>
        <w:spacing w:after="0" w:line="240" w:lineRule="auto"/>
        <w:rPr>
          <w:rFonts w:ascii="Times New Roman" w:eastAsia="Times New Roman" w:hAnsi="Times New Roman" w:cs="Times New Roman"/>
          <w:noProof/>
          <w:kern w:val="0"/>
          <w:sz w:val="24"/>
          <w:szCs w:val="24"/>
          <w14:ligatures w14:val="none"/>
        </w:rPr>
      </w:pPr>
    </w:p>
    <w:p w14:paraId="6EB149B2" w14:textId="77777777" w:rsidR="00C36F54" w:rsidRPr="00C36F54" w:rsidRDefault="00C36F54" w:rsidP="00C36F54">
      <w:pPr>
        <w:spacing w:after="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3. Huit priorités pour l’épine dorsale énergétique de l’Europe: l’initiative «Autoroutes de l’énergie» </w:t>
      </w:r>
    </w:p>
    <w:p w14:paraId="22651E16" w14:textId="77777777" w:rsidR="00C36F54" w:rsidRPr="00C36F54" w:rsidRDefault="00C36F54" w:rsidP="00C36F54">
      <w:pPr>
        <w:spacing w:after="0" w:line="240" w:lineRule="auto"/>
        <w:jc w:val="both"/>
        <w:rPr>
          <w:rFonts w:ascii="Times New Roman" w:eastAsia="Times New Roman" w:hAnsi="Times New Roman" w:cs="Times New Roman"/>
          <w:noProof/>
          <w:kern w:val="0"/>
          <w:sz w:val="24"/>
          <w:szCs w:val="24"/>
          <w14:ligatures w14:val="none"/>
        </w:rPr>
      </w:pPr>
    </w:p>
    <w:p w14:paraId="1249CBA6" w14:textId="0D236C59" w:rsidR="003F013A" w:rsidRDefault="00C36F54" w:rsidP="00C36F54">
      <w:pPr>
        <w:jc w:val="both"/>
        <w:rPr>
          <w:rFonts w:ascii="Times New Roman" w:hAnsi="Times New Roman" w:cs="Times New Roman"/>
          <w:noProof/>
          <w:sz w:val="24"/>
          <w:szCs w:val="24"/>
        </w:rPr>
      </w:pPr>
      <w:r>
        <w:rPr>
          <w:rFonts w:ascii="Times New Roman" w:hAnsi="Times New Roman"/>
          <w:noProof/>
          <w:sz w:val="24"/>
        </w:rPr>
        <w:t>Dans son discours sur l’état de l’Union du 10 septembre 2025, la présidente von der Leyen a annoncé huit «</w:t>
      </w:r>
      <w:r>
        <w:rPr>
          <w:rFonts w:ascii="Times New Roman" w:hAnsi="Times New Roman"/>
          <w:b/>
          <w:bCs/>
          <w:noProof/>
          <w:sz w:val="24"/>
        </w:rPr>
        <w:t>autoroutes de l’énergie</w:t>
      </w:r>
      <w:r>
        <w:rPr>
          <w:rFonts w:ascii="Times New Roman" w:hAnsi="Times New Roman"/>
          <w:noProof/>
          <w:sz w:val="24"/>
        </w:rPr>
        <w:t xml:space="preserve">». S’appuyant sur les PIC et PIM existants dans le cadre des RTE-E, ainsi que sur les projets phares mentionnés dans le plan d’action pour une énergie abordable, les autoroutes de l’énergie répondent aux </w:t>
      </w:r>
      <w:r>
        <w:rPr>
          <w:rFonts w:ascii="Times New Roman" w:hAnsi="Times New Roman"/>
          <w:b/>
          <w:bCs/>
          <w:noProof/>
          <w:sz w:val="24"/>
        </w:rPr>
        <w:t>besoins les plus urgents en matière d’infrastructures énergétiques nécessitant un soutien et un engagement supplémentaires particuliers à court terme pour leur mise en œuvre afin d’éliminer les goulets d’étranglement qui entravent les progrès</w:t>
      </w:r>
      <w:r>
        <w:rPr>
          <w:rStyle w:val="FootnoteReference"/>
          <w:rFonts w:ascii="Times New Roman" w:hAnsi="Times New Roman" w:cs="Times New Roman"/>
          <w:noProof/>
          <w:sz w:val="24"/>
          <w:szCs w:val="24"/>
        </w:rPr>
        <w:footnoteReference w:id="32"/>
      </w:r>
      <w:r>
        <w:rPr>
          <w:noProof/>
        </w:rPr>
        <w:t>.</w:t>
      </w:r>
      <w:r>
        <w:rPr>
          <w:rFonts w:ascii="Times New Roman" w:hAnsi="Times New Roman"/>
          <w:noProof/>
          <w:sz w:val="24"/>
        </w:rPr>
        <w:t xml:space="preserve"> </w:t>
      </w:r>
    </w:p>
    <w:p w14:paraId="1C40058A" w14:textId="1384F8C5"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Les autoroutes de l’énergie renforceront la sécurité énergétique, réduiront la dépendance aux combustibles fossiles, intégreront davantage les énergies renouvelables dans le réseau, favoriseront l’électrification, feront baisser les prix de l’énergie, accéléreront la mise en œuvre du plan REPowerEU et aideront les États membres à s’adapter à l’abandon progressif des importations de combustibles fossiles russes. De nombreuses autoroutes de l’énergie ont le statut de PIC ou de PIM dans la deuxième liste des PIC et des PIM de l’Union publiée le 1</w:t>
      </w:r>
      <w:r>
        <w:rPr>
          <w:rFonts w:ascii="Times New Roman" w:hAnsi="Times New Roman"/>
          <w:noProof/>
          <w:sz w:val="24"/>
          <w:vertAlign w:val="superscript"/>
        </w:rPr>
        <w:t>er</w:t>
      </w:r>
      <w:r>
        <w:rPr>
          <w:rFonts w:ascii="Times New Roman" w:hAnsi="Times New Roman"/>
          <w:noProof/>
          <w:sz w:val="24"/>
        </w:rPr>
        <w:t> décembre 2025, qui comprend 235 projets d’infrastructures énergétiques transfrontalières au sein de l’UE et avec des partenaires de pays tiers, tels que le «Celtic Interconnector», le «Black Sea interconnection cable» et EstLink 3. Dans le cadre des RTE-E, tous les PIC et PIM figurant sur la liste de l’Union bénéficient de plusieurs avantages, notamment un statut prioritaire et des procédures simplifiées d’octroi de permis, ainsi que la possibilité de solliciter une aide financière au titre du mécanisme pour l’interconnexion en Europe.</w:t>
      </w:r>
    </w:p>
    <w:p w14:paraId="5F2146EA" w14:textId="1CAB34E2" w:rsidR="00C36F54" w:rsidRPr="00C36F54" w:rsidRDefault="00E5356D" w:rsidP="0010381B">
      <w:pPr>
        <w:jc w:val="center"/>
        <w:rPr>
          <w:rFonts w:ascii="Times New Roman" w:hAnsi="Times New Roman" w:cs="Times New Roman"/>
          <w:noProof/>
          <w:sz w:val="24"/>
          <w:szCs w:val="24"/>
        </w:rPr>
      </w:pPr>
      <w:r w:rsidRPr="00E5356D">
        <w:rPr>
          <w:rFonts w:ascii="Times New Roman" w:hAnsi="Times New Roman" w:cs="Times New Roman"/>
          <w:noProof/>
          <w:sz w:val="24"/>
          <w:szCs w:val="24"/>
          <w:lang w:val="en-GB" w:eastAsia="en-GB"/>
        </w:rPr>
        <w:drawing>
          <wp:inline distT="0" distB="0" distL="0" distR="0" wp14:anchorId="6F187E6B" wp14:editId="0B14560F">
            <wp:extent cx="5731510" cy="5849620"/>
            <wp:effectExtent l="0" t="0" r="2540" b="0"/>
            <wp:docPr id="1506602880" name="Picture 1" descr="A map of europe with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02880" name="Picture 1" descr="A map of europe with different countries/regions&#10;&#10;AI-generated content may be incorrect."/>
                    <pic:cNvPicPr/>
                  </pic:nvPicPr>
                  <pic:blipFill>
                    <a:blip r:embed="rId15"/>
                    <a:stretch>
                      <a:fillRect/>
                    </a:stretch>
                  </pic:blipFill>
                  <pic:spPr>
                    <a:xfrm>
                      <a:off x="0" y="0"/>
                      <a:ext cx="5731510" cy="5849620"/>
                    </a:xfrm>
                    <a:prstGeom prst="rect">
                      <a:avLst/>
                    </a:prstGeom>
                  </pic:spPr>
                </pic:pic>
              </a:graphicData>
            </a:graphic>
          </wp:inline>
        </w:drawing>
      </w:r>
    </w:p>
    <w:p w14:paraId="1AAA594D" w14:textId="69306257" w:rsidR="00C36F54" w:rsidRPr="00C36F54" w:rsidRDefault="00C36F54" w:rsidP="7D5B2916">
      <w:pPr>
        <w:jc w:val="center"/>
        <w:rPr>
          <w:rFonts w:ascii="Times New Roman" w:hAnsi="Times New Roman" w:cs="Times New Roman"/>
          <w:i/>
          <w:iCs/>
          <w:noProof/>
          <w:sz w:val="20"/>
          <w:szCs w:val="20"/>
        </w:rPr>
      </w:pPr>
      <w:r>
        <w:rPr>
          <w:rFonts w:ascii="Times New Roman" w:hAnsi="Times New Roman"/>
          <w:i/>
          <w:noProof/>
          <w:sz w:val="20"/>
        </w:rPr>
        <w:t xml:space="preserve">Figure 1. Carte des huit autoroutes de l’énergie </w:t>
      </w:r>
    </w:p>
    <w:p w14:paraId="14308DBB"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1. Transpyrénéenne 1 et Transpyrénéenne 2 [</w:t>
      </w:r>
      <w:r>
        <w:rPr>
          <w:rFonts w:ascii="Times New Roman" w:hAnsi="Times New Roman"/>
          <w:i/>
          <w:iCs/>
          <w:noProof/>
          <w:sz w:val="24"/>
        </w:rPr>
        <w:t>Mieux intégrer la péninsule ibérique avec des liaisons d’interconnexion électrique à travers les Pyrénées vers la France</w:t>
      </w:r>
      <w:r>
        <w:rPr>
          <w:rFonts w:ascii="Times New Roman" w:hAnsi="Times New Roman"/>
          <w:noProof/>
          <w:sz w:val="24"/>
        </w:rPr>
        <w:t>]</w:t>
      </w:r>
    </w:p>
    <w:p w14:paraId="25B9FF99"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2. «Great Sea Interconnector» [</w:t>
      </w:r>
      <w:r>
        <w:rPr>
          <w:rFonts w:ascii="Times New Roman" w:hAnsi="Times New Roman"/>
          <w:i/>
          <w:iCs/>
          <w:noProof/>
          <w:sz w:val="24"/>
        </w:rPr>
        <w:t>Relier Chypre à l’Europe continentale pour mettre fin à son isolement électrique</w:t>
      </w:r>
      <w:r>
        <w:rPr>
          <w:rFonts w:ascii="Times New Roman" w:hAnsi="Times New Roman"/>
          <w:noProof/>
          <w:sz w:val="24"/>
        </w:rPr>
        <w:t>]</w:t>
      </w:r>
    </w:p>
    <w:p w14:paraId="6B8F610D"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3. «Harmony Link» [</w:t>
      </w:r>
      <w:r>
        <w:rPr>
          <w:rFonts w:ascii="Times New Roman" w:hAnsi="Times New Roman"/>
          <w:i/>
          <w:iCs/>
          <w:noProof/>
          <w:sz w:val="24"/>
        </w:rPr>
        <w:t>Renforcer les liaisons électriques avec les États baltes</w:t>
      </w:r>
      <w:r>
        <w:rPr>
          <w:rFonts w:ascii="Times New Roman" w:hAnsi="Times New Roman"/>
          <w:noProof/>
          <w:sz w:val="24"/>
        </w:rPr>
        <w:t>]</w:t>
      </w:r>
    </w:p>
    <w:p w14:paraId="768B3312"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4. Flux inversé du gazoduc transbalkanique (TBP) [</w:t>
      </w:r>
      <w:r>
        <w:rPr>
          <w:rFonts w:ascii="Times New Roman" w:hAnsi="Times New Roman"/>
          <w:i/>
          <w:iCs/>
          <w:noProof/>
          <w:sz w:val="24"/>
        </w:rPr>
        <w:t>Améliorer l’approvisionnement énergétique dans la région des Balkans et les États voisins de l’Est</w:t>
      </w:r>
      <w:r>
        <w:rPr>
          <w:rFonts w:ascii="Times New Roman" w:hAnsi="Times New Roman"/>
          <w:noProof/>
          <w:sz w:val="24"/>
        </w:rPr>
        <w:t>]</w:t>
      </w:r>
    </w:p>
    <w:p w14:paraId="55332369"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5. «Bornholm Energy Island» [</w:t>
      </w:r>
      <w:r>
        <w:rPr>
          <w:rFonts w:ascii="Times New Roman" w:hAnsi="Times New Roman"/>
          <w:i/>
          <w:iCs/>
          <w:noProof/>
          <w:sz w:val="24"/>
        </w:rPr>
        <w:t>Faire de la mer Baltique une plateforme d’interconnexion en mer</w:t>
      </w:r>
      <w:r>
        <w:rPr>
          <w:rFonts w:ascii="Times New Roman" w:hAnsi="Times New Roman"/>
          <w:noProof/>
          <w:sz w:val="24"/>
        </w:rPr>
        <w:t>]</w:t>
      </w:r>
    </w:p>
    <w:p w14:paraId="25E26650"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6. Améliorer la stabilité des prix et la sécurité énergétique en Europe du Sud-Est</w:t>
      </w:r>
    </w:p>
    <w:p w14:paraId="797BC581"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7. Corridor SoutH2 [</w:t>
      </w:r>
      <w:r>
        <w:rPr>
          <w:rFonts w:ascii="Times New Roman" w:hAnsi="Times New Roman"/>
          <w:i/>
          <w:iCs/>
          <w:noProof/>
          <w:sz w:val="24"/>
        </w:rPr>
        <w:t>Corridor sud de l’hydrogène</w:t>
      </w:r>
      <w:r>
        <w:rPr>
          <w:rFonts w:ascii="Times New Roman" w:hAnsi="Times New Roman"/>
          <w:noProof/>
          <w:sz w:val="24"/>
        </w:rPr>
        <w:t>]</w:t>
      </w:r>
    </w:p>
    <w:p w14:paraId="1C54D9C8" w14:textId="77777777" w:rsidR="00C36F54" w:rsidRPr="00C36F54" w:rsidRDefault="00C36F54" w:rsidP="00C36F54">
      <w:pPr>
        <w:spacing w:after="0" w:line="240" w:lineRule="auto"/>
        <w:jc w:val="both"/>
        <w:rPr>
          <w:rFonts w:ascii="Times New Roman" w:hAnsi="Times New Roman" w:cs="Times New Roman"/>
          <w:noProof/>
          <w:sz w:val="24"/>
          <w:szCs w:val="24"/>
        </w:rPr>
      </w:pPr>
      <w:r>
        <w:rPr>
          <w:rFonts w:ascii="Times New Roman" w:hAnsi="Times New Roman"/>
          <w:noProof/>
          <w:sz w:val="24"/>
        </w:rPr>
        <w:t>8. Corridor sud-ouest de l’hydrogène du Portugal à l’Allemagne</w:t>
      </w:r>
    </w:p>
    <w:p w14:paraId="7E338121" w14:textId="77777777" w:rsidR="00C36F54" w:rsidRPr="00C36F54" w:rsidRDefault="00C36F54" w:rsidP="00C36F54">
      <w:pPr>
        <w:spacing w:after="0" w:line="240" w:lineRule="auto"/>
        <w:jc w:val="both"/>
        <w:rPr>
          <w:rFonts w:ascii="Times New Roman" w:hAnsi="Times New Roman" w:cs="Times New Roman"/>
          <w:i/>
          <w:iCs/>
          <w:noProof/>
          <w:sz w:val="24"/>
          <w:szCs w:val="24"/>
        </w:rPr>
      </w:pPr>
    </w:p>
    <w:p w14:paraId="494B0282" w14:textId="77777777" w:rsidR="00030457"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La Commission s’engage à </w:t>
      </w:r>
      <w:r>
        <w:rPr>
          <w:rFonts w:ascii="Times New Roman" w:hAnsi="Times New Roman"/>
          <w:b/>
          <w:bCs/>
          <w:noProof/>
          <w:sz w:val="24"/>
        </w:rPr>
        <w:t>accélérer</w:t>
      </w:r>
      <w:r>
        <w:rPr>
          <w:rFonts w:ascii="Times New Roman" w:hAnsi="Times New Roman"/>
          <w:noProof/>
          <w:sz w:val="24"/>
        </w:rPr>
        <w:t xml:space="preserve"> immédiatement </w:t>
      </w:r>
      <w:r>
        <w:rPr>
          <w:rFonts w:ascii="Times New Roman" w:hAnsi="Times New Roman"/>
          <w:b/>
          <w:bCs/>
          <w:noProof/>
          <w:sz w:val="24"/>
        </w:rPr>
        <w:t>la mise en place des autoroutes de l’énergie grâce à une coordination politique renforcée</w:t>
      </w:r>
      <w:r>
        <w:rPr>
          <w:rFonts w:ascii="Times New Roman" w:hAnsi="Times New Roman"/>
          <w:noProof/>
          <w:sz w:val="24"/>
        </w:rPr>
        <w:t xml:space="preserve">, en s’appuyant sur les groupes régionaux de haut niveau, en mobilisant le soutien des coordonnateurs européens, le cas échéant, et en collaborant étroitement avec le groupe de travail sur l’union de l’énergie, en étendant son action au-delà des États membres de l’UE si nécessaire. Chaque projet sera prioritaire au niveau de l’UE, et la Commission aidera les États membres à leur accorder la </w:t>
      </w:r>
      <w:r>
        <w:rPr>
          <w:rFonts w:ascii="Times New Roman" w:hAnsi="Times New Roman"/>
          <w:b/>
          <w:bCs/>
          <w:noProof/>
          <w:sz w:val="24"/>
        </w:rPr>
        <w:t>même priorité au niveau national</w:t>
      </w:r>
      <w:r>
        <w:rPr>
          <w:rFonts w:ascii="Times New Roman" w:hAnsi="Times New Roman"/>
          <w:noProof/>
          <w:sz w:val="24"/>
        </w:rPr>
        <w:t xml:space="preserve">. </w:t>
      </w:r>
    </w:p>
    <w:p w14:paraId="18EDC707" w14:textId="4C82999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Afin de garantir une </w:t>
      </w:r>
      <w:r>
        <w:rPr>
          <w:rFonts w:ascii="Times New Roman" w:hAnsi="Times New Roman"/>
          <w:b/>
          <w:bCs/>
          <w:noProof/>
          <w:sz w:val="24"/>
        </w:rPr>
        <w:t>coopération transfrontière efficace en matière d’octroi de permis</w:t>
      </w:r>
      <w:r>
        <w:rPr>
          <w:rFonts w:ascii="Times New Roman" w:hAnsi="Times New Roman"/>
          <w:noProof/>
          <w:sz w:val="24"/>
        </w:rPr>
        <w:t xml:space="preserve">, la Commission se concentrera sur les projets prioritaires d’interconnexion recensés, en renforçant son soutien aux États membres dans la définition de procédures conjointes pour un processus d’octroi de permis efficace et efficient, avec l’appui d’un coordonnateur européen, le cas échéant. Sur la base de cette expérience en matière de coordination plus étroite des procédures d’octroi de permis, la Commission pourrait envisager de nouvelles mesures. En outre, afin de renforcer les capacités administratives des autorités chargées de l’octroi des permis et la numérisation des procédures d’octroi des permis dans le domaine des énergies renouvelables, la Commission apportera un soutien aux États membres au moyen de mesures spécifiques qui compléteront le cadre réglementaire en matière d’autorisations. Il s’agira notamment de tirer parti d’outils tels que l’instrument d’appui technique et d’étudier la </w:t>
      </w:r>
      <w:bookmarkStart w:id="5" w:name="_Hlk215650741"/>
      <w:r>
        <w:rPr>
          <w:rFonts w:ascii="Times New Roman" w:hAnsi="Times New Roman"/>
          <w:noProof/>
          <w:sz w:val="24"/>
        </w:rPr>
        <w:t xml:space="preserve">création d’un mécanisme pilote en matière d’autorisations par le biais des </w:t>
      </w:r>
      <w:bookmarkEnd w:id="5"/>
      <w:r>
        <w:rPr>
          <w:rFonts w:ascii="Times New Roman" w:hAnsi="Times New Roman"/>
          <w:noProof/>
          <w:sz w:val="24"/>
        </w:rPr>
        <w:t xml:space="preserve">mécanismes consultatifs existants afin d’améliorer le renforcement des capacités et l’accès au financement pour les investissements et les réformes dans le domaine des autorisations. La Commission encouragera également le partage des connaissances sur les possibilités de financement et le développement de nouvelles plateformes numériques pour l’octroi de permis par l’intermédiaire du groupe d’experts sur l’octroi de permis.   </w:t>
      </w:r>
    </w:p>
    <w:p w14:paraId="45CF96DB" w14:textId="2300522C" w:rsidR="0010381B" w:rsidRDefault="00C36F54" w:rsidP="009664B4">
      <w:pPr>
        <w:jc w:val="both"/>
        <w:rPr>
          <w:rFonts w:ascii="Times New Roman" w:hAnsi="Times New Roman" w:cs="Times New Roman"/>
          <w:noProof/>
          <w:sz w:val="24"/>
          <w:szCs w:val="24"/>
        </w:rPr>
      </w:pPr>
      <w:r>
        <w:rPr>
          <w:rFonts w:ascii="Times New Roman" w:hAnsi="Times New Roman"/>
          <w:noProof/>
          <w:sz w:val="24"/>
        </w:rPr>
        <w:t>Certains projets sont déjà reconnus comme des projets importants d’intérêt européen commun (PIIEC), ce qui apporte des avantages supplémentaires en termes de financement et de coordination. De même, la Transpyrénéenne 1 et la Transpyrénéenne 2, le corridor sud-ouest de l’hydrogène et l’autoroute de l’Europe du Sud-Est seront désignés comme des projets pilotes dans le cadre de l’</w:t>
      </w:r>
      <w:r>
        <w:rPr>
          <w:rFonts w:ascii="Times New Roman" w:hAnsi="Times New Roman"/>
          <w:b/>
          <w:bCs/>
          <w:noProof/>
          <w:sz w:val="24"/>
        </w:rPr>
        <w:t>outil de coordination de la compétitivité</w:t>
      </w:r>
      <w:r>
        <w:rPr>
          <w:rFonts w:ascii="Times New Roman" w:hAnsi="Times New Roman"/>
          <w:noProof/>
          <w:sz w:val="24"/>
        </w:rPr>
        <w:t>, ce qui leur permettra de bénéficier de l’approche pangouvernementale et de la capacité spécifique de cet outil à traiter les questions horizontales. Les actions prioritaires qui seront mises en place dans le cadre de l’outil de coordination de la compétitivité seront menées en conjonction avec les efforts déployés par les groupes ou forums de haut niveau respectifs et refléteront les besoins spécifiques de chaque autoroute, tels que l’amélioration de la flexibilité du système énergétique, la résolution des problèmes liés à la chaîne d’approvisionnement ou les problèmes de financement.</w:t>
      </w:r>
    </w:p>
    <w:p w14:paraId="74F90AB7" w14:textId="31DA39DF"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En outre, des coordonnateurs européens ont récemment été attribués aux autoroutes de la région de la Baltique et de l’Europe centrale et du Sud-Est dans le cadre du RTE-E</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afin de faciliter la mise en œuvre des projets en temps utile, en encourageant le dialogue transfrontalier, en soutenant l’octroi des permis et le financement, en garantissant l’appui des États membres et en rendant compte des progrès accomplis et des obstacles rencontrés. </w:t>
      </w:r>
      <w:r>
        <w:rPr>
          <w:rFonts w:ascii="Times New Roman" w:hAnsi="Times New Roman"/>
          <w:b/>
          <w:bCs/>
          <w:noProof/>
          <w:sz w:val="24"/>
        </w:rPr>
        <w:t>La Commission renforcera</w:t>
      </w:r>
      <w:r>
        <w:rPr>
          <w:rFonts w:ascii="Times New Roman" w:hAnsi="Times New Roman"/>
          <w:noProof/>
          <w:sz w:val="24"/>
        </w:rPr>
        <w:t xml:space="preserve"> également </w:t>
      </w:r>
      <w:r>
        <w:rPr>
          <w:rFonts w:ascii="Times New Roman" w:hAnsi="Times New Roman"/>
          <w:b/>
          <w:bCs/>
          <w:noProof/>
          <w:sz w:val="24"/>
        </w:rPr>
        <w:t>les structures existantes et garantira des ressources spécifiques</w:t>
      </w:r>
      <w:r>
        <w:rPr>
          <w:rFonts w:ascii="Times New Roman" w:hAnsi="Times New Roman"/>
          <w:noProof/>
          <w:sz w:val="24"/>
        </w:rPr>
        <w:t xml:space="preserve"> afin de mettre davantage et continuellement l’accent sur la réalisation des huit autoroutes de l’énergie, en étroite coopération avec les coordonnateurs européens, le cas échéant.</w:t>
      </w:r>
    </w:p>
    <w:p w14:paraId="111D1102" w14:textId="77777777" w:rsid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La Commission </w:t>
      </w:r>
      <w:r>
        <w:rPr>
          <w:rFonts w:ascii="Times New Roman" w:hAnsi="Times New Roman"/>
          <w:b/>
          <w:bCs/>
          <w:noProof/>
          <w:sz w:val="24"/>
        </w:rPr>
        <w:t>collaborera activement avec tous les États membres concernés en tirant pleinement parti de la boîte à outils susmentionnée</w:t>
      </w:r>
      <w:r>
        <w:rPr>
          <w:rFonts w:ascii="Times New Roman" w:hAnsi="Times New Roman"/>
          <w:noProof/>
          <w:sz w:val="24"/>
        </w:rPr>
        <w:t xml:space="preserve"> pour garantir la bonne mise en œuvre des autoroutes de l’énergie. Des mises à jour périodiques sur les progrès réalisés seront présentées au Conseil européen afin de garantir l’engagement politique tout en veillant à la transparence et à la responsabilité.  </w:t>
      </w:r>
    </w:p>
    <w:p w14:paraId="2580E0E9" w14:textId="34AA8ECC" w:rsidR="00AA1996" w:rsidRDefault="00AA1996">
      <w:pPr>
        <w:rPr>
          <w:rFonts w:ascii="Times New Roman" w:hAnsi="Times New Roman" w:cs="Times New Roman"/>
          <w:noProof/>
          <w:sz w:val="24"/>
          <w:szCs w:val="24"/>
        </w:rPr>
      </w:pPr>
      <w:r>
        <w:rPr>
          <w:noProof/>
        </w:rPr>
        <w:br w:type="page"/>
      </w:r>
    </w:p>
    <w:p w14:paraId="0E350433" w14:textId="77777777" w:rsidR="00030457" w:rsidRDefault="00030457" w:rsidP="00C36F54">
      <w:pPr>
        <w:jc w:val="both"/>
        <w:rPr>
          <w:rFonts w:ascii="Times New Roman" w:hAnsi="Times New Roman" w:cs="Times New Roman"/>
          <w:noProof/>
          <w:sz w:val="24"/>
          <w:szCs w:val="24"/>
        </w:rPr>
      </w:pPr>
    </w:p>
    <w:p w14:paraId="703EC715" w14:textId="77777777" w:rsidR="00C36F54" w:rsidRPr="00C36F54" w:rsidRDefault="00C36F54" w:rsidP="00C36F54">
      <w:pPr>
        <w:jc w:val="center"/>
        <w:rPr>
          <w:rFonts w:ascii="Times New Roman" w:hAnsi="Times New Roman" w:cs="Times New Roman"/>
          <w:b/>
          <w:bCs/>
          <w:noProof/>
          <w:sz w:val="24"/>
          <w:szCs w:val="24"/>
          <w:u w:val="single"/>
        </w:rPr>
      </w:pPr>
      <w:r>
        <w:rPr>
          <w:rFonts w:ascii="Times New Roman" w:hAnsi="Times New Roman"/>
          <w:b/>
          <w:noProof/>
          <w:sz w:val="24"/>
          <w:u w:val="single"/>
        </w:rPr>
        <w:t>Annexe – Actions ciblées supplémentaires à court terme pour chacune des autoroutes de l’énergie</w:t>
      </w:r>
    </w:p>
    <w:p w14:paraId="3368697D"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Outre le soutien horizontal présenté ci-dessus, la Commission mettra en place des </w:t>
      </w:r>
      <w:r>
        <w:rPr>
          <w:rFonts w:ascii="Times New Roman" w:hAnsi="Times New Roman"/>
          <w:b/>
          <w:bCs/>
          <w:noProof/>
          <w:sz w:val="24"/>
        </w:rPr>
        <w:t>actions ciblées à court terme destinées à relever les défis spécifiques à chacune des autoroutes</w:t>
      </w:r>
      <w:r>
        <w:rPr>
          <w:rFonts w:ascii="Times New Roman" w:hAnsi="Times New Roman"/>
          <w:noProof/>
          <w:sz w:val="24"/>
        </w:rPr>
        <w:t xml:space="preserve">, afin de faire en sorte que des progrès et des résultats concrets puissent être obtenus dans les six à neuf prochains mois. </w:t>
      </w:r>
    </w:p>
    <w:p w14:paraId="47A3B9CD" w14:textId="0CC8AC7D" w:rsidR="00C36F54" w:rsidRPr="00C36F54" w:rsidRDefault="00C36F54" w:rsidP="00C36F54">
      <w:pPr>
        <w:jc w:val="both"/>
        <w:rPr>
          <w:rFonts w:ascii="Times New Roman" w:hAnsi="Times New Roman" w:cs="Times New Roman"/>
          <w:b/>
          <w:bCs/>
          <w:noProof/>
          <w:sz w:val="24"/>
          <w:szCs w:val="24"/>
          <w:u w:val="single"/>
        </w:rPr>
      </w:pPr>
      <w:r>
        <w:rPr>
          <w:rFonts w:ascii="Times New Roman" w:hAnsi="Times New Roman"/>
          <w:b/>
          <w:noProof/>
          <w:sz w:val="24"/>
          <w:u w:val="single"/>
        </w:rPr>
        <w:t>1.  Transpyrénéenne 1 et Transpyrénéenne 2 [</w:t>
      </w:r>
      <w:r>
        <w:rPr>
          <w:rFonts w:ascii="Times New Roman" w:hAnsi="Times New Roman"/>
          <w:b/>
          <w:i/>
          <w:iCs/>
          <w:noProof/>
          <w:sz w:val="24"/>
          <w:u w:val="single"/>
        </w:rPr>
        <w:t>Interconnexions électriques traversant les Pyrénées pour mieux intégrer la péninsule Ibérique</w:t>
      </w:r>
      <w:r>
        <w:rPr>
          <w:rFonts w:ascii="Times New Roman" w:hAnsi="Times New Roman"/>
          <w:b/>
          <w:noProof/>
          <w:sz w:val="24"/>
          <w:u w:val="single"/>
        </w:rPr>
        <w:t>]</w:t>
      </w:r>
    </w:p>
    <w:p w14:paraId="6F1BBBB2"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La péninsule Ibérique reste insuffisamment connectée au reste du marché de l’énergie de l’UE, la capacité transfrontalière actuelle entre la France et l’Espagne étant limitée à 2,5 GW. Cela entrave l’intégration du marché, entraîne des écarts de prix persistants et freine l’intégration des énergies renouvelables. Parallèlement au projet d’interconnexion du golfe de Gascogne en cours de réalisation, l’objectif de ces deux projets pyrénéens supplémentaires est de </w:t>
      </w:r>
      <w:r>
        <w:rPr>
          <w:rFonts w:ascii="Times New Roman" w:hAnsi="Times New Roman"/>
          <w:b/>
          <w:bCs/>
          <w:noProof/>
          <w:sz w:val="24"/>
        </w:rPr>
        <w:t>porter la capacité totale d’interconnexion à 8 GW d’ici à 2040</w:t>
      </w:r>
      <w:r>
        <w:rPr>
          <w:rFonts w:ascii="Times New Roman" w:hAnsi="Times New Roman"/>
          <w:noProof/>
          <w:sz w:val="24"/>
        </w:rPr>
        <w:t xml:space="preserve">, de renforcer la résilience du réseau et de réduire le délestage de la production d’énergie renouvelable. Les deux projets d’interconnexion pyrénéens ont été </w:t>
      </w:r>
      <w:r>
        <w:rPr>
          <w:rFonts w:ascii="Times New Roman" w:hAnsi="Times New Roman"/>
          <w:b/>
          <w:bCs/>
          <w:noProof/>
          <w:sz w:val="24"/>
        </w:rPr>
        <w:t>reconfirmés dans la liste actuelle des PIC/PIM</w:t>
      </w:r>
      <w:r>
        <w:rPr>
          <w:rFonts w:ascii="Times New Roman" w:hAnsi="Times New Roman"/>
          <w:noProof/>
          <w:sz w:val="24"/>
        </w:rPr>
        <w:t xml:space="preserve"> en tant que projets prioritaires pour éliminer ce goulet d’étranglement. En mai 2025, le projet entre la Navarre (ES) et les Landes (FR) a bénéficié d’une subvention de 11,1 millions d’EUR au titre du mécanisme pour l’interconnexion en Europe (MIE) pour des études préparatoires. Malgré leur importance stratégique, les progrès ont été relativement lents, des travaux supplémentaires étant nécessaires en ce qui concerne les renforcements internes et la clarification de l’approche de financement.</w:t>
      </w:r>
    </w:p>
    <w:p w14:paraId="15FC8DC8" w14:textId="629E2FF3" w:rsidR="00C36F54" w:rsidRPr="00C36F54" w:rsidRDefault="00C36F54" w:rsidP="00C36F54">
      <w:pPr>
        <w:jc w:val="both"/>
        <w:rPr>
          <w:rFonts w:ascii="Times New Roman" w:hAnsi="Times New Roman" w:cs="Times New Roman"/>
          <w:noProof/>
          <w:sz w:val="24"/>
          <w:szCs w:val="24"/>
          <w:u w:val="single"/>
        </w:rPr>
      </w:pPr>
      <w:r>
        <w:rPr>
          <w:rFonts w:ascii="Times New Roman" w:hAnsi="Times New Roman"/>
          <w:b/>
          <w:noProof/>
          <w:sz w:val="24"/>
          <w:u w:val="single"/>
        </w:rPr>
        <w:t>Actions à court terme</w:t>
      </w:r>
      <w:r>
        <w:rPr>
          <w:rFonts w:ascii="Times New Roman" w:hAnsi="Times New Roman"/>
          <w:b/>
          <w:noProof/>
          <w:sz w:val="24"/>
        </w:rPr>
        <w:t xml:space="preserve">: </w:t>
      </w:r>
      <w:r>
        <w:rPr>
          <w:rFonts w:ascii="Times New Roman" w:hAnsi="Times New Roman"/>
          <w:noProof/>
          <w:sz w:val="24"/>
        </w:rPr>
        <w:t xml:space="preserve">la Commission s’efforcera de faciliter l’adoption d’une déclaration politique commune lors de la prochaine réunion ministérielle du groupe à haut niveau pour l’Europe du Sud-Ouest (premier trimestre 2026), dans le but de confirmer le </w:t>
      </w:r>
      <w:r>
        <w:rPr>
          <w:rFonts w:ascii="Times New Roman" w:hAnsi="Times New Roman"/>
          <w:b/>
          <w:bCs/>
          <w:noProof/>
          <w:sz w:val="24"/>
        </w:rPr>
        <w:t>début de la mise en œuvre d’au moins un des projets</w:t>
      </w:r>
      <w:r>
        <w:rPr>
          <w:rFonts w:ascii="Times New Roman" w:hAnsi="Times New Roman"/>
          <w:noProof/>
          <w:sz w:val="24"/>
        </w:rPr>
        <w:t xml:space="preserve"> et de prendre en compte les renforcements nécessaires du réseau interne. </w:t>
      </w:r>
    </w:p>
    <w:p w14:paraId="14D7FDB6" w14:textId="77777777" w:rsidR="00C36F54" w:rsidRPr="00C36F54" w:rsidRDefault="00C36F54" w:rsidP="00C36F54">
      <w:pPr>
        <w:jc w:val="both"/>
        <w:rPr>
          <w:rFonts w:ascii="Times New Roman" w:hAnsi="Times New Roman" w:cs="Times New Roman"/>
          <w:b/>
          <w:bCs/>
          <w:noProof/>
          <w:sz w:val="24"/>
          <w:szCs w:val="24"/>
          <w:u w:val="single"/>
        </w:rPr>
      </w:pPr>
      <w:r>
        <w:rPr>
          <w:rFonts w:ascii="Times New Roman" w:hAnsi="Times New Roman"/>
          <w:b/>
          <w:noProof/>
          <w:sz w:val="24"/>
          <w:u w:val="single"/>
        </w:rPr>
        <w:t>2. «Great Sea Interconnector» [</w:t>
      </w:r>
      <w:r>
        <w:rPr>
          <w:rFonts w:ascii="Times New Roman" w:hAnsi="Times New Roman"/>
          <w:b/>
          <w:i/>
          <w:iCs/>
          <w:noProof/>
          <w:sz w:val="24"/>
          <w:u w:val="single"/>
        </w:rPr>
        <w:t>Interconnexion électrique de Chypre avec l’Europe continentale pour mettre fin à l’isolement électrique</w:t>
      </w:r>
      <w:r>
        <w:rPr>
          <w:rFonts w:ascii="Times New Roman" w:hAnsi="Times New Roman"/>
          <w:b/>
          <w:noProof/>
          <w:sz w:val="24"/>
          <w:u w:val="single"/>
        </w:rPr>
        <w:t>]</w:t>
      </w:r>
    </w:p>
    <w:p w14:paraId="3D2CF09B"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Chypre est le dernier État membre de l’UE à ne pas être raccordé au réseau électrique européen</w:t>
      </w:r>
      <w:r>
        <w:rPr>
          <w:rFonts w:ascii="Times New Roman" w:hAnsi="Times New Roman" w:cs="Times New Roman"/>
          <w:noProof/>
          <w:sz w:val="24"/>
          <w:szCs w:val="24"/>
          <w:vertAlign w:val="superscript"/>
        </w:rPr>
        <w:footnoteReference w:id="34"/>
      </w:r>
      <w:r>
        <w:rPr>
          <w:rFonts w:ascii="Times New Roman" w:hAnsi="Times New Roman"/>
          <w:noProof/>
          <w:sz w:val="24"/>
        </w:rPr>
        <w:t>, ce qui limite son intégration dans le marché intérieur de l’énergie et restreint les possibilités d’intégration des énergies renouvelables. Le projet «Great Sea Interconnector» entre la Grèce et Chypre permettra de combler cet écart, en mettant fin à l’isolement électrique de Chypre, en soutenant sa décarbonation et en renforçant la résilience du système énergétique européen. Il facilitera également une plus grande intégration des énergies renouvelables dans l’ensemble de la région méditerranéenne.</w:t>
      </w:r>
    </w:p>
    <w:p w14:paraId="00173AB6" w14:textId="606E2D31"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Ce projet, reconfirmé dans la liste actuelle des PIC/PIM, sera le plus long câble électrique sous-marin au monde, d’une longueur de près de 900 km. Il a bénéficié de subventions au titre du MIE, dont 2,3 millions d’EUR pour les études de faisabilité et 658 millions d’EUR pour les travaux d’installation de la section entre la Grèce et Chypre. En mai 2025 ont été achevés les travaux concernant le câble sous-marin reliant la Grèce continentale à la Crète, étape clé vers l’interconnexion complète.</w:t>
      </w:r>
    </w:p>
    <w:p w14:paraId="163407C6"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L’avancement du projet a été entravé par un contexte géopolitique complexe, qui pourrait avoir des répercussions sur le calendrier et les coûts. La valeur stratégique de cette interconnexion souligne l’importance d’une coordination étroite entre les États membres pour relever ces défis et garantir l’achèvement du projet.</w:t>
      </w:r>
    </w:p>
    <w:p w14:paraId="651AFE7C"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u w:val="single"/>
        </w:rPr>
        <w:t>Actions à court terme</w:t>
      </w:r>
      <w:r>
        <w:rPr>
          <w:rFonts w:ascii="Times New Roman" w:hAnsi="Times New Roman"/>
          <w:noProof/>
          <w:sz w:val="24"/>
        </w:rPr>
        <w:t xml:space="preserve">: la Commission continuera d’apporter un soutien politique et technique solide à ce projet d’importance stratégique majeure, en étroite coopération avec la prochaine présidence chypriote du Conseil en 2026, notamment dans le cadre d’événements spécifiques et de discussions de haut niveau et en s’engageant davantage à traiter les aspects géopolitiques. </w:t>
      </w:r>
    </w:p>
    <w:p w14:paraId="57A1D473" w14:textId="77777777" w:rsidR="00C36F54" w:rsidRPr="00C36F54" w:rsidRDefault="00C36F54" w:rsidP="00C36F54">
      <w:pPr>
        <w:jc w:val="both"/>
        <w:rPr>
          <w:rFonts w:ascii="Times New Roman" w:hAnsi="Times New Roman" w:cs="Times New Roman"/>
          <w:b/>
          <w:bCs/>
          <w:noProof/>
          <w:sz w:val="24"/>
          <w:szCs w:val="24"/>
          <w:u w:val="single"/>
        </w:rPr>
      </w:pPr>
      <w:r>
        <w:rPr>
          <w:rFonts w:ascii="Times New Roman" w:hAnsi="Times New Roman"/>
          <w:b/>
          <w:noProof/>
          <w:sz w:val="24"/>
          <w:u w:val="single"/>
        </w:rPr>
        <w:t>3. «Harmony Link» [</w:t>
      </w:r>
      <w:r>
        <w:rPr>
          <w:rFonts w:ascii="Times New Roman" w:hAnsi="Times New Roman"/>
          <w:b/>
          <w:i/>
          <w:iCs/>
          <w:noProof/>
          <w:sz w:val="24"/>
          <w:u w:val="single"/>
        </w:rPr>
        <w:t>Renforcer l’interconnexion électrique des États baltes afin de développer les avantages liés à leur indépendance vis-à-vis de la Russie sur le plan de la sécurité</w:t>
      </w:r>
      <w:r>
        <w:rPr>
          <w:rFonts w:ascii="Times New Roman" w:hAnsi="Times New Roman"/>
          <w:b/>
          <w:noProof/>
          <w:sz w:val="24"/>
          <w:u w:val="single"/>
        </w:rPr>
        <w:t>]</w:t>
      </w:r>
    </w:p>
    <w:p w14:paraId="76601BA3"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Le 9 février 2025, les trois États baltes ont réussi à synchroniser leurs réseaux électriques avec ceux de l’Europe continentale, une étape décisive pour la sécurité énergétique européenne. L’</w:t>
      </w:r>
      <w:r>
        <w:rPr>
          <w:rFonts w:ascii="Times New Roman" w:hAnsi="Times New Roman"/>
          <w:b/>
          <w:bCs/>
          <w:noProof/>
          <w:sz w:val="24"/>
        </w:rPr>
        <w:t>interconnexion «Harmony Link» entre la Lituanie et la Pologne</w:t>
      </w:r>
      <w:r>
        <w:rPr>
          <w:rFonts w:ascii="Times New Roman" w:hAnsi="Times New Roman"/>
          <w:noProof/>
          <w:sz w:val="24"/>
        </w:rPr>
        <w:t xml:space="preserve">, qui mènera à son terme l’intégration complète des marchés de l’électricité de la Baltique, constitue l’un des principaux investissements restants dans le cadre du PIC «Synchronisation de la région de la Baltique». La récente nomination d’un coordinateur européen pour l’achèvement de ce projet devrait favoriser une mise en œuvre rapide. </w:t>
      </w:r>
    </w:p>
    <w:p w14:paraId="60113094"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Une fois achevé, «Harmony Link» renforcera l’intégration du marché en permettant le commerce de l’électricité à travers la Pologne et en favorisant une concurrence susceptible de faire baisser les prix pour les consommateurs et les entreprises de la région. L’interconnexion facilitera aussi l’intégration des énergies renouvelables. «Harmony Link» renforcera également de manière significative la sécurité énergétique dans les États baltes. Aujourd’hui, l’interconnexion «LitPol Link» est la seule liaison entre les pays baltes et l’Europe continentale, et toute interruption aurait de graves conséquences pour le système énergétique de la Baltique. </w:t>
      </w:r>
    </w:p>
    <w:p w14:paraId="0E817B0E" w14:textId="304B5395" w:rsidR="00C36F54" w:rsidRPr="00C36F54" w:rsidRDefault="00C36F54" w:rsidP="00C36F54">
      <w:pPr>
        <w:jc w:val="both"/>
        <w:rPr>
          <w:rFonts w:ascii="Times New Roman" w:hAnsi="Times New Roman" w:cs="Times New Roman"/>
          <w:noProof/>
          <w:sz w:val="24"/>
          <w:szCs w:val="24"/>
        </w:rPr>
      </w:pPr>
      <w:r>
        <w:rPr>
          <w:rFonts w:ascii="Times New Roman" w:hAnsi="Times New Roman"/>
          <w:b/>
          <w:noProof/>
          <w:sz w:val="24"/>
          <w:u w:val="single"/>
        </w:rPr>
        <w:t>Actions à court terme</w:t>
      </w:r>
      <w:r>
        <w:rPr>
          <w:rFonts w:ascii="Times New Roman" w:hAnsi="Times New Roman"/>
          <w:b/>
          <w:noProof/>
          <w:sz w:val="24"/>
        </w:rPr>
        <w:t>:</w:t>
      </w:r>
      <w:r>
        <w:rPr>
          <w:rFonts w:ascii="Times New Roman" w:hAnsi="Times New Roman"/>
          <w:noProof/>
          <w:sz w:val="24"/>
        </w:rPr>
        <w:t xml:space="preserve"> la Commission soutiendra la mise en œuvre de ce projet dans les délais prévus grâce à une coopération régionale renforcée et fera le point au niveau ministériel lors de la prochaine réunion de haut niveau du PIMERB en 2026, après la signature du protocole d’accord actualisé du PIMERB l’année dernière, et veillera à ce que l’adoption du nouveau plan d’action du groupe à haut niveau du PIMERB donne la priorité à la réalisation de cette autoroute.</w:t>
      </w:r>
    </w:p>
    <w:p w14:paraId="185A8109" w14:textId="5A817793" w:rsidR="00C36F54" w:rsidRPr="00C36F54" w:rsidRDefault="00C36F54" w:rsidP="00C36F54">
      <w:pPr>
        <w:jc w:val="both"/>
        <w:rPr>
          <w:rFonts w:ascii="Times New Roman" w:hAnsi="Times New Roman" w:cs="Times New Roman"/>
          <w:noProof/>
          <w:sz w:val="24"/>
          <w:szCs w:val="24"/>
          <w:u w:val="single"/>
        </w:rPr>
      </w:pPr>
      <w:r>
        <w:rPr>
          <w:rFonts w:ascii="Times New Roman" w:hAnsi="Times New Roman"/>
          <w:noProof/>
          <w:sz w:val="24"/>
          <w:u w:val="single"/>
        </w:rPr>
        <w:t xml:space="preserve">4. </w:t>
      </w:r>
      <w:r>
        <w:rPr>
          <w:rFonts w:ascii="Times New Roman" w:hAnsi="Times New Roman"/>
          <w:b/>
          <w:bCs/>
          <w:noProof/>
          <w:sz w:val="24"/>
          <w:u w:val="single"/>
        </w:rPr>
        <w:t>Flux inversé du gazoduc transbalkanique (TBP) [</w:t>
      </w:r>
      <w:r>
        <w:rPr>
          <w:rFonts w:ascii="Times New Roman" w:hAnsi="Times New Roman"/>
          <w:b/>
          <w:bCs/>
          <w:i/>
          <w:iCs/>
          <w:noProof/>
          <w:sz w:val="24"/>
          <w:u w:val="single"/>
        </w:rPr>
        <w:t>Résilience des approvisionnements énergétiques dans la région des Balkans et dans notre voisinage oriental</w:t>
      </w:r>
      <w:r>
        <w:rPr>
          <w:rFonts w:ascii="Times New Roman" w:hAnsi="Times New Roman"/>
          <w:b/>
          <w:bCs/>
          <w:noProof/>
          <w:sz w:val="24"/>
        </w:rPr>
        <w:t>]</w:t>
      </w:r>
    </w:p>
    <w:p w14:paraId="6314EB8B"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flux inversé du gazoduc transbalkanique (TBP)</w:t>
      </w:r>
      <w:r>
        <w:rPr>
          <w:rFonts w:ascii="Times New Roman" w:hAnsi="Times New Roman"/>
          <w:noProof/>
          <w:sz w:val="24"/>
        </w:rPr>
        <w:t xml:space="preserve"> n’est pas un projet d’expansion des capacités, mais un effort coordonné dans la région d’Europe centrale et du Sud-Est visant à </w:t>
      </w:r>
      <w:r>
        <w:rPr>
          <w:rFonts w:ascii="Times New Roman" w:hAnsi="Times New Roman"/>
          <w:b/>
          <w:bCs/>
          <w:noProof/>
          <w:sz w:val="24"/>
        </w:rPr>
        <w:t>permettre l’utilisation maximale des capacités de transport de gaz naturel existantes dans le sens inverse, du sud vers le nord</w:t>
      </w:r>
      <w:r>
        <w:rPr>
          <w:rFonts w:ascii="Times New Roman" w:hAnsi="Times New Roman"/>
          <w:noProof/>
          <w:sz w:val="24"/>
        </w:rPr>
        <w:t>. Cette fonctionnalité est essentielle pour diversifier l’approvisionnement en gaz naturel en Europe du Sud-Est et mettre un terme aux importations russes.</w:t>
      </w:r>
    </w:p>
    <w:p w14:paraId="349D12F5"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Disposant d’importantes capacités de transport, le TBP peut jouer un rôle central dans la diversification régionale et dans la réalisation des objectifs du plan REPowerEU. Ce potentiel augmentera encore à partir de 2027, date à laquelle le gisement gazier «Neptun Deep» en Roumanie devrait entrer en service. L’exploitation intégrale du TBP du sud au nord, combinée à la diversification des sources, favoriserait le renforcement des échanges, de la concurrence et de la liquidité du marché dans la région sans nécessiter de nouvelles infrastructures coûteuses.</w:t>
      </w:r>
    </w:p>
    <w:p w14:paraId="08ED0438"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Malgré ce potentiel, </w:t>
      </w:r>
      <w:r>
        <w:rPr>
          <w:rFonts w:ascii="Times New Roman" w:hAnsi="Times New Roman"/>
          <w:b/>
          <w:bCs/>
          <w:noProof/>
          <w:sz w:val="24"/>
        </w:rPr>
        <w:t>les obstacles réglementaires et commerciaux actuels dans plusieurs États membres situés le long du gazoduc créent des obstacles à l’utilisation du TBP et à sa viabilité commerciale</w:t>
      </w:r>
      <w:r>
        <w:rPr>
          <w:rFonts w:ascii="Times New Roman" w:hAnsi="Times New Roman"/>
          <w:noProof/>
          <w:sz w:val="24"/>
        </w:rPr>
        <w:t>. La récente nomination d’un coordonnateur européen pour la région de la connexion gazière pour l’Europe centrale et du Sud-Est renforcera le soutien de l’UE à la levée de ces obstacles.</w:t>
      </w:r>
    </w:p>
    <w:p w14:paraId="07C78933" w14:textId="5E5D3288" w:rsidR="00C36F54" w:rsidRPr="00C36F54" w:rsidRDefault="00C36F54" w:rsidP="00C36F54">
      <w:pPr>
        <w:jc w:val="both"/>
        <w:rPr>
          <w:rFonts w:ascii="Times New Roman" w:hAnsi="Times New Roman" w:cs="Times New Roman"/>
          <w:noProof/>
          <w:sz w:val="24"/>
          <w:szCs w:val="24"/>
          <w:u w:val="single"/>
        </w:rPr>
      </w:pPr>
      <w:r>
        <w:rPr>
          <w:rFonts w:ascii="Times New Roman" w:hAnsi="Times New Roman"/>
          <w:b/>
          <w:bCs/>
          <w:noProof/>
          <w:sz w:val="24"/>
          <w:u w:val="single"/>
        </w:rPr>
        <w:t>Actions à court terme</w:t>
      </w:r>
      <w:r>
        <w:rPr>
          <w:rFonts w:ascii="Times New Roman" w:hAnsi="Times New Roman"/>
          <w:noProof/>
          <w:sz w:val="24"/>
        </w:rPr>
        <w:t>: la Commission intensifiera la coordination dans le cadre du groupe à haut niveau sur la connexion énergétique pour l’Europe centrale et du Sud-Est, avec tous les pays concernés, y compris la Moldavie et l’Ukraine, en vue d’</w:t>
      </w:r>
      <w:r>
        <w:rPr>
          <w:rFonts w:ascii="Times New Roman" w:hAnsi="Times New Roman"/>
          <w:b/>
          <w:bCs/>
          <w:noProof/>
          <w:sz w:val="24"/>
        </w:rPr>
        <w:t>accroître l’attractivité commerciale du gazoduc dès que possible</w:t>
      </w:r>
      <w:r>
        <w:rPr>
          <w:rFonts w:ascii="Times New Roman" w:hAnsi="Times New Roman"/>
          <w:noProof/>
          <w:sz w:val="24"/>
        </w:rPr>
        <w:t xml:space="preserve">, tout en garantissant le respect à long terme de l’acquis de l’UE en matière d’énergie. Dans ce contexte, la Commission continuera de soutenir les travaux du groupe à haut niveau sur la connexion gazière pour l’Europe centrale et du Sud-Est concernant l’harmonisation de la qualité du gaz et </w:t>
      </w:r>
      <w:r>
        <w:rPr>
          <w:rFonts w:ascii="Times New Roman" w:hAnsi="Times New Roman"/>
          <w:b/>
          <w:bCs/>
          <w:noProof/>
          <w:sz w:val="24"/>
        </w:rPr>
        <w:t>la suppression des obstacles à l’utilisation maximale du gazoduc transbalkanique</w:t>
      </w:r>
      <w:r>
        <w:rPr>
          <w:rFonts w:ascii="Times New Roman" w:hAnsi="Times New Roman"/>
          <w:noProof/>
          <w:sz w:val="24"/>
        </w:rPr>
        <w:t>.</w:t>
      </w:r>
    </w:p>
    <w:p w14:paraId="0CE72D7E" w14:textId="5A5F1580" w:rsidR="00C36F54" w:rsidRPr="00C36F54" w:rsidRDefault="00C36F54" w:rsidP="00C36F54">
      <w:pPr>
        <w:jc w:val="both"/>
        <w:rPr>
          <w:rFonts w:ascii="Times New Roman" w:hAnsi="Times New Roman" w:cs="Times New Roman"/>
          <w:b/>
          <w:bCs/>
          <w:noProof/>
          <w:sz w:val="24"/>
          <w:szCs w:val="24"/>
          <w:u w:val="single"/>
        </w:rPr>
      </w:pPr>
      <w:r>
        <w:rPr>
          <w:rFonts w:ascii="Times New Roman" w:hAnsi="Times New Roman"/>
          <w:b/>
          <w:noProof/>
          <w:sz w:val="24"/>
          <w:u w:val="single"/>
        </w:rPr>
        <w:t>5.  «Bornholm Energy Island» [</w:t>
      </w:r>
      <w:r>
        <w:rPr>
          <w:rFonts w:ascii="Times New Roman" w:hAnsi="Times New Roman"/>
          <w:b/>
          <w:i/>
          <w:iCs/>
          <w:noProof/>
          <w:sz w:val="24"/>
          <w:u w:val="single"/>
        </w:rPr>
        <w:t>Faire de la mer Baltique une plateforme d’interconnexion en mer</w:t>
      </w:r>
      <w:r>
        <w:rPr>
          <w:rFonts w:ascii="Times New Roman" w:hAnsi="Times New Roman"/>
          <w:b/>
          <w:noProof/>
          <w:sz w:val="24"/>
          <w:u w:val="single"/>
        </w:rPr>
        <w:t>]</w:t>
      </w:r>
    </w:p>
    <w:p w14:paraId="1BC8E496" w14:textId="3A576180"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rPr>
        <w:t>Pionnier du genre, «Bornholm Energy Island» (BEI) est un projet hybride en mer</w:t>
      </w:r>
      <w:r>
        <w:rPr>
          <w:rFonts w:ascii="Times New Roman" w:hAnsi="Times New Roman"/>
          <w:noProof/>
          <w:sz w:val="24"/>
        </w:rPr>
        <w:t xml:space="preserve">, situé au sud-ouest de Bornholm, dans la zone économique exclusive du Danemark. Le projet est conçu comme un futur pôle énergétique, </w:t>
      </w:r>
      <w:r>
        <w:rPr>
          <w:rFonts w:ascii="Times New Roman" w:hAnsi="Times New Roman"/>
          <w:b/>
          <w:bCs/>
          <w:noProof/>
          <w:sz w:val="24"/>
        </w:rPr>
        <w:t>doté d’un potentiel d’expansion et de connexion à davantage d’interconnexions</w:t>
      </w:r>
      <w:r>
        <w:rPr>
          <w:rFonts w:ascii="Times New Roman" w:hAnsi="Times New Roman"/>
          <w:noProof/>
          <w:sz w:val="24"/>
        </w:rPr>
        <w:t xml:space="preserve"> avec d’autres pays. Il est reconfirmé dans la deuxième liste des PIC/PIM et a reçu une subvention au titre du MIE pour des travaux (645,2 millions d’EUR) en septembre 2025. Le projet BEI est un modèle pour de futures initiatives «off-shore» de l’UE; il renforcera l’intégration du marché, améliorera la sécurité de l’approvisionnement au niveau de l’UE et profitera au Danemark, à l’Allemagne et aux États membres situés au-delà de la région. En reliant la production en mer aux réseaux nationaux danois et allemand, l’énergie éolienne en mer passe du statut de ressource nationale à celui d’actif européen commun pour une électrification accrue, renforçant ainsi notre résilience collective et notre indépendance énergétique.</w:t>
      </w:r>
      <w:r>
        <w:rPr>
          <w:rFonts w:ascii="Times New Roman" w:hAnsi="Times New Roman"/>
          <w:i/>
          <w:noProof/>
          <w:sz w:val="24"/>
        </w:rPr>
        <w:t xml:space="preserve"> </w:t>
      </w:r>
      <w:r>
        <w:rPr>
          <w:rFonts w:ascii="Times New Roman" w:hAnsi="Times New Roman"/>
          <w:noProof/>
          <w:sz w:val="24"/>
        </w:rPr>
        <w:t>Les questions qui subsistent concernent un accord entre le Danemark et l’Allemagne sur le mode de répartition des coûts de soutien supplémentaires liés au parc éolien en mer au Danemark et l’achèvement du cadre réglementaire au Danemark, en particulier en ce qui concerne la responsabilité transfrontière.</w:t>
      </w:r>
    </w:p>
    <w:p w14:paraId="04F60F9C" w14:textId="70670D07" w:rsidR="00C36F54" w:rsidRPr="00C36F54" w:rsidRDefault="00C36F54" w:rsidP="00C36F54">
      <w:pPr>
        <w:jc w:val="both"/>
        <w:rPr>
          <w:rFonts w:ascii="Times New Roman" w:hAnsi="Times New Roman" w:cs="Times New Roman"/>
          <w:noProof/>
          <w:sz w:val="24"/>
          <w:szCs w:val="24"/>
          <w:u w:val="single"/>
        </w:rPr>
      </w:pPr>
      <w:r>
        <w:rPr>
          <w:rFonts w:ascii="Times New Roman" w:hAnsi="Times New Roman"/>
          <w:b/>
          <w:bCs/>
          <w:noProof/>
          <w:sz w:val="24"/>
          <w:u w:val="single"/>
        </w:rPr>
        <w:t>Actions à court terme</w:t>
      </w:r>
      <w:r>
        <w:rPr>
          <w:rFonts w:ascii="Times New Roman" w:hAnsi="Times New Roman"/>
          <w:noProof/>
          <w:sz w:val="24"/>
          <w:u w:val="single"/>
        </w:rPr>
        <w:t>:</w:t>
      </w:r>
      <w:r>
        <w:rPr>
          <w:rFonts w:ascii="Times New Roman" w:hAnsi="Times New Roman"/>
          <w:noProof/>
          <w:sz w:val="24"/>
        </w:rPr>
        <w:t xml:space="preserve"> : à la suite de la signature, le 4 septembre 2025 à Copenhague, de la convention de subvention au titre du MIE d’un montant de 645 millions d’EUR destinée à soutenir le volet danois du projet «Bornholm Energy Island» (BEI) pour la construction de deux nouvelles stations de conversion et l’installation d’un système de câbles sous-marins, la Commission continuera d’appuyer le Danemark et l’Allemagne en vue de parvenir à un accord politique sur la répartition des coûts relatifs à la génération d’électricité en mer située dans les eaux danoises, ainsi que de finaliser leur cadre réglementaire en matière de responsabilité transfrontalière. En outre, la Commission continuera de soutenir les travaux sur l’interopérabilité des réseaux en mer afin de garantir que le projet BEI puisse à l’avenir devenir une véritable plateforme en mer pour la région de la Baltique.</w:t>
      </w:r>
    </w:p>
    <w:p w14:paraId="6EC1813A" w14:textId="77777777" w:rsidR="00C36F54" w:rsidRPr="00C36F54" w:rsidRDefault="00C36F54" w:rsidP="0027132F">
      <w:pPr>
        <w:keepNext/>
        <w:widowControl w:val="0"/>
        <w:spacing w:after="0" w:line="240" w:lineRule="auto"/>
        <w:jc w:val="both"/>
        <w:rPr>
          <w:rFonts w:ascii="Times New Roman" w:hAnsi="Times New Roman" w:cs="Times New Roman"/>
          <w:noProof/>
          <w:sz w:val="24"/>
          <w:szCs w:val="24"/>
          <w:u w:val="single"/>
        </w:rPr>
      </w:pPr>
      <w:r>
        <w:rPr>
          <w:rFonts w:ascii="Times New Roman" w:hAnsi="Times New Roman"/>
          <w:b/>
          <w:noProof/>
          <w:sz w:val="24"/>
          <w:u w:val="single"/>
        </w:rPr>
        <w:t>6.</w:t>
      </w:r>
      <w:r>
        <w:rPr>
          <w:rFonts w:ascii="Times New Roman" w:hAnsi="Times New Roman"/>
          <w:noProof/>
          <w:sz w:val="24"/>
          <w:u w:val="single"/>
        </w:rPr>
        <w:t xml:space="preserve"> </w:t>
      </w:r>
      <w:r>
        <w:rPr>
          <w:rFonts w:ascii="Times New Roman" w:hAnsi="Times New Roman"/>
          <w:b/>
          <w:noProof/>
          <w:sz w:val="24"/>
          <w:u w:val="single"/>
        </w:rPr>
        <w:t>Améliorer la stabilité des prix et la sécurité énergétique dans le sud-est de l’Europe, notamment grâce au stockage</w:t>
      </w:r>
    </w:p>
    <w:p w14:paraId="108778B2" w14:textId="77777777" w:rsidR="00C36F54" w:rsidRPr="00C36F54" w:rsidRDefault="00C36F54" w:rsidP="0027132F">
      <w:pPr>
        <w:keepNext/>
        <w:widowControl w:val="0"/>
        <w:spacing w:after="0" w:line="240" w:lineRule="auto"/>
        <w:jc w:val="both"/>
        <w:rPr>
          <w:rFonts w:ascii="Times New Roman" w:hAnsi="Times New Roman" w:cs="Times New Roman"/>
          <w:noProof/>
          <w:sz w:val="24"/>
          <w:szCs w:val="24"/>
        </w:rPr>
      </w:pPr>
    </w:p>
    <w:p w14:paraId="382E0A6C" w14:textId="77777777" w:rsidR="00C36F54" w:rsidRPr="00C36F54" w:rsidRDefault="00C36F54" w:rsidP="0027132F">
      <w:pPr>
        <w:keepNext/>
        <w:widowControl w:val="0"/>
        <w:jc w:val="both"/>
        <w:rPr>
          <w:rFonts w:ascii="Times New Roman" w:hAnsi="Times New Roman" w:cs="Times New Roman"/>
          <w:noProof/>
          <w:sz w:val="24"/>
          <w:szCs w:val="24"/>
        </w:rPr>
      </w:pPr>
      <w:r>
        <w:rPr>
          <w:rFonts w:ascii="Times New Roman" w:hAnsi="Times New Roman"/>
          <w:noProof/>
          <w:sz w:val="24"/>
        </w:rPr>
        <w:t>La région de l’Europe du Sud-Est souffre de différences de prix structurels élevés, comme en témoignent les flambées des prix de 2024, qui ont entraîné des écarts de prix moyens de plus de 10 EUR/MWh entre les pays respectifs.</w:t>
      </w:r>
    </w:p>
    <w:p w14:paraId="5952AF31"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L’autoroute de l’énergie pour les </w:t>
      </w:r>
      <w:r>
        <w:rPr>
          <w:rFonts w:ascii="Times New Roman" w:hAnsi="Times New Roman"/>
          <w:b/>
          <w:bCs/>
          <w:noProof/>
          <w:sz w:val="24"/>
        </w:rPr>
        <w:t>interconnexions électriques en Europe du Sud-Est</w:t>
      </w:r>
      <w:r>
        <w:rPr>
          <w:rFonts w:ascii="Times New Roman" w:hAnsi="Times New Roman"/>
          <w:noProof/>
          <w:sz w:val="24"/>
        </w:rPr>
        <w:t xml:space="preserve"> comble des lacunes critiques en matière d’infrastructures électriques dans la région, dans le but d’améliorer la stabilité des prix, de renforcer la sécurité de l’approvisionnement et de favoriser l’intégration du marché régional. Il s’agit de mieux utiliser les interconnexions existantes et de répondre aux futurs besoins transfrontaliers afin d’éliminer les disparités de prix actuelles. Selon l’évaluation des besoins du réseau du TYNDP 2024 du REGRT-E, des renforcements des infrastructures sont nécessaires à la plupart des frontières de la région. La mise en œuvre rapide des projets d’intérêt commun existants et des projets prioritaires d’infrastructures électriques du groupe à haut niveau sur la connexion énergétique pour l’Europe centrale et du Sud-Est sera essentielle pour répondre à ces besoins. L’accélération du stockage dans la région améliorera également la flexibilité du système.</w:t>
      </w:r>
    </w:p>
    <w:p w14:paraId="5417E276" w14:textId="100D456A"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u w:val="single"/>
        </w:rPr>
        <w:t>Actions à court terme</w:t>
      </w:r>
      <w:r>
        <w:rPr>
          <w:rFonts w:ascii="Times New Roman" w:hAnsi="Times New Roman"/>
          <w:noProof/>
          <w:sz w:val="24"/>
        </w:rPr>
        <w:t>: une coordination étroite et le soutien du groupe à haut niveau sur la connexion énergétique pour l’Europe centrale et du Sud-Est, conjointement avec le coordon</w:t>
      </w:r>
      <w:r w:rsidR="00E5356D">
        <w:rPr>
          <w:rFonts w:ascii="Times New Roman" w:hAnsi="Times New Roman"/>
          <w:noProof/>
          <w:sz w:val="24"/>
        </w:rPr>
        <w:t>n</w:t>
      </w:r>
      <w:r>
        <w:rPr>
          <w:rFonts w:ascii="Times New Roman" w:hAnsi="Times New Roman"/>
          <w:noProof/>
          <w:sz w:val="24"/>
        </w:rPr>
        <w:t xml:space="preserve">ateur de la connexion énergétique pour l’Europe centrale et du Sud-Est, seront essentiels pour accélérer les progrès. La Commission veillera à ce que des discussions spécifiques de haut niveau soient organisées l’année prochaine à tous les niveaux afin de maintenir la dynamique et de soutenir la mise en œuvre. </w:t>
      </w:r>
    </w:p>
    <w:p w14:paraId="3357A5C8" w14:textId="0F7A1AB4" w:rsidR="00C36F54" w:rsidRPr="00C36F54" w:rsidRDefault="00C36F54" w:rsidP="00C36F54">
      <w:pPr>
        <w:spacing w:after="0" w:line="240" w:lineRule="auto"/>
        <w:jc w:val="both"/>
        <w:rPr>
          <w:rFonts w:ascii="Times New Roman" w:hAnsi="Times New Roman" w:cs="Times New Roman"/>
          <w:b/>
          <w:bCs/>
          <w:noProof/>
          <w:sz w:val="24"/>
          <w:szCs w:val="24"/>
          <w:u w:val="single"/>
        </w:rPr>
      </w:pPr>
      <w:r>
        <w:rPr>
          <w:rFonts w:ascii="Times New Roman" w:hAnsi="Times New Roman"/>
          <w:b/>
          <w:noProof/>
          <w:sz w:val="24"/>
          <w:u w:val="single"/>
        </w:rPr>
        <w:t>7.</w:t>
      </w:r>
      <w:r>
        <w:rPr>
          <w:rFonts w:ascii="Times New Roman" w:hAnsi="Times New Roman"/>
          <w:noProof/>
          <w:sz w:val="24"/>
          <w:u w:val="single"/>
        </w:rPr>
        <w:t xml:space="preserve"> </w:t>
      </w:r>
      <w:r>
        <w:rPr>
          <w:rFonts w:ascii="Times New Roman" w:hAnsi="Times New Roman"/>
          <w:b/>
          <w:bCs/>
          <w:noProof/>
          <w:sz w:val="24"/>
          <w:u w:val="single"/>
        </w:rPr>
        <w:t>Corridor SoutH2</w:t>
      </w:r>
      <w:r>
        <w:rPr>
          <w:rFonts w:ascii="Times New Roman" w:hAnsi="Times New Roman"/>
          <w:noProof/>
          <w:sz w:val="24"/>
          <w:u w:val="single"/>
        </w:rPr>
        <w:t xml:space="preserve"> [</w:t>
      </w:r>
      <w:r>
        <w:rPr>
          <w:rFonts w:ascii="Times New Roman" w:hAnsi="Times New Roman"/>
          <w:b/>
          <w:bCs/>
          <w:i/>
          <w:iCs/>
          <w:noProof/>
          <w:sz w:val="24"/>
          <w:u w:val="single"/>
        </w:rPr>
        <w:t>Corridor sud de l’hydrogène (Tunisie, Italie, Autriche et Allemagne)</w:t>
      </w:r>
      <w:r>
        <w:rPr>
          <w:rFonts w:ascii="Times New Roman" w:hAnsi="Times New Roman"/>
          <w:noProof/>
          <w:sz w:val="24"/>
          <w:u w:val="single"/>
        </w:rPr>
        <w:t>]</w:t>
      </w:r>
    </w:p>
    <w:p w14:paraId="447FA620" w14:textId="77777777" w:rsidR="00C36F54" w:rsidRPr="00C36F54" w:rsidRDefault="00C36F54" w:rsidP="00C36F54">
      <w:pPr>
        <w:spacing w:after="0" w:line="240" w:lineRule="auto"/>
        <w:jc w:val="both"/>
        <w:rPr>
          <w:rFonts w:ascii="Times New Roman" w:hAnsi="Times New Roman" w:cs="Times New Roman"/>
          <w:noProof/>
          <w:sz w:val="24"/>
          <w:szCs w:val="24"/>
        </w:rPr>
      </w:pPr>
    </w:p>
    <w:p w14:paraId="7014E380"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Le corridor sud de l’hydrogène sera essentiel pour faire progresser une transition énergétique juste et durable dans toute la Méditerranée, en particulier en Afrique du Nord, tout en permettant la décarbonation des pôles industriels le long de son tracé. Il offre un potentiel considérable pour augmenter la production d’hydrogène renouvelable, les infrastructures et les marchés acheteurs, favoriser l’intégration des marchés et mettre en place un cadre réglementaire et d’investissement favorable, aligné sur la stratégie et le cadre réglementaire de l’UE pour l’hydrogène. </w:t>
      </w:r>
    </w:p>
    <w:p w14:paraId="6C68A972"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Ce corridor </w:t>
      </w:r>
      <w:r>
        <w:rPr>
          <w:rFonts w:ascii="Times New Roman" w:hAnsi="Times New Roman"/>
          <w:b/>
          <w:bCs/>
          <w:noProof/>
          <w:sz w:val="24"/>
        </w:rPr>
        <w:t>comprend quatre projets d’intérêt commun (PIC)</w:t>
      </w:r>
      <w:r>
        <w:rPr>
          <w:rFonts w:ascii="Times New Roman" w:hAnsi="Times New Roman"/>
          <w:noProof/>
          <w:sz w:val="24"/>
        </w:rPr>
        <w:t>, dont certains bénéficient déjà de subventions au titre du MIE pour des études, et [un projet d’intérêt mutuel avec la Tunisie], tous reconfirmés dans la deuxième liste des PIC/PIM. Dès lors et compte tenu des premières étapes du développement du marché de l’hydrogène, il sera nécessaire de poursuivre le travail conceptuel, en particulier afin de réduire les risques liés aux investissements tout en maintenant un partenariat mutuellement avantageux avec l’Afrique du Nord.</w:t>
      </w:r>
    </w:p>
    <w:p w14:paraId="063975AD" w14:textId="02F8C8C8"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u w:val="single"/>
        </w:rPr>
        <w:t>Actions à court terme</w:t>
      </w:r>
      <w:r>
        <w:rPr>
          <w:rFonts w:ascii="Times New Roman" w:hAnsi="Times New Roman"/>
          <w:noProof/>
          <w:sz w:val="24"/>
        </w:rPr>
        <w:t>: à court terme, la Commission renforcera les efforts de coordination et de mise en œuvre du secrétariat du SoutH2, sous la direction conjointe de la DG MENA et de la DG ENER. Les dialogues régionaux seront également intensifiés par des réunions du groupe de travail mixte trilatéral de l’UE pour le corridor sud de l’hydrogène (Italie, Autriche et Allemagne) et du groupe pentalatéral (Algérie, Tunisie, Italie, Autriche et Allemagne) au début de l’année 2026, afin de faire progresser l’initiative. L’initiative phare de coopération transméditerranéenne en matière d’énergies renouvelables et de technologies propres (T-MED), lancée dans le cadre du pacte pour la Méditerranée</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contribuera également à la réalisation de cette autoroute de l’énergie.  </w:t>
      </w:r>
    </w:p>
    <w:p w14:paraId="656419AE" w14:textId="26172096" w:rsidR="00C36F54" w:rsidRPr="00C36F54" w:rsidRDefault="00C36F54" w:rsidP="00C36F54">
      <w:pPr>
        <w:spacing w:after="0" w:line="240" w:lineRule="auto"/>
        <w:jc w:val="both"/>
        <w:rPr>
          <w:rFonts w:ascii="Times New Roman" w:hAnsi="Times New Roman" w:cs="Times New Roman"/>
          <w:b/>
          <w:bCs/>
          <w:noProof/>
          <w:sz w:val="24"/>
          <w:szCs w:val="24"/>
          <w:u w:val="single"/>
        </w:rPr>
      </w:pPr>
      <w:r>
        <w:rPr>
          <w:rFonts w:ascii="Times New Roman" w:hAnsi="Times New Roman"/>
          <w:b/>
          <w:noProof/>
          <w:sz w:val="24"/>
          <w:u w:val="single"/>
        </w:rPr>
        <w:t>8.  Corridor sud-ouest de l’hydrogène du Portugal à l’Allemagne</w:t>
      </w:r>
    </w:p>
    <w:p w14:paraId="4C3A0C04" w14:textId="77777777" w:rsidR="00C36F54" w:rsidRPr="00C36F54" w:rsidRDefault="00C36F54" w:rsidP="00C36F54">
      <w:pPr>
        <w:spacing w:after="0" w:line="240" w:lineRule="auto"/>
        <w:jc w:val="both"/>
        <w:rPr>
          <w:rFonts w:ascii="Times New Roman" w:hAnsi="Times New Roman" w:cs="Times New Roman"/>
          <w:noProof/>
          <w:sz w:val="24"/>
          <w:szCs w:val="24"/>
        </w:rPr>
      </w:pPr>
    </w:p>
    <w:p w14:paraId="69EBCD31"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 xml:space="preserve">Le corridor sud-ouest de l’hydrogène transportera l’hydrogène décarboné depuis les sites de production du sud-ouest de l’Europe vers les centres de demande industriels, accélérant ainsi la décarbonation des secteurs dans lesquels il est difficile de réduire les émissions et permettant une intégration efficace des énergies renouvelables. L’initiative englobe des </w:t>
      </w:r>
      <w:r>
        <w:rPr>
          <w:rFonts w:ascii="Times New Roman" w:hAnsi="Times New Roman"/>
          <w:b/>
          <w:bCs/>
          <w:noProof/>
          <w:sz w:val="24"/>
        </w:rPr>
        <w:t>projets d’intérêt commun clés entre le Portugal, l’Espagne et la France, ainsi que des liaisons internes se prolongeant vers l’Allemagne</w:t>
      </w:r>
      <w:r>
        <w:rPr>
          <w:rFonts w:ascii="Times New Roman" w:hAnsi="Times New Roman"/>
          <w:noProof/>
          <w:sz w:val="24"/>
        </w:rPr>
        <w:t xml:space="preserve">. Ensemble, ces projets visent à fournir jusqu’à </w:t>
      </w:r>
      <w:r>
        <w:rPr>
          <w:rFonts w:ascii="Times New Roman" w:hAnsi="Times New Roman"/>
          <w:b/>
          <w:bCs/>
          <w:noProof/>
          <w:sz w:val="24"/>
        </w:rPr>
        <w:t>2 millions de tonnes d’hydrogène renouvelable par an d’ici à 2030</w:t>
      </w:r>
      <w:r>
        <w:rPr>
          <w:rFonts w:ascii="Times New Roman" w:hAnsi="Times New Roman"/>
          <w:noProof/>
          <w:sz w:val="24"/>
        </w:rPr>
        <w:t>, renforçant ainsi la sécurité et la flexibilité énergétiques dans l’ensemble de la région.</w:t>
      </w:r>
    </w:p>
    <w:p w14:paraId="162BC58B" w14:textId="77777777" w:rsidR="00C36F54" w:rsidRPr="00C36F54" w:rsidRDefault="00C36F54" w:rsidP="00C36F54">
      <w:pPr>
        <w:jc w:val="both"/>
        <w:rPr>
          <w:rFonts w:ascii="Times New Roman" w:hAnsi="Times New Roman" w:cs="Times New Roman"/>
          <w:noProof/>
          <w:sz w:val="24"/>
          <w:szCs w:val="24"/>
        </w:rPr>
      </w:pPr>
      <w:r>
        <w:rPr>
          <w:rFonts w:ascii="Times New Roman" w:hAnsi="Times New Roman"/>
          <w:noProof/>
          <w:sz w:val="24"/>
        </w:rPr>
        <w:t>Toutefois, les progrès ont été limités et plusieurs défis subsistent, notamment le manque d’adhésion, les retards dans la mise en œuvre de la réglementation, les difficultés à obtenir des financements et à coordonner les mesures de réduction des risques le long du corridor, ainsi que les priorités stratégiques entre les États membres visant à garantir que le corridor apporte des avantages partagés à tous les participants.</w:t>
      </w:r>
    </w:p>
    <w:p w14:paraId="284618D3" w14:textId="14596721" w:rsidR="00C36F54" w:rsidRPr="00C36F54" w:rsidRDefault="00C36F54" w:rsidP="00C36F54">
      <w:pPr>
        <w:jc w:val="both"/>
        <w:rPr>
          <w:rFonts w:ascii="Times New Roman" w:hAnsi="Times New Roman" w:cs="Times New Roman"/>
          <w:noProof/>
          <w:sz w:val="24"/>
          <w:szCs w:val="24"/>
        </w:rPr>
      </w:pPr>
      <w:r>
        <w:rPr>
          <w:rFonts w:ascii="Times New Roman" w:hAnsi="Times New Roman"/>
          <w:b/>
          <w:bCs/>
          <w:noProof/>
          <w:sz w:val="24"/>
          <w:u w:val="single"/>
        </w:rPr>
        <w:t>Actions à court terme</w:t>
      </w:r>
      <w:r>
        <w:rPr>
          <w:rFonts w:ascii="Times New Roman" w:hAnsi="Times New Roman"/>
          <w:noProof/>
          <w:sz w:val="24"/>
        </w:rPr>
        <w:t>:</w:t>
      </w:r>
      <w:r>
        <w:rPr>
          <w:rFonts w:ascii="Segoe UI" w:hAnsi="Segoe UI"/>
          <w:noProof/>
          <w:color w:val="002060"/>
          <w:sz w:val="20"/>
        </w:rPr>
        <w:t xml:space="preserve"> </w:t>
      </w:r>
      <w:r>
        <w:rPr>
          <w:rFonts w:ascii="Times New Roman" w:hAnsi="Times New Roman"/>
          <w:noProof/>
          <w:sz w:val="24"/>
        </w:rPr>
        <w:t xml:space="preserve">une coordination solide et un soutien politique renouvelé par l’intermédiaire du groupe à haut niveau pour le Sud-Ouest seront essentiels pour accélérer les progrès. La prochaine réunion ministérielle du groupe à haut niveau pour l’Europe du Sud-Ouest, qui se tiendra au premier trimestre 2026, contribuera à intensifier les efforts et à faciliter les échanges entre les États membres sur les principaux aspects techniques, financiers et de réduction des risques liés au développement du corridor. </w:t>
      </w:r>
    </w:p>
    <w:p w14:paraId="24331A64" w14:textId="77777777" w:rsidR="00C36F54" w:rsidRPr="00C36F54" w:rsidRDefault="00C36F54" w:rsidP="00C36F54">
      <w:pPr>
        <w:jc w:val="both"/>
        <w:rPr>
          <w:rFonts w:ascii="Times New Roman" w:hAnsi="Times New Roman" w:cs="Times New Roman"/>
          <w:noProof/>
          <w:sz w:val="24"/>
          <w:szCs w:val="24"/>
        </w:rPr>
      </w:pPr>
    </w:p>
    <w:p w14:paraId="57882998" w14:textId="77777777" w:rsidR="00C36F54" w:rsidRPr="00C36F54" w:rsidRDefault="00C36F54" w:rsidP="00C36F54">
      <w:pPr>
        <w:jc w:val="both"/>
        <w:rPr>
          <w:rFonts w:ascii="Times New Roman" w:hAnsi="Times New Roman" w:cs="Times New Roman"/>
          <w:noProof/>
          <w:sz w:val="24"/>
          <w:szCs w:val="24"/>
        </w:rPr>
      </w:pPr>
    </w:p>
    <w:p w14:paraId="46E7FCCE" w14:textId="23AE1FA5" w:rsidR="007E2115" w:rsidRDefault="007E2115">
      <w:pPr>
        <w:rPr>
          <w:noProof/>
        </w:rPr>
      </w:pPr>
    </w:p>
    <w:sectPr w:rsidR="007E2115" w:rsidSect="00C36F54">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DC62B" w14:textId="77777777" w:rsidR="00DB0933" w:rsidRPr="00C36F54" w:rsidRDefault="00DB0933" w:rsidP="00343D67">
      <w:pPr>
        <w:spacing w:after="0" w:line="240" w:lineRule="auto"/>
      </w:pPr>
      <w:r>
        <w:separator/>
      </w:r>
    </w:p>
  </w:endnote>
  <w:endnote w:type="continuationSeparator" w:id="0">
    <w:p w14:paraId="0E5FFAA5" w14:textId="77777777" w:rsidR="00DB0933" w:rsidRPr="00C36F54" w:rsidRDefault="00DB0933" w:rsidP="00343D67">
      <w:pPr>
        <w:spacing w:after="0" w:line="240" w:lineRule="auto"/>
      </w:pPr>
      <w:r>
        <w:continuationSeparator/>
      </w:r>
    </w:p>
  </w:endnote>
  <w:endnote w:type="continuationNotice" w:id="1">
    <w:p w14:paraId="31E4B121" w14:textId="77777777" w:rsidR="00DB0933" w:rsidRDefault="00DB0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D1B9" w14:textId="5E6AC458" w:rsidR="00AB61FD" w:rsidRPr="00AB61FD" w:rsidRDefault="00AB61FD" w:rsidP="00AB61FD">
    <w:pPr>
      <w:pStyle w:val="FooterCoverPage"/>
      <w:rPr>
        <w:rFonts w:ascii="Arial" w:hAnsi="Arial" w:cs="Arial"/>
        <w:b/>
        <w:sz w:val="48"/>
      </w:rPr>
    </w:pPr>
    <w:r w:rsidRPr="00AB61FD">
      <w:rPr>
        <w:rFonts w:ascii="Arial" w:hAnsi="Arial" w:cs="Arial"/>
        <w:b/>
        <w:sz w:val="48"/>
      </w:rPr>
      <w:t>FR</w:t>
    </w:r>
    <w:r w:rsidRPr="00AB61FD">
      <w:rPr>
        <w:rFonts w:ascii="Arial" w:hAnsi="Arial" w:cs="Arial"/>
        <w:b/>
        <w:sz w:val="48"/>
      </w:rPr>
      <w:tab/>
    </w:r>
    <w:r w:rsidRPr="00AB61FD">
      <w:rPr>
        <w:rFonts w:ascii="Arial" w:hAnsi="Arial" w:cs="Arial"/>
        <w:b/>
        <w:sz w:val="48"/>
      </w:rPr>
      <w:tab/>
    </w:r>
    <w:r w:rsidRPr="00AB61FD">
      <w:tab/>
    </w:r>
    <w:r w:rsidRPr="00AB61F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784A1" w14:textId="0CBBE497" w:rsidR="00AB61FD" w:rsidRPr="00AB61FD" w:rsidRDefault="00AB61FD" w:rsidP="00AB61FD">
    <w:pPr>
      <w:pStyle w:val="FooterCoverPage"/>
      <w:rPr>
        <w:rFonts w:ascii="Arial" w:hAnsi="Arial" w:cs="Arial"/>
        <w:b/>
        <w:sz w:val="48"/>
      </w:rPr>
    </w:pPr>
    <w:r w:rsidRPr="00AB61FD">
      <w:rPr>
        <w:rFonts w:ascii="Arial" w:hAnsi="Arial" w:cs="Arial"/>
        <w:b/>
        <w:sz w:val="48"/>
      </w:rPr>
      <w:t>FR</w:t>
    </w:r>
    <w:r w:rsidRPr="00AB61FD">
      <w:rPr>
        <w:rFonts w:ascii="Arial" w:hAnsi="Arial" w:cs="Arial"/>
        <w:b/>
        <w:sz w:val="48"/>
      </w:rPr>
      <w:tab/>
    </w:r>
    <w:r w:rsidRPr="00AB61FD">
      <w:rPr>
        <w:rFonts w:ascii="Arial" w:hAnsi="Arial" w:cs="Arial"/>
        <w:b/>
        <w:sz w:val="48"/>
      </w:rPr>
      <w:tab/>
    </w:r>
    <w:r w:rsidRPr="00AB61FD">
      <w:tab/>
    </w:r>
    <w:r w:rsidRPr="00AB61F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10759" w14:textId="77777777" w:rsidR="00AB61FD" w:rsidRPr="00AB61FD" w:rsidRDefault="00AB61FD" w:rsidP="00AB61F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C2285" w14:textId="77777777" w:rsidR="004A1ACA" w:rsidRPr="00C36F54" w:rsidRDefault="004A1A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87512707"/>
      <w:docPartObj>
        <w:docPartGallery w:val="Page Numbers (Bottom of Page)"/>
        <w:docPartUnique/>
      </w:docPartObj>
    </w:sdtPr>
    <w:sdtEndPr/>
    <w:sdtContent>
      <w:p w14:paraId="3606451B" w14:textId="0B393896" w:rsidR="004A1ACA" w:rsidRPr="006154EC" w:rsidRDefault="004A1ACA">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B61FD">
          <w:rPr>
            <w:rFonts w:ascii="Times New Roman" w:hAnsi="Times New Roman" w:cs="Times New Roman"/>
            <w:noProof/>
          </w:rPr>
          <w:t>1</w:t>
        </w:r>
        <w:r>
          <w:rPr>
            <w:rFonts w:ascii="Times New Roman" w:hAnsi="Times New Roman" w:cs="Times New Roman"/>
          </w:rPr>
          <w:fldChar w:fldCharType="end"/>
        </w:r>
      </w:p>
    </w:sdtContent>
  </w:sdt>
  <w:p w14:paraId="2995DD2C" w14:textId="77777777" w:rsidR="004A1ACA" w:rsidRPr="00C36F54" w:rsidRDefault="004A1A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4CA3" w14:textId="77777777" w:rsidR="004A1ACA" w:rsidRPr="00C36F54" w:rsidRDefault="004A1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5C6CA" w14:textId="77777777" w:rsidR="00DB0933" w:rsidRPr="00C36F54" w:rsidRDefault="00DB0933" w:rsidP="00343D67">
      <w:pPr>
        <w:spacing w:after="0" w:line="240" w:lineRule="auto"/>
      </w:pPr>
      <w:r>
        <w:separator/>
      </w:r>
    </w:p>
  </w:footnote>
  <w:footnote w:type="continuationSeparator" w:id="0">
    <w:p w14:paraId="23F8FB76" w14:textId="77777777" w:rsidR="00DB0933" w:rsidRPr="00C36F54" w:rsidRDefault="00DB0933" w:rsidP="00343D67">
      <w:pPr>
        <w:spacing w:after="0" w:line="240" w:lineRule="auto"/>
      </w:pPr>
      <w:r>
        <w:continuationSeparator/>
      </w:r>
    </w:p>
  </w:footnote>
  <w:footnote w:type="continuationNotice" w:id="1">
    <w:p w14:paraId="4CB24C2F" w14:textId="77777777" w:rsidR="00DB0933" w:rsidRDefault="00DB0933">
      <w:pPr>
        <w:spacing w:after="0" w:line="240" w:lineRule="auto"/>
      </w:pPr>
    </w:p>
  </w:footnote>
  <w:footnote w:id="2">
    <w:p w14:paraId="5133803B" w14:textId="77777777" w:rsidR="00706445" w:rsidRDefault="00706445" w:rsidP="00706445">
      <w:pPr>
        <w:pStyle w:val="FootnoteText"/>
        <w:jc w:val="both"/>
        <w:rPr>
          <w:rFonts w:ascii="Times New Roman" w:hAnsi="Times New Roman" w:cs="Times New Roman"/>
          <w:color w:val="000000"/>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color w:val="000000"/>
          </w:rPr>
          <w:t>EUR-Lex - 52025DC0079 - EN - EUR-Lex</w:t>
        </w:r>
      </w:hyperlink>
      <w:r>
        <w:t>.</w:t>
      </w:r>
    </w:p>
  </w:footnote>
  <w:footnote w:id="3">
    <w:p w14:paraId="61A6941C" w14:textId="3709AD1E" w:rsidR="004434B1" w:rsidRPr="0027132F" w:rsidRDefault="004434B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Plan REPowerEU</w:t>
        </w:r>
      </w:hyperlink>
      <w:r>
        <w:t>.</w:t>
      </w:r>
    </w:p>
  </w:footnote>
  <w:footnote w:id="4">
    <w:p w14:paraId="6CE22228" w14:textId="77777777" w:rsidR="00C36F54" w:rsidRPr="00C36F54" w:rsidRDefault="00C36F54" w:rsidP="00C36F5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Énergies renouvelables, électrification et flexibilité – Pour une transformation compétitive du système énergétique de l’UE d’ici à 2030 |</w:t>
        </w:r>
      </w:hyperlink>
      <w:hyperlink r:id="rId4" w:history="1">
        <w:r>
          <w:rPr>
            <w:rStyle w:val="Hyperlink"/>
            <w:rFonts w:ascii="Times New Roman" w:hAnsi="Times New Roman"/>
          </w:rPr>
          <w:t xml:space="preserve"> Publications |</w:t>
        </w:r>
      </w:hyperlink>
      <w:hyperlink r:id="rId5" w:history="1">
        <w:r>
          <w:rPr>
            <w:rStyle w:val="Hyperlink"/>
            <w:rFonts w:ascii="Times New Roman" w:hAnsi="Times New Roman"/>
          </w:rPr>
          <w:t xml:space="preserve"> Agence européenne pour l’environnement (AEE)</w:t>
        </w:r>
      </w:hyperlink>
      <w:r>
        <w:rPr>
          <w:rFonts w:ascii="Times New Roman" w:hAnsi="Times New Roman"/>
        </w:rPr>
        <w:t>, p. 6 et 16.</w:t>
      </w:r>
    </w:p>
  </w:footnote>
  <w:footnote w:id="5">
    <w:p w14:paraId="01D24016" w14:textId="7F01C377" w:rsidR="004A6000" w:rsidRPr="004A6000" w:rsidRDefault="004A6000">
      <w:pPr>
        <w:pStyle w:val="FootnoteText"/>
      </w:pPr>
      <w:r>
        <w:rPr>
          <w:rStyle w:val="FootnoteReference"/>
        </w:rPr>
        <w:footnoteRef/>
      </w:r>
      <w:r>
        <w:t xml:space="preserve"> </w:t>
      </w:r>
      <w:hyperlink r:id="rId6" w:history="1">
        <w:r>
          <w:rPr>
            <w:rStyle w:val="Hyperlink"/>
            <w:rFonts w:ascii="Times New Roman" w:hAnsi="Times New Roman"/>
          </w:rPr>
          <w:t>«Imports of energy products to the EU down in 2024» (Baisse des importations de produits énergétiques dans l’UE en 2024) – Articles d’actualité – Eurostat</w:t>
        </w:r>
      </w:hyperlink>
      <w:r>
        <w:t>.</w:t>
      </w:r>
    </w:p>
  </w:footnote>
  <w:footnote w:id="6">
    <w:p w14:paraId="0DFD3D91" w14:textId="77777777" w:rsidR="00C36F54" w:rsidRPr="00C36F54" w:rsidRDefault="00C36F54" w:rsidP="00C36F5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Position dominante de la Chine dans le domaine de l’énergie dans trois graphiques |</w:t>
        </w:r>
      </w:hyperlink>
      <w:hyperlink r:id="rId8" w:history="1">
        <w:r>
          <w:rPr>
            <w:rStyle w:val="Hyperlink"/>
            <w:rFonts w:ascii="Times New Roman" w:hAnsi="Times New Roman"/>
          </w:rPr>
          <w:t xml:space="preserve"> MIT Technology Review</w:t>
        </w:r>
      </w:hyperlink>
      <w:r>
        <w:t>.</w:t>
      </w:r>
    </w:p>
  </w:footnote>
  <w:footnote w:id="7">
    <w:p w14:paraId="2B8F6806" w14:textId="496359EC" w:rsidR="003D767E" w:rsidRDefault="003D767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Commission européenne, Plan d’action pour une énergie abordable [COM (2025) 79], p. 1. </w:t>
      </w:r>
    </w:p>
  </w:footnote>
  <w:footnote w:id="8">
    <w:p w14:paraId="3E0813BF" w14:textId="1F702ADC" w:rsidR="00C42F56" w:rsidRPr="00C42F56" w:rsidRDefault="00C42F56">
      <w:pPr>
        <w:pStyle w:val="FootnoteText"/>
        <w:tabs>
          <w:tab w:val="left" w:pos="5850"/>
        </w:tabs>
      </w:pPr>
      <w:r>
        <w:rPr>
          <w:rStyle w:val="FootnoteReference"/>
        </w:rPr>
        <w:footnoteRef/>
      </w:r>
      <w:r>
        <w:t xml:space="preserve"> </w:t>
      </w:r>
      <w:hyperlink r:id="rId9" w:history="1">
        <w:r>
          <w:rPr>
            <w:rStyle w:val="Hyperlink"/>
            <w:rFonts w:ascii="Times New Roman" w:hAnsi="Times New Roman"/>
          </w:rPr>
          <w:t>Statistiques des prix de l’électricité – Statistics Explained – Eurostat</w:t>
        </w:r>
      </w:hyperlink>
      <w:r>
        <w:t>.</w:t>
      </w:r>
      <w:r>
        <w:tab/>
      </w:r>
    </w:p>
  </w:footnote>
  <w:footnote w:id="9">
    <w:p w14:paraId="501D6D0B" w14:textId="77777777" w:rsidR="00C36F54" w:rsidRPr="00C36F54" w:rsidRDefault="00C36F54" w:rsidP="00615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TYNDP 2024 / Rapport sur les lacunes en matière d’infrastructures / Possibilités pour un système électrique européen plus efficace d’ici à 2050</w:t>
        </w:r>
      </w:hyperlink>
      <w:r>
        <w:t>.</w:t>
      </w:r>
      <w:r>
        <w:rPr>
          <w:rFonts w:ascii="Times New Roman" w:hAnsi="Times New Roman"/>
        </w:rPr>
        <w:t xml:space="preserve"> </w:t>
      </w:r>
    </w:p>
  </w:footnote>
  <w:footnote w:id="10">
    <w:p w14:paraId="13ED2354" w14:textId="77777777" w:rsidR="00C36F54" w:rsidRPr="00C36F54" w:rsidRDefault="00C36F54" w:rsidP="006154EC">
      <w:pPr>
        <w:pStyle w:val="FootnoteText"/>
        <w:jc w:val="both"/>
      </w:pPr>
      <w:r>
        <w:rPr>
          <w:rStyle w:val="FootnoteReference"/>
        </w:rPr>
        <w:footnoteRef/>
      </w:r>
      <w:r>
        <w:t xml:space="preserve"> </w:t>
      </w:r>
      <w:hyperlink r:id="rId11" w:history="1">
        <w:r>
          <w:rPr>
            <w:rStyle w:val="Hyperlink"/>
            <w:rFonts w:ascii="Times New Roman" w:hAnsi="Times New Roman"/>
          </w:rPr>
          <w:t>Statistiques de l’électricité et de la chaleur – Statistics Explained – Eurostat</w:t>
        </w:r>
      </w:hyperlink>
      <w:r>
        <w:t>.</w:t>
      </w:r>
    </w:p>
  </w:footnote>
  <w:footnote w:id="11">
    <w:p w14:paraId="0B710950" w14:textId="77777777"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Note d’information des services du FMI sur l’intégration du marché de l’énergie de l’UE, 17 janvier 2025, </w:t>
      </w:r>
      <w:hyperlink r:id="rId12" w:history="1">
        <w:r>
          <w:rPr>
            <w:rStyle w:val="Hyperlink"/>
            <w:rFonts w:ascii="Times New Roman" w:hAnsi="Times New Roman"/>
          </w:rPr>
          <w:t>https://data.consilium.europa.eu/doc/document/ST-5438-2025-INIT/en/pdf</w:t>
        </w:r>
      </w:hyperlink>
      <w:r>
        <w:rPr>
          <w:rFonts w:ascii="Times New Roman" w:hAnsi="Times New Roman"/>
        </w:rPr>
        <w:t>, p. 5.</w:t>
      </w:r>
    </w:p>
  </w:footnote>
  <w:footnote w:id="12">
    <w:p w14:paraId="0A7EF398" w14:textId="577350C4" w:rsidR="00C36F54" w:rsidRPr="00C36F54" w:rsidRDefault="00C36F54" w:rsidP="006154EC">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TYNDP 2024 / Rapport sur les lacunes en matière d’infrastructures / Possibilités pour un système électrique européen plus efficace d’ici à 2050</w:t>
        </w:r>
      </w:hyperlink>
      <w:r>
        <w:t>.</w:t>
      </w:r>
      <w:r>
        <w:rPr>
          <w:rFonts w:ascii="Times New Roman" w:hAnsi="Times New Roman"/>
        </w:rPr>
        <w:t xml:space="preserve"> </w:t>
      </w:r>
    </w:p>
  </w:footnote>
  <w:footnote w:id="13">
    <w:p w14:paraId="4353C42B" w14:textId="77777777" w:rsidR="00C36F54" w:rsidRPr="00C36F54" w:rsidRDefault="00C36F54" w:rsidP="00615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Portefeuille de projets de la CINEA – Page |</w:t>
        </w:r>
      </w:hyperlink>
      <w:hyperlink r:id="rId15" w:history="1">
        <w:r>
          <w:rPr>
            <w:rStyle w:val="Hyperlink"/>
            <w:rFonts w:ascii="Times New Roman" w:hAnsi="Times New Roman"/>
          </w:rPr>
          <w:t xml:space="preserve"> d’accueil – Qlik Sense</w:t>
        </w:r>
      </w:hyperlink>
      <w:r>
        <w:t>.</w:t>
      </w:r>
    </w:p>
  </w:footnote>
  <w:footnote w:id="14">
    <w:p w14:paraId="1D4C14AE" w14:textId="6EDF404D" w:rsidR="004A1ACA" w:rsidRPr="00C36F54" w:rsidRDefault="004A1ACA" w:rsidP="0027132F">
      <w:pPr>
        <w:pStyle w:val="FootnoteText"/>
        <w:jc w:val="both"/>
      </w:pPr>
      <w:r>
        <w:rPr>
          <w:rStyle w:val="FootnoteReference"/>
        </w:rPr>
        <w:footnoteRef/>
      </w:r>
      <w:r>
        <w:t xml:space="preserve"> </w:t>
      </w:r>
      <w:hyperlink r:id="rId16" w:history="1">
        <w:r>
          <w:rPr>
            <w:rStyle w:val="Hyperlink"/>
            <w:rFonts w:ascii="Times New Roman" w:hAnsi="Times New Roman"/>
          </w:rPr>
          <w:t>Le chaînon manquant des réseaux – Un plan d’action de l’UE pour les réseaux</w:t>
        </w:r>
      </w:hyperlink>
      <w:r>
        <w:rPr>
          <w:rFonts w:ascii="Times New Roman" w:hAnsi="Times New Roman"/>
        </w:rPr>
        <w:t>,</w:t>
      </w:r>
      <w:r>
        <w:t xml:space="preserve"> </w:t>
      </w:r>
      <w:r>
        <w:rPr>
          <w:rFonts w:ascii="Times New Roman" w:hAnsi="Times New Roman"/>
        </w:rPr>
        <w:t>COM/2023/757 final</w:t>
      </w:r>
      <w:r>
        <w:t>.</w:t>
      </w:r>
    </w:p>
  </w:footnote>
  <w:footnote w:id="15">
    <w:p w14:paraId="3D79B206" w14:textId="3747F7CB" w:rsidR="00C36F54" w:rsidRPr="00C36F54" w:rsidRDefault="00C36F54" w:rsidP="00C36F54">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Rapport de suivi 2024 de l’ACER sur les infrastructures électriques, </w:t>
      </w:r>
      <w:hyperlink r:id="rId17" w:history="1">
        <w:r>
          <w:rPr>
            <w:rStyle w:val="Hyperlink"/>
            <w:rFonts w:ascii="Times New Roman" w:hAnsi="Times New Roman"/>
          </w:rPr>
          <w:t>ACER_2024_Monitoring_Electricity_Infrastructure.pdf</w:t>
        </w:r>
      </w:hyperlink>
      <w:r>
        <w:t>.</w:t>
      </w:r>
    </w:p>
  </w:footnote>
  <w:footnote w:id="16">
    <w:p w14:paraId="00AF6AEC" w14:textId="76FDAAA1" w:rsidR="00C36F54" w:rsidRPr="00C36F54" w:rsidRDefault="00C36F54" w:rsidP="00C36F5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Technopedia pour les GRT/GRD – Accueil</w:t>
        </w:r>
      </w:hyperlink>
      <w:r>
        <w:t>.</w:t>
      </w:r>
      <w:r>
        <w:rPr>
          <w:rFonts w:ascii="Times New Roman" w:hAnsi="Times New Roman"/>
        </w:rPr>
        <w:t xml:space="preserve"> </w:t>
      </w:r>
    </w:p>
  </w:footnote>
  <w:footnote w:id="17">
    <w:p w14:paraId="3EDC727D" w14:textId="77777777" w:rsidR="00C36F54" w:rsidRPr="00C36F54" w:rsidRDefault="00C36F54" w:rsidP="00615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prévu à l’article 15, paragraphe 2, du règlement (UE) 2019/943 sur le marché intérieur de l’électricité, cette capacité minimale doit être atteinte au plus tard le 31 décembre 2025. </w:t>
      </w:r>
    </w:p>
  </w:footnote>
  <w:footnote w:id="18">
    <w:p w14:paraId="2A210399" w14:textId="73ADAAE2" w:rsidR="00C36F54" w:rsidRPr="00C36F54" w:rsidRDefault="00C36F54" w:rsidP="00615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9" w:history="1">
        <w:r>
          <w:rPr>
            <w:rStyle w:val="Hyperlink"/>
            <w:rFonts w:ascii="Times New Roman" w:hAnsi="Times New Roman"/>
          </w:rPr>
          <w:t>2023_ACER_PCI_Report.pdf</w:t>
        </w:r>
      </w:hyperlink>
      <w:r>
        <w:t>.</w:t>
      </w:r>
    </w:p>
  </w:footnote>
  <w:footnote w:id="19">
    <w:p w14:paraId="4F93C46C" w14:textId="747AC9EC" w:rsidR="00C36F54" w:rsidRPr="00C36F54" w:rsidRDefault="00C36F54" w:rsidP="006154E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Rapport de suivi 2024 de l’ACER, Développement des infrastructures électriques pour soutenir un système énergétique compétitif et durable, p. 18.</w:t>
      </w:r>
    </w:p>
  </w:footnote>
  <w:footnote w:id="20">
    <w:p w14:paraId="72E333C8" w14:textId="3299509F" w:rsidR="00C36F54" w:rsidRPr="00C36F54" w:rsidRDefault="00C36F54" w:rsidP="006154EC">
      <w:pPr>
        <w:pStyle w:val="FootnoteText"/>
        <w:jc w:val="both"/>
      </w:pPr>
      <w:r>
        <w:rPr>
          <w:rStyle w:val="FootnoteReference"/>
        </w:rPr>
        <w:footnoteRef/>
      </w:r>
      <w:r>
        <w:t xml:space="preserve"> </w:t>
      </w:r>
      <w:hyperlink r:id="rId20" w:history="1">
        <w:r>
          <w:rPr>
            <w:rStyle w:val="Hyperlink"/>
            <w:rFonts w:ascii="Times New Roman" w:hAnsi="Times New Roman"/>
          </w:rPr>
          <w:t>https://www.acer.europa.eu/media/charts/PCIs-and-PMIs-monitoring-2025</w:t>
        </w:r>
      </w:hyperlink>
      <w:r>
        <w:rPr>
          <w:rFonts w:ascii="Times New Roman" w:hAnsi="Times New Roman"/>
        </w:rPr>
        <w:t xml:space="preserve">. </w:t>
      </w:r>
    </w:p>
  </w:footnote>
  <w:footnote w:id="21">
    <w:p w14:paraId="1146639D" w14:textId="22CC16EA"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rapport final peut être consulté à l’adresse suivante: </w:t>
      </w:r>
      <w:hyperlink r:id="rId21">
        <w:r>
          <w:rPr>
            <w:rStyle w:val="Hyperlink"/>
            <w:rFonts w:ascii="Times New Roman" w:hAnsi="Times New Roman"/>
          </w:rPr>
          <w:t>Appui technique à l’élaboration et à la mise en œuvre de la politique en matière de SER – simplification des procédures administratives et d’autorisation pour les installations utilisant des SER (étude «RES Simplify») – Office des publications de l’UE</w:t>
        </w:r>
      </w:hyperlink>
      <w:r>
        <w:t>.</w:t>
      </w:r>
    </w:p>
  </w:footnote>
  <w:footnote w:id="22">
    <w:p w14:paraId="54683D80" w14:textId="7C87DC18"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Fraunhofer Institute for Systems and Innovation Research ISI, et al., </w:t>
      </w:r>
      <w:hyperlink r:id="rId22" w:history="1">
        <w:r>
          <w:rPr>
            <w:rStyle w:val="Hyperlink"/>
            <w:rFonts w:ascii="Times New Roman" w:hAnsi="Times New Roman"/>
          </w:rPr>
          <w:t>Study on energy storage (Étude sur le stockage de l’énergie)</w:t>
        </w:r>
      </w:hyperlink>
      <w:r>
        <w:rPr>
          <w:rFonts w:ascii="Times New Roman" w:hAnsi="Times New Roman"/>
        </w:rPr>
        <w:t xml:space="preserve">, 2023. </w:t>
      </w:r>
    </w:p>
  </w:footnote>
  <w:footnote w:id="23">
    <w:p w14:paraId="3E0C2B92" w14:textId="28B52E57"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Informations recueillies par des organismes de recharge, notamment ChargeUp Europe, Ionity et Milence.</w:t>
      </w:r>
    </w:p>
  </w:footnote>
  <w:footnote w:id="24">
    <w:p w14:paraId="73F0523C" w14:textId="13C7D030"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Des exemples de bonnes pratiques pertinentes figurent dans le document de travail des services de la Commission [SWD(2024) 124 final] – Orientations destinées aux États membres relatives aux bonnes pratiques qui permettent d’accélérer les procédures d’octroi de permis pour les projets en matière d’énergie renouvelable et les projets d’infrastructure connexe.</w:t>
      </w:r>
    </w:p>
  </w:footnote>
  <w:footnote w:id="25">
    <w:p w14:paraId="658FAB99" w14:textId="77777777"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Tels que la Convention des maires, le pacte de mobilisation et l’initiative «Fast and Fair Renewables and Grids». </w:t>
      </w:r>
    </w:p>
  </w:footnote>
  <w:footnote w:id="26">
    <w:p w14:paraId="53B70AAF" w14:textId="1DBFB06B" w:rsidR="00C36F54" w:rsidRPr="00C36F54" w:rsidRDefault="00C36F54" w:rsidP="0027132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les prix et les délais de réalisation des nouveaux transformateurs et câbles ont presque doublé en 2025 par rapport à 2021-2022 (source: </w:t>
      </w:r>
      <w:hyperlink r:id="rId23" w:history="1">
        <w:r>
          <w:rPr>
            <w:rStyle w:val="Hyperlink"/>
            <w:rFonts w:ascii="Times New Roman" w:hAnsi="Times New Roman"/>
          </w:rPr>
          <w:t>Building the future transmission grid – Strategies to navigate supply chain challenges (Construire le futur réseau de transport – Stratégies pour relever les défis de la chaîne d’approvisionnement)</w:t>
        </w:r>
      </w:hyperlink>
      <w:r>
        <w:rPr>
          <w:rFonts w:ascii="Times New Roman" w:hAnsi="Times New Roman"/>
        </w:rPr>
        <w:t>; IEA, février 2025).</w:t>
      </w:r>
    </w:p>
  </w:footnote>
  <w:footnote w:id="27">
    <w:p w14:paraId="1C4166C1" w14:textId="77777777" w:rsidR="00C36F54" w:rsidRPr="00C36F54" w:rsidRDefault="00C36F54" w:rsidP="002D1E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Artelys, LBST, Trinomics, Finesso, A. et al., </w:t>
      </w:r>
      <w:hyperlink r:id="rId24" w:history="1">
        <w:r>
          <w:rPr>
            <w:rStyle w:val="Hyperlink"/>
            <w:rFonts w:ascii="Times New Roman" w:hAnsi="Times New Roman"/>
          </w:rPr>
          <w:t>Investment needs of European energy infrastructure to enable a decarbonised economy («Besoins d’investissement des infrastructures énergétiques européennes pour permettre une économie décarbonée»)</w:t>
        </w:r>
      </w:hyperlink>
      <w:r>
        <w:rPr>
          <w:rFonts w:ascii="Times New Roman" w:hAnsi="Times New Roman"/>
        </w:rPr>
        <w:t xml:space="preserve">, 2025. </w:t>
      </w:r>
    </w:p>
  </w:footnote>
  <w:footnote w:id="28">
    <w:p w14:paraId="140FBDDA" w14:textId="071BA8AD" w:rsidR="00C36F54" w:rsidRPr="00C36F54" w:rsidRDefault="00C36F54" w:rsidP="00C36F5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
            <w:rFonts w:ascii="Times New Roman" w:hAnsi="Times New Roman"/>
          </w:rPr>
          <w:t>https://energy.ec.europa.eu/publications/communication-future-proof-network-charges-reduced-energy-system-costs_en</w:t>
        </w:r>
      </w:hyperlink>
      <w:r>
        <w:t>.</w:t>
      </w:r>
      <w:r>
        <w:rPr>
          <w:rFonts w:ascii="Times New Roman" w:hAnsi="Times New Roman"/>
        </w:rPr>
        <w:t xml:space="preserve"> </w:t>
      </w:r>
    </w:p>
  </w:footnote>
  <w:footnote w:id="29">
    <w:p w14:paraId="521540B8" w14:textId="277C6F78" w:rsidR="00CA4739" w:rsidRPr="0027132F" w:rsidRDefault="00CA4739" w:rsidP="0027132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soutien pourrait être apporté au développement d’interconnexions énergétiques transfrontalières, à l’expansion des sources d’énergie renouvelables telles que l’énergie solaire et éolienne, au déploiement d’infrastructures de recharge et à la modernisation des réseaux de distribution d’énergie afin de gérer efficacement les fluctuations de l’approvisionnement.</w:t>
      </w:r>
    </w:p>
  </w:footnote>
  <w:footnote w:id="30">
    <w:p w14:paraId="3AF30F77" w14:textId="77777777" w:rsidR="00C36F54" w:rsidRPr="00C36F54" w:rsidRDefault="00C36F54" w:rsidP="00C36F54">
      <w:pPr>
        <w:pStyle w:val="FootnoteText"/>
        <w:jc w:val="both"/>
        <w:rPr>
          <w:rFonts w:ascii="Calibri" w:hAnsi="Calibri" w:cs="Calibri"/>
        </w:rPr>
      </w:pPr>
      <w:r>
        <w:rPr>
          <w:rStyle w:val="FootnoteReference"/>
          <w:rFonts w:ascii="Times New Roman" w:hAnsi="Times New Roman" w:cs="Times New Roman"/>
        </w:rPr>
        <w:footnoteRef/>
      </w:r>
      <w:r>
        <w:rPr>
          <w:rFonts w:ascii="Times New Roman" w:hAnsi="Times New Roman"/>
        </w:rPr>
        <w:t xml:space="preserve"> L’UE apporte actuellement un soutien substantiel par l’intermédiaire, entre autres, du mécanisme pour l’interconnexion en Europe, du Fonds européen de développement régional, du Fonds de cohésion ou des plans pour la reprise et la résilience. Selon la proposition de la Commission relative au prochain cadre financier pluriannuel, le budget du </w:t>
      </w:r>
      <w:r>
        <w:rPr>
          <w:rFonts w:ascii="Times New Roman" w:hAnsi="Times New Roman"/>
          <w:b/>
          <w:bCs/>
        </w:rPr>
        <w:t>mécanisme pour l’interconnexion en Europe dans le secteur de l’énergie</w:t>
      </w:r>
      <w:r>
        <w:rPr>
          <w:rFonts w:ascii="Times New Roman" w:hAnsi="Times New Roman"/>
        </w:rPr>
        <w:t xml:space="preserve"> (MIE-E) augmenterait considérablement, passant de 5,84 milliards d’EUR pour la période 2021-2027 à 29,91 milliards d’EUR pour la période 2028-2034.  Le </w:t>
      </w:r>
      <w:r>
        <w:rPr>
          <w:rFonts w:ascii="Times New Roman" w:hAnsi="Times New Roman"/>
          <w:b/>
          <w:bCs/>
        </w:rPr>
        <w:t>Fonds européen pour la compétitivité</w:t>
      </w:r>
      <w:r>
        <w:rPr>
          <w:rFonts w:ascii="Times New Roman" w:hAnsi="Times New Roman"/>
        </w:rPr>
        <w:t xml:space="preserve"> fournira un financement consolidé (234,3 milliards d’EUR), comprenant des fonds spécifiques (26,2 milliards d’EUR) pour l’expansion et le déploiement des technologies de décarbonation et de transition propre, y compris les infrastructures. Les </w:t>
      </w:r>
      <w:r>
        <w:rPr>
          <w:rFonts w:ascii="Times New Roman" w:hAnsi="Times New Roman"/>
          <w:b/>
          <w:bCs/>
        </w:rPr>
        <w:t>plans de partenariat nationaux et régionaux</w:t>
      </w:r>
      <w:r>
        <w:rPr>
          <w:rFonts w:ascii="Times New Roman" w:hAnsi="Times New Roman"/>
        </w:rPr>
        <w:t xml:space="preserve"> (865 milliards d’EUR) réuniront des investissements et des réformes dans le domaine des énergies propres et soutiendront la mise en œuvre de plans nationaux en matière d’énergie et de climat.</w:t>
      </w:r>
    </w:p>
  </w:footnote>
  <w:footnote w:id="31">
    <w:p w14:paraId="58DBAAE8" w14:textId="498E1406" w:rsidR="00B44C28" w:rsidRPr="00C960AD" w:rsidRDefault="00B44C2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 d’action de l’UE sur la sécurité des câbles, JOIN(2025) 9 final, </w:t>
      </w:r>
      <w:hyperlink r:id="rId26" w:history="1">
        <w:r>
          <w:rPr>
            <w:rStyle w:val="Hyperlink"/>
            <w:rFonts w:ascii="Times New Roman" w:hAnsi="Times New Roman"/>
          </w:rPr>
          <w:t>eur-lex.europa.eu/legal-content/FR/TXT/PDF/?uri=CELEX:52025JC0009</w:t>
        </w:r>
      </w:hyperlink>
      <w:r>
        <w:t>.</w:t>
      </w:r>
    </w:p>
  </w:footnote>
  <w:footnote w:id="32">
    <w:p w14:paraId="7079007F" w14:textId="6F48C834" w:rsidR="00194A2E" w:rsidRPr="0027132F" w:rsidRDefault="00194A2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Règlement délégué relatif à la deuxième liste des projets d’intérêt commun et des projets d’intérêt mutuel de l’Union et son annexe — Énergie</w:t>
        </w:r>
      </w:hyperlink>
      <w:r>
        <w:rPr>
          <w:rFonts w:ascii="Times New Roman" w:hAnsi="Times New Roman"/>
        </w:rPr>
        <w:t>.</w:t>
      </w:r>
    </w:p>
  </w:footnote>
  <w:footnote w:id="33">
    <w:p w14:paraId="42280548" w14:textId="373F74C9" w:rsidR="003960C3" w:rsidRPr="0010381B" w:rsidRDefault="003960C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rPr>
          <w:t>New European coordinator appointed to oversee completion of Baltic synchronisation energy project - European Commission (Nomination d’un nouveau coordonnateur européen chargé de superviser l’achèvement du projet énergétique de synchronisation de la région de la Baltique – Commission européenne)</w:t>
        </w:r>
      </w:hyperlink>
      <w:r>
        <w:t>.</w:t>
      </w:r>
    </w:p>
    <w:p w14:paraId="0B8BDFCA" w14:textId="107CB306" w:rsidR="0010381B" w:rsidRPr="006154EC" w:rsidRDefault="00AB61FD">
      <w:pPr>
        <w:pStyle w:val="FootnoteText"/>
        <w:rPr>
          <w:rFonts w:ascii="Times New Roman" w:hAnsi="Times New Roman" w:cs="Times New Roman"/>
        </w:rPr>
      </w:pPr>
      <w:hyperlink r:id="rId29" w:history="1">
        <w:r w:rsidR="0010381B">
          <w:rPr>
            <w:rStyle w:val="Hyperlink"/>
            <w:rFonts w:ascii="Times New Roman" w:hAnsi="Times New Roman"/>
          </w:rPr>
          <w:t>New European coordinator appointed for the Central and South-East European energy interconnectivity (Nomination d’un nouveau coordonnateur européen pour l’interconnexion énergétique de l’Europe centrale et du Sud-Est)</w:t>
        </w:r>
      </w:hyperlink>
      <w:r w:rsidR="0010381B">
        <w:t>.</w:t>
      </w:r>
    </w:p>
  </w:footnote>
  <w:footnote w:id="34">
    <w:p w14:paraId="6D3E938C" w14:textId="77777777" w:rsidR="00C36F54" w:rsidRDefault="00C36F54" w:rsidP="00C36F5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L’Irlande sera directement reliée au réseau électrique de l’UE grâce au projet «Celtic Interconnector» en cours entre l’Irlande et la France.</w:t>
      </w:r>
    </w:p>
  </w:footnote>
  <w:footnote w:id="35">
    <w:p w14:paraId="48860D4E" w14:textId="5B852D53" w:rsidR="00A16BF2" w:rsidRPr="0027132F" w:rsidRDefault="00A16BF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Communication conjointe sur le pacte pour la Méditerranée – Moyen-Orient, Afrique du Nord et le Golfe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D867" w14:textId="77777777" w:rsidR="00AB61FD" w:rsidRPr="00AB61FD" w:rsidRDefault="00AB61FD" w:rsidP="00AB61F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B0E99" w14:textId="77777777" w:rsidR="00AB61FD" w:rsidRPr="00AB61FD" w:rsidRDefault="00AB61FD" w:rsidP="00AB61F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E217E" w14:textId="77777777" w:rsidR="00AB61FD" w:rsidRPr="00AB61FD" w:rsidRDefault="00AB61FD" w:rsidP="00AB61F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570D" w14:textId="77777777" w:rsidR="004A1ACA" w:rsidRPr="00C36F54" w:rsidRDefault="004A1A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F8D82" w14:textId="77777777" w:rsidR="004A1ACA" w:rsidRPr="00C36F54" w:rsidRDefault="004A1A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2063" w14:textId="77777777" w:rsidR="004A1ACA" w:rsidRPr="00C36F54" w:rsidRDefault="004A1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D2F89"/>
    <w:multiLevelType w:val="hybridMultilevel"/>
    <w:tmpl w:val="B3EE2640"/>
    <w:lvl w:ilvl="0" w:tplc="C6ECC4AC">
      <w:start w:val="1"/>
      <w:numFmt w:val="bullet"/>
      <w:lvlText w:val=""/>
      <w:lvlJc w:val="left"/>
      <w:pPr>
        <w:ind w:left="720" w:hanging="360"/>
      </w:pPr>
      <w:rPr>
        <w:rFonts w:ascii="Symbol" w:hAnsi="Symbol"/>
      </w:rPr>
    </w:lvl>
    <w:lvl w:ilvl="1" w:tplc="7C0693BE">
      <w:start w:val="1"/>
      <w:numFmt w:val="bullet"/>
      <w:lvlText w:val=""/>
      <w:lvlJc w:val="left"/>
      <w:pPr>
        <w:ind w:left="720" w:hanging="360"/>
      </w:pPr>
      <w:rPr>
        <w:rFonts w:ascii="Symbol" w:hAnsi="Symbol"/>
      </w:rPr>
    </w:lvl>
    <w:lvl w:ilvl="2" w:tplc="88048CB8">
      <w:start w:val="1"/>
      <w:numFmt w:val="bullet"/>
      <w:lvlText w:val=""/>
      <w:lvlJc w:val="left"/>
      <w:pPr>
        <w:ind w:left="720" w:hanging="360"/>
      </w:pPr>
      <w:rPr>
        <w:rFonts w:ascii="Symbol" w:hAnsi="Symbol"/>
      </w:rPr>
    </w:lvl>
    <w:lvl w:ilvl="3" w:tplc="0F5E0D6A">
      <w:start w:val="1"/>
      <w:numFmt w:val="bullet"/>
      <w:lvlText w:val=""/>
      <w:lvlJc w:val="left"/>
      <w:pPr>
        <w:ind w:left="720" w:hanging="360"/>
      </w:pPr>
      <w:rPr>
        <w:rFonts w:ascii="Symbol" w:hAnsi="Symbol"/>
      </w:rPr>
    </w:lvl>
    <w:lvl w:ilvl="4" w:tplc="EC2CDB2E">
      <w:start w:val="1"/>
      <w:numFmt w:val="bullet"/>
      <w:lvlText w:val=""/>
      <w:lvlJc w:val="left"/>
      <w:pPr>
        <w:ind w:left="720" w:hanging="360"/>
      </w:pPr>
      <w:rPr>
        <w:rFonts w:ascii="Symbol" w:hAnsi="Symbol"/>
      </w:rPr>
    </w:lvl>
    <w:lvl w:ilvl="5" w:tplc="0262AC48">
      <w:start w:val="1"/>
      <w:numFmt w:val="bullet"/>
      <w:lvlText w:val=""/>
      <w:lvlJc w:val="left"/>
      <w:pPr>
        <w:ind w:left="720" w:hanging="360"/>
      </w:pPr>
      <w:rPr>
        <w:rFonts w:ascii="Symbol" w:hAnsi="Symbol"/>
      </w:rPr>
    </w:lvl>
    <w:lvl w:ilvl="6" w:tplc="D9F08118">
      <w:start w:val="1"/>
      <w:numFmt w:val="bullet"/>
      <w:lvlText w:val=""/>
      <w:lvlJc w:val="left"/>
      <w:pPr>
        <w:ind w:left="720" w:hanging="360"/>
      </w:pPr>
      <w:rPr>
        <w:rFonts w:ascii="Symbol" w:hAnsi="Symbol"/>
      </w:rPr>
    </w:lvl>
    <w:lvl w:ilvl="7" w:tplc="FA149522">
      <w:start w:val="1"/>
      <w:numFmt w:val="bullet"/>
      <w:lvlText w:val=""/>
      <w:lvlJc w:val="left"/>
      <w:pPr>
        <w:ind w:left="720" w:hanging="360"/>
      </w:pPr>
      <w:rPr>
        <w:rFonts w:ascii="Symbol" w:hAnsi="Symbol"/>
      </w:rPr>
    </w:lvl>
    <w:lvl w:ilvl="8" w:tplc="9FAE4546">
      <w:start w:val="1"/>
      <w:numFmt w:val="bullet"/>
      <w:lvlText w:val=""/>
      <w:lvlJc w:val="left"/>
      <w:pPr>
        <w:ind w:left="720" w:hanging="360"/>
      </w:pPr>
      <w:rPr>
        <w:rFonts w:ascii="Symbol" w:hAnsi="Symbol"/>
      </w:rPr>
    </w:lvl>
  </w:abstractNum>
  <w:abstractNum w:abstractNumId="1" w15:restartNumberingAfterBreak="0">
    <w:nsid w:val="339352F2"/>
    <w:multiLevelType w:val="hybridMultilevel"/>
    <w:tmpl w:val="CB26FA9A"/>
    <w:lvl w:ilvl="0" w:tplc="285CC6B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B70C83"/>
    <w:multiLevelType w:val="hybridMultilevel"/>
    <w:tmpl w:val="F9BE9500"/>
    <w:lvl w:ilvl="0" w:tplc="37E6C6BE">
      <w:start w:val="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5051899"/>
    <w:multiLevelType w:val="hybridMultilevel"/>
    <w:tmpl w:val="B7CEE654"/>
    <w:lvl w:ilvl="0" w:tplc="D6A8A8A0">
      <w:start w:val="1"/>
      <w:numFmt w:val="decimal"/>
      <w:lvlText w:val="%1."/>
      <w:lvlJc w:val="left"/>
      <w:pPr>
        <w:ind w:left="720" w:hanging="360"/>
      </w:pPr>
    </w:lvl>
    <w:lvl w:ilvl="1" w:tplc="B01CC9C4">
      <w:start w:val="1"/>
      <w:numFmt w:val="lowerLetter"/>
      <w:lvlText w:val="%2."/>
      <w:lvlJc w:val="left"/>
      <w:pPr>
        <w:ind w:left="1440" w:hanging="360"/>
      </w:pPr>
    </w:lvl>
    <w:lvl w:ilvl="2" w:tplc="19C63732">
      <w:start w:val="1"/>
      <w:numFmt w:val="lowerRoman"/>
      <w:lvlText w:val="%3."/>
      <w:lvlJc w:val="right"/>
      <w:pPr>
        <w:ind w:left="2160" w:hanging="180"/>
      </w:pPr>
    </w:lvl>
    <w:lvl w:ilvl="3" w:tplc="DBBEA894">
      <w:start w:val="1"/>
      <w:numFmt w:val="decimal"/>
      <w:lvlText w:val="%4."/>
      <w:lvlJc w:val="left"/>
      <w:pPr>
        <w:ind w:left="2880" w:hanging="360"/>
      </w:pPr>
    </w:lvl>
    <w:lvl w:ilvl="4" w:tplc="E8A81FAA">
      <w:start w:val="1"/>
      <w:numFmt w:val="lowerLetter"/>
      <w:lvlText w:val="%5."/>
      <w:lvlJc w:val="left"/>
      <w:pPr>
        <w:ind w:left="3600" w:hanging="360"/>
      </w:pPr>
    </w:lvl>
    <w:lvl w:ilvl="5" w:tplc="261EDA64">
      <w:start w:val="1"/>
      <w:numFmt w:val="lowerRoman"/>
      <w:lvlText w:val="%6."/>
      <w:lvlJc w:val="right"/>
      <w:pPr>
        <w:ind w:left="4320" w:hanging="180"/>
      </w:pPr>
    </w:lvl>
    <w:lvl w:ilvl="6" w:tplc="A8D4605E">
      <w:start w:val="1"/>
      <w:numFmt w:val="decimal"/>
      <w:lvlText w:val="%7."/>
      <w:lvlJc w:val="left"/>
      <w:pPr>
        <w:ind w:left="5040" w:hanging="360"/>
      </w:pPr>
    </w:lvl>
    <w:lvl w:ilvl="7" w:tplc="6024B20E">
      <w:start w:val="1"/>
      <w:numFmt w:val="lowerLetter"/>
      <w:lvlText w:val="%8."/>
      <w:lvlJc w:val="left"/>
      <w:pPr>
        <w:ind w:left="5760" w:hanging="360"/>
      </w:pPr>
    </w:lvl>
    <w:lvl w:ilvl="8" w:tplc="7B0608BC">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E647977-90A3-4EAD-9461-53FD56988055"/>
    <w:docVar w:name="LW_COVERPAGE_TYPE" w:val="1"/>
    <w:docVar w:name="LW_CROSSREFERENCE" w:val="&lt;UNUSED&gt;"/>
    <w:docVar w:name="LW_DocType" w:val="NORMAL"/>
    <w:docVar w:name="LW_EMISSION" w:val="10.12.2025"/>
    <w:docVar w:name="LW_EMISSION_ISODATE" w:val="2025-12-1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0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Train de mesures sur les réseaux européens »_x000d__x000b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343D67"/>
    <w:rsid w:val="00001293"/>
    <w:rsid w:val="00005F94"/>
    <w:rsid w:val="0000664A"/>
    <w:rsid w:val="00006993"/>
    <w:rsid w:val="00007206"/>
    <w:rsid w:val="000125F9"/>
    <w:rsid w:val="000179B2"/>
    <w:rsid w:val="00030263"/>
    <w:rsid w:val="00030457"/>
    <w:rsid w:val="00032FC3"/>
    <w:rsid w:val="00034765"/>
    <w:rsid w:val="00041778"/>
    <w:rsid w:val="0004446B"/>
    <w:rsid w:val="00053BF0"/>
    <w:rsid w:val="000561E0"/>
    <w:rsid w:val="00056740"/>
    <w:rsid w:val="0006026B"/>
    <w:rsid w:val="00062049"/>
    <w:rsid w:val="000651A0"/>
    <w:rsid w:val="000658E6"/>
    <w:rsid w:val="00067DFD"/>
    <w:rsid w:val="00073325"/>
    <w:rsid w:val="00075E23"/>
    <w:rsid w:val="00077028"/>
    <w:rsid w:val="00077DD5"/>
    <w:rsid w:val="00085162"/>
    <w:rsid w:val="00087C7A"/>
    <w:rsid w:val="000914EE"/>
    <w:rsid w:val="000A074F"/>
    <w:rsid w:val="000A1D9C"/>
    <w:rsid w:val="000A2A50"/>
    <w:rsid w:val="000A7F70"/>
    <w:rsid w:val="000B123D"/>
    <w:rsid w:val="000B2C94"/>
    <w:rsid w:val="000B2FE2"/>
    <w:rsid w:val="000B5C8A"/>
    <w:rsid w:val="000B6DBF"/>
    <w:rsid w:val="000C60BA"/>
    <w:rsid w:val="000C7237"/>
    <w:rsid w:val="000D4EB8"/>
    <w:rsid w:val="000D5511"/>
    <w:rsid w:val="000D6B7D"/>
    <w:rsid w:val="000D7023"/>
    <w:rsid w:val="000D75CF"/>
    <w:rsid w:val="000E457F"/>
    <w:rsid w:val="000E7EED"/>
    <w:rsid w:val="000F01D5"/>
    <w:rsid w:val="000F064D"/>
    <w:rsid w:val="000F515C"/>
    <w:rsid w:val="0010381B"/>
    <w:rsid w:val="00113095"/>
    <w:rsid w:val="00115835"/>
    <w:rsid w:val="00122141"/>
    <w:rsid w:val="00122435"/>
    <w:rsid w:val="0012301F"/>
    <w:rsid w:val="00123EFB"/>
    <w:rsid w:val="00124D8C"/>
    <w:rsid w:val="0012541D"/>
    <w:rsid w:val="00126420"/>
    <w:rsid w:val="00132526"/>
    <w:rsid w:val="00137A12"/>
    <w:rsid w:val="00140ED0"/>
    <w:rsid w:val="00141925"/>
    <w:rsid w:val="00144EE4"/>
    <w:rsid w:val="00145CD4"/>
    <w:rsid w:val="0014696D"/>
    <w:rsid w:val="00146AA6"/>
    <w:rsid w:val="00146F48"/>
    <w:rsid w:val="001513BF"/>
    <w:rsid w:val="00152F27"/>
    <w:rsid w:val="00162981"/>
    <w:rsid w:val="00164B2D"/>
    <w:rsid w:val="00165522"/>
    <w:rsid w:val="0016747E"/>
    <w:rsid w:val="00170D4B"/>
    <w:rsid w:val="00172A34"/>
    <w:rsid w:val="00174A2C"/>
    <w:rsid w:val="00180642"/>
    <w:rsid w:val="00185FB7"/>
    <w:rsid w:val="00192605"/>
    <w:rsid w:val="001948FF"/>
    <w:rsid w:val="00194A2E"/>
    <w:rsid w:val="001A17A7"/>
    <w:rsid w:val="001A4289"/>
    <w:rsid w:val="001A611C"/>
    <w:rsid w:val="001A63F1"/>
    <w:rsid w:val="001B1433"/>
    <w:rsid w:val="001B1A8D"/>
    <w:rsid w:val="001B6745"/>
    <w:rsid w:val="001C4119"/>
    <w:rsid w:val="001C475D"/>
    <w:rsid w:val="001C58AE"/>
    <w:rsid w:val="001C7CFA"/>
    <w:rsid w:val="001D611D"/>
    <w:rsid w:val="001E6F02"/>
    <w:rsid w:val="001F0E15"/>
    <w:rsid w:val="001F168A"/>
    <w:rsid w:val="001F687D"/>
    <w:rsid w:val="00206E6E"/>
    <w:rsid w:val="00210A84"/>
    <w:rsid w:val="00214930"/>
    <w:rsid w:val="00215379"/>
    <w:rsid w:val="00216123"/>
    <w:rsid w:val="002164B6"/>
    <w:rsid w:val="002167B2"/>
    <w:rsid w:val="002257D1"/>
    <w:rsid w:val="002309C7"/>
    <w:rsid w:val="00230BD5"/>
    <w:rsid w:val="00240444"/>
    <w:rsid w:val="0024087D"/>
    <w:rsid w:val="00246730"/>
    <w:rsid w:val="00251C2E"/>
    <w:rsid w:val="00253AAB"/>
    <w:rsid w:val="00260466"/>
    <w:rsid w:val="00261AA4"/>
    <w:rsid w:val="00265A77"/>
    <w:rsid w:val="00266303"/>
    <w:rsid w:val="0027132F"/>
    <w:rsid w:val="00272956"/>
    <w:rsid w:val="0027493E"/>
    <w:rsid w:val="002768A7"/>
    <w:rsid w:val="0029106A"/>
    <w:rsid w:val="00292FEF"/>
    <w:rsid w:val="00294A36"/>
    <w:rsid w:val="00295122"/>
    <w:rsid w:val="002957CB"/>
    <w:rsid w:val="002A2B1B"/>
    <w:rsid w:val="002A4C99"/>
    <w:rsid w:val="002A545A"/>
    <w:rsid w:val="002A57A1"/>
    <w:rsid w:val="002B0FD4"/>
    <w:rsid w:val="002B6ACD"/>
    <w:rsid w:val="002B723A"/>
    <w:rsid w:val="002C2FC6"/>
    <w:rsid w:val="002C3674"/>
    <w:rsid w:val="002C4F6E"/>
    <w:rsid w:val="002D1E16"/>
    <w:rsid w:val="002D30E0"/>
    <w:rsid w:val="002D6902"/>
    <w:rsid w:val="002D72D6"/>
    <w:rsid w:val="002E0433"/>
    <w:rsid w:val="002E1C93"/>
    <w:rsid w:val="002E7ABF"/>
    <w:rsid w:val="002F3CDD"/>
    <w:rsid w:val="002F4CC3"/>
    <w:rsid w:val="002F5898"/>
    <w:rsid w:val="002F7A45"/>
    <w:rsid w:val="00301080"/>
    <w:rsid w:val="00302324"/>
    <w:rsid w:val="00303A54"/>
    <w:rsid w:val="00304803"/>
    <w:rsid w:val="00304B96"/>
    <w:rsid w:val="00304EE1"/>
    <w:rsid w:val="00306202"/>
    <w:rsid w:val="003103A5"/>
    <w:rsid w:val="00312ACA"/>
    <w:rsid w:val="00312B2C"/>
    <w:rsid w:val="00321476"/>
    <w:rsid w:val="003233CD"/>
    <w:rsid w:val="00330096"/>
    <w:rsid w:val="00330AAB"/>
    <w:rsid w:val="00335610"/>
    <w:rsid w:val="00336603"/>
    <w:rsid w:val="003414FC"/>
    <w:rsid w:val="00343D67"/>
    <w:rsid w:val="00351A45"/>
    <w:rsid w:val="00364AE5"/>
    <w:rsid w:val="003651A6"/>
    <w:rsid w:val="003657FD"/>
    <w:rsid w:val="00374819"/>
    <w:rsid w:val="003753D1"/>
    <w:rsid w:val="003778C3"/>
    <w:rsid w:val="00380B27"/>
    <w:rsid w:val="00384105"/>
    <w:rsid w:val="00391C68"/>
    <w:rsid w:val="003960C3"/>
    <w:rsid w:val="003A4E8E"/>
    <w:rsid w:val="003A6587"/>
    <w:rsid w:val="003A674F"/>
    <w:rsid w:val="003A6E1B"/>
    <w:rsid w:val="003A7AB6"/>
    <w:rsid w:val="003B015D"/>
    <w:rsid w:val="003B098D"/>
    <w:rsid w:val="003B50CA"/>
    <w:rsid w:val="003B61A0"/>
    <w:rsid w:val="003B6371"/>
    <w:rsid w:val="003B788D"/>
    <w:rsid w:val="003C30E6"/>
    <w:rsid w:val="003D179E"/>
    <w:rsid w:val="003D35FA"/>
    <w:rsid w:val="003D767E"/>
    <w:rsid w:val="003E3A92"/>
    <w:rsid w:val="003E4982"/>
    <w:rsid w:val="003F013A"/>
    <w:rsid w:val="003F08FD"/>
    <w:rsid w:val="003F233C"/>
    <w:rsid w:val="003F2A38"/>
    <w:rsid w:val="003F7587"/>
    <w:rsid w:val="0040271D"/>
    <w:rsid w:val="00404052"/>
    <w:rsid w:val="0041469E"/>
    <w:rsid w:val="00415D90"/>
    <w:rsid w:val="00420DE8"/>
    <w:rsid w:val="0042248C"/>
    <w:rsid w:val="00424A1B"/>
    <w:rsid w:val="004268F7"/>
    <w:rsid w:val="00426EE0"/>
    <w:rsid w:val="004300AD"/>
    <w:rsid w:val="00436B62"/>
    <w:rsid w:val="00437123"/>
    <w:rsid w:val="00443063"/>
    <w:rsid w:val="004434B1"/>
    <w:rsid w:val="004449DE"/>
    <w:rsid w:val="00447981"/>
    <w:rsid w:val="004567F6"/>
    <w:rsid w:val="00466AE7"/>
    <w:rsid w:val="004671E0"/>
    <w:rsid w:val="00473680"/>
    <w:rsid w:val="0047495A"/>
    <w:rsid w:val="00477F95"/>
    <w:rsid w:val="004830DA"/>
    <w:rsid w:val="00484E89"/>
    <w:rsid w:val="00490CA6"/>
    <w:rsid w:val="0049134B"/>
    <w:rsid w:val="00494FFA"/>
    <w:rsid w:val="00496DA0"/>
    <w:rsid w:val="004A0BE8"/>
    <w:rsid w:val="004A1ACA"/>
    <w:rsid w:val="004A5672"/>
    <w:rsid w:val="004A6000"/>
    <w:rsid w:val="004A692C"/>
    <w:rsid w:val="004B0DDC"/>
    <w:rsid w:val="004B62FB"/>
    <w:rsid w:val="004C23B5"/>
    <w:rsid w:val="004C256C"/>
    <w:rsid w:val="004C2EEA"/>
    <w:rsid w:val="004C5A7E"/>
    <w:rsid w:val="004C6B9C"/>
    <w:rsid w:val="004D00B2"/>
    <w:rsid w:val="004D2295"/>
    <w:rsid w:val="004D64DA"/>
    <w:rsid w:val="004D714D"/>
    <w:rsid w:val="004E0128"/>
    <w:rsid w:val="004E5132"/>
    <w:rsid w:val="004E5964"/>
    <w:rsid w:val="004E6BAE"/>
    <w:rsid w:val="004E6FB9"/>
    <w:rsid w:val="004E7ECD"/>
    <w:rsid w:val="004F08E2"/>
    <w:rsid w:val="004F1C67"/>
    <w:rsid w:val="004F2D11"/>
    <w:rsid w:val="00510082"/>
    <w:rsid w:val="005140D6"/>
    <w:rsid w:val="00514FA7"/>
    <w:rsid w:val="00515C15"/>
    <w:rsid w:val="005177EA"/>
    <w:rsid w:val="0052063C"/>
    <w:rsid w:val="0052795D"/>
    <w:rsid w:val="0053277C"/>
    <w:rsid w:val="00540FA5"/>
    <w:rsid w:val="00550D4B"/>
    <w:rsid w:val="00553ACE"/>
    <w:rsid w:val="00557E55"/>
    <w:rsid w:val="005603A7"/>
    <w:rsid w:val="00563203"/>
    <w:rsid w:val="00564DF2"/>
    <w:rsid w:val="00573D8C"/>
    <w:rsid w:val="00580C26"/>
    <w:rsid w:val="005845ED"/>
    <w:rsid w:val="00584742"/>
    <w:rsid w:val="00585F5F"/>
    <w:rsid w:val="0058723C"/>
    <w:rsid w:val="00590295"/>
    <w:rsid w:val="00592614"/>
    <w:rsid w:val="0059413D"/>
    <w:rsid w:val="005A15F3"/>
    <w:rsid w:val="005A4A65"/>
    <w:rsid w:val="005B0103"/>
    <w:rsid w:val="005B2C67"/>
    <w:rsid w:val="005B3B3F"/>
    <w:rsid w:val="005B55B1"/>
    <w:rsid w:val="005B6E39"/>
    <w:rsid w:val="005C3FA3"/>
    <w:rsid w:val="005C4DB0"/>
    <w:rsid w:val="005D1976"/>
    <w:rsid w:val="005D19A6"/>
    <w:rsid w:val="005D203B"/>
    <w:rsid w:val="005E649D"/>
    <w:rsid w:val="005F0DDD"/>
    <w:rsid w:val="005F5245"/>
    <w:rsid w:val="005F6276"/>
    <w:rsid w:val="00600C8F"/>
    <w:rsid w:val="00601208"/>
    <w:rsid w:val="00601CD9"/>
    <w:rsid w:val="006022C7"/>
    <w:rsid w:val="00610BEA"/>
    <w:rsid w:val="00611DCA"/>
    <w:rsid w:val="00614A0E"/>
    <w:rsid w:val="00614FE6"/>
    <w:rsid w:val="006154EC"/>
    <w:rsid w:val="00617C4A"/>
    <w:rsid w:val="00621B34"/>
    <w:rsid w:val="00623543"/>
    <w:rsid w:val="0062354D"/>
    <w:rsid w:val="00630766"/>
    <w:rsid w:val="006310F5"/>
    <w:rsid w:val="006337FA"/>
    <w:rsid w:val="00636C1A"/>
    <w:rsid w:val="00640280"/>
    <w:rsid w:val="006407DF"/>
    <w:rsid w:val="00642951"/>
    <w:rsid w:val="006451B5"/>
    <w:rsid w:val="006451F5"/>
    <w:rsid w:val="00645C30"/>
    <w:rsid w:val="00646269"/>
    <w:rsid w:val="006512AD"/>
    <w:rsid w:val="00652FA7"/>
    <w:rsid w:val="00660F4D"/>
    <w:rsid w:val="00665499"/>
    <w:rsid w:val="00673E85"/>
    <w:rsid w:val="006831F8"/>
    <w:rsid w:val="00686771"/>
    <w:rsid w:val="00691EDD"/>
    <w:rsid w:val="00697D68"/>
    <w:rsid w:val="006A4F66"/>
    <w:rsid w:val="006A7350"/>
    <w:rsid w:val="006B2142"/>
    <w:rsid w:val="006B469D"/>
    <w:rsid w:val="006B6D84"/>
    <w:rsid w:val="006B7B3B"/>
    <w:rsid w:val="006C46DE"/>
    <w:rsid w:val="006C63DF"/>
    <w:rsid w:val="006D2176"/>
    <w:rsid w:val="006D37C1"/>
    <w:rsid w:val="006D4500"/>
    <w:rsid w:val="006D772C"/>
    <w:rsid w:val="006D776D"/>
    <w:rsid w:val="006D7F15"/>
    <w:rsid w:val="006E2B42"/>
    <w:rsid w:val="006E336C"/>
    <w:rsid w:val="006E60B6"/>
    <w:rsid w:val="006F056F"/>
    <w:rsid w:val="006F2258"/>
    <w:rsid w:val="006F463B"/>
    <w:rsid w:val="006F47E4"/>
    <w:rsid w:val="006F62A2"/>
    <w:rsid w:val="006F6C81"/>
    <w:rsid w:val="006F7601"/>
    <w:rsid w:val="00702E82"/>
    <w:rsid w:val="00705A5B"/>
    <w:rsid w:val="00706445"/>
    <w:rsid w:val="00712EE8"/>
    <w:rsid w:val="00713169"/>
    <w:rsid w:val="00723C42"/>
    <w:rsid w:val="00724B7B"/>
    <w:rsid w:val="00725A8D"/>
    <w:rsid w:val="00730F4D"/>
    <w:rsid w:val="007332D9"/>
    <w:rsid w:val="00741240"/>
    <w:rsid w:val="00741FC6"/>
    <w:rsid w:val="00744E57"/>
    <w:rsid w:val="007457A1"/>
    <w:rsid w:val="00745A1A"/>
    <w:rsid w:val="007521C3"/>
    <w:rsid w:val="00757736"/>
    <w:rsid w:val="0077017A"/>
    <w:rsid w:val="00784A64"/>
    <w:rsid w:val="007907AE"/>
    <w:rsid w:val="00792A8B"/>
    <w:rsid w:val="00794773"/>
    <w:rsid w:val="007A40BA"/>
    <w:rsid w:val="007B67DE"/>
    <w:rsid w:val="007C1733"/>
    <w:rsid w:val="007C5974"/>
    <w:rsid w:val="007C7DC0"/>
    <w:rsid w:val="007D2A04"/>
    <w:rsid w:val="007D564A"/>
    <w:rsid w:val="007D6007"/>
    <w:rsid w:val="007D7B3C"/>
    <w:rsid w:val="007E0CA5"/>
    <w:rsid w:val="007E2115"/>
    <w:rsid w:val="00800E4A"/>
    <w:rsid w:val="008030EB"/>
    <w:rsid w:val="008040BA"/>
    <w:rsid w:val="00805BCE"/>
    <w:rsid w:val="00813C41"/>
    <w:rsid w:val="00814293"/>
    <w:rsid w:val="0082400D"/>
    <w:rsid w:val="00831A29"/>
    <w:rsid w:val="008329B3"/>
    <w:rsid w:val="00834242"/>
    <w:rsid w:val="008401BC"/>
    <w:rsid w:val="008439B8"/>
    <w:rsid w:val="00844706"/>
    <w:rsid w:val="008472A0"/>
    <w:rsid w:val="0086660D"/>
    <w:rsid w:val="00871155"/>
    <w:rsid w:val="008736DC"/>
    <w:rsid w:val="00875CEE"/>
    <w:rsid w:val="008819DC"/>
    <w:rsid w:val="00883737"/>
    <w:rsid w:val="00885126"/>
    <w:rsid w:val="00891E4D"/>
    <w:rsid w:val="00892B52"/>
    <w:rsid w:val="008939C0"/>
    <w:rsid w:val="008941FB"/>
    <w:rsid w:val="008A5C4D"/>
    <w:rsid w:val="008A673F"/>
    <w:rsid w:val="008B026D"/>
    <w:rsid w:val="008B394C"/>
    <w:rsid w:val="008B472A"/>
    <w:rsid w:val="008C0DF4"/>
    <w:rsid w:val="008C1232"/>
    <w:rsid w:val="008C6EB9"/>
    <w:rsid w:val="008D386F"/>
    <w:rsid w:val="008D7038"/>
    <w:rsid w:val="008E73DF"/>
    <w:rsid w:val="008F1EEB"/>
    <w:rsid w:val="008F2CF9"/>
    <w:rsid w:val="008F4275"/>
    <w:rsid w:val="009021A8"/>
    <w:rsid w:val="00903C44"/>
    <w:rsid w:val="009042E7"/>
    <w:rsid w:val="0090431B"/>
    <w:rsid w:val="00912FAA"/>
    <w:rsid w:val="009137F3"/>
    <w:rsid w:val="00922912"/>
    <w:rsid w:val="00931A57"/>
    <w:rsid w:val="00933796"/>
    <w:rsid w:val="0093535C"/>
    <w:rsid w:val="009403F3"/>
    <w:rsid w:val="0094044B"/>
    <w:rsid w:val="00941DB4"/>
    <w:rsid w:val="009433D8"/>
    <w:rsid w:val="00945B88"/>
    <w:rsid w:val="00946322"/>
    <w:rsid w:val="009474FE"/>
    <w:rsid w:val="00953B66"/>
    <w:rsid w:val="00954505"/>
    <w:rsid w:val="009579AA"/>
    <w:rsid w:val="00961642"/>
    <w:rsid w:val="0096225B"/>
    <w:rsid w:val="009656B6"/>
    <w:rsid w:val="009664B4"/>
    <w:rsid w:val="0097067C"/>
    <w:rsid w:val="00971B6A"/>
    <w:rsid w:val="00973DC3"/>
    <w:rsid w:val="0097444B"/>
    <w:rsid w:val="0098091C"/>
    <w:rsid w:val="00981E7B"/>
    <w:rsid w:val="009845C2"/>
    <w:rsid w:val="00986594"/>
    <w:rsid w:val="00994D22"/>
    <w:rsid w:val="00997EED"/>
    <w:rsid w:val="009A16D9"/>
    <w:rsid w:val="009A21E1"/>
    <w:rsid w:val="009A21EF"/>
    <w:rsid w:val="009A2912"/>
    <w:rsid w:val="009A5BB4"/>
    <w:rsid w:val="009B05EB"/>
    <w:rsid w:val="009B0B87"/>
    <w:rsid w:val="009B3F98"/>
    <w:rsid w:val="009B6006"/>
    <w:rsid w:val="009B7F93"/>
    <w:rsid w:val="009D300B"/>
    <w:rsid w:val="009D3DC0"/>
    <w:rsid w:val="009D510B"/>
    <w:rsid w:val="009D5AB7"/>
    <w:rsid w:val="009F3B56"/>
    <w:rsid w:val="009F3E9E"/>
    <w:rsid w:val="009F718A"/>
    <w:rsid w:val="009F7C82"/>
    <w:rsid w:val="00A00AEB"/>
    <w:rsid w:val="00A0176E"/>
    <w:rsid w:val="00A0585A"/>
    <w:rsid w:val="00A105ED"/>
    <w:rsid w:val="00A109B0"/>
    <w:rsid w:val="00A12BB7"/>
    <w:rsid w:val="00A14E24"/>
    <w:rsid w:val="00A16BF2"/>
    <w:rsid w:val="00A17F29"/>
    <w:rsid w:val="00A23431"/>
    <w:rsid w:val="00A24084"/>
    <w:rsid w:val="00A3091C"/>
    <w:rsid w:val="00A30F03"/>
    <w:rsid w:val="00A33F96"/>
    <w:rsid w:val="00A3776D"/>
    <w:rsid w:val="00A4217D"/>
    <w:rsid w:val="00A42D7A"/>
    <w:rsid w:val="00A46090"/>
    <w:rsid w:val="00A50C8D"/>
    <w:rsid w:val="00A50FF4"/>
    <w:rsid w:val="00A53945"/>
    <w:rsid w:val="00A579DA"/>
    <w:rsid w:val="00A60E51"/>
    <w:rsid w:val="00A61985"/>
    <w:rsid w:val="00A61CC5"/>
    <w:rsid w:val="00A61F60"/>
    <w:rsid w:val="00A62147"/>
    <w:rsid w:val="00A62453"/>
    <w:rsid w:val="00A63FE5"/>
    <w:rsid w:val="00A67066"/>
    <w:rsid w:val="00A6723B"/>
    <w:rsid w:val="00A7320C"/>
    <w:rsid w:val="00A75B09"/>
    <w:rsid w:val="00A9429A"/>
    <w:rsid w:val="00AA02B5"/>
    <w:rsid w:val="00AA1996"/>
    <w:rsid w:val="00AA32BA"/>
    <w:rsid w:val="00AB0938"/>
    <w:rsid w:val="00AB4DBC"/>
    <w:rsid w:val="00AB5B8B"/>
    <w:rsid w:val="00AB61FD"/>
    <w:rsid w:val="00AC537F"/>
    <w:rsid w:val="00AC6D16"/>
    <w:rsid w:val="00AD11BD"/>
    <w:rsid w:val="00AD7028"/>
    <w:rsid w:val="00AE03C6"/>
    <w:rsid w:val="00AE0801"/>
    <w:rsid w:val="00AE2733"/>
    <w:rsid w:val="00AE32E7"/>
    <w:rsid w:val="00AE7EE9"/>
    <w:rsid w:val="00AF502A"/>
    <w:rsid w:val="00AF7161"/>
    <w:rsid w:val="00B01B98"/>
    <w:rsid w:val="00B05817"/>
    <w:rsid w:val="00B074EB"/>
    <w:rsid w:val="00B15872"/>
    <w:rsid w:val="00B22B85"/>
    <w:rsid w:val="00B24742"/>
    <w:rsid w:val="00B3116D"/>
    <w:rsid w:val="00B32491"/>
    <w:rsid w:val="00B35307"/>
    <w:rsid w:val="00B37407"/>
    <w:rsid w:val="00B44C28"/>
    <w:rsid w:val="00B451CD"/>
    <w:rsid w:val="00B51707"/>
    <w:rsid w:val="00B51E61"/>
    <w:rsid w:val="00B53F2B"/>
    <w:rsid w:val="00B55C7A"/>
    <w:rsid w:val="00B564AC"/>
    <w:rsid w:val="00B61CAE"/>
    <w:rsid w:val="00B64255"/>
    <w:rsid w:val="00B65F79"/>
    <w:rsid w:val="00B70713"/>
    <w:rsid w:val="00B72980"/>
    <w:rsid w:val="00B75C99"/>
    <w:rsid w:val="00B80E06"/>
    <w:rsid w:val="00B84B29"/>
    <w:rsid w:val="00B85BEF"/>
    <w:rsid w:val="00B9021D"/>
    <w:rsid w:val="00B927B2"/>
    <w:rsid w:val="00B97AFA"/>
    <w:rsid w:val="00BA23A9"/>
    <w:rsid w:val="00BA7EAA"/>
    <w:rsid w:val="00BB0A81"/>
    <w:rsid w:val="00BB0B8D"/>
    <w:rsid w:val="00BB1A63"/>
    <w:rsid w:val="00BB37E7"/>
    <w:rsid w:val="00BC1180"/>
    <w:rsid w:val="00BC4421"/>
    <w:rsid w:val="00BC6A5B"/>
    <w:rsid w:val="00BC6E20"/>
    <w:rsid w:val="00BC75EA"/>
    <w:rsid w:val="00BD18D5"/>
    <w:rsid w:val="00BD6783"/>
    <w:rsid w:val="00BE4636"/>
    <w:rsid w:val="00BF031C"/>
    <w:rsid w:val="00BF6BE3"/>
    <w:rsid w:val="00C00D88"/>
    <w:rsid w:val="00C04D48"/>
    <w:rsid w:val="00C100BE"/>
    <w:rsid w:val="00C111F2"/>
    <w:rsid w:val="00C12349"/>
    <w:rsid w:val="00C15695"/>
    <w:rsid w:val="00C2637F"/>
    <w:rsid w:val="00C26575"/>
    <w:rsid w:val="00C31A49"/>
    <w:rsid w:val="00C36F54"/>
    <w:rsid w:val="00C40C1B"/>
    <w:rsid w:val="00C42F56"/>
    <w:rsid w:val="00C42FDC"/>
    <w:rsid w:val="00C4562D"/>
    <w:rsid w:val="00C60483"/>
    <w:rsid w:val="00C634BB"/>
    <w:rsid w:val="00C64038"/>
    <w:rsid w:val="00C65D91"/>
    <w:rsid w:val="00C6614D"/>
    <w:rsid w:val="00C6768A"/>
    <w:rsid w:val="00C73382"/>
    <w:rsid w:val="00C82DCD"/>
    <w:rsid w:val="00C85AF0"/>
    <w:rsid w:val="00C91C83"/>
    <w:rsid w:val="00C91F60"/>
    <w:rsid w:val="00C95C96"/>
    <w:rsid w:val="00C960AD"/>
    <w:rsid w:val="00C9635A"/>
    <w:rsid w:val="00CA4739"/>
    <w:rsid w:val="00CA563E"/>
    <w:rsid w:val="00CA7C6F"/>
    <w:rsid w:val="00CB1F71"/>
    <w:rsid w:val="00CB5857"/>
    <w:rsid w:val="00CC1BCE"/>
    <w:rsid w:val="00CC5074"/>
    <w:rsid w:val="00CC50DF"/>
    <w:rsid w:val="00CC58F1"/>
    <w:rsid w:val="00CC6551"/>
    <w:rsid w:val="00CD26DE"/>
    <w:rsid w:val="00CD3EED"/>
    <w:rsid w:val="00CD4CFE"/>
    <w:rsid w:val="00CE0C28"/>
    <w:rsid w:val="00CE1DFB"/>
    <w:rsid w:val="00CE2193"/>
    <w:rsid w:val="00CF23A6"/>
    <w:rsid w:val="00CF3473"/>
    <w:rsid w:val="00CF7F61"/>
    <w:rsid w:val="00D00AF7"/>
    <w:rsid w:val="00D04060"/>
    <w:rsid w:val="00D041FD"/>
    <w:rsid w:val="00D11569"/>
    <w:rsid w:val="00D22B27"/>
    <w:rsid w:val="00D24CCE"/>
    <w:rsid w:val="00D262AF"/>
    <w:rsid w:val="00D3287E"/>
    <w:rsid w:val="00D362CE"/>
    <w:rsid w:val="00D42AFD"/>
    <w:rsid w:val="00D47A8C"/>
    <w:rsid w:val="00D53F15"/>
    <w:rsid w:val="00D61491"/>
    <w:rsid w:val="00D67464"/>
    <w:rsid w:val="00D71032"/>
    <w:rsid w:val="00D727A1"/>
    <w:rsid w:val="00D72A2E"/>
    <w:rsid w:val="00D73C8F"/>
    <w:rsid w:val="00D76CC5"/>
    <w:rsid w:val="00D77DD7"/>
    <w:rsid w:val="00D80592"/>
    <w:rsid w:val="00D80E7D"/>
    <w:rsid w:val="00D822C2"/>
    <w:rsid w:val="00D850A6"/>
    <w:rsid w:val="00D878E6"/>
    <w:rsid w:val="00D94B1E"/>
    <w:rsid w:val="00D9724A"/>
    <w:rsid w:val="00D97590"/>
    <w:rsid w:val="00DA1A07"/>
    <w:rsid w:val="00DA2CB0"/>
    <w:rsid w:val="00DA3014"/>
    <w:rsid w:val="00DA34B8"/>
    <w:rsid w:val="00DA3A5E"/>
    <w:rsid w:val="00DB0933"/>
    <w:rsid w:val="00DB4584"/>
    <w:rsid w:val="00DB4F90"/>
    <w:rsid w:val="00DB50DF"/>
    <w:rsid w:val="00DC0AF8"/>
    <w:rsid w:val="00DC3681"/>
    <w:rsid w:val="00DC432A"/>
    <w:rsid w:val="00DC4BA0"/>
    <w:rsid w:val="00DD0EBC"/>
    <w:rsid w:val="00DD228C"/>
    <w:rsid w:val="00DD6207"/>
    <w:rsid w:val="00DD7556"/>
    <w:rsid w:val="00DE1071"/>
    <w:rsid w:val="00DE47FA"/>
    <w:rsid w:val="00DE66A0"/>
    <w:rsid w:val="00DE6CDC"/>
    <w:rsid w:val="00DF02D6"/>
    <w:rsid w:val="00DF4F0A"/>
    <w:rsid w:val="00DF4F6C"/>
    <w:rsid w:val="00DF60DB"/>
    <w:rsid w:val="00E02CDC"/>
    <w:rsid w:val="00E03E30"/>
    <w:rsid w:val="00E047C7"/>
    <w:rsid w:val="00E15700"/>
    <w:rsid w:val="00E27217"/>
    <w:rsid w:val="00E27DDB"/>
    <w:rsid w:val="00E3082E"/>
    <w:rsid w:val="00E336F5"/>
    <w:rsid w:val="00E366F4"/>
    <w:rsid w:val="00E467B9"/>
    <w:rsid w:val="00E5356D"/>
    <w:rsid w:val="00E643EA"/>
    <w:rsid w:val="00E64C32"/>
    <w:rsid w:val="00E65DF1"/>
    <w:rsid w:val="00E679C0"/>
    <w:rsid w:val="00E70504"/>
    <w:rsid w:val="00E70FF3"/>
    <w:rsid w:val="00E72ED3"/>
    <w:rsid w:val="00E747DB"/>
    <w:rsid w:val="00E75616"/>
    <w:rsid w:val="00E75CC7"/>
    <w:rsid w:val="00E8030E"/>
    <w:rsid w:val="00E826AB"/>
    <w:rsid w:val="00E86870"/>
    <w:rsid w:val="00E86E8D"/>
    <w:rsid w:val="00E91E88"/>
    <w:rsid w:val="00E93120"/>
    <w:rsid w:val="00E94C84"/>
    <w:rsid w:val="00E95527"/>
    <w:rsid w:val="00E97B77"/>
    <w:rsid w:val="00EA22C9"/>
    <w:rsid w:val="00EA4209"/>
    <w:rsid w:val="00EB0F21"/>
    <w:rsid w:val="00EB3C28"/>
    <w:rsid w:val="00EB3E8B"/>
    <w:rsid w:val="00EB46F8"/>
    <w:rsid w:val="00EB5FEE"/>
    <w:rsid w:val="00EB6122"/>
    <w:rsid w:val="00EC3DEA"/>
    <w:rsid w:val="00ED04FA"/>
    <w:rsid w:val="00ED1016"/>
    <w:rsid w:val="00ED12AC"/>
    <w:rsid w:val="00ED743F"/>
    <w:rsid w:val="00EE02CA"/>
    <w:rsid w:val="00EE089B"/>
    <w:rsid w:val="00EE12A0"/>
    <w:rsid w:val="00EE2A14"/>
    <w:rsid w:val="00EE63A6"/>
    <w:rsid w:val="00EE7075"/>
    <w:rsid w:val="00EF41F4"/>
    <w:rsid w:val="00F00D63"/>
    <w:rsid w:val="00F01541"/>
    <w:rsid w:val="00F03C2C"/>
    <w:rsid w:val="00F1031D"/>
    <w:rsid w:val="00F104E2"/>
    <w:rsid w:val="00F1172A"/>
    <w:rsid w:val="00F161F0"/>
    <w:rsid w:val="00F22597"/>
    <w:rsid w:val="00F22D14"/>
    <w:rsid w:val="00F23F73"/>
    <w:rsid w:val="00F301D7"/>
    <w:rsid w:val="00F30509"/>
    <w:rsid w:val="00F341FE"/>
    <w:rsid w:val="00F42759"/>
    <w:rsid w:val="00F44755"/>
    <w:rsid w:val="00F515DA"/>
    <w:rsid w:val="00F52988"/>
    <w:rsid w:val="00F52D7F"/>
    <w:rsid w:val="00F57850"/>
    <w:rsid w:val="00F616D8"/>
    <w:rsid w:val="00F716BF"/>
    <w:rsid w:val="00F71D6C"/>
    <w:rsid w:val="00F72876"/>
    <w:rsid w:val="00F740EE"/>
    <w:rsid w:val="00F811EA"/>
    <w:rsid w:val="00F8148B"/>
    <w:rsid w:val="00F81E4D"/>
    <w:rsid w:val="00F841B7"/>
    <w:rsid w:val="00F91049"/>
    <w:rsid w:val="00F92535"/>
    <w:rsid w:val="00F93913"/>
    <w:rsid w:val="00F96773"/>
    <w:rsid w:val="00F972D2"/>
    <w:rsid w:val="00FA382F"/>
    <w:rsid w:val="00FA3E01"/>
    <w:rsid w:val="00FA51F3"/>
    <w:rsid w:val="00FB5255"/>
    <w:rsid w:val="00FC4EA7"/>
    <w:rsid w:val="00FC7061"/>
    <w:rsid w:val="00FD1834"/>
    <w:rsid w:val="00FD5F27"/>
    <w:rsid w:val="00FE2BFC"/>
    <w:rsid w:val="00FE4705"/>
    <w:rsid w:val="00FE556E"/>
    <w:rsid w:val="00FE681D"/>
    <w:rsid w:val="00FE7911"/>
    <w:rsid w:val="00FE7981"/>
    <w:rsid w:val="00FF1252"/>
    <w:rsid w:val="037ACAF4"/>
    <w:rsid w:val="05693858"/>
    <w:rsid w:val="05FD6BC0"/>
    <w:rsid w:val="082E414C"/>
    <w:rsid w:val="0E3D6F60"/>
    <w:rsid w:val="109B2C6E"/>
    <w:rsid w:val="145C5080"/>
    <w:rsid w:val="15BBA0D5"/>
    <w:rsid w:val="15C3FECB"/>
    <w:rsid w:val="170DEF3B"/>
    <w:rsid w:val="1DC8B114"/>
    <w:rsid w:val="2062B91B"/>
    <w:rsid w:val="22EC3A64"/>
    <w:rsid w:val="23FB5FA2"/>
    <w:rsid w:val="24F3AC02"/>
    <w:rsid w:val="260E68F5"/>
    <w:rsid w:val="2A51BB37"/>
    <w:rsid w:val="2FA97155"/>
    <w:rsid w:val="3009B66A"/>
    <w:rsid w:val="311E35B0"/>
    <w:rsid w:val="3233BE32"/>
    <w:rsid w:val="3337E8B9"/>
    <w:rsid w:val="33872560"/>
    <w:rsid w:val="38193634"/>
    <w:rsid w:val="422DC438"/>
    <w:rsid w:val="528B64CA"/>
    <w:rsid w:val="54C933D3"/>
    <w:rsid w:val="553633E9"/>
    <w:rsid w:val="584F2401"/>
    <w:rsid w:val="5C6CB6E1"/>
    <w:rsid w:val="5D233E19"/>
    <w:rsid w:val="6144401C"/>
    <w:rsid w:val="64F71744"/>
    <w:rsid w:val="66C5E379"/>
    <w:rsid w:val="68B0F714"/>
    <w:rsid w:val="69C7DE62"/>
    <w:rsid w:val="79512943"/>
    <w:rsid w:val="7D5B29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2A449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43D67"/>
    <w:rPr>
      <w:color w:val="0000FF"/>
      <w:shd w:val="clear" w:color="auto" w:fill="auto"/>
    </w:rPr>
  </w:style>
  <w:style w:type="paragraph" w:styleId="Header">
    <w:name w:val="header"/>
    <w:basedOn w:val="Normal"/>
    <w:link w:val="HeaderChar"/>
    <w:uiPriority w:val="99"/>
    <w:unhideWhenUsed/>
    <w:rsid w:val="0034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D67"/>
    <w:rPr>
      <w:lang w:val="fr-FR"/>
    </w:rPr>
  </w:style>
  <w:style w:type="paragraph" w:styleId="Footer">
    <w:name w:val="footer"/>
    <w:basedOn w:val="Normal"/>
    <w:link w:val="FooterChar"/>
    <w:uiPriority w:val="99"/>
    <w:unhideWhenUsed/>
    <w:rsid w:val="0034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D67"/>
    <w:rPr>
      <w:lang w:val="fr-FR"/>
    </w:rPr>
  </w:style>
  <w:style w:type="paragraph" w:customStyle="1" w:styleId="Pagedecouverture">
    <w:name w:val="Page de couverture"/>
    <w:basedOn w:val="Normal"/>
    <w:next w:val="Normal"/>
    <w:rsid w:val="00343D6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43D6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43D67"/>
    <w:rPr>
      <w:rFonts w:ascii="Times New Roman" w:hAnsi="Times New Roman" w:cs="Times New Roman"/>
      <w:sz w:val="24"/>
    </w:rPr>
  </w:style>
  <w:style w:type="paragraph" w:customStyle="1" w:styleId="FooterSensitivity">
    <w:name w:val="Footer Sensitivity"/>
    <w:basedOn w:val="Normal"/>
    <w:link w:val="FooterSensitivityChar"/>
    <w:rsid w:val="00343D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43D67"/>
    <w:rPr>
      <w:rFonts w:ascii="Times New Roman" w:hAnsi="Times New Roman" w:cs="Times New Roman"/>
      <w:b/>
      <w:sz w:val="32"/>
    </w:rPr>
  </w:style>
  <w:style w:type="paragraph" w:customStyle="1" w:styleId="HeaderCoverPage">
    <w:name w:val="Header Cover Page"/>
    <w:basedOn w:val="Normal"/>
    <w:link w:val="HeaderCoverPageChar"/>
    <w:rsid w:val="00343D6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43D67"/>
    <w:rPr>
      <w:rFonts w:ascii="Times New Roman" w:hAnsi="Times New Roman" w:cs="Times New Roman"/>
      <w:sz w:val="24"/>
    </w:rPr>
  </w:style>
  <w:style w:type="paragraph" w:customStyle="1" w:styleId="HeaderSensitivity">
    <w:name w:val="Header Sensitivity"/>
    <w:basedOn w:val="Normal"/>
    <w:link w:val="HeaderSensitivityChar"/>
    <w:rsid w:val="00343D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43D67"/>
    <w:rPr>
      <w:rFonts w:ascii="Times New Roman" w:hAnsi="Times New Roman" w:cs="Times New Roman"/>
      <w:b/>
      <w:sz w:val="32"/>
    </w:rPr>
  </w:style>
  <w:style w:type="paragraph" w:customStyle="1" w:styleId="HeaderSensitivityRight">
    <w:name w:val="Header Sensitivity Right"/>
    <w:basedOn w:val="Normal"/>
    <w:link w:val="HeaderSensitivityRightChar"/>
    <w:rsid w:val="00573D8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43D67"/>
    <w:rPr>
      <w:rFonts w:ascii="Times New Roman" w:hAnsi="Times New Roman" w:cs="Times New Roman"/>
      <w:sz w:val="28"/>
    </w:rPr>
  </w:style>
  <w:style w:type="paragraph" w:customStyle="1" w:styleId="Languesfaisantfoi">
    <w:name w:val="Langues faisant foi"/>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92B52"/>
    <w:pPr>
      <w:spacing w:after="0"/>
    </w:pPr>
  </w:style>
  <w:style w:type="paragraph" w:customStyle="1" w:styleId="IntrtEEEPagedecouverture">
    <w:name w:val="Intérêt EEE (Page de couverture)"/>
    <w:basedOn w:val="IntrtEEE"/>
    <w:next w:val="Normal"/>
    <w:rsid w:val="00892B52"/>
  </w:style>
  <w:style w:type="paragraph" w:styleId="ListParagraph">
    <w:name w:val="List Paragraph"/>
    <w:basedOn w:val="Normal"/>
    <w:uiPriority w:val="34"/>
    <w:qFormat/>
    <w:rsid w:val="00C36F54"/>
    <w:pPr>
      <w:spacing w:after="160" w:line="259" w:lineRule="auto"/>
      <w:ind w:left="720"/>
      <w:contextualSpacing/>
    </w:pPr>
  </w:style>
  <w:style w:type="character" w:customStyle="1" w:styleId="normaltextrun">
    <w:name w:val="normaltextrun"/>
    <w:basedOn w:val="DefaultParagraphFont"/>
    <w:rsid w:val="00C36F54"/>
  </w:style>
  <w:style w:type="paragraph" w:styleId="FootnoteText">
    <w:name w:val="footnote text"/>
    <w:basedOn w:val="Normal"/>
    <w:link w:val="FootnoteTextChar"/>
    <w:uiPriority w:val="99"/>
    <w:unhideWhenUsed/>
    <w:rsid w:val="00C36F54"/>
    <w:pPr>
      <w:spacing w:after="0" w:line="240" w:lineRule="auto"/>
    </w:pPr>
    <w:rPr>
      <w:sz w:val="20"/>
      <w:szCs w:val="20"/>
    </w:rPr>
  </w:style>
  <w:style w:type="character" w:customStyle="1" w:styleId="FootnoteTextChar">
    <w:name w:val="Footnote Text Char"/>
    <w:basedOn w:val="DefaultParagraphFont"/>
    <w:link w:val="FootnoteText"/>
    <w:uiPriority w:val="99"/>
    <w:rsid w:val="00C36F54"/>
    <w:rPr>
      <w:sz w:val="20"/>
      <w:szCs w:val="20"/>
      <w:lang w:val="fr-FR"/>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CharCharChar1"/>
    <w:unhideWhenUsed/>
    <w:qFormat/>
    <w:rsid w:val="00C36F54"/>
    <w:rPr>
      <w:vertAlign w:val="superscript"/>
    </w:rPr>
  </w:style>
  <w:style w:type="character" w:styleId="Hyperlink">
    <w:name w:val="Hyperlink"/>
    <w:basedOn w:val="DefaultParagraphFont"/>
    <w:uiPriority w:val="99"/>
    <w:unhideWhenUsed/>
    <w:rsid w:val="00C36F54"/>
    <w:rPr>
      <w:color w:val="0000FF"/>
      <w:u w:val="single"/>
    </w:rPr>
  </w:style>
  <w:style w:type="paragraph" w:styleId="CommentText">
    <w:name w:val="annotation text"/>
    <w:basedOn w:val="Normal"/>
    <w:link w:val="CommentTextChar"/>
    <w:uiPriority w:val="99"/>
    <w:unhideWhenUsed/>
    <w:rsid w:val="00C36F54"/>
    <w:pPr>
      <w:spacing w:after="160" w:line="240" w:lineRule="auto"/>
    </w:pPr>
    <w:rPr>
      <w:sz w:val="20"/>
      <w:szCs w:val="20"/>
    </w:rPr>
  </w:style>
  <w:style w:type="character" w:customStyle="1" w:styleId="CommentTextChar">
    <w:name w:val="Comment Text Char"/>
    <w:basedOn w:val="DefaultParagraphFont"/>
    <w:link w:val="CommentText"/>
    <w:uiPriority w:val="99"/>
    <w:rsid w:val="00C36F54"/>
    <w:rPr>
      <w:sz w:val="20"/>
      <w:szCs w:val="20"/>
      <w:lang w:val="fr-FR"/>
    </w:rPr>
  </w:style>
  <w:style w:type="character" w:styleId="CommentReference">
    <w:name w:val="annotation reference"/>
    <w:basedOn w:val="DefaultParagraphFont"/>
    <w:uiPriority w:val="99"/>
    <w:semiHidden/>
    <w:unhideWhenUsed/>
    <w:rsid w:val="00C36F54"/>
    <w:rPr>
      <w:sz w:val="16"/>
      <w:szCs w:val="16"/>
    </w:rPr>
  </w:style>
  <w:style w:type="paragraph" w:customStyle="1" w:styleId="CharCharChar1">
    <w:name w:val="Char Char Char1"/>
    <w:basedOn w:val="Normal"/>
    <w:link w:val="FootnoteReference"/>
    <w:rsid w:val="00C36F54"/>
    <w:pPr>
      <w:spacing w:after="160" w:line="240" w:lineRule="exact"/>
      <w:jc w:val="both"/>
    </w:pPr>
    <w:rPr>
      <w:vertAlign w:val="superscript"/>
    </w:rPr>
  </w:style>
  <w:style w:type="character" w:styleId="FollowedHyperlink">
    <w:name w:val="FollowedHyperlink"/>
    <w:basedOn w:val="DefaultParagraphFont"/>
    <w:uiPriority w:val="99"/>
    <w:semiHidden/>
    <w:unhideWhenUsed/>
    <w:rsid w:val="00C36F5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C36F54"/>
    <w:pPr>
      <w:spacing w:after="200"/>
    </w:pPr>
    <w:rPr>
      <w:b/>
      <w:bCs/>
    </w:rPr>
  </w:style>
  <w:style w:type="character" w:customStyle="1" w:styleId="CommentSubjectChar">
    <w:name w:val="Comment Subject Char"/>
    <w:basedOn w:val="CommentTextChar"/>
    <w:link w:val="CommentSubject"/>
    <w:uiPriority w:val="99"/>
    <w:semiHidden/>
    <w:rsid w:val="00C36F54"/>
    <w:rPr>
      <w:b/>
      <w:bCs/>
      <w:sz w:val="20"/>
      <w:szCs w:val="20"/>
      <w:lang w:val="fr-FR"/>
    </w:rPr>
  </w:style>
  <w:style w:type="character" w:customStyle="1" w:styleId="UnresolvedMention1">
    <w:name w:val="Unresolved Mention1"/>
    <w:basedOn w:val="DefaultParagraphFont"/>
    <w:uiPriority w:val="99"/>
    <w:semiHidden/>
    <w:unhideWhenUsed/>
    <w:rsid w:val="004C5A7E"/>
    <w:rPr>
      <w:color w:val="605E5C"/>
      <w:shd w:val="clear" w:color="auto" w:fill="E1DFDD"/>
    </w:rPr>
  </w:style>
  <w:style w:type="paragraph" w:styleId="Revision">
    <w:name w:val="Revision"/>
    <w:hidden/>
    <w:uiPriority w:val="99"/>
    <w:semiHidden/>
    <w:rsid w:val="00032FC3"/>
    <w:pPr>
      <w:spacing w:after="0" w:line="240" w:lineRule="auto"/>
    </w:pPr>
  </w:style>
  <w:style w:type="character" w:customStyle="1" w:styleId="Mention1">
    <w:name w:val="Mention1"/>
    <w:basedOn w:val="DefaultParagraphFont"/>
    <w:uiPriority w:val="99"/>
    <w:unhideWhenUsed/>
    <w:rsid w:val="00140ED0"/>
    <w:rPr>
      <w:color w:val="2B579A"/>
      <w:shd w:val="clear" w:color="auto" w:fill="E1DFDD"/>
    </w:rPr>
  </w:style>
  <w:style w:type="paragraph" w:customStyle="1" w:styleId="Disclaimer">
    <w:name w:val="Disclaimer"/>
    <w:basedOn w:val="Normal"/>
    <w:rsid w:val="00573D8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73D8C"/>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573D8C"/>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573D8C"/>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17555">
      <w:bodyDiv w:val="1"/>
      <w:marLeft w:val="0"/>
      <w:marRight w:val="0"/>
      <w:marTop w:val="0"/>
      <w:marBottom w:val="0"/>
      <w:divBdr>
        <w:top w:val="none" w:sz="0" w:space="0" w:color="auto"/>
        <w:left w:val="none" w:sz="0" w:space="0" w:color="auto"/>
        <w:bottom w:val="none" w:sz="0" w:space="0" w:color="auto"/>
        <w:right w:val="none" w:sz="0" w:space="0" w:color="auto"/>
      </w:divBdr>
    </w:div>
    <w:div w:id="495804332">
      <w:bodyDiv w:val="1"/>
      <w:marLeft w:val="0"/>
      <w:marRight w:val="0"/>
      <w:marTop w:val="0"/>
      <w:marBottom w:val="0"/>
      <w:divBdr>
        <w:top w:val="none" w:sz="0" w:space="0" w:color="auto"/>
        <w:left w:val="none" w:sz="0" w:space="0" w:color="auto"/>
        <w:bottom w:val="none" w:sz="0" w:space="0" w:color="auto"/>
        <w:right w:val="none" w:sz="0" w:space="0" w:color="auto"/>
      </w:divBdr>
      <w:divsChild>
        <w:div w:id="437142023">
          <w:marLeft w:val="0"/>
          <w:marRight w:val="0"/>
          <w:marTop w:val="0"/>
          <w:marBottom w:val="0"/>
          <w:divBdr>
            <w:top w:val="none" w:sz="0" w:space="0" w:color="auto"/>
            <w:left w:val="none" w:sz="0" w:space="0" w:color="auto"/>
            <w:bottom w:val="none" w:sz="0" w:space="0" w:color="auto"/>
            <w:right w:val="none" w:sz="0" w:space="0" w:color="auto"/>
          </w:divBdr>
          <w:divsChild>
            <w:div w:id="842553144">
              <w:marLeft w:val="0"/>
              <w:marRight w:val="0"/>
              <w:marTop w:val="0"/>
              <w:marBottom w:val="0"/>
              <w:divBdr>
                <w:top w:val="none" w:sz="0" w:space="0" w:color="auto"/>
                <w:left w:val="none" w:sz="0" w:space="0" w:color="auto"/>
                <w:bottom w:val="none" w:sz="0" w:space="0" w:color="auto"/>
                <w:right w:val="none" w:sz="0" w:space="0" w:color="auto"/>
              </w:divBdr>
              <w:divsChild>
                <w:div w:id="1439836194">
                  <w:marLeft w:val="0"/>
                  <w:marRight w:val="0"/>
                  <w:marTop w:val="0"/>
                  <w:marBottom w:val="0"/>
                  <w:divBdr>
                    <w:top w:val="none" w:sz="0" w:space="0" w:color="auto"/>
                    <w:left w:val="none" w:sz="0" w:space="0" w:color="auto"/>
                    <w:bottom w:val="none" w:sz="0" w:space="0" w:color="auto"/>
                    <w:right w:val="none" w:sz="0" w:space="0" w:color="auto"/>
                  </w:divBdr>
                  <w:divsChild>
                    <w:div w:id="36047114">
                      <w:marLeft w:val="0"/>
                      <w:marRight w:val="0"/>
                      <w:marTop w:val="0"/>
                      <w:marBottom w:val="0"/>
                      <w:divBdr>
                        <w:top w:val="none" w:sz="0" w:space="0" w:color="auto"/>
                        <w:left w:val="none" w:sz="0" w:space="0" w:color="auto"/>
                        <w:bottom w:val="none" w:sz="0" w:space="0" w:color="auto"/>
                        <w:right w:val="none" w:sz="0" w:space="0" w:color="auto"/>
                      </w:divBdr>
                      <w:divsChild>
                        <w:div w:id="731655184">
                          <w:marLeft w:val="0"/>
                          <w:marRight w:val="0"/>
                          <w:marTop w:val="0"/>
                          <w:marBottom w:val="0"/>
                          <w:divBdr>
                            <w:top w:val="none" w:sz="0" w:space="0" w:color="auto"/>
                            <w:left w:val="none" w:sz="0" w:space="0" w:color="auto"/>
                            <w:bottom w:val="none" w:sz="0" w:space="0" w:color="auto"/>
                            <w:right w:val="none" w:sz="0" w:space="0" w:color="auto"/>
                          </w:divBdr>
                          <w:divsChild>
                            <w:div w:id="3580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696217">
      <w:bodyDiv w:val="1"/>
      <w:marLeft w:val="0"/>
      <w:marRight w:val="0"/>
      <w:marTop w:val="0"/>
      <w:marBottom w:val="0"/>
      <w:divBdr>
        <w:top w:val="none" w:sz="0" w:space="0" w:color="auto"/>
        <w:left w:val="none" w:sz="0" w:space="0" w:color="auto"/>
        <w:bottom w:val="none" w:sz="0" w:space="0" w:color="auto"/>
        <w:right w:val="none" w:sz="0" w:space="0" w:color="auto"/>
      </w:divBdr>
    </w:div>
    <w:div w:id="697127863">
      <w:bodyDiv w:val="1"/>
      <w:marLeft w:val="0"/>
      <w:marRight w:val="0"/>
      <w:marTop w:val="0"/>
      <w:marBottom w:val="0"/>
      <w:divBdr>
        <w:top w:val="none" w:sz="0" w:space="0" w:color="auto"/>
        <w:left w:val="none" w:sz="0" w:space="0" w:color="auto"/>
        <w:bottom w:val="none" w:sz="0" w:space="0" w:color="auto"/>
        <w:right w:val="none" w:sz="0" w:space="0" w:color="auto"/>
      </w:divBdr>
    </w:div>
    <w:div w:id="741299290">
      <w:bodyDiv w:val="1"/>
      <w:marLeft w:val="0"/>
      <w:marRight w:val="0"/>
      <w:marTop w:val="0"/>
      <w:marBottom w:val="0"/>
      <w:divBdr>
        <w:top w:val="none" w:sz="0" w:space="0" w:color="auto"/>
        <w:left w:val="none" w:sz="0" w:space="0" w:color="auto"/>
        <w:bottom w:val="none" w:sz="0" w:space="0" w:color="auto"/>
        <w:right w:val="none" w:sz="0" w:space="0" w:color="auto"/>
      </w:divBdr>
    </w:div>
    <w:div w:id="765882237">
      <w:bodyDiv w:val="1"/>
      <w:marLeft w:val="0"/>
      <w:marRight w:val="0"/>
      <w:marTop w:val="0"/>
      <w:marBottom w:val="0"/>
      <w:divBdr>
        <w:top w:val="none" w:sz="0" w:space="0" w:color="auto"/>
        <w:left w:val="none" w:sz="0" w:space="0" w:color="auto"/>
        <w:bottom w:val="none" w:sz="0" w:space="0" w:color="auto"/>
        <w:right w:val="none" w:sz="0" w:space="0" w:color="auto"/>
      </w:divBdr>
    </w:div>
    <w:div w:id="871697696">
      <w:bodyDiv w:val="1"/>
      <w:marLeft w:val="0"/>
      <w:marRight w:val="0"/>
      <w:marTop w:val="0"/>
      <w:marBottom w:val="0"/>
      <w:divBdr>
        <w:top w:val="none" w:sz="0" w:space="0" w:color="auto"/>
        <w:left w:val="none" w:sz="0" w:space="0" w:color="auto"/>
        <w:bottom w:val="none" w:sz="0" w:space="0" w:color="auto"/>
        <w:right w:val="none" w:sz="0" w:space="0" w:color="auto"/>
      </w:divBdr>
    </w:div>
    <w:div w:id="1086271825">
      <w:bodyDiv w:val="1"/>
      <w:marLeft w:val="0"/>
      <w:marRight w:val="0"/>
      <w:marTop w:val="0"/>
      <w:marBottom w:val="0"/>
      <w:divBdr>
        <w:top w:val="none" w:sz="0" w:space="0" w:color="auto"/>
        <w:left w:val="none" w:sz="0" w:space="0" w:color="auto"/>
        <w:bottom w:val="none" w:sz="0" w:space="0" w:color="auto"/>
        <w:right w:val="none" w:sz="0" w:space="0" w:color="auto"/>
      </w:divBdr>
    </w:div>
    <w:div w:id="1346904535">
      <w:bodyDiv w:val="1"/>
      <w:marLeft w:val="0"/>
      <w:marRight w:val="0"/>
      <w:marTop w:val="0"/>
      <w:marBottom w:val="0"/>
      <w:divBdr>
        <w:top w:val="none" w:sz="0" w:space="0" w:color="auto"/>
        <w:left w:val="none" w:sz="0" w:space="0" w:color="auto"/>
        <w:bottom w:val="none" w:sz="0" w:space="0" w:color="auto"/>
        <w:right w:val="none" w:sz="0" w:space="0" w:color="auto"/>
      </w:divBdr>
    </w:div>
    <w:div w:id="1370566452">
      <w:bodyDiv w:val="1"/>
      <w:marLeft w:val="0"/>
      <w:marRight w:val="0"/>
      <w:marTop w:val="0"/>
      <w:marBottom w:val="0"/>
      <w:divBdr>
        <w:top w:val="none" w:sz="0" w:space="0" w:color="auto"/>
        <w:left w:val="none" w:sz="0" w:space="0" w:color="auto"/>
        <w:bottom w:val="none" w:sz="0" w:space="0" w:color="auto"/>
        <w:right w:val="none" w:sz="0" w:space="0" w:color="auto"/>
      </w:divBdr>
      <w:divsChild>
        <w:div w:id="2136827229">
          <w:marLeft w:val="0"/>
          <w:marRight w:val="0"/>
          <w:marTop w:val="0"/>
          <w:marBottom w:val="0"/>
          <w:divBdr>
            <w:top w:val="none" w:sz="0" w:space="0" w:color="auto"/>
            <w:left w:val="none" w:sz="0" w:space="0" w:color="auto"/>
            <w:bottom w:val="none" w:sz="0" w:space="0" w:color="auto"/>
            <w:right w:val="none" w:sz="0" w:space="0" w:color="auto"/>
          </w:divBdr>
          <w:divsChild>
            <w:div w:id="1296910775">
              <w:marLeft w:val="0"/>
              <w:marRight w:val="0"/>
              <w:marTop w:val="0"/>
              <w:marBottom w:val="0"/>
              <w:divBdr>
                <w:top w:val="none" w:sz="0" w:space="0" w:color="auto"/>
                <w:left w:val="none" w:sz="0" w:space="0" w:color="auto"/>
                <w:bottom w:val="none" w:sz="0" w:space="0" w:color="auto"/>
                <w:right w:val="none" w:sz="0" w:space="0" w:color="auto"/>
              </w:divBdr>
              <w:divsChild>
                <w:div w:id="1887335461">
                  <w:marLeft w:val="0"/>
                  <w:marRight w:val="0"/>
                  <w:marTop w:val="0"/>
                  <w:marBottom w:val="0"/>
                  <w:divBdr>
                    <w:top w:val="none" w:sz="0" w:space="0" w:color="auto"/>
                    <w:left w:val="none" w:sz="0" w:space="0" w:color="auto"/>
                    <w:bottom w:val="none" w:sz="0" w:space="0" w:color="auto"/>
                    <w:right w:val="none" w:sz="0" w:space="0" w:color="auto"/>
                  </w:divBdr>
                  <w:divsChild>
                    <w:div w:id="181558732">
                      <w:marLeft w:val="0"/>
                      <w:marRight w:val="0"/>
                      <w:marTop w:val="0"/>
                      <w:marBottom w:val="0"/>
                      <w:divBdr>
                        <w:top w:val="none" w:sz="0" w:space="0" w:color="auto"/>
                        <w:left w:val="none" w:sz="0" w:space="0" w:color="auto"/>
                        <w:bottom w:val="none" w:sz="0" w:space="0" w:color="auto"/>
                        <w:right w:val="none" w:sz="0" w:space="0" w:color="auto"/>
                      </w:divBdr>
                      <w:divsChild>
                        <w:div w:id="1947157916">
                          <w:marLeft w:val="0"/>
                          <w:marRight w:val="0"/>
                          <w:marTop w:val="0"/>
                          <w:marBottom w:val="0"/>
                          <w:divBdr>
                            <w:top w:val="none" w:sz="0" w:space="0" w:color="auto"/>
                            <w:left w:val="none" w:sz="0" w:space="0" w:color="auto"/>
                            <w:bottom w:val="none" w:sz="0" w:space="0" w:color="auto"/>
                            <w:right w:val="none" w:sz="0" w:space="0" w:color="auto"/>
                          </w:divBdr>
                          <w:divsChild>
                            <w:div w:id="210653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156958">
      <w:bodyDiv w:val="1"/>
      <w:marLeft w:val="0"/>
      <w:marRight w:val="0"/>
      <w:marTop w:val="0"/>
      <w:marBottom w:val="0"/>
      <w:divBdr>
        <w:top w:val="none" w:sz="0" w:space="0" w:color="auto"/>
        <w:left w:val="none" w:sz="0" w:space="0" w:color="auto"/>
        <w:bottom w:val="none" w:sz="0" w:space="0" w:color="auto"/>
        <w:right w:val="none" w:sz="0" w:space="0" w:color="auto"/>
      </w:divBdr>
      <w:divsChild>
        <w:div w:id="108865838">
          <w:marLeft w:val="0"/>
          <w:marRight w:val="0"/>
          <w:marTop w:val="0"/>
          <w:marBottom w:val="0"/>
          <w:divBdr>
            <w:top w:val="none" w:sz="0" w:space="0" w:color="auto"/>
            <w:left w:val="none" w:sz="0" w:space="0" w:color="auto"/>
            <w:bottom w:val="none" w:sz="0" w:space="0" w:color="auto"/>
            <w:right w:val="none" w:sz="0" w:space="0" w:color="auto"/>
          </w:divBdr>
          <w:divsChild>
            <w:div w:id="843589224">
              <w:marLeft w:val="0"/>
              <w:marRight w:val="0"/>
              <w:marTop w:val="0"/>
              <w:marBottom w:val="0"/>
              <w:divBdr>
                <w:top w:val="none" w:sz="0" w:space="0" w:color="auto"/>
                <w:left w:val="none" w:sz="0" w:space="0" w:color="auto"/>
                <w:bottom w:val="none" w:sz="0" w:space="0" w:color="auto"/>
                <w:right w:val="none" w:sz="0" w:space="0" w:color="auto"/>
              </w:divBdr>
              <w:divsChild>
                <w:div w:id="1548294671">
                  <w:marLeft w:val="0"/>
                  <w:marRight w:val="0"/>
                  <w:marTop w:val="0"/>
                  <w:marBottom w:val="0"/>
                  <w:divBdr>
                    <w:top w:val="none" w:sz="0" w:space="0" w:color="auto"/>
                    <w:left w:val="none" w:sz="0" w:space="0" w:color="auto"/>
                    <w:bottom w:val="none" w:sz="0" w:space="0" w:color="auto"/>
                    <w:right w:val="none" w:sz="0" w:space="0" w:color="auto"/>
                  </w:divBdr>
                  <w:divsChild>
                    <w:div w:id="1914655939">
                      <w:marLeft w:val="0"/>
                      <w:marRight w:val="0"/>
                      <w:marTop w:val="0"/>
                      <w:marBottom w:val="0"/>
                      <w:divBdr>
                        <w:top w:val="none" w:sz="0" w:space="0" w:color="auto"/>
                        <w:left w:val="none" w:sz="0" w:space="0" w:color="auto"/>
                        <w:bottom w:val="none" w:sz="0" w:space="0" w:color="auto"/>
                        <w:right w:val="none" w:sz="0" w:space="0" w:color="auto"/>
                      </w:divBdr>
                      <w:divsChild>
                        <w:div w:id="894899414">
                          <w:marLeft w:val="0"/>
                          <w:marRight w:val="0"/>
                          <w:marTop w:val="0"/>
                          <w:marBottom w:val="0"/>
                          <w:divBdr>
                            <w:top w:val="none" w:sz="0" w:space="0" w:color="auto"/>
                            <w:left w:val="none" w:sz="0" w:space="0" w:color="auto"/>
                            <w:bottom w:val="none" w:sz="0" w:space="0" w:color="auto"/>
                            <w:right w:val="none" w:sz="0" w:space="0" w:color="auto"/>
                          </w:divBdr>
                          <w:divsChild>
                            <w:div w:id="178325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749253">
      <w:bodyDiv w:val="1"/>
      <w:marLeft w:val="0"/>
      <w:marRight w:val="0"/>
      <w:marTop w:val="0"/>
      <w:marBottom w:val="0"/>
      <w:divBdr>
        <w:top w:val="none" w:sz="0" w:space="0" w:color="auto"/>
        <w:left w:val="none" w:sz="0" w:space="0" w:color="auto"/>
        <w:bottom w:val="none" w:sz="0" w:space="0" w:color="auto"/>
        <w:right w:val="none" w:sz="0" w:space="0" w:color="auto"/>
      </w:divBdr>
    </w:div>
    <w:div w:id="1764376547">
      <w:bodyDiv w:val="1"/>
      <w:marLeft w:val="0"/>
      <w:marRight w:val="0"/>
      <w:marTop w:val="0"/>
      <w:marBottom w:val="0"/>
      <w:divBdr>
        <w:top w:val="none" w:sz="0" w:space="0" w:color="auto"/>
        <w:left w:val="none" w:sz="0" w:space="0" w:color="auto"/>
        <w:bottom w:val="none" w:sz="0" w:space="0" w:color="auto"/>
        <w:right w:val="none" w:sz="0" w:space="0" w:color="auto"/>
      </w:divBdr>
    </w:div>
    <w:div w:id="1798916441">
      <w:bodyDiv w:val="1"/>
      <w:marLeft w:val="0"/>
      <w:marRight w:val="0"/>
      <w:marTop w:val="0"/>
      <w:marBottom w:val="0"/>
      <w:divBdr>
        <w:top w:val="none" w:sz="0" w:space="0" w:color="auto"/>
        <w:left w:val="none" w:sz="0" w:space="0" w:color="auto"/>
        <w:bottom w:val="none" w:sz="0" w:space="0" w:color="auto"/>
        <w:right w:val="none" w:sz="0" w:space="0" w:color="auto"/>
      </w:divBdr>
      <w:divsChild>
        <w:div w:id="733896463">
          <w:marLeft w:val="0"/>
          <w:marRight w:val="0"/>
          <w:marTop w:val="0"/>
          <w:marBottom w:val="0"/>
          <w:divBdr>
            <w:top w:val="none" w:sz="0" w:space="0" w:color="auto"/>
            <w:left w:val="none" w:sz="0" w:space="0" w:color="auto"/>
            <w:bottom w:val="none" w:sz="0" w:space="0" w:color="auto"/>
            <w:right w:val="none" w:sz="0" w:space="0" w:color="auto"/>
          </w:divBdr>
          <w:divsChild>
            <w:div w:id="998538270">
              <w:marLeft w:val="0"/>
              <w:marRight w:val="0"/>
              <w:marTop w:val="0"/>
              <w:marBottom w:val="0"/>
              <w:divBdr>
                <w:top w:val="none" w:sz="0" w:space="0" w:color="auto"/>
                <w:left w:val="none" w:sz="0" w:space="0" w:color="auto"/>
                <w:bottom w:val="none" w:sz="0" w:space="0" w:color="auto"/>
                <w:right w:val="none" w:sz="0" w:space="0" w:color="auto"/>
              </w:divBdr>
              <w:divsChild>
                <w:div w:id="866605150">
                  <w:marLeft w:val="0"/>
                  <w:marRight w:val="0"/>
                  <w:marTop w:val="0"/>
                  <w:marBottom w:val="0"/>
                  <w:divBdr>
                    <w:top w:val="none" w:sz="0" w:space="0" w:color="auto"/>
                    <w:left w:val="none" w:sz="0" w:space="0" w:color="auto"/>
                    <w:bottom w:val="none" w:sz="0" w:space="0" w:color="auto"/>
                    <w:right w:val="none" w:sz="0" w:space="0" w:color="auto"/>
                  </w:divBdr>
                  <w:divsChild>
                    <w:div w:id="569736429">
                      <w:marLeft w:val="0"/>
                      <w:marRight w:val="0"/>
                      <w:marTop w:val="0"/>
                      <w:marBottom w:val="0"/>
                      <w:divBdr>
                        <w:top w:val="none" w:sz="0" w:space="0" w:color="auto"/>
                        <w:left w:val="none" w:sz="0" w:space="0" w:color="auto"/>
                        <w:bottom w:val="none" w:sz="0" w:space="0" w:color="auto"/>
                        <w:right w:val="none" w:sz="0" w:space="0" w:color="auto"/>
                      </w:divBdr>
                      <w:divsChild>
                        <w:div w:id="922488854">
                          <w:marLeft w:val="0"/>
                          <w:marRight w:val="0"/>
                          <w:marTop w:val="0"/>
                          <w:marBottom w:val="0"/>
                          <w:divBdr>
                            <w:top w:val="none" w:sz="0" w:space="0" w:color="auto"/>
                            <w:left w:val="none" w:sz="0" w:space="0" w:color="auto"/>
                            <w:bottom w:val="none" w:sz="0" w:space="0" w:color="auto"/>
                            <w:right w:val="none" w:sz="0" w:space="0" w:color="auto"/>
                          </w:divBdr>
                          <w:divsChild>
                            <w:div w:id="18333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31076">
      <w:bodyDiv w:val="1"/>
      <w:marLeft w:val="0"/>
      <w:marRight w:val="0"/>
      <w:marTop w:val="0"/>
      <w:marBottom w:val="0"/>
      <w:divBdr>
        <w:top w:val="none" w:sz="0" w:space="0" w:color="auto"/>
        <w:left w:val="none" w:sz="0" w:space="0" w:color="auto"/>
        <w:bottom w:val="none" w:sz="0" w:space="0" w:color="auto"/>
        <w:right w:val="none" w:sz="0" w:space="0" w:color="auto"/>
      </w:divBdr>
    </w:div>
    <w:div w:id="1952200840">
      <w:bodyDiv w:val="1"/>
      <w:marLeft w:val="0"/>
      <w:marRight w:val="0"/>
      <w:marTop w:val="0"/>
      <w:marBottom w:val="0"/>
      <w:divBdr>
        <w:top w:val="none" w:sz="0" w:space="0" w:color="auto"/>
        <w:left w:val="none" w:sz="0" w:space="0" w:color="auto"/>
        <w:bottom w:val="none" w:sz="0" w:space="0" w:color="auto"/>
        <w:right w:val="none" w:sz="0" w:space="0" w:color="auto"/>
      </w:divBdr>
    </w:div>
    <w:div w:id="1952276363">
      <w:bodyDiv w:val="1"/>
      <w:marLeft w:val="0"/>
      <w:marRight w:val="0"/>
      <w:marTop w:val="0"/>
      <w:marBottom w:val="0"/>
      <w:divBdr>
        <w:top w:val="none" w:sz="0" w:space="0" w:color="auto"/>
        <w:left w:val="none" w:sz="0" w:space="0" w:color="auto"/>
        <w:bottom w:val="none" w:sz="0" w:space="0" w:color="auto"/>
        <w:right w:val="none" w:sz="0" w:space="0" w:color="auto"/>
      </w:divBdr>
    </w:div>
    <w:div w:id="201441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echnologyreview.com/2025/07/10/1119941/china-energy-dominance-three-charts/" TargetMode="External"/><Relationship Id="rId13" Type="http://schemas.openxmlformats.org/officeDocument/2006/relationships/hyperlink" Target="https://eepublicdownloads.blob.core.windows.net/public-cdn-container/tyndp-documents/TYNDP2024/foropinion/Infrastructure_Gaps_Report.pdf" TargetMode="External"/><Relationship Id="rId18" Type="http://schemas.openxmlformats.org/officeDocument/2006/relationships/hyperlink" Target="https://dso-tso-technopedia.eu/" TargetMode="External"/><Relationship Id="rId26" Type="http://schemas.openxmlformats.org/officeDocument/2006/relationships/hyperlink" Target="https://eur-lex.europa.eu/legal-content/FR/TXT/PDF/?uri=CELEX:52025JC0009" TargetMode="External"/><Relationship Id="rId3" Type="http://schemas.openxmlformats.org/officeDocument/2006/relationships/hyperlink" Target="https://www.eea.europa.eu/en/analysis/publications/renewables-electrification-and-flexibility-for-a-competitive-eu-energy-system" TargetMode="External"/><Relationship Id="rId21" Type="http://schemas.openxmlformats.org/officeDocument/2006/relationships/hyperlink" Target="https://op.europa.eu/en/publication-detail/-/publication/949ddae8-0674-11ee-b12e-01aa75ed71a1" TargetMode="External"/><Relationship Id="rId7" Type="http://schemas.openxmlformats.org/officeDocument/2006/relationships/hyperlink" Target="https://www.technologyreview.com/2025/07/10/1119941/china-energy-dominance-three-charts/" TargetMode="External"/><Relationship Id="rId12" Type="http://schemas.openxmlformats.org/officeDocument/2006/relationships/hyperlink" Target="https://data.consilium.europa.eu/doc/document/ST-5438-2025-INIT/en/pdf" TargetMode="External"/><Relationship Id="rId17" Type="http://schemas.openxmlformats.org/officeDocument/2006/relationships/hyperlink" Target="https://www.acer.europa.eu/sites/default/files/documents/Publications/ACER_2024_Monitoring_Electricity_Infrastructure.pdf" TargetMode="External"/><Relationship Id="rId25" Type="http://schemas.openxmlformats.org/officeDocument/2006/relationships/hyperlink" Target="https://energy.ec.europa.eu/publications/communication-future-proof-network-charges-reduced-energy-system-costs_en" TargetMode="External"/><Relationship Id="rId2" Type="http://schemas.openxmlformats.org/officeDocument/2006/relationships/hyperlink" Target="https://commission.europa.eu/topics/energy/repowereu_fr" TargetMode="External"/><Relationship Id="rId16" Type="http://schemas.openxmlformats.org/officeDocument/2006/relationships/hyperlink" Target="https://eur-lex.europa.eu/legal-content/FR/TXT/?uri=celex:52023DC0757" TargetMode="External"/><Relationship Id="rId20" Type="http://schemas.openxmlformats.org/officeDocument/2006/relationships/hyperlink" Target="https://www.acer.europa.eu/media/charts/PCIs-and-PMIs-monitoring-2025" TargetMode="External"/><Relationship Id="rId29" Type="http://schemas.openxmlformats.org/officeDocument/2006/relationships/hyperlink" Target="https://energy.ec.europa.eu/news/new-european-coordinator-appointed-central-and-south-east-european-energy-interconnectivity-2025-10-24_en" TargetMode="External"/><Relationship Id="rId1" Type="http://schemas.openxmlformats.org/officeDocument/2006/relationships/hyperlink" Target="https://eur-lex.europa.eu/legal-content/FR/TXT/?uri=CELEX%3A52025DC0079&amp;qid=1741780110418" TargetMode="External"/><Relationship Id="rId6" Type="http://schemas.openxmlformats.org/officeDocument/2006/relationships/hyperlink" Target="https://ec.europa.eu/eurostat/web/products-eurostat-news/w/ddn-20250321-1" TargetMode="External"/><Relationship Id="rId11" Type="http://schemas.openxmlformats.org/officeDocument/2006/relationships/hyperlink" Target="https://ec.europa.eu/eurostat/statistics-explained/index.php?title=Electricity_and_heat_statistics" TargetMode="External"/><Relationship Id="rId24" Type="http://schemas.openxmlformats.org/officeDocument/2006/relationships/hyperlink" Target="https://data.europa.eu/doi/10.2833/8232521" TargetMode="External"/><Relationship Id="rId5" Type="http://schemas.openxmlformats.org/officeDocument/2006/relationships/hyperlink" Target="https://www.eea.europa.eu/en/analysis/publications/renewables-electrification-and-flexibility-for-a-competitive-eu-energy-system" TargetMode="External"/><Relationship Id="rId15" Type="http://schemas.openxmlformats.org/officeDocument/2006/relationships/hyperlink" Target="https://dashboard.tech.ec.europa.eu/qs_digit_dashboard_mt/public/sense/app/3744499f-670f-42f8-9ef3-0d98f6cd586f/sheet/4c9ea8df-f0f9-4c0d-b26b-99fc0218d9d9/state/analysis" TargetMode="External"/><Relationship Id="rId23" Type="http://schemas.openxmlformats.org/officeDocument/2006/relationships/hyperlink" Target="https://iea.blob.core.windows.net/assets/a688d0f5-a100-447f-91a1-50b7b0d8eaa1/BuildingtheFutureTransmissionGrid.pdf" TargetMode="External"/><Relationship Id="rId28" Type="http://schemas.openxmlformats.org/officeDocument/2006/relationships/hyperlink" Target="https://energy.ec.europa.eu/news/new-european-coordinator-appointed-oversee-completion-baltic-synchronisation-energy-project-2025-01-08_en" TargetMode="External"/><Relationship Id="rId10" Type="http://schemas.openxmlformats.org/officeDocument/2006/relationships/hyperlink" Target="https://eepublicdownloads.blob.core.windows.net/public-cdn-container/tyndp-documents/TYNDP2024/foropinion/Infrastructure_Gaps_Report.pdf" TargetMode="External"/><Relationship Id="rId19" Type="http://schemas.openxmlformats.org/officeDocument/2006/relationships/hyperlink" Target="https://acer.europa.eu/sites/default/files/documents/Publications/2023_ACER_PCI_Report.pdf" TargetMode="External"/><Relationship Id="rId4" Type="http://schemas.openxmlformats.org/officeDocument/2006/relationships/hyperlink" Target="https://www.eea.europa.eu/en/analysis/publications/renewables-electrification-and-flexibility-for-a-competitive-eu-energy-system" TargetMode="External"/><Relationship Id="rId9" Type="http://schemas.openxmlformats.org/officeDocument/2006/relationships/hyperlink" Target="https://ec.europa.eu/eurostat/statistics-explained/index.php?title=Electricity_price_statistics" TargetMode="External"/><Relationship Id="rId14" Type="http://schemas.openxmlformats.org/officeDocument/2006/relationships/hyperlink" Target="https://dashboard.tech.ec.europa.eu/qs_digit_dashboard_mt/public/sense/app/3744499f-670f-42f8-9ef3-0d98f6cd586f/sheet/4c9ea8df-f0f9-4c0d-b26b-99fc0218d9d9/state/analysis" TargetMode="External"/><Relationship Id="rId22" Type="http://schemas.openxmlformats.org/officeDocument/2006/relationships/hyperlink" Target="https://data.europa.eu/doi/10.2833/333409" TargetMode="External"/><Relationship Id="rId27" Type="http://schemas.openxmlformats.org/officeDocument/2006/relationships/hyperlink" Target="https://eur-lex.europa.eu/legal-content/FR/TXT/?uri=PI_COM:C(2025)8144" TargetMode="External"/><Relationship Id="rId30" Type="http://schemas.openxmlformats.org/officeDocument/2006/relationships/hyperlink" Target="https://north-africa-middle-east-gulf.ec.europa.eu/joint-communication-pact-mediterranea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718EB-FC0C-491C-8ECC-6997D636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7008</Words>
  <Characters>39950</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2025-12-09T20:23:00Z</dcterms:created>
  <dcterms:modified xsi:type="dcterms:W3CDTF">2026-02-11T08:02:00Z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2025-12-08T00:15:23Z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9c1d75c4-7792-4647-ad01-4312c83a7a82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