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4F2A7" w14:textId="143D0D9F" w:rsidR="00F1172A" w:rsidRPr="008E43D4" w:rsidRDefault="009C237B" w:rsidP="009C237B">
      <w:pPr>
        <w:pStyle w:val="Pagedecouverture"/>
        <w:rPr>
          <w:noProof/>
        </w:rPr>
      </w:pPr>
      <w:bookmarkStart w:id="0" w:name="LW_BM_COVERPAGE"/>
      <w:r>
        <w:rPr>
          <w:noProof/>
        </w:rPr>
        <w:pict w14:anchorId="1EA1E3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8EF207F-B87F-452E-99D3-A12DCB476AC8" style="width:455.25pt;height:342pt">
            <v:imagedata r:id="rId8" o:title=""/>
          </v:shape>
        </w:pict>
      </w:r>
    </w:p>
    <w:bookmarkEnd w:id="0"/>
    <w:p w14:paraId="6B6F1295" w14:textId="77777777" w:rsidR="00F1172A" w:rsidRPr="008E43D4" w:rsidRDefault="00F1172A" w:rsidP="00F1172A">
      <w:pPr>
        <w:rPr>
          <w:noProof/>
        </w:rPr>
        <w:sectPr w:rsidR="00F1172A" w:rsidRPr="008E43D4" w:rsidSect="009C237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9F78CE5" w14:textId="77777777" w:rsidR="00C36F54" w:rsidRPr="008E43D4" w:rsidRDefault="00C36F54" w:rsidP="00C36F54">
      <w:pPr>
        <w:pStyle w:val="ListParagraph"/>
        <w:numPr>
          <w:ilvl w:val="0"/>
          <w:numId w:val="1"/>
        </w:numPr>
        <w:jc w:val="both"/>
        <w:rPr>
          <w:rFonts w:ascii="Times New Roman" w:hAnsi="Times New Roman" w:cs="Times New Roman"/>
          <w:b/>
          <w:bCs/>
          <w:noProof/>
          <w:sz w:val="24"/>
          <w:szCs w:val="24"/>
        </w:rPr>
      </w:pPr>
      <w:bookmarkStart w:id="1" w:name="_GoBack"/>
      <w:bookmarkEnd w:id="1"/>
      <w:r w:rsidRPr="008E43D4">
        <w:rPr>
          <w:rFonts w:ascii="Times New Roman" w:hAnsi="Times New Roman"/>
          <w:b/>
          <w:noProof/>
          <w:sz w:val="24"/>
        </w:rPr>
        <w:lastRenderedPageBreak/>
        <w:t>Introducere</w:t>
      </w:r>
    </w:p>
    <w:p w14:paraId="4E2DFD30" w14:textId="660D91FB" w:rsidR="004449DE" w:rsidRPr="008E43D4" w:rsidRDefault="00C36F54" w:rsidP="00C36F54">
      <w:pPr>
        <w:jc w:val="both"/>
        <w:rPr>
          <w:rFonts w:ascii="Times New Roman" w:eastAsia="Times New Roman" w:hAnsi="Times New Roman" w:cs="Times New Roman"/>
          <w:noProof/>
          <w:kern w:val="0"/>
          <w:sz w:val="24"/>
          <w:szCs w:val="24"/>
          <w14:ligatures w14:val="none"/>
        </w:rPr>
      </w:pPr>
      <w:r w:rsidRPr="008E43D4">
        <w:rPr>
          <w:rFonts w:ascii="Times New Roman" w:hAnsi="Times New Roman"/>
          <w:noProof/>
          <w:sz w:val="24"/>
        </w:rPr>
        <w:t xml:space="preserve">În ultimii ani, </w:t>
      </w:r>
      <w:r w:rsidRPr="008E43D4">
        <w:rPr>
          <w:rFonts w:ascii="Times New Roman" w:hAnsi="Times New Roman"/>
          <w:b/>
          <w:noProof/>
          <w:sz w:val="24"/>
        </w:rPr>
        <w:t>Uniunea Europeană a ajuns la un punct critic de răscruce</w:t>
      </w:r>
      <w:r w:rsidRPr="008E43D4">
        <w:rPr>
          <w:rFonts w:ascii="Times New Roman" w:hAnsi="Times New Roman"/>
          <w:noProof/>
          <w:sz w:val="24"/>
        </w:rPr>
        <w:t xml:space="preserve"> ca urmare a schimbărilor geopolitice și a fluctuațiilor comerciale fără precedent de la nivel mondial. Continuarea războiului de agresiune al Rusiei împotriva Ucrainei a evidențiat </w:t>
      </w:r>
      <w:r w:rsidRPr="008E43D4">
        <w:rPr>
          <w:rFonts w:ascii="Times New Roman" w:hAnsi="Times New Roman"/>
          <w:b/>
          <w:noProof/>
          <w:sz w:val="24"/>
        </w:rPr>
        <w:t>importanța uriașă a securității energetice și a competitivității în construirea destinului nostru colectiv</w:t>
      </w:r>
      <w:r w:rsidRPr="008E43D4">
        <w:rPr>
          <w:rFonts w:ascii="Times New Roman" w:hAnsi="Times New Roman"/>
          <w:noProof/>
          <w:sz w:val="24"/>
        </w:rPr>
        <w:t>. Este esențial să ne asigurăm că întreprinderile și cetățenii noștri, indiferent de statul membru în care se află, au acces din abundență la energie curată și accesibilă ca preț produsă în Europa.</w:t>
      </w:r>
    </w:p>
    <w:p w14:paraId="63324FA9" w14:textId="69167107" w:rsidR="00986594" w:rsidRPr="008E43D4" w:rsidRDefault="00C36F54" w:rsidP="00C36F54">
      <w:pPr>
        <w:jc w:val="both"/>
        <w:rPr>
          <w:rFonts w:ascii="Times New Roman" w:eastAsia="Times New Roman" w:hAnsi="Times New Roman" w:cs="Times New Roman"/>
          <w:b/>
          <w:bCs/>
          <w:noProof/>
          <w:kern w:val="0"/>
          <w:sz w:val="24"/>
          <w:szCs w:val="24"/>
          <w14:ligatures w14:val="none"/>
        </w:rPr>
      </w:pPr>
      <w:r w:rsidRPr="008E43D4">
        <w:rPr>
          <w:rFonts w:ascii="Times New Roman" w:hAnsi="Times New Roman"/>
          <w:noProof/>
          <w:sz w:val="24"/>
        </w:rPr>
        <w:t xml:space="preserve">Acest lucru poate fi însă realizat doar prin </w:t>
      </w:r>
      <w:r w:rsidRPr="008E43D4">
        <w:rPr>
          <w:rFonts w:ascii="Times New Roman" w:hAnsi="Times New Roman"/>
          <w:b/>
          <w:noProof/>
          <w:sz w:val="24"/>
        </w:rPr>
        <w:t>consolidarea infrastructurii noastre energetice</w:t>
      </w:r>
      <w:r w:rsidRPr="008E43D4">
        <w:rPr>
          <w:rFonts w:ascii="Times New Roman" w:hAnsi="Times New Roman"/>
          <w:noProof/>
          <w:sz w:val="24"/>
        </w:rPr>
        <w:t xml:space="preserve">, care constituie </w:t>
      </w:r>
      <w:r w:rsidRPr="008E43D4">
        <w:rPr>
          <w:rFonts w:ascii="Times New Roman" w:hAnsi="Times New Roman"/>
          <w:b/>
          <w:noProof/>
          <w:sz w:val="24"/>
        </w:rPr>
        <w:t>coloana vertebrală nu numai a sistemului nostru energetic, ci și a Europei înseși</w:t>
      </w:r>
      <w:r w:rsidRPr="008E43D4">
        <w:rPr>
          <w:rFonts w:ascii="Times New Roman" w:hAnsi="Times New Roman"/>
          <w:noProof/>
          <w:sz w:val="24"/>
        </w:rPr>
        <w:t xml:space="preserve">. Rețelele sunt esențiale în acest demers. Deoarece fac posibilă circulația eficientă a energiei între statele membre, integrează energia curată mai ieftină și accelerează electrificarea, ele </w:t>
      </w:r>
      <w:r w:rsidRPr="008E43D4">
        <w:rPr>
          <w:rFonts w:ascii="Times New Roman" w:hAnsi="Times New Roman"/>
          <w:b/>
          <w:noProof/>
          <w:sz w:val="24"/>
        </w:rPr>
        <w:t>contribuie la scăderea prețului energiei și ajută toți europenii să își permită un trai decent</w:t>
      </w:r>
      <w:r w:rsidRPr="008E43D4">
        <w:rPr>
          <w:rFonts w:ascii="Times New Roman" w:hAnsi="Times New Roman"/>
          <w:noProof/>
          <w:sz w:val="24"/>
        </w:rPr>
        <w:t>, astfel cum se subliniază în Planul de acțiune al Comisiei pentru energie la prețuri accesibile</w:t>
      </w:r>
      <w:r w:rsidRPr="008E43D4">
        <w:rPr>
          <w:rFonts w:ascii="Times New Roman" w:eastAsia="Times New Roman" w:hAnsi="Times New Roman" w:cs="Times New Roman"/>
          <w:noProof/>
          <w:kern w:val="0"/>
          <w:sz w:val="24"/>
          <w:szCs w:val="24"/>
          <w:vertAlign w:val="superscript"/>
        </w:rPr>
        <w:footnoteReference w:id="2"/>
      </w:r>
      <w:r w:rsidRPr="008E43D4">
        <w:rPr>
          <w:rFonts w:ascii="Times New Roman" w:hAnsi="Times New Roman"/>
          <w:noProof/>
          <w:sz w:val="24"/>
        </w:rPr>
        <w:t xml:space="preserve">. În același timp, ele asigură o aprovizionare sigură și fiabilă și permit țărilor să se sprijine reciproc în perioadele dificile, în conformitate cu </w:t>
      </w:r>
      <w:r w:rsidRPr="008E43D4">
        <w:rPr>
          <w:rFonts w:ascii="Times New Roman" w:hAnsi="Times New Roman"/>
          <w:b/>
          <w:noProof/>
          <w:sz w:val="24"/>
        </w:rPr>
        <w:t>obiectivele REPowerEU și facilitând eliminarea treptată a importurilor de energie din Rusia</w:t>
      </w:r>
      <w:r w:rsidRPr="008E43D4">
        <w:rPr>
          <w:rStyle w:val="FootnoteReference"/>
          <w:rFonts w:ascii="Times New Roman" w:eastAsia="Times New Roman" w:hAnsi="Times New Roman" w:cs="Times New Roman"/>
          <w:noProof/>
          <w:kern w:val="0"/>
          <w:sz w:val="24"/>
          <w:szCs w:val="24"/>
        </w:rPr>
        <w:footnoteReference w:id="3"/>
      </w:r>
      <w:r w:rsidRPr="008E43D4">
        <w:rPr>
          <w:noProof/>
        </w:rPr>
        <w:t>.</w:t>
      </w:r>
      <w:r w:rsidRPr="008E43D4">
        <w:rPr>
          <w:rFonts w:ascii="Times New Roman" w:hAnsi="Times New Roman"/>
          <w:noProof/>
          <w:sz w:val="24"/>
        </w:rPr>
        <w:t xml:space="preserve"> </w:t>
      </w:r>
    </w:p>
    <w:p w14:paraId="17CDA5E3" w14:textId="45E1C869" w:rsidR="003960C3" w:rsidRPr="008E43D4" w:rsidRDefault="00C36F54" w:rsidP="00C36F54">
      <w:pPr>
        <w:jc w:val="both"/>
        <w:rPr>
          <w:rFonts w:ascii="Times New Roman" w:eastAsia="Times New Roman" w:hAnsi="Times New Roman" w:cs="Times New Roman"/>
          <w:noProof/>
          <w:kern w:val="0"/>
          <w:sz w:val="24"/>
          <w:szCs w:val="24"/>
          <w14:ligatures w14:val="none"/>
        </w:rPr>
      </w:pPr>
      <w:r w:rsidRPr="008E43D4">
        <w:rPr>
          <w:rFonts w:ascii="Times New Roman" w:hAnsi="Times New Roman"/>
          <w:b/>
          <w:noProof/>
          <w:sz w:val="24"/>
        </w:rPr>
        <w:t>În pofida progreselor înregistrate în baza cadrului juridic actual al UE, avem în continuare prea puțină energie autohtonă și nu am atins nivelul de interconectivitate a statelor membre care să facă posibilă o veritabilă uniune energetică</w:t>
      </w:r>
      <w:r w:rsidRPr="008E43D4">
        <w:rPr>
          <w:rFonts w:ascii="Times New Roman" w:hAnsi="Times New Roman"/>
          <w:noProof/>
          <w:sz w:val="24"/>
        </w:rPr>
        <w:t xml:space="preserve">, deoarece mai multe state membre sunt departe de a-și îndeplini ținta de interconectare de 15 % până în 2030. </w:t>
      </w:r>
      <w:r w:rsidRPr="008E43D4">
        <w:rPr>
          <w:rFonts w:ascii="Times New Roman" w:hAnsi="Times New Roman"/>
          <w:b/>
          <w:noProof/>
          <w:sz w:val="24"/>
        </w:rPr>
        <w:t>Costul lipsei de acțiune este uluitor</w:t>
      </w:r>
      <w:r w:rsidRPr="008E43D4">
        <w:rPr>
          <w:rFonts w:ascii="Times New Roman" w:hAnsi="Times New Roman"/>
          <w:noProof/>
          <w:sz w:val="24"/>
        </w:rPr>
        <w:t>: în 2022, combustibilii fosili aveau cea mai mare pondere în consumul de energie disponibilă brută al Uniunii Europene (70 %), iar 98 % din cantitatea totală de petrol și gaze utilizată în statele membre provenea din import</w:t>
      </w:r>
      <w:r w:rsidRPr="008E43D4">
        <w:rPr>
          <w:rStyle w:val="FootnoteReference"/>
          <w:rFonts w:ascii="Times New Roman" w:eastAsia="Times New Roman" w:hAnsi="Times New Roman" w:cs="Times New Roman"/>
          <w:noProof/>
          <w:kern w:val="0"/>
          <w:sz w:val="24"/>
          <w:szCs w:val="24"/>
        </w:rPr>
        <w:footnoteReference w:id="4"/>
      </w:r>
      <w:r w:rsidRPr="008E43D4">
        <w:rPr>
          <w:noProof/>
        </w:rPr>
        <w:t>.</w:t>
      </w:r>
      <w:r w:rsidRPr="008E43D4">
        <w:rPr>
          <w:rFonts w:ascii="Times New Roman" w:hAnsi="Times New Roman"/>
          <w:noProof/>
          <w:sz w:val="24"/>
        </w:rPr>
        <w:t xml:space="preserve"> Din acest motiv, UE este expusă la volatilitatea prețurilor și la riscurile geopolitice. În 2024, Europa a cheltuit aproximativ 375 de miliarde EUR pentru importurile de combustibili fosili</w:t>
      </w:r>
      <w:r w:rsidRPr="008E43D4">
        <w:rPr>
          <w:rStyle w:val="FootnoteReference"/>
          <w:rFonts w:ascii="Times New Roman" w:eastAsia="Times New Roman" w:hAnsi="Times New Roman" w:cs="Times New Roman"/>
          <w:noProof/>
          <w:kern w:val="0"/>
          <w:sz w:val="24"/>
          <w:szCs w:val="24"/>
        </w:rPr>
        <w:footnoteReference w:id="5"/>
      </w:r>
      <w:r w:rsidRPr="008E43D4">
        <w:rPr>
          <w:noProof/>
        </w:rPr>
        <w:t>.</w:t>
      </w:r>
      <w:r w:rsidRPr="008E43D4">
        <w:rPr>
          <w:rFonts w:ascii="Times New Roman" w:hAnsi="Times New Roman"/>
          <w:noProof/>
          <w:sz w:val="24"/>
        </w:rPr>
        <w:t xml:space="preserve"> În contrast puternic, investițiile în energia din surse regenerabile și în rețele rămân relativ scăzute: Europa a cheltuit 117 miliarde USD în 2025, în timp ce China a cheltuit 327 de miliarde USD</w:t>
      </w:r>
      <w:r w:rsidRPr="008E43D4">
        <w:rPr>
          <w:rStyle w:val="FootnoteReference"/>
          <w:rFonts w:ascii="Times New Roman" w:eastAsia="Times New Roman" w:hAnsi="Times New Roman" w:cs="Times New Roman"/>
          <w:noProof/>
          <w:kern w:val="0"/>
          <w:sz w:val="24"/>
          <w:szCs w:val="24"/>
        </w:rPr>
        <w:footnoteReference w:id="6"/>
      </w:r>
      <w:r w:rsidRPr="008E43D4">
        <w:rPr>
          <w:rFonts w:ascii="Times New Roman" w:hAnsi="Times New Roman"/>
          <w:noProof/>
          <w:sz w:val="24"/>
        </w:rPr>
        <w:t xml:space="preserve">. </w:t>
      </w:r>
    </w:p>
    <w:p w14:paraId="0D596C21" w14:textId="31A62616" w:rsidR="00AF502A" w:rsidRPr="008E43D4" w:rsidRDefault="009B7F93" w:rsidP="00C36F54">
      <w:pPr>
        <w:jc w:val="both"/>
        <w:rPr>
          <w:rFonts w:ascii="Times New Roman" w:eastAsia="Times New Roman" w:hAnsi="Times New Roman" w:cs="Times New Roman"/>
          <w:noProof/>
          <w:sz w:val="24"/>
          <w:szCs w:val="24"/>
        </w:rPr>
      </w:pPr>
      <w:r w:rsidRPr="008E43D4">
        <w:rPr>
          <w:rFonts w:ascii="Times New Roman" w:hAnsi="Times New Roman"/>
          <w:noProof/>
          <w:sz w:val="24"/>
        </w:rPr>
        <w:t xml:space="preserve">Integrarea insuficientă și investițiile insuficiente în infrastructura noastră energetică au un </w:t>
      </w:r>
      <w:r w:rsidRPr="008E43D4">
        <w:rPr>
          <w:rFonts w:ascii="Times New Roman" w:hAnsi="Times New Roman"/>
          <w:b/>
          <w:noProof/>
          <w:sz w:val="24"/>
        </w:rPr>
        <w:t>impact direct asupra facturilor la energie ale cetățenilor europeni</w:t>
      </w:r>
      <w:r w:rsidRPr="008E43D4">
        <w:rPr>
          <w:rFonts w:ascii="Times New Roman" w:hAnsi="Times New Roman"/>
          <w:noProof/>
          <w:sz w:val="24"/>
        </w:rPr>
        <w:t xml:space="preserve"> și asupra dezvoltării sectoarelor strategice din întreaga UE, cum ar fi industriile „zero net” sau sectorul digital. Rapoartele Draghi și Letta subliniază că, în UE, </w:t>
      </w:r>
      <w:r w:rsidRPr="008E43D4">
        <w:rPr>
          <w:rFonts w:ascii="Times New Roman" w:hAnsi="Times New Roman"/>
          <w:b/>
          <w:noProof/>
          <w:sz w:val="24"/>
        </w:rPr>
        <w:t>prețurile energiei electrice continuă să fie de 2-3 ori mai mari</w:t>
      </w:r>
      <w:r w:rsidRPr="008E43D4">
        <w:rPr>
          <w:rFonts w:ascii="Times New Roman" w:hAnsi="Times New Roman"/>
          <w:noProof/>
          <w:sz w:val="24"/>
        </w:rPr>
        <w:t xml:space="preserve"> decât cele din SUA; în T2 2024, prețurile cu amănuntul ale energiei electrice din UE pentru sectorul industrial au fost de 2,2 ori mai mari decât cele din SUA, de două ori mai mari decât cele din China și de 1,2 ori mai mari decât cele din Japonia (mai mici din punct de vedere istoric)</w:t>
      </w:r>
      <w:r w:rsidRPr="008E43D4">
        <w:rPr>
          <w:rStyle w:val="FootnoteReference"/>
          <w:rFonts w:ascii="Times New Roman" w:eastAsia="Times New Roman" w:hAnsi="Times New Roman" w:cs="Times New Roman"/>
          <w:noProof/>
          <w:sz w:val="24"/>
          <w:szCs w:val="24"/>
        </w:rPr>
        <w:footnoteReference w:id="7"/>
      </w:r>
      <w:r w:rsidRPr="008E43D4">
        <w:rPr>
          <w:rFonts w:ascii="Times New Roman" w:hAnsi="Times New Roman"/>
          <w:noProof/>
          <w:sz w:val="24"/>
        </w:rPr>
        <w:t>. În prima jumătate a anului 2025, prețul mediu al energiei electrice pentru consumatorii din UE a variat de la 0,3835 EUR per kWh în Germania la 0,1040 EUR per kWh în Ungaria, iar prețurile energiei electrice pentru consumatorii non-casnici au variat între 0,2726 EUR per kWh în Irlanda și 0,0804 EUR per kWh în Finlanda</w:t>
      </w:r>
      <w:r w:rsidRPr="008E43D4">
        <w:rPr>
          <w:rStyle w:val="FootnoteReference"/>
          <w:rFonts w:ascii="Times New Roman" w:eastAsia="Times New Roman" w:hAnsi="Times New Roman" w:cs="Times New Roman"/>
          <w:noProof/>
          <w:sz w:val="24"/>
          <w:szCs w:val="24"/>
        </w:rPr>
        <w:footnoteReference w:id="8"/>
      </w:r>
      <w:r w:rsidRPr="008E43D4">
        <w:rPr>
          <w:noProof/>
        </w:rPr>
        <w:t>.</w:t>
      </w:r>
      <w:r w:rsidRPr="008E43D4">
        <w:rPr>
          <w:rFonts w:ascii="Times New Roman" w:hAnsi="Times New Roman"/>
          <w:noProof/>
          <w:sz w:val="24"/>
        </w:rPr>
        <w:t xml:space="preserve"> Unul dintre principalele motive ale acestei disparități este nivelul insuficient de integrare și de investiții în infrastructura noastră. </w:t>
      </w:r>
      <w:r w:rsidRPr="008E43D4">
        <w:rPr>
          <w:rFonts w:ascii="Times New Roman" w:hAnsi="Times New Roman"/>
          <w:b/>
          <w:noProof/>
          <w:sz w:val="24"/>
        </w:rPr>
        <w:t>Dacă nu acționăm</w:t>
      </w:r>
      <w:r w:rsidRPr="008E43D4">
        <w:rPr>
          <w:rFonts w:ascii="Times New Roman" w:hAnsi="Times New Roman"/>
          <w:noProof/>
          <w:sz w:val="24"/>
        </w:rPr>
        <w:t>, 45 % din capacitatea de energie electrică necesară la nivel transfrontalier (echivalentul a 41 GW)</w:t>
      </w:r>
      <w:r w:rsidRPr="008E43D4">
        <w:rPr>
          <w:rStyle w:val="FootnoteReference"/>
          <w:rFonts w:ascii="Times New Roman" w:eastAsia="Times New Roman" w:hAnsi="Times New Roman" w:cs="Times New Roman"/>
          <w:noProof/>
          <w:sz w:val="24"/>
          <w:szCs w:val="24"/>
        </w:rPr>
        <w:footnoteReference w:id="9"/>
      </w:r>
      <w:r w:rsidRPr="008E43D4">
        <w:rPr>
          <w:rFonts w:ascii="Times New Roman" w:hAnsi="Times New Roman"/>
          <w:noProof/>
          <w:sz w:val="24"/>
        </w:rPr>
        <w:t xml:space="preserve"> va rămâne nerealizată până în 2030, iar energia din surse regenerabile neutilizată poate ajunge până la 310 TWh până în 2040</w:t>
      </w:r>
      <w:r w:rsidRPr="008E43D4">
        <w:rPr>
          <w:rStyle w:val="FootnoteReference"/>
          <w:rFonts w:ascii="Times New Roman" w:eastAsia="Times New Roman" w:hAnsi="Times New Roman" w:cs="Times New Roman"/>
          <w:noProof/>
          <w:kern w:val="0"/>
          <w:sz w:val="24"/>
          <w:szCs w:val="24"/>
        </w:rPr>
        <w:footnoteReference w:id="10"/>
      </w:r>
      <w:r w:rsidRPr="008E43D4">
        <w:rPr>
          <w:rFonts w:ascii="Times New Roman" w:hAnsi="Times New Roman"/>
          <w:noProof/>
          <w:sz w:val="24"/>
        </w:rPr>
        <w:t xml:space="preserve">, ceea ce reprezintă aproape jumătate din consumul de energie electrică din 2023. </w:t>
      </w:r>
    </w:p>
    <w:p w14:paraId="2A008F26" w14:textId="7DAF3CF6" w:rsidR="00C36F54" w:rsidRPr="008E43D4" w:rsidRDefault="004434B1" w:rsidP="00C36F54">
      <w:pPr>
        <w:jc w:val="both"/>
        <w:rPr>
          <w:rFonts w:ascii="Times New Roman" w:eastAsia="Times New Roman" w:hAnsi="Times New Roman" w:cs="Times New Roman"/>
          <w:noProof/>
          <w:kern w:val="0"/>
          <w:sz w:val="24"/>
          <w:szCs w:val="24"/>
          <w14:ligatures w14:val="none"/>
        </w:rPr>
      </w:pPr>
      <w:r w:rsidRPr="008E43D4">
        <w:rPr>
          <w:rFonts w:ascii="Times New Roman" w:hAnsi="Times New Roman"/>
          <w:noProof/>
          <w:sz w:val="24"/>
        </w:rPr>
        <w:t xml:space="preserve">Pe de altă parte, </w:t>
      </w:r>
      <w:r w:rsidRPr="008E43D4">
        <w:rPr>
          <w:rFonts w:ascii="Times New Roman" w:hAnsi="Times New Roman"/>
          <w:b/>
          <w:noProof/>
          <w:sz w:val="24"/>
        </w:rPr>
        <w:t>beneficiile acțiunii sunt clare</w:t>
      </w:r>
      <w:r w:rsidRPr="008E43D4">
        <w:rPr>
          <w:rFonts w:ascii="Times New Roman" w:hAnsi="Times New Roman"/>
          <w:noProof/>
          <w:sz w:val="24"/>
        </w:rPr>
        <w:t>: o mai bună integrare a pieței ar putea duce la economii anuale de costuri de 40 de miliarde EUR, iar stimularea cu 50 % a comerțului transfrontalier cu energie electrică ar putea crește PIB-ul anual al UE cu aproximativ 18 miliarde EUR până în 2030 (sau 0,1 %</w:t>
      </w:r>
      <w:r w:rsidRPr="008E43D4">
        <w:rPr>
          <w:rStyle w:val="FootnoteReference"/>
          <w:rFonts w:ascii="Times New Roman" w:eastAsia="Times New Roman" w:hAnsi="Times New Roman" w:cs="Times New Roman"/>
          <w:noProof/>
          <w:kern w:val="0"/>
          <w:sz w:val="24"/>
          <w:szCs w:val="24"/>
        </w:rPr>
        <w:footnoteReference w:id="11"/>
      </w:r>
      <w:r w:rsidRPr="008E43D4">
        <w:rPr>
          <w:rFonts w:ascii="Times New Roman" w:hAnsi="Times New Roman"/>
          <w:noProof/>
          <w:sz w:val="24"/>
        </w:rPr>
        <w:t>).</w:t>
      </w:r>
      <w:r w:rsidRPr="008E43D4">
        <w:rPr>
          <w:noProof/>
        </w:rPr>
        <w:t xml:space="preserve"> </w:t>
      </w:r>
      <w:r w:rsidRPr="008E43D4">
        <w:rPr>
          <w:rFonts w:ascii="Times New Roman" w:hAnsi="Times New Roman"/>
          <w:noProof/>
          <w:sz w:val="24"/>
        </w:rPr>
        <w:t xml:space="preserve">Până în 2030, ne lipsește o capacitate transfrontalieră de transport al energiei electrice de 88 GW. Investirea a 5 miliarde EUR ar reduce costurile sistemului cu 8 miliarde EUR, creând un </w:t>
      </w:r>
      <w:r w:rsidRPr="008E43D4">
        <w:rPr>
          <w:rFonts w:ascii="Times New Roman" w:hAnsi="Times New Roman"/>
          <w:b/>
          <w:noProof/>
          <w:sz w:val="24"/>
        </w:rPr>
        <w:t>câștig economic net de 3 miliarde EUR</w:t>
      </w:r>
      <w:r w:rsidRPr="008E43D4">
        <w:rPr>
          <w:rFonts w:ascii="Times New Roman" w:hAnsi="Times New Roman"/>
          <w:noProof/>
          <w:sz w:val="24"/>
        </w:rPr>
        <w:t xml:space="preserve"> și evidențiind modul în care dezvoltarea rețelei poate aduce o valoare adăugată reală și economii de costuri pentru europeni</w:t>
      </w:r>
      <w:r w:rsidRPr="008E43D4">
        <w:rPr>
          <w:rStyle w:val="FootnoteReference"/>
          <w:rFonts w:ascii="Times New Roman" w:eastAsia="Times New Roman" w:hAnsi="Times New Roman" w:cs="Times New Roman"/>
          <w:noProof/>
          <w:sz w:val="24"/>
          <w:szCs w:val="24"/>
        </w:rPr>
        <w:footnoteReference w:id="12"/>
      </w:r>
      <w:r w:rsidRPr="008E43D4">
        <w:rPr>
          <w:noProof/>
        </w:rPr>
        <w:t>.</w:t>
      </w:r>
      <w:r w:rsidRPr="008E43D4">
        <w:rPr>
          <w:rFonts w:ascii="Times New Roman" w:hAnsi="Times New Roman"/>
          <w:noProof/>
          <w:sz w:val="24"/>
        </w:rPr>
        <w:t xml:space="preserve"> </w:t>
      </w:r>
    </w:p>
    <w:p w14:paraId="728077D3" w14:textId="7E44D587" w:rsidR="00C36F54" w:rsidRPr="008E43D4" w:rsidRDefault="00C36F54" w:rsidP="00C36F54">
      <w:pPr>
        <w:jc w:val="both"/>
        <w:rPr>
          <w:rFonts w:ascii="Times New Roman" w:eastAsia="Times New Roman" w:hAnsi="Times New Roman" w:cs="Times New Roman"/>
          <w:b/>
          <w:bCs/>
          <w:noProof/>
          <w:kern w:val="0"/>
          <w:sz w:val="24"/>
          <w:szCs w:val="24"/>
          <w14:ligatures w14:val="none"/>
        </w:rPr>
      </w:pPr>
      <w:r w:rsidRPr="008E43D4">
        <w:rPr>
          <w:rFonts w:ascii="Times New Roman" w:hAnsi="Times New Roman"/>
          <w:b/>
          <w:noProof/>
          <w:sz w:val="24"/>
        </w:rPr>
        <w:t>Este așadar imperativ să luăm împreună măsuri decisive pentru a remedia problemele structurale legate de planificarea și implementarea infrastructurii energetice a UE, astfel încât să realizăm cu succes o veritabilă uniune energetică prin care să obținem independența energetică, să ne consolidăm competitivitatea, să stimulăm decarbonizarea și să încurajăm securitatea energetică</w:t>
      </w:r>
      <w:r w:rsidRPr="008E43D4">
        <w:rPr>
          <w:rFonts w:ascii="Times New Roman" w:hAnsi="Times New Roman"/>
          <w:noProof/>
          <w:sz w:val="24"/>
        </w:rPr>
        <w:t xml:space="preserve">. </w:t>
      </w:r>
      <w:r w:rsidRPr="008E43D4">
        <w:rPr>
          <w:rFonts w:ascii="Times New Roman" w:hAnsi="Times New Roman"/>
          <w:b/>
          <w:noProof/>
          <w:sz w:val="24"/>
        </w:rPr>
        <w:t>Pachetul privind rețeaua europeană</w:t>
      </w:r>
      <w:r w:rsidRPr="008E43D4">
        <w:rPr>
          <w:rFonts w:ascii="Times New Roman" w:hAnsi="Times New Roman"/>
          <w:noProof/>
          <w:sz w:val="24"/>
        </w:rPr>
        <w:t xml:space="preserve"> prezentat astăzi de Comisie își propune exact acest lucru. În completarea acestor măsuri, inițiativa </w:t>
      </w:r>
      <w:r w:rsidRPr="008E43D4">
        <w:rPr>
          <w:rFonts w:ascii="Times New Roman" w:hAnsi="Times New Roman"/>
          <w:b/>
          <w:noProof/>
          <w:sz w:val="24"/>
        </w:rPr>
        <w:t>„Autostrăzi energetice”</w:t>
      </w:r>
      <w:r w:rsidRPr="008E43D4">
        <w:rPr>
          <w:rFonts w:ascii="Times New Roman" w:hAnsi="Times New Roman"/>
          <w:noProof/>
          <w:sz w:val="24"/>
        </w:rPr>
        <w:t xml:space="preserve">, lansată în 2025 de președinta von der Leyen în discursul său privind starea Uniunii, urmărește să accelereze progresele în realizarea proiectelor de infrastructură energetică critice și imperios necesare prin </w:t>
      </w:r>
      <w:r w:rsidRPr="008E43D4">
        <w:rPr>
          <w:rFonts w:ascii="Times New Roman" w:hAnsi="Times New Roman"/>
          <w:b/>
          <w:noProof/>
          <w:sz w:val="24"/>
        </w:rPr>
        <w:t>acțiuni imediate</w:t>
      </w:r>
      <w:r w:rsidRPr="008E43D4">
        <w:rPr>
          <w:rFonts w:ascii="Times New Roman" w:hAnsi="Times New Roman"/>
          <w:noProof/>
          <w:sz w:val="24"/>
        </w:rPr>
        <w:t xml:space="preserve">, asigurându-se că putem valorifica întregul potențial al sistemului nostru energetic pentru a propulsa o Europă mai rezilientă, mai competitivă și mai sustenabilă. </w:t>
      </w:r>
    </w:p>
    <w:p w14:paraId="4581BD62" w14:textId="77777777" w:rsidR="00C36F54" w:rsidRPr="008E43D4" w:rsidRDefault="00C36F54" w:rsidP="00C36F54">
      <w:pPr>
        <w:jc w:val="both"/>
        <w:rPr>
          <w:rFonts w:ascii="Times New Roman" w:eastAsia="Times New Roman" w:hAnsi="Times New Roman" w:cs="Times New Roman"/>
          <w:b/>
          <w:bCs/>
          <w:noProof/>
          <w:kern w:val="0"/>
          <w:sz w:val="24"/>
          <w:szCs w:val="24"/>
          <w14:ligatures w14:val="none"/>
        </w:rPr>
      </w:pPr>
      <w:r w:rsidRPr="008E43D4">
        <w:rPr>
          <w:rFonts w:ascii="Times New Roman" w:hAnsi="Times New Roman"/>
          <w:b/>
          <w:noProof/>
          <w:sz w:val="24"/>
        </w:rPr>
        <w:t xml:space="preserve">2. Abordarea blocajelor structurale prin intermediul pachetului privind rețeaua europeană </w:t>
      </w:r>
    </w:p>
    <w:p w14:paraId="1D4B2974" w14:textId="77777777" w:rsidR="00C36F54" w:rsidRPr="008E43D4" w:rsidRDefault="00C36F54" w:rsidP="00C36F54">
      <w:pPr>
        <w:pStyle w:val="ListParagraph"/>
        <w:numPr>
          <w:ilvl w:val="0"/>
          <w:numId w:val="2"/>
        </w:numPr>
        <w:jc w:val="both"/>
        <w:rPr>
          <w:rStyle w:val="normaltextrun"/>
          <w:rFonts w:ascii="Times New Roman" w:hAnsi="Times New Roman" w:cs="Times New Roman"/>
          <w:b/>
          <w:bCs/>
          <w:noProof/>
          <w:sz w:val="24"/>
          <w:szCs w:val="24"/>
        </w:rPr>
      </w:pPr>
      <w:r w:rsidRPr="008E43D4">
        <w:rPr>
          <w:rStyle w:val="normaltextrun"/>
          <w:rFonts w:ascii="Times New Roman" w:hAnsi="Times New Roman"/>
          <w:b/>
          <w:noProof/>
          <w:color w:val="000000"/>
          <w:sz w:val="24"/>
          <w:shd w:val="clear" w:color="auto" w:fill="FFFFFF"/>
        </w:rPr>
        <w:t>Construirea unui viitor energetic unificat: consolidarea planificării infrastructurii transfrontaliere la nivelul întregii UE și maximizarea utilizării infrastructurii existente</w:t>
      </w:r>
    </w:p>
    <w:p w14:paraId="6781FA3D" w14:textId="34E92B3B"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Cadrul actual de planificare a rețelei, instituit prin Regulamentul TEN-E, a ajutat la obținerea unor progrese semnificative în coordonarea și dezvoltarea proiectelor transfrontaliere de infrastructură energetică. Începând din 2014, 124 de proiecte de interes comun (PIC) și proiecte de interes reciproc (PIR) au primit finanțare de 8,4 miliarde EUR prin MIE, deblocând investiții private în valoare de cel puțin 15,8 miliarde EUR</w:t>
      </w:r>
      <w:r w:rsidRPr="008E43D4">
        <w:rPr>
          <w:rStyle w:val="FootnoteReference"/>
          <w:rFonts w:ascii="Times New Roman" w:hAnsi="Times New Roman" w:cs="Times New Roman"/>
          <w:noProof/>
          <w:sz w:val="24"/>
          <w:szCs w:val="24"/>
        </w:rPr>
        <w:footnoteReference w:id="13"/>
      </w:r>
      <w:r w:rsidRPr="008E43D4">
        <w:rPr>
          <w:noProof/>
        </w:rPr>
        <w:t>.</w:t>
      </w:r>
      <w:r w:rsidRPr="008E43D4">
        <w:rPr>
          <w:rFonts w:ascii="Times New Roman" w:hAnsi="Times New Roman"/>
          <w:noProof/>
          <w:sz w:val="24"/>
        </w:rPr>
        <w:t xml:space="preserve"> Cu toate acestea, </w:t>
      </w:r>
      <w:r w:rsidRPr="008E43D4">
        <w:rPr>
          <w:rFonts w:ascii="Times New Roman" w:hAnsi="Times New Roman"/>
          <w:b/>
          <w:noProof/>
          <w:sz w:val="24"/>
        </w:rPr>
        <w:t>este imperativ să se întreprindă demersuri suplimentare</w:t>
      </w:r>
      <w:r w:rsidRPr="008E43D4">
        <w:rPr>
          <w:rFonts w:ascii="Times New Roman" w:hAnsi="Times New Roman"/>
          <w:noProof/>
          <w:sz w:val="24"/>
        </w:rPr>
        <w:t xml:space="preserve"> pentru a asigura o coordonare fără sincope între nivelurile de guvernanță naționale, regionale și ale UE și între sectoare, </w:t>
      </w:r>
      <w:r w:rsidRPr="008E43D4">
        <w:rPr>
          <w:rFonts w:ascii="Times New Roman" w:hAnsi="Times New Roman"/>
          <w:b/>
          <w:noProof/>
          <w:sz w:val="24"/>
        </w:rPr>
        <w:t>astfel încât să se asigure o rețea optimizată și interconectată pe deplin</w:t>
      </w:r>
      <w:r w:rsidRPr="008E43D4">
        <w:rPr>
          <w:rFonts w:ascii="Times New Roman" w:hAnsi="Times New Roman"/>
          <w:noProof/>
          <w:sz w:val="24"/>
        </w:rPr>
        <w:t xml:space="preserve">. </w:t>
      </w:r>
    </w:p>
    <w:p w14:paraId="469C6824" w14:textId="6558723D" w:rsidR="000B2FE2" w:rsidRPr="008E43D4" w:rsidRDefault="00C36F54" w:rsidP="000B2FE2">
      <w:pPr>
        <w:jc w:val="both"/>
        <w:rPr>
          <w:rFonts w:ascii="Times New Roman" w:hAnsi="Times New Roman" w:cs="Times New Roman"/>
          <w:noProof/>
          <w:sz w:val="24"/>
          <w:szCs w:val="24"/>
        </w:rPr>
      </w:pPr>
      <w:bookmarkStart w:id="2" w:name="_Hlk216163880"/>
      <w:r w:rsidRPr="008E43D4">
        <w:rPr>
          <w:rFonts w:ascii="Times New Roman" w:hAnsi="Times New Roman"/>
          <w:noProof/>
          <w:sz w:val="24"/>
        </w:rPr>
        <w:t xml:space="preserve">Pentru a înainta pe acest drum, valorificând structurile existente, experiența dobândită până în prezent și cooperarea regională consolidată, trebuie să trecem la </w:t>
      </w:r>
      <w:r w:rsidRPr="008E43D4">
        <w:rPr>
          <w:rFonts w:ascii="Times New Roman" w:hAnsi="Times New Roman"/>
          <w:b/>
          <w:noProof/>
          <w:sz w:val="24"/>
        </w:rPr>
        <w:t>un cadru al UE de planificare transfrontalieră a infrastructurii energetice</w:t>
      </w:r>
      <w:r w:rsidRPr="008E43D4">
        <w:rPr>
          <w:rFonts w:ascii="Times New Roman" w:hAnsi="Times New Roman"/>
          <w:noProof/>
          <w:sz w:val="24"/>
        </w:rPr>
        <w:t xml:space="preserve">, care să permită o identificare mai coordonată și mai riguroasă a nevoilor, asigurând astfel alinierea proiectelor la obiectivele europene actuale și viitoare. De asemenea, pachetul sprijină o rețea energetică europeană mai bine conectată, consolidând autonomia strategică, securitatea și reziliența Europei și în același timp </w:t>
      </w:r>
      <w:r w:rsidRPr="008E43D4">
        <w:rPr>
          <w:rFonts w:ascii="Times New Roman" w:hAnsi="Times New Roman"/>
          <w:b/>
          <w:noProof/>
          <w:sz w:val="24"/>
        </w:rPr>
        <w:t>promovând cooperarea consolidată cu partenerii învecinați</w:t>
      </w:r>
      <w:r w:rsidRPr="008E43D4">
        <w:rPr>
          <w:rFonts w:ascii="Times New Roman" w:hAnsi="Times New Roman"/>
          <w:noProof/>
          <w:sz w:val="24"/>
        </w:rPr>
        <w:t xml:space="preserve"> din Spațiul Economic European (SEE), Comunitatea Energiei, Parteneriatul estic și vecinătatea sudică. </w:t>
      </w:r>
    </w:p>
    <w:bookmarkEnd w:id="2"/>
    <w:p w14:paraId="0069F1B9" w14:textId="04B79A35"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În continuarea pachetului propus astăzi, în termen de doi ani de la adoptarea sa, </w:t>
      </w:r>
      <w:r w:rsidRPr="008E43D4">
        <w:rPr>
          <w:rFonts w:ascii="Times New Roman" w:hAnsi="Times New Roman"/>
          <w:b/>
          <w:noProof/>
          <w:sz w:val="24"/>
        </w:rPr>
        <w:t>Comisia va elabora un scenariu central cuprinzător la nivelul UE</w:t>
      </w:r>
      <w:r w:rsidRPr="008E43D4">
        <w:rPr>
          <w:rFonts w:ascii="Times New Roman" w:hAnsi="Times New Roman"/>
          <w:noProof/>
          <w:sz w:val="24"/>
        </w:rPr>
        <w:t xml:space="preserve">, în concordanță cu obiectivele UE în materie de energie și climă și realizând un sistem eficient din punctul de vedere al costurilor, competitiv și sigur la nivelul UE. Scenariul central se va baza pe contribuțiile statelor membre și ale tuturor părților interesate relevante, ținând seama de </w:t>
      </w:r>
      <w:r w:rsidRPr="008E43D4">
        <w:rPr>
          <w:rFonts w:ascii="Times New Roman" w:hAnsi="Times New Roman"/>
          <w:b/>
          <w:noProof/>
          <w:sz w:val="24"/>
        </w:rPr>
        <w:t>sinergiile dintre sectoare</w:t>
      </w:r>
      <w:r w:rsidRPr="008E43D4">
        <w:rPr>
          <w:rFonts w:ascii="Times New Roman" w:hAnsi="Times New Roman"/>
          <w:noProof/>
          <w:sz w:val="24"/>
        </w:rPr>
        <w:t xml:space="preserve">. Pe această bază, </w:t>
      </w:r>
      <w:r w:rsidRPr="008E43D4">
        <w:rPr>
          <w:rFonts w:ascii="Times New Roman" w:hAnsi="Times New Roman"/>
          <w:b/>
          <w:noProof/>
          <w:sz w:val="24"/>
        </w:rPr>
        <w:t>ENTSO și ENNOH vor identifica apoi nevoile în materie de infrastructură</w:t>
      </w:r>
      <w:r w:rsidRPr="008E43D4">
        <w:rPr>
          <w:rFonts w:ascii="Times New Roman" w:hAnsi="Times New Roman"/>
          <w:noProof/>
          <w:sz w:val="24"/>
        </w:rPr>
        <w:t xml:space="preserve">. </w:t>
      </w:r>
    </w:p>
    <w:p w14:paraId="33EC434E" w14:textId="12A387AC" w:rsidR="0059413D"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În plus, </w:t>
      </w:r>
      <w:r w:rsidRPr="008E43D4">
        <w:rPr>
          <w:rFonts w:ascii="Times New Roman" w:hAnsi="Times New Roman"/>
          <w:b/>
          <w:noProof/>
          <w:sz w:val="24"/>
        </w:rPr>
        <w:t>este necesară o intervenție europeană consolidată atunci când a fost identificată o nevoie de capacitate transfrontalieră</w:t>
      </w:r>
      <w:r w:rsidRPr="008E43D4">
        <w:rPr>
          <w:rFonts w:ascii="Times New Roman" w:hAnsi="Times New Roman"/>
          <w:noProof/>
          <w:sz w:val="24"/>
        </w:rPr>
        <w:t xml:space="preserve">, dar nu au fost prezentate propuneri de proiecte relevante pentru realizarea acesteia. Comisia ar trebui să poată iniția un proces de </w:t>
      </w:r>
      <w:r w:rsidRPr="008E43D4">
        <w:rPr>
          <w:rFonts w:ascii="Times New Roman" w:hAnsi="Times New Roman"/>
          <w:b/>
          <w:noProof/>
          <w:sz w:val="24"/>
        </w:rPr>
        <w:t>„reducere a decalajelor”</w:t>
      </w:r>
      <w:r w:rsidRPr="008E43D4">
        <w:rPr>
          <w:rFonts w:ascii="Times New Roman" w:hAnsi="Times New Roman"/>
          <w:noProof/>
          <w:sz w:val="24"/>
        </w:rPr>
        <w:t xml:space="preserve"> bazat pe o cooperare regională solidă, invitând operatorii de sisteme și, ulterior, inițiatorii de proiecte să propună proiecte care să răspundă nevoilor nesatisfăcute.</w:t>
      </w:r>
    </w:p>
    <w:p w14:paraId="4F3EFFAC" w14:textId="0AC2127C"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b/>
          <w:noProof/>
          <w:sz w:val="24"/>
        </w:rPr>
        <w:t>Pentru a realiza un sistem integrat, este esențială o coordonare mai bună între planificarea națională și cea europeană</w:t>
      </w:r>
      <w:r w:rsidRPr="008E43D4">
        <w:rPr>
          <w:rFonts w:ascii="Times New Roman" w:hAnsi="Times New Roman"/>
          <w:noProof/>
          <w:sz w:val="24"/>
        </w:rPr>
        <w:t xml:space="preserve">, întrucât elementele interne ale rețelei influențează semnificativ dezvoltarea infrastructurii transfrontaliere, iar aceasta, la rândul său, se răsfrânge asupra comerțului transfrontalier. Prin urmare, </w:t>
      </w:r>
      <w:r w:rsidRPr="008E43D4">
        <w:rPr>
          <w:rFonts w:ascii="Times New Roman" w:hAnsi="Times New Roman"/>
          <w:b/>
          <w:noProof/>
          <w:sz w:val="24"/>
        </w:rPr>
        <w:t>planificarea rețelelor de distribuție</w:t>
      </w:r>
      <w:r w:rsidRPr="008E43D4">
        <w:rPr>
          <w:rFonts w:ascii="Times New Roman" w:hAnsi="Times New Roman"/>
          <w:noProof/>
          <w:sz w:val="24"/>
        </w:rPr>
        <w:t xml:space="preserve"> trebuie să fie bine coordonată cu planificarea transportului și ar trebui să implice îndeaproape atât publicul, cât și industria, astfel încât viitoarele rețele să fie pregătite pentru a răspunde creșterii producției și cererii de energie electrică. În cooperare cu toate părțile interesate relevante, Comisia va continua să depună eforturi în acest sens în cadrul </w:t>
      </w:r>
      <w:r w:rsidRPr="008E43D4">
        <w:rPr>
          <w:rFonts w:ascii="Times New Roman" w:hAnsi="Times New Roman"/>
          <w:b/>
          <w:noProof/>
          <w:sz w:val="24"/>
        </w:rPr>
        <w:t>Planului de acțiune pentru rețele din 2023</w:t>
      </w:r>
      <w:r w:rsidRPr="008E43D4">
        <w:rPr>
          <w:rStyle w:val="FootnoteReference"/>
          <w:rFonts w:ascii="Times New Roman" w:hAnsi="Times New Roman" w:cs="Times New Roman"/>
          <w:noProof/>
          <w:sz w:val="24"/>
          <w:szCs w:val="24"/>
        </w:rPr>
        <w:footnoteReference w:id="14"/>
      </w:r>
      <w:r w:rsidRPr="008E43D4">
        <w:rPr>
          <w:noProof/>
        </w:rPr>
        <w:t>.</w:t>
      </w:r>
    </w:p>
    <w:p w14:paraId="7834956A" w14:textId="68E232D1" w:rsidR="00053BF0"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Între timp, pentru a realiza o tranziție energetică sustenabilă și la prețuri accesibile și a asigura securitatea energetică, este esențial </w:t>
      </w:r>
      <w:r w:rsidRPr="008E43D4">
        <w:rPr>
          <w:rFonts w:ascii="Times New Roman" w:hAnsi="Times New Roman"/>
          <w:b/>
          <w:noProof/>
          <w:sz w:val="24"/>
        </w:rPr>
        <w:t>să se utilizeze la maximum infrastructura existentă înainte de a investi în noi capacități</w:t>
      </w:r>
      <w:r w:rsidRPr="008E43D4">
        <w:rPr>
          <w:rFonts w:ascii="Times New Roman" w:hAnsi="Times New Roman"/>
          <w:noProof/>
          <w:sz w:val="24"/>
        </w:rPr>
        <w:t xml:space="preserve">. În conformitate cu principiul „eficiența energetică înainte de toate”, este necesar să se stimuleze mai mult </w:t>
      </w:r>
      <w:r w:rsidRPr="008E43D4">
        <w:rPr>
          <w:rFonts w:ascii="Times New Roman" w:hAnsi="Times New Roman"/>
          <w:b/>
          <w:noProof/>
          <w:sz w:val="24"/>
        </w:rPr>
        <w:t>adoptarea</w:t>
      </w:r>
      <w:r w:rsidRPr="008E43D4">
        <w:rPr>
          <w:rFonts w:ascii="Times New Roman" w:hAnsi="Times New Roman"/>
          <w:noProof/>
          <w:sz w:val="24"/>
        </w:rPr>
        <w:t xml:space="preserve"> pe scară mai largă </w:t>
      </w:r>
      <w:r w:rsidRPr="008E43D4">
        <w:rPr>
          <w:rFonts w:ascii="Times New Roman" w:hAnsi="Times New Roman"/>
          <w:b/>
          <w:noProof/>
          <w:sz w:val="24"/>
        </w:rPr>
        <w:t>a rețelelor electrice inteligente, a tehnologiilor inovatoare și digitale și a măsurilor de eficientizare a rețelelor, atât la nivel de rețea, cât și la nivelul utilizatorilor</w:t>
      </w:r>
      <w:r w:rsidRPr="008E43D4">
        <w:rPr>
          <w:rFonts w:ascii="Times New Roman" w:hAnsi="Times New Roman"/>
          <w:noProof/>
          <w:sz w:val="24"/>
        </w:rPr>
        <w:t>, asigurând în același timp o capacitate suficientă a rețelei pentru a satisface cererea suplimentară în timp util. De exemplu, utilizarea tehnologiilor de consolidare a rețelei poate spori capacitatea globală a rețelei în Europa cu 20 % până la 40 % până în 2040 și poate reduce costurile cu 35 % în comparație cu extinderea tradițională a rețelei până în 2040</w:t>
      </w:r>
      <w:r w:rsidRPr="008E43D4">
        <w:rPr>
          <w:rFonts w:ascii="Times New Roman" w:eastAsia="Calibri" w:hAnsi="Times New Roman" w:cs="Times New Roman"/>
          <w:noProof/>
          <w:sz w:val="24"/>
          <w:szCs w:val="24"/>
          <w:vertAlign w:val="superscript"/>
        </w:rPr>
        <w:footnoteReference w:id="15"/>
      </w:r>
      <w:r w:rsidRPr="008E43D4">
        <w:rPr>
          <w:rFonts w:ascii="Times New Roman" w:hAnsi="Times New Roman"/>
          <w:noProof/>
          <w:sz w:val="24"/>
        </w:rPr>
        <w:t xml:space="preserve">. Pachetul privind rețeaua europeană propune </w:t>
      </w:r>
      <w:r w:rsidRPr="008E43D4">
        <w:rPr>
          <w:rFonts w:ascii="Times New Roman" w:hAnsi="Times New Roman"/>
          <w:b/>
          <w:noProof/>
          <w:sz w:val="24"/>
        </w:rPr>
        <w:t>ancorarea fermă a acestor principii în planificarea rețelei</w:t>
      </w:r>
      <w:r w:rsidRPr="008E43D4">
        <w:rPr>
          <w:rFonts w:ascii="Times New Roman" w:hAnsi="Times New Roman"/>
          <w:noProof/>
          <w:sz w:val="24"/>
        </w:rPr>
        <w:t xml:space="preserve"> și </w:t>
      </w:r>
      <w:r w:rsidRPr="008E43D4">
        <w:rPr>
          <w:rFonts w:ascii="Times New Roman" w:hAnsi="Times New Roman"/>
          <w:b/>
          <w:noProof/>
          <w:sz w:val="24"/>
        </w:rPr>
        <w:t>promovarea proiectelor conexe</w:t>
      </w:r>
      <w:r w:rsidRPr="008E43D4">
        <w:rPr>
          <w:rFonts w:ascii="Times New Roman" w:hAnsi="Times New Roman"/>
          <w:noProof/>
          <w:sz w:val="24"/>
        </w:rPr>
        <w:t>, alături de extinderea infrastructurii fizice. Platforma Technopedia, lansată recent, prezintă cele mai bune practici în domeniul tehnologiilor inovatoare și de consolidare a rețelei</w:t>
      </w:r>
      <w:r w:rsidRPr="008E43D4">
        <w:rPr>
          <w:rFonts w:ascii="Times New Roman" w:eastAsia="Calibri" w:hAnsi="Times New Roman" w:cs="Times New Roman"/>
          <w:noProof/>
          <w:sz w:val="24"/>
          <w:szCs w:val="24"/>
          <w:vertAlign w:val="superscript"/>
        </w:rPr>
        <w:footnoteReference w:id="16"/>
      </w:r>
      <w:r w:rsidRPr="008E43D4">
        <w:rPr>
          <w:rFonts w:ascii="Times New Roman" w:hAnsi="Times New Roman"/>
          <w:noProof/>
          <w:sz w:val="24"/>
        </w:rPr>
        <w:t>. De asemenea, Comisia va prezenta anul viitor o foaie de parcurs strategică pentru digitalizare și IA în sectorul energetic, contribuind la extinderea soluțiilor inteligente la nivelul tuturor rețelelor europene. Instrumentele digitale pot contribui la atenuarea volatilității crescute, cauzată în special de integrarea energiei din surse regenerabile. În plus, o infrastructură vastă de date și de cloud poate contribui la consolidarea stabilității rețelei și, prin urmare, va fi luată în considerare în cursul procedurii de planificare.</w:t>
      </w:r>
    </w:p>
    <w:p w14:paraId="3EE3554E" w14:textId="6BDC2998" w:rsidR="00C36F54" w:rsidRPr="008E43D4" w:rsidRDefault="00C36F54" w:rsidP="00C36F54">
      <w:pPr>
        <w:jc w:val="both"/>
        <w:rPr>
          <w:noProof/>
        </w:rPr>
      </w:pPr>
      <w:r w:rsidRPr="008E43D4">
        <w:rPr>
          <w:rFonts w:ascii="Times New Roman" w:hAnsi="Times New Roman"/>
          <w:noProof/>
          <w:sz w:val="24"/>
        </w:rPr>
        <w:t xml:space="preserve">În plus, pe măsură ce accesul la rețele începe să întâmpine dificultăți în unele state membre, soluțiile creative pot ajuta la eliberarea capacității și la gestionarea listelor de așteptare într-un mod eficient. </w:t>
      </w:r>
      <w:r w:rsidRPr="008E43D4">
        <w:rPr>
          <w:rFonts w:ascii="Times New Roman" w:hAnsi="Times New Roman"/>
          <w:b/>
          <w:noProof/>
          <w:sz w:val="24"/>
        </w:rPr>
        <w:t>Orientările privind racordările eficiente la rețea</w:t>
      </w:r>
      <w:r w:rsidRPr="008E43D4">
        <w:rPr>
          <w:rFonts w:ascii="Times New Roman" w:hAnsi="Times New Roman"/>
          <w:noProof/>
          <w:sz w:val="24"/>
        </w:rPr>
        <w:t xml:space="preserve">, adoptate astăzi, oferă recomandări și exemple de bune practici pe care statele membre și autoritățile naționale de reglementare le pot aplica pentru a depăși rapid aceste dificultăți și a utiliza cât mai eficient rețelele existente. Printre altele, se recomandă aplicarea principiului „primul pregătit, primul servit”, criterii transparente de maturitate pentru toate cererile de racordare, stabilirea unor jaloane clare pentru realizarea proiectelor, cu sancțiunile aferente pentru neconformitate, precum și efectuarea unei monitorizări și curățări periodice a listei de așteptare pentru racordarea la rețea. </w:t>
      </w:r>
    </w:p>
    <w:p w14:paraId="324C79CA" w14:textId="77777777" w:rsidR="00C36F54" w:rsidRPr="008E43D4" w:rsidRDefault="00C36F54" w:rsidP="00C36F54">
      <w:pPr>
        <w:jc w:val="both"/>
        <w:rPr>
          <w:rStyle w:val="normaltextrun"/>
          <w:rFonts w:ascii="Times New Roman" w:hAnsi="Times New Roman" w:cs="Times New Roman"/>
          <w:noProof/>
          <w:sz w:val="24"/>
          <w:szCs w:val="24"/>
        </w:rPr>
      </w:pPr>
      <w:r w:rsidRPr="008E43D4">
        <w:rPr>
          <w:rFonts w:ascii="Times New Roman" w:hAnsi="Times New Roman"/>
          <w:noProof/>
          <w:sz w:val="24"/>
        </w:rPr>
        <w:t>Ca atare, pachetul privind rețeaua europeană joacă un rol esențial în asigurarea faptului că piața energiei electrice din UE își păstrează soliditatea și eficacitatea. Pachetul consolidează utilizarea eficientă a infrastructurii existente, contribuind astfel la obținerea unei capacități de transport disponibile pentru comerțul interzonal cu energie electrică de 70 %</w:t>
      </w:r>
      <w:r w:rsidRPr="008E43D4">
        <w:rPr>
          <w:rStyle w:val="FootnoteReference"/>
          <w:rFonts w:ascii="Times New Roman" w:hAnsi="Times New Roman" w:cs="Times New Roman"/>
          <w:noProof/>
          <w:sz w:val="24"/>
          <w:szCs w:val="24"/>
        </w:rPr>
        <w:footnoteReference w:id="17"/>
      </w:r>
      <w:r w:rsidRPr="008E43D4">
        <w:rPr>
          <w:rFonts w:ascii="Times New Roman" w:hAnsi="Times New Roman"/>
          <w:noProof/>
          <w:sz w:val="24"/>
        </w:rPr>
        <w:t>. În plus, sprijină angajamentul nostru de a îndeplini obiectivul de interconectare electrică de 15 % până în 2030, pregătind totodată demersul de revizuire a Regulamentului privind guvernanța în scopul alinierii la ambiția noastră în materie de climă și energie pentru deceniul următor.</w:t>
      </w:r>
    </w:p>
    <w:p w14:paraId="3AE8F5CD" w14:textId="77777777" w:rsidR="00C36F54" w:rsidRPr="008E43D4" w:rsidRDefault="00C36F54" w:rsidP="00C36F54">
      <w:pPr>
        <w:pStyle w:val="ListParagraph"/>
        <w:numPr>
          <w:ilvl w:val="0"/>
          <w:numId w:val="2"/>
        </w:numPr>
        <w:jc w:val="both"/>
        <w:rPr>
          <w:rFonts w:ascii="Times New Roman" w:hAnsi="Times New Roman" w:cs="Times New Roman"/>
          <w:b/>
          <w:bCs/>
          <w:noProof/>
          <w:sz w:val="24"/>
          <w:szCs w:val="24"/>
        </w:rPr>
      </w:pPr>
      <w:r w:rsidRPr="008E43D4">
        <w:rPr>
          <w:rFonts w:ascii="Times New Roman" w:hAnsi="Times New Roman"/>
          <w:b/>
          <w:noProof/>
          <w:sz w:val="24"/>
        </w:rPr>
        <w:t>Trecerea de la planificare la acțiune: accelerarea realizării proiectelor de infrastructură energetică pe teren</w:t>
      </w:r>
    </w:p>
    <w:p w14:paraId="162A94E3" w14:textId="26988F9A"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Identificarea nevoilor de infrastructură și a proiectelor reprezintă doar jumătate din călătorie. Chiar și după definirea proiectelor, construcția stagnează adesea din cauza procedurilor îndelungate de autorizare, a neacceptării de către public, a obstacolelor în materie de finanțare sau a dificultăților de partajare a costurilor între statele membre. Toate acestea trebuie abordate simultan cu consolidarea securității și a rezilienței infrastructurii atât împotriva perturbărilor deliberate, cât și a celor accidentale.</w:t>
      </w:r>
    </w:p>
    <w:p w14:paraId="7A9E9304" w14:textId="0B03A619" w:rsidR="00C36F54" w:rsidRPr="008E43D4" w:rsidRDefault="00C36F54" w:rsidP="00C36F54">
      <w:pPr>
        <w:jc w:val="both"/>
        <w:rPr>
          <w:rFonts w:ascii="Times New Roman" w:eastAsia="Calibri" w:hAnsi="Times New Roman" w:cs="Times New Roman"/>
          <w:noProof/>
          <w:kern w:val="0"/>
          <w:sz w:val="24"/>
          <w:szCs w:val="24"/>
          <w14:ligatures w14:val="none"/>
        </w:rPr>
      </w:pPr>
      <w:r w:rsidRPr="008E43D4">
        <w:rPr>
          <w:rFonts w:ascii="Times New Roman" w:hAnsi="Times New Roman"/>
          <w:noProof/>
          <w:sz w:val="24"/>
        </w:rPr>
        <w:t xml:space="preserve">În primul rând, procesul lent de </w:t>
      </w:r>
      <w:r w:rsidRPr="008E43D4">
        <w:rPr>
          <w:rFonts w:ascii="Times New Roman" w:hAnsi="Times New Roman"/>
          <w:b/>
          <w:noProof/>
          <w:sz w:val="24"/>
          <w:u w:val="single"/>
        </w:rPr>
        <w:t>autorizare</w:t>
      </w:r>
      <w:r w:rsidRPr="008E43D4">
        <w:rPr>
          <w:rFonts w:ascii="Times New Roman" w:hAnsi="Times New Roman"/>
          <w:noProof/>
          <w:sz w:val="24"/>
        </w:rPr>
        <w:t xml:space="preserve"> rămâne </w:t>
      </w:r>
      <w:r w:rsidRPr="008E43D4">
        <w:rPr>
          <w:rFonts w:ascii="Times New Roman" w:hAnsi="Times New Roman"/>
          <w:b/>
          <w:noProof/>
          <w:sz w:val="24"/>
        </w:rPr>
        <w:t>unul dintre cele mai importante obstacole în calea implementării în timp util a infrastructurii energetice și a producției de energie în UE</w:t>
      </w:r>
      <w:r w:rsidRPr="008E43D4">
        <w:rPr>
          <w:rFonts w:ascii="Times New Roman" w:hAnsi="Times New Roman"/>
          <w:noProof/>
          <w:sz w:val="24"/>
        </w:rPr>
        <w:t>. În 2023, 26 % din proiectele de interes comun din domeniul energiei electrice au fost întârziate în medie cu 12 luni potrivit ACER, numai procesului de autorizare fiindu-i alocat mai mult de jumătate din calendarul total de implementare a infrastructurii de energie electrică</w:t>
      </w:r>
      <w:r w:rsidRPr="008E43D4">
        <w:rPr>
          <w:rStyle w:val="FootnoteReference"/>
          <w:rFonts w:ascii="Times New Roman" w:eastAsia="Calibri" w:hAnsi="Times New Roman" w:cs="Times New Roman"/>
          <w:noProof/>
          <w:sz w:val="24"/>
          <w:szCs w:val="24"/>
        </w:rPr>
        <w:footnoteReference w:id="18"/>
      </w:r>
      <w:r w:rsidRPr="008E43D4">
        <w:rPr>
          <w:noProof/>
        </w:rPr>
        <w:t>.</w:t>
      </w:r>
      <w:r w:rsidRPr="008E43D4">
        <w:rPr>
          <w:rFonts w:ascii="Times New Roman" w:hAnsi="Times New Roman"/>
          <w:noProof/>
          <w:sz w:val="24"/>
        </w:rPr>
        <w:t xml:space="preserve"> În mod similar, </w:t>
      </w:r>
      <w:r w:rsidRPr="008E43D4">
        <w:rPr>
          <w:rFonts w:ascii="Times New Roman" w:hAnsi="Times New Roman"/>
          <w:b/>
          <w:noProof/>
          <w:sz w:val="24"/>
        </w:rPr>
        <w:t>termenele de autorizare variază puternic de la un stat membru la altul</w:t>
      </w:r>
      <w:r w:rsidRPr="008E43D4">
        <w:rPr>
          <w:rFonts w:ascii="Times New Roman" w:hAnsi="Times New Roman"/>
          <w:noProof/>
          <w:sz w:val="24"/>
        </w:rPr>
        <w:t xml:space="preserve">, acestea fiind în medie de </w:t>
      </w:r>
      <w:r w:rsidR="00B26FBB" w:rsidRPr="008E43D4">
        <w:rPr>
          <w:rFonts w:ascii="Times New Roman" w:hAnsi="Times New Roman"/>
          <w:noProof/>
          <w:sz w:val="24"/>
        </w:rPr>
        <w:t>cinci</w:t>
      </w:r>
      <w:r w:rsidRPr="008E43D4">
        <w:rPr>
          <w:rFonts w:ascii="Times New Roman" w:hAnsi="Times New Roman"/>
          <w:noProof/>
          <w:sz w:val="24"/>
        </w:rPr>
        <w:t xml:space="preserve"> ani în cazul rețelelor de transport</w:t>
      </w:r>
      <w:r w:rsidRPr="008E43D4">
        <w:rPr>
          <w:rStyle w:val="FootnoteReference"/>
          <w:rFonts w:ascii="Times New Roman" w:eastAsia="Calibri" w:hAnsi="Times New Roman" w:cs="Times New Roman"/>
          <w:noProof/>
          <w:kern w:val="0"/>
          <w:sz w:val="24"/>
          <w:szCs w:val="24"/>
        </w:rPr>
        <w:footnoteReference w:id="19"/>
      </w:r>
      <w:r w:rsidRPr="008E43D4">
        <w:rPr>
          <w:rFonts w:ascii="Times New Roman" w:hAnsi="Times New Roman"/>
          <w:noProof/>
          <w:sz w:val="24"/>
        </w:rPr>
        <w:t>, de 4,3 ani în cazul PIC</w:t>
      </w:r>
      <w:r w:rsidRPr="008E43D4">
        <w:rPr>
          <w:rStyle w:val="FootnoteReference"/>
          <w:rFonts w:ascii="Times New Roman" w:eastAsia="Calibri" w:hAnsi="Times New Roman" w:cs="Times New Roman"/>
          <w:noProof/>
          <w:kern w:val="0"/>
          <w:sz w:val="24"/>
          <w:szCs w:val="24"/>
        </w:rPr>
        <w:footnoteReference w:id="20"/>
      </w:r>
      <w:r w:rsidRPr="008E43D4">
        <w:rPr>
          <w:rFonts w:ascii="Times New Roman" w:hAnsi="Times New Roman"/>
          <w:noProof/>
          <w:sz w:val="24"/>
        </w:rPr>
        <w:t xml:space="preserve">, de până la </w:t>
      </w:r>
      <w:r w:rsidR="00B26FBB" w:rsidRPr="008E43D4">
        <w:rPr>
          <w:rFonts w:ascii="Times New Roman" w:hAnsi="Times New Roman"/>
          <w:noProof/>
          <w:sz w:val="24"/>
        </w:rPr>
        <w:t>nouă</w:t>
      </w:r>
      <w:r w:rsidRPr="008E43D4">
        <w:rPr>
          <w:rFonts w:ascii="Times New Roman" w:hAnsi="Times New Roman"/>
          <w:noProof/>
          <w:sz w:val="24"/>
        </w:rPr>
        <w:t xml:space="preserve"> ani în cazul proiectelor privind energia din surse regenerabile</w:t>
      </w:r>
      <w:r w:rsidRPr="008E43D4">
        <w:rPr>
          <w:rFonts w:ascii="Times New Roman" w:eastAsia="Calibri" w:hAnsi="Times New Roman" w:cs="Times New Roman"/>
          <w:noProof/>
          <w:kern w:val="0"/>
          <w:sz w:val="24"/>
          <w:szCs w:val="24"/>
          <w:vertAlign w:val="superscript"/>
        </w:rPr>
        <w:footnoteReference w:id="21"/>
      </w:r>
      <w:r w:rsidRPr="008E43D4">
        <w:rPr>
          <w:rFonts w:ascii="Times New Roman" w:hAnsi="Times New Roman"/>
          <w:noProof/>
          <w:sz w:val="24"/>
        </w:rPr>
        <w:t>, de 1-7 ani în cazul instalațiilor de stocare</w:t>
      </w:r>
      <w:r w:rsidRPr="008E43D4">
        <w:rPr>
          <w:rFonts w:ascii="Times New Roman" w:eastAsia="Calibri" w:hAnsi="Times New Roman" w:cs="Times New Roman"/>
          <w:noProof/>
          <w:kern w:val="0"/>
          <w:sz w:val="24"/>
          <w:szCs w:val="24"/>
          <w:vertAlign w:val="superscript"/>
        </w:rPr>
        <w:footnoteReference w:id="22"/>
      </w:r>
      <w:r w:rsidRPr="008E43D4">
        <w:rPr>
          <w:rFonts w:ascii="Times New Roman" w:hAnsi="Times New Roman"/>
          <w:noProof/>
          <w:sz w:val="24"/>
        </w:rPr>
        <w:t xml:space="preserve"> și de până la </w:t>
      </w:r>
      <w:r w:rsidR="00B26FBB" w:rsidRPr="008E43D4">
        <w:rPr>
          <w:rFonts w:ascii="Times New Roman" w:hAnsi="Times New Roman"/>
          <w:noProof/>
          <w:sz w:val="24"/>
        </w:rPr>
        <w:t>doi</w:t>
      </w:r>
      <w:r w:rsidRPr="008E43D4">
        <w:rPr>
          <w:rFonts w:ascii="Times New Roman" w:hAnsi="Times New Roman"/>
          <w:noProof/>
          <w:sz w:val="24"/>
        </w:rPr>
        <w:t xml:space="preserve"> ani în cazul stațiilor de reîncărcare</w:t>
      </w:r>
      <w:r w:rsidRPr="008E43D4">
        <w:rPr>
          <w:rFonts w:ascii="Times New Roman" w:eastAsia="Calibri" w:hAnsi="Times New Roman" w:cs="Times New Roman"/>
          <w:noProof/>
          <w:kern w:val="0"/>
          <w:sz w:val="24"/>
          <w:szCs w:val="24"/>
          <w:vertAlign w:val="superscript"/>
        </w:rPr>
        <w:footnoteReference w:id="23"/>
      </w:r>
      <w:r w:rsidRPr="008E43D4">
        <w:rPr>
          <w:rFonts w:ascii="Times New Roman" w:hAnsi="Times New Roman"/>
          <w:noProof/>
          <w:sz w:val="24"/>
        </w:rPr>
        <w:t xml:space="preserve">. </w:t>
      </w:r>
    </w:p>
    <w:p w14:paraId="502F74F8" w14:textId="77777777" w:rsidR="002E7ABF" w:rsidRPr="008E43D4" w:rsidRDefault="00C36F54" w:rsidP="00C36F54">
      <w:pPr>
        <w:jc w:val="both"/>
        <w:rPr>
          <w:rStyle w:val="CommentReference"/>
          <w:rFonts w:ascii="Times New Roman" w:eastAsia="Calibri" w:hAnsi="Times New Roman" w:cs="Times New Roman"/>
          <w:noProof/>
          <w:sz w:val="24"/>
          <w:szCs w:val="24"/>
        </w:rPr>
      </w:pPr>
      <w:r w:rsidRPr="008E43D4">
        <w:rPr>
          <w:rFonts w:ascii="Times New Roman" w:hAnsi="Times New Roman"/>
          <w:noProof/>
          <w:sz w:val="24"/>
        </w:rPr>
        <w:t xml:space="preserve">În 2022 și 2023, UE a luat măsuri notabile pentru a accelera autorizarea proiectelor privind energia din surse regenerabile și a proiectelor de infrastructură, de exemplu prin intermediul Regulamentului privind situațiile de urgență (aplicabil până în iunie 2025) și prin revizuirea Directivei privind energia din surse regenerabile. Cu toate acestea, întârzierile persistă, în special în ceea ce privește integrarea stațiilor de încărcare și de stocare a energiei de sine stătătoare. În plus, deși este necesară o evaluare de mediu pentru a asigura atât protecția biodiversității, cât și acceptarea socială a proiectelor, modalitățile de evaluare actuale nu reflectă cu adevărat specificitatea proiectelor cu impact minim asupra mediului și pot cauza întârzieri inutile. </w:t>
      </w:r>
    </w:p>
    <w:p w14:paraId="307AF664" w14:textId="574F4BEE" w:rsidR="00C36F54" w:rsidRPr="008E43D4" w:rsidRDefault="00C36F54" w:rsidP="00C36F54">
      <w:pPr>
        <w:jc w:val="both"/>
        <w:rPr>
          <w:rFonts w:ascii="Times New Roman" w:eastAsia="Calibri" w:hAnsi="Times New Roman" w:cs="Times New Roman"/>
          <w:noProof/>
          <w:sz w:val="24"/>
          <w:szCs w:val="24"/>
        </w:rPr>
      </w:pPr>
      <w:r w:rsidRPr="008E43D4">
        <w:rPr>
          <w:rFonts w:ascii="Times New Roman" w:hAnsi="Times New Roman"/>
          <w:noProof/>
          <w:sz w:val="24"/>
        </w:rPr>
        <w:t xml:space="preserve">În acest context, pachetul privind rețeaua europeană, în coordonare cu cadrul de reglementare al UE privind protecția mediului, instituie </w:t>
      </w:r>
      <w:r w:rsidRPr="008E43D4">
        <w:rPr>
          <w:rFonts w:ascii="Times New Roman" w:hAnsi="Times New Roman"/>
          <w:b/>
          <w:noProof/>
          <w:sz w:val="24"/>
        </w:rPr>
        <w:t>un cadru la nivelul UE de simplificare și accelerare a procedurilor de autorizare</w:t>
      </w:r>
      <w:r w:rsidRPr="008E43D4">
        <w:rPr>
          <w:rFonts w:ascii="Times New Roman" w:hAnsi="Times New Roman"/>
          <w:noProof/>
          <w:sz w:val="24"/>
        </w:rPr>
        <w:t xml:space="preserve"> pentru toate infrastructurile de rețea, proiectele privind energia din surse regenerabile, proiectele de stocare și stațiile de reîncărcare și consolidează și mai mult dispozițiile privind PIC/PIR. Decarbonizarea este prima acțiune care poate ajuta la protejarea naturii și la reducerea poluării atmosferice. Procedurile de autorizare raționalizate vizează cazurile în care, pe baza experienței vaste dobândite la punerea în aplicare a cadrului juridic actual, impactul asupra mediului este considerat redus; modificările propuse ajută la atingerea unui </w:t>
      </w:r>
      <w:r w:rsidRPr="008E43D4">
        <w:rPr>
          <w:rFonts w:ascii="Times New Roman" w:hAnsi="Times New Roman"/>
          <w:b/>
          <w:noProof/>
          <w:sz w:val="24"/>
        </w:rPr>
        <w:t>echilibru între protecția biodiversității și implementarea rapidă a unui sistem energetic curat</w:t>
      </w:r>
      <w:r w:rsidRPr="008E43D4">
        <w:rPr>
          <w:rFonts w:ascii="Times New Roman" w:hAnsi="Times New Roman"/>
          <w:noProof/>
          <w:sz w:val="24"/>
        </w:rPr>
        <w:t xml:space="preserve">. Obiectivul urmărit constă în limitarea procesului de autorizare, în funcție de tipul de proiect, la maximum doi ani în majoritatea cazurilor, cu un maximum de trei ani pentru proiectele cele mai complexe. </w:t>
      </w:r>
    </w:p>
    <w:p w14:paraId="784B3091" w14:textId="7B04D5BA" w:rsidR="00C36F54" w:rsidRPr="008E43D4" w:rsidRDefault="00C36F54" w:rsidP="00C36F54">
      <w:pPr>
        <w:jc w:val="both"/>
        <w:rPr>
          <w:rFonts w:ascii="Times New Roman" w:eastAsia="Calibri" w:hAnsi="Times New Roman" w:cs="Times New Roman"/>
          <w:noProof/>
          <w:sz w:val="24"/>
          <w:szCs w:val="24"/>
        </w:rPr>
      </w:pPr>
      <w:bookmarkStart w:id="3" w:name="_Hlk211194489"/>
      <w:r w:rsidRPr="008E43D4">
        <w:rPr>
          <w:rFonts w:ascii="Times New Roman" w:hAnsi="Times New Roman"/>
          <w:noProof/>
          <w:sz w:val="24"/>
        </w:rPr>
        <w:t xml:space="preserve">De asemenea, </w:t>
      </w:r>
      <w:r w:rsidRPr="008E43D4">
        <w:rPr>
          <w:rFonts w:ascii="Times New Roman" w:hAnsi="Times New Roman"/>
          <w:b/>
          <w:noProof/>
          <w:sz w:val="24"/>
        </w:rPr>
        <w:t>participarea publicului</w:t>
      </w:r>
      <w:r w:rsidRPr="008E43D4">
        <w:rPr>
          <w:rFonts w:ascii="Times New Roman" w:hAnsi="Times New Roman"/>
          <w:noProof/>
          <w:sz w:val="24"/>
        </w:rPr>
        <w:t xml:space="preserve"> la planificarea proiectelor și la exploatare este esențială pentru consolidarea încrederii și îndeplinirea obiectivelor UE, reducând astfel la minimum provocările judiciare îndelungate</w:t>
      </w:r>
      <w:r w:rsidRPr="008E43D4">
        <w:rPr>
          <w:rFonts w:ascii="Times New Roman" w:eastAsia="Calibri" w:hAnsi="Times New Roman" w:cs="Times New Roman"/>
          <w:noProof/>
          <w:sz w:val="24"/>
          <w:szCs w:val="24"/>
          <w:vertAlign w:val="superscript"/>
        </w:rPr>
        <w:footnoteReference w:id="24"/>
      </w:r>
      <w:r w:rsidRPr="008E43D4">
        <w:rPr>
          <w:rFonts w:ascii="Times New Roman" w:hAnsi="Times New Roman"/>
          <w:noProof/>
          <w:sz w:val="24"/>
        </w:rPr>
        <w:t xml:space="preserve">. </w:t>
      </w:r>
      <w:bookmarkStart w:id="4" w:name="_Hlk215516530"/>
      <w:r w:rsidRPr="008E43D4">
        <w:rPr>
          <w:rFonts w:ascii="Times New Roman" w:hAnsi="Times New Roman"/>
          <w:noProof/>
          <w:sz w:val="24"/>
        </w:rPr>
        <w:t xml:space="preserve">Pachetul privind rețeaua europeană prevede că </w:t>
      </w:r>
      <w:r w:rsidRPr="008E43D4">
        <w:rPr>
          <w:rFonts w:ascii="Times New Roman" w:hAnsi="Times New Roman"/>
          <w:b/>
          <w:noProof/>
          <w:sz w:val="24"/>
        </w:rPr>
        <w:t>beneficiile proiectelor privind energia din surse regenerabile de peste 10 MW trebuie să fie redistribuite și către populația locală, nu doar către comunitățile de energie</w:t>
      </w:r>
      <w:bookmarkEnd w:id="4"/>
      <w:r w:rsidRPr="008E43D4">
        <w:rPr>
          <w:rFonts w:ascii="Times New Roman" w:hAnsi="Times New Roman"/>
          <w:noProof/>
          <w:sz w:val="24"/>
        </w:rPr>
        <w:t>.</w:t>
      </w:r>
      <w:r w:rsidRPr="008E43D4">
        <w:rPr>
          <w:rFonts w:ascii="Times New Roman" w:hAnsi="Times New Roman"/>
          <w:b/>
          <w:noProof/>
          <w:sz w:val="24"/>
        </w:rPr>
        <w:t xml:space="preserve"> </w:t>
      </w:r>
      <w:r w:rsidRPr="008E43D4">
        <w:rPr>
          <w:rFonts w:ascii="Times New Roman" w:hAnsi="Times New Roman"/>
          <w:noProof/>
          <w:sz w:val="24"/>
        </w:rPr>
        <w:t xml:space="preserve">Această prevedere oferă totodată facilitatorilor independenți posibilitatea de a sprijini dialogul timpuriu și medierea, reducând și mai mult riscul de provocări judiciare și promovând dezvoltarea cooperativelor. Pentru a răspunde preocupărilor legate de acceptarea de către public, Comisia va oferi și un </w:t>
      </w:r>
      <w:r w:rsidRPr="008E43D4">
        <w:rPr>
          <w:rFonts w:ascii="Times New Roman" w:hAnsi="Times New Roman"/>
          <w:b/>
          <w:noProof/>
          <w:sz w:val="24"/>
        </w:rPr>
        <w:t>set de instrumente practice pentru includerea publicului</w:t>
      </w:r>
      <w:bookmarkEnd w:id="3"/>
      <w:r w:rsidRPr="008E43D4">
        <w:rPr>
          <w:rFonts w:ascii="Times New Roman" w:hAnsi="Times New Roman"/>
          <w:b/>
          <w:noProof/>
          <w:sz w:val="24"/>
        </w:rPr>
        <w:t xml:space="preserve"> în T1 2026</w:t>
      </w:r>
      <w:r w:rsidRPr="008E43D4">
        <w:rPr>
          <w:rFonts w:ascii="Times New Roman" w:hAnsi="Times New Roman"/>
          <w:noProof/>
          <w:sz w:val="24"/>
        </w:rPr>
        <w:t>, care va facilita schimbul de bune practici și consolidarea capacităților cu privire la modul de implicare a cetățenilor și a autorităților locale și modul de promovare a împărțirii beneficiilor aduse de proiectele privind energia din surse regenerabile</w:t>
      </w:r>
      <w:r w:rsidRPr="008E43D4">
        <w:rPr>
          <w:rFonts w:ascii="Times New Roman" w:eastAsia="Calibri" w:hAnsi="Times New Roman" w:cs="Times New Roman"/>
          <w:noProof/>
          <w:sz w:val="24"/>
          <w:szCs w:val="24"/>
          <w:vertAlign w:val="superscript"/>
        </w:rPr>
        <w:footnoteReference w:id="25"/>
      </w:r>
      <w:r w:rsidRPr="008E43D4">
        <w:rPr>
          <w:rFonts w:ascii="Times New Roman" w:hAnsi="Times New Roman"/>
          <w:noProof/>
          <w:sz w:val="24"/>
        </w:rPr>
        <w:t>.</w:t>
      </w:r>
    </w:p>
    <w:p w14:paraId="77932D7F" w14:textId="3E107A34"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O a doua provocare provine din creșterea cererii de infrastructură energetică, care exercită o presiune semnificativă asupra </w:t>
      </w:r>
      <w:r w:rsidRPr="008E43D4">
        <w:rPr>
          <w:rFonts w:ascii="Times New Roman" w:hAnsi="Times New Roman"/>
          <w:b/>
          <w:noProof/>
          <w:sz w:val="24"/>
          <w:u w:val="single"/>
        </w:rPr>
        <w:t>lanțurilor de aprovizionare, a disponibilității forței de muncă și a competențelor</w:t>
      </w:r>
      <w:r w:rsidRPr="008E43D4">
        <w:rPr>
          <w:rFonts w:ascii="Times New Roman" w:hAnsi="Times New Roman"/>
          <w:noProof/>
          <w:sz w:val="24"/>
        </w:rPr>
        <w:t>, în timp ce blocajele de la nivelul producției restrâng din ce în ce mai mult posibilitățile de extindere și modernizare a sistemului nostru de energie electrică. Deși Europa este sediul unor producători majori de tehnologie de rețea, în unele segmente capacitatea de producție actuală este insuficientă pentru a satisface cererea</w:t>
      </w:r>
      <w:r w:rsidRPr="008E43D4">
        <w:rPr>
          <w:rFonts w:ascii="Times New Roman" w:hAnsi="Times New Roman" w:cs="Times New Roman"/>
          <w:noProof/>
          <w:sz w:val="24"/>
          <w:szCs w:val="24"/>
          <w:vertAlign w:val="superscript"/>
        </w:rPr>
        <w:footnoteReference w:id="26"/>
      </w:r>
      <w:r w:rsidRPr="008E43D4">
        <w:rPr>
          <w:rFonts w:ascii="Times New Roman" w:hAnsi="Times New Roman"/>
          <w:noProof/>
          <w:sz w:val="24"/>
        </w:rPr>
        <w:t xml:space="preserve">, iar </w:t>
      </w:r>
      <w:r w:rsidRPr="008E43D4">
        <w:rPr>
          <w:rFonts w:ascii="Times New Roman" w:hAnsi="Times New Roman"/>
          <w:b/>
          <w:noProof/>
          <w:sz w:val="24"/>
        </w:rPr>
        <w:t>sectorul trebuie să se extindă pentru a ține pasul</w:t>
      </w:r>
      <w:r w:rsidRPr="008E43D4">
        <w:rPr>
          <w:rFonts w:ascii="Times New Roman" w:hAnsi="Times New Roman"/>
          <w:noProof/>
          <w:sz w:val="24"/>
        </w:rPr>
        <w:t xml:space="preserve">. </w:t>
      </w:r>
    </w:p>
    <w:p w14:paraId="64456708" w14:textId="6B336A6D" w:rsidR="00C36F54" w:rsidRPr="008E43D4" w:rsidRDefault="00953B66" w:rsidP="00C36F54">
      <w:pPr>
        <w:spacing w:after="160" w:line="259" w:lineRule="auto"/>
        <w:jc w:val="both"/>
        <w:rPr>
          <w:rFonts w:ascii="Times New Roman" w:hAnsi="Times New Roman" w:cs="Times New Roman"/>
          <w:noProof/>
          <w:sz w:val="24"/>
          <w:szCs w:val="24"/>
        </w:rPr>
      </w:pPr>
      <w:r w:rsidRPr="008E43D4">
        <w:rPr>
          <w:rFonts w:ascii="Times New Roman" w:hAnsi="Times New Roman"/>
          <w:noProof/>
          <w:sz w:val="24"/>
        </w:rPr>
        <w:t xml:space="preserve">Astfel cum s-a subliniat în orientările privind racordările eficiente la rețea, </w:t>
      </w:r>
      <w:r w:rsidRPr="008E43D4">
        <w:rPr>
          <w:rFonts w:ascii="Times New Roman" w:hAnsi="Times New Roman"/>
          <w:b/>
          <w:noProof/>
          <w:sz w:val="24"/>
        </w:rPr>
        <w:t>vizibilitatea cererii este esențială pentru a ghida deciziile de investiții ale industriei</w:t>
      </w:r>
      <w:r w:rsidRPr="008E43D4">
        <w:rPr>
          <w:rFonts w:ascii="Times New Roman" w:hAnsi="Times New Roman"/>
          <w:noProof/>
          <w:sz w:val="24"/>
        </w:rPr>
        <w:t xml:space="preserve">. Pentru a ajuta în acest sens, Comisia va colabora cu entitatea OSD UE pentru </w:t>
      </w:r>
      <w:r w:rsidRPr="008E43D4">
        <w:rPr>
          <w:rFonts w:ascii="Times New Roman" w:hAnsi="Times New Roman"/>
          <w:b/>
          <w:noProof/>
          <w:sz w:val="24"/>
        </w:rPr>
        <w:t>a institui, până la Forumul privind infrastructura energetică din 2026, o platformă pentru planificarea rețelei de distribuție a UE</w:t>
      </w:r>
      <w:r w:rsidRPr="008E43D4">
        <w:rPr>
          <w:rFonts w:ascii="Times New Roman" w:hAnsi="Times New Roman"/>
          <w:noProof/>
          <w:sz w:val="24"/>
        </w:rPr>
        <w:t xml:space="preserve">, care va oferi vizibilitate la nivelul distribuției cu privire la planurile viitoare și la necesarul de producție aferent în toate statele membre. Comisia promovează în mod activ o serie de măsuri menite să atenueze presiunile asupra lanțului de aprovizionare, în special prin consolidarea demersului său, inițiat în cadrul acțiunii 13 din Planul de acțiune pentru rețele, de a raționaliza și a armoniza </w:t>
      </w:r>
      <w:r w:rsidRPr="008E43D4">
        <w:rPr>
          <w:rFonts w:ascii="Times New Roman" w:hAnsi="Times New Roman"/>
          <w:b/>
          <w:noProof/>
          <w:sz w:val="24"/>
        </w:rPr>
        <w:t>specificațiile tehnologice și cerințele tehnice comune</w:t>
      </w:r>
      <w:r w:rsidRPr="008E43D4">
        <w:rPr>
          <w:rFonts w:ascii="Times New Roman" w:hAnsi="Times New Roman"/>
          <w:noProof/>
          <w:sz w:val="24"/>
        </w:rPr>
        <w:t xml:space="preserve"> și de a îmbunătăți interoperabilitatea sistemelor HVDC. </w:t>
      </w:r>
      <w:r w:rsidRPr="008E43D4">
        <w:rPr>
          <w:rFonts w:ascii="Times New Roman" w:hAnsi="Times New Roman"/>
          <w:b/>
          <w:noProof/>
          <w:sz w:val="24"/>
        </w:rPr>
        <w:t>Modernizarea cadrului european privind achizițiile publice</w:t>
      </w:r>
      <w:r w:rsidRPr="008E43D4">
        <w:rPr>
          <w:rFonts w:ascii="Times New Roman" w:hAnsi="Times New Roman"/>
          <w:noProof/>
          <w:sz w:val="24"/>
        </w:rPr>
        <w:t>, anunțată pentru anul viitor, va fi de asemenea esențială pentru promovarea în continuare a obiectivului de sprijinire a bazei noastre de producție, inclusiv a tehnologiilor pentru rețele care sunt „fabricate în Europa”.</w:t>
      </w:r>
    </w:p>
    <w:p w14:paraId="558E8E86" w14:textId="77777777" w:rsidR="00C36F54" w:rsidRPr="008E43D4" w:rsidRDefault="00C36F54" w:rsidP="00C36F54">
      <w:pPr>
        <w:jc w:val="both"/>
        <w:rPr>
          <w:rFonts w:ascii="Times New Roman" w:hAnsi="Times New Roman" w:cs="Times New Roman"/>
          <w:bCs/>
          <w:iCs/>
          <w:noProof/>
          <w:sz w:val="24"/>
          <w:szCs w:val="24"/>
        </w:rPr>
      </w:pPr>
      <w:r w:rsidRPr="008E43D4">
        <w:rPr>
          <w:rFonts w:ascii="Times New Roman" w:hAnsi="Times New Roman"/>
          <w:noProof/>
          <w:sz w:val="24"/>
        </w:rPr>
        <w:t xml:space="preserve">În al treilea rând, este necesară </w:t>
      </w:r>
      <w:r w:rsidRPr="008E43D4">
        <w:rPr>
          <w:rFonts w:ascii="Times New Roman" w:hAnsi="Times New Roman"/>
          <w:b/>
          <w:noProof/>
          <w:sz w:val="24"/>
          <w:u w:val="single"/>
        </w:rPr>
        <w:t>mobilizarea investițiilor private</w:t>
      </w:r>
      <w:r w:rsidRPr="008E43D4">
        <w:rPr>
          <w:rFonts w:ascii="Times New Roman" w:hAnsi="Times New Roman"/>
          <w:noProof/>
          <w:sz w:val="24"/>
        </w:rPr>
        <w:t xml:space="preserve"> pentru a asigura o </w:t>
      </w:r>
      <w:r w:rsidRPr="008E43D4">
        <w:rPr>
          <w:rFonts w:ascii="Times New Roman" w:hAnsi="Times New Roman"/>
          <w:b/>
          <w:noProof/>
          <w:sz w:val="24"/>
        </w:rPr>
        <w:t>extindere a rețelei la prețuri accesibile</w:t>
      </w:r>
      <w:r w:rsidRPr="008E43D4">
        <w:rPr>
          <w:rFonts w:ascii="Times New Roman" w:hAnsi="Times New Roman"/>
          <w:noProof/>
          <w:sz w:val="24"/>
        </w:rPr>
        <w:t>. Întrucât infrastructura de rețea este finanțată în mare parte prin tarife, realizarea investițiilor substanțiale necesare (1,2 mii de miliarde EUR până în 2040 pentru rețelele electrice, din care 730 de miliarde EUR numai pentru rețelele de distribuție și 240 de miliarde EUR pentru rețelele de hidrogen</w:t>
      </w:r>
      <w:r w:rsidRPr="008E43D4">
        <w:rPr>
          <w:rFonts w:ascii="Times New Roman" w:hAnsi="Times New Roman" w:cs="Times New Roman"/>
          <w:noProof/>
          <w:sz w:val="24"/>
          <w:szCs w:val="24"/>
          <w:vertAlign w:val="superscript"/>
        </w:rPr>
        <w:footnoteReference w:id="27"/>
      </w:r>
      <w:r w:rsidRPr="008E43D4">
        <w:rPr>
          <w:rFonts w:ascii="Times New Roman" w:hAnsi="Times New Roman"/>
          <w:noProof/>
          <w:sz w:val="24"/>
        </w:rPr>
        <w:t xml:space="preserve">) reprezintă o provocare. Utilizarea cadrului actual ar putea duce la creșterea prețurilor pentru consumatori, ceea ce face să fie necesară o acțiune a UE în acest domeniu. </w:t>
      </w:r>
    </w:p>
    <w:p w14:paraId="58FE84BE" w14:textId="39AD024A"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Este așadar necesar să asigurăm taxe de rețea adaptate exigențelor viitorului</w:t>
      </w:r>
      <w:r w:rsidRPr="008E43D4">
        <w:rPr>
          <w:rStyle w:val="FootnoteReference"/>
          <w:rFonts w:ascii="Times New Roman" w:hAnsi="Times New Roman" w:cs="Times New Roman"/>
          <w:noProof/>
          <w:sz w:val="24"/>
          <w:szCs w:val="24"/>
        </w:rPr>
        <w:footnoteReference w:id="28"/>
      </w:r>
      <w:r w:rsidRPr="008E43D4">
        <w:rPr>
          <w:rFonts w:ascii="Times New Roman" w:hAnsi="Times New Roman"/>
          <w:noProof/>
          <w:sz w:val="24"/>
        </w:rPr>
        <w:t xml:space="preserve">, </w:t>
      </w:r>
      <w:r w:rsidRPr="008E43D4">
        <w:rPr>
          <w:rFonts w:ascii="Times New Roman" w:hAnsi="Times New Roman"/>
          <w:b/>
          <w:noProof/>
          <w:sz w:val="24"/>
        </w:rPr>
        <w:t>explorând modalități suplimentare de a finanța infrastructura</w:t>
      </w:r>
      <w:r w:rsidRPr="008E43D4">
        <w:rPr>
          <w:rFonts w:ascii="Times New Roman" w:hAnsi="Times New Roman"/>
          <w:noProof/>
          <w:sz w:val="24"/>
        </w:rPr>
        <w:t xml:space="preserve"> acolo unde este necesar, inclusiv prin impunerea utilizării unei părți din </w:t>
      </w:r>
      <w:r w:rsidRPr="008E43D4">
        <w:rPr>
          <w:rFonts w:ascii="Times New Roman" w:hAnsi="Times New Roman"/>
          <w:b/>
          <w:noProof/>
          <w:sz w:val="24"/>
        </w:rPr>
        <w:t>veniturile din congestii pentru investiții în interconexiunile de pe lista PIC/PIR</w:t>
      </w:r>
      <w:r w:rsidRPr="008E43D4">
        <w:rPr>
          <w:rFonts w:ascii="Times New Roman" w:hAnsi="Times New Roman"/>
          <w:noProof/>
          <w:sz w:val="24"/>
        </w:rPr>
        <w:t xml:space="preserve">. În plus, pe măsură ce infrastructura energetică transfrontalieră devine mai integrată, </w:t>
      </w:r>
      <w:r w:rsidRPr="008E43D4">
        <w:rPr>
          <w:rFonts w:ascii="Times New Roman" w:hAnsi="Times New Roman"/>
          <w:b/>
          <w:noProof/>
          <w:sz w:val="24"/>
        </w:rPr>
        <w:t>tot mai multe proiecte aduc beneficii dincolo de teritoriile în care sunt construite</w:t>
      </w:r>
      <w:r w:rsidRPr="008E43D4">
        <w:rPr>
          <w:rFonts w:ascii="Times New Roman" w:hAnsi="Times New Roman"/>
          <w:noProof/>
          <w:sz w:val="24"/>
        </w:rPr>
        <w:t xml:space="preserve">. Având în vedere acest lucru, partajarea echitabilă și transparentă a costurilor este esențială pentru a evita sarcinile disproporționate asupra consumatorilor locali. Pentru a aborda acest aspect, pachetul privind rețeaua europeană urmărește să ofere mai multă transparență, certitudine și echitate în ceea ce privește modul în care sunt evaluate și partajate costurile și beneficiile, precum și </w:t>
      </w:r>
      <w:r w:rsidRPr="008E43D4">
        <w:rPr>
          <w:rFonts w:ascii="Times New Roman" w:hAnsi="Times New Roman"/>
          <w:b/>
          <w:noProof/>
          <w:sz w:val="24"/>
        </w:rPr>
        <w:t>să permită gruparea PIC sau a PIR</w:t>
      </w:r>
      <w:r w:rsidRPr="008E43D4">
        <w:rPr>
          <w:rFonts w:ascii="Times New Roman" w:hAnsi="Times New Roman"/>
          <w:noProof/>
          <w:sz w:val="24"/>
        </w:rPr>
        <w:t xml:space="preserve"> pentru a facilita discuțiile privind partajarea costurilor. Gruparea proiectelor poate facilita și finanțarea, de exemplu prin crearea unor entități cu scop special, atrăgând astfel investiții suplimentare. </w:t>
      </w:r>
    </w:p>
    <w:p w14:paraId="15D44244" w14:textId="570787F5" w:rsidR="00660F4D"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Europa își intensifică sprijinul financiar pentru infrastructura energetică. Actul legislativ recent adoptat privind evaluarea la jumătatea perioadei a politicii de coeziune permite autorităților naționale și regionale să realoce fondurile din perioada 2021-2027 către priorități-cheie, cum ar fi tranziția energetică</w:t>
      </w:r>
      <w:r w:rsidRPr="008E43D4">
        <w:rPr>
          <w:rStyle w:val="FootnoteReference"/>
          <w:rFonts w:ascii="Times New Roman" w:hAnsi="Times New Roman" w:cs="Times New Roman"/>
          <w:noProof/>
          <w:sz w:val="24"/>
          <w:szCs w:val="24"/>
        </w:rPr>
        <w:footnoteReference w:id="29"/>
      </w:r>
      <w:r w:rsidRPr="008E43D4">
        <w:rPr>
          <w:noProof/>
        </w:rPr>
        <w:t>.</w:t>
      </w:r>
      <w:r w:rsidRPr="008E43D4">
        <w:rPr>
          <w:rFonts w:ascii="Times New Roman" w:hAnsi="Times New Roman"/>
          <w:noProof/>
          <w:sz w:val="24"/>
        </w:rPr>
        <w:t xml:space="preserve"> În plus, propunerea Comisiei pentru următorul </w:t>
      </w:r>
      <w:r w:rsidRPr="008E43D4">
        <w:rPr>
          <w:rFonts w:ascii="Times New Roman" w:hAnsi="Times New Roman"/>
          <w:b/>
          <w:noProof/>
          <w:sz w:val="24"/>
        </w:rPr>
        <w:t>cadru financiar multianual</w:t>
      </w:r>
      <w:r w:rsidRPr="008E43D4">
        <w:rPr>
          <w:rFonts w:ascii="Times New Roman" w:hAnsi="Times New Roman" w:cs="Times New Roman"/>
          <w:noProof/>
          <w:sz w:val="24"/>
          <w:szCs w:val="24"/>
          <w:vertAlign w:val="superscript"/>
        </w:rPr>
        <w:footnoteReference w:id="30"/>
      </w:r>
      <w:r w:rsidRPr="008E43D4">
        <w:rPr>
          <w:rFonts w:ascii="Times New Roman" w:hAnsi="Times New Roman"/>
          <w:noProof/>
          <w:sz w:val="24"/>
        </w:rPr>
        <w:t xml:space="preserve"> include un </w:t>
      </w:r>
      <w:r w:rsidRPr="008E43D4">
        <w:rPr>
          <w:rFonts w:ascii="Times New Roman" w:hAnsi="Times New Roman"/>
          <w:b/>
          <w:noProof/>
          <w:sz w:val="24"/>
        </w:rPr>
        <w:t>Mecanism pentru interconectarea Europei</w:t>
      </w:r>
      <w:r w:rsidRPr="008E43D4">
        <w:rPr>
          <w:rFonts w:ascii="Times New Roman" w:hAnsi="Times New Roman"/>
          <w:noProof/>
          <w:sz w:val="24"/>
        </w:rPr>
        <w:t xml:space="preserve"> care a fost consolidat semnificativ. Totuși, nevoile noastre masive de investiții nu pot fi satisfăcute doar cu ajutorul finanțării din partea UE. Bugetul UE trebuie să capete un rol mai important în reducerea riscurilor investițiilor private și în deblocarea finanțării de către investitorii instituționali. Viitoarea </w:t>
      </w:r>
      <w:r w:rsidRPr="008E43D4">
        <w:rPr>
          <w:rFonts w:ascii="Times New Roman" w:hAnsi="Times New Roman"/>
          <w:b/>
          <w:noProof/>
          <w:sz w:val="24"/>
        </w:rPr>
        <w:t>strategie de investiții în domeniul energiei curate</w:t>
      </w:r>
      <w:r w:rsidRPr="008E43D4">
        <w:rPr>
          <w:rFonts w:ascii="Times New Roman" w:hAnsi="Times New Roman"/>
          <w:noProof/>
          <w:sz w:val="24"/>
        </w:rPr>
        <w:t xml:space="preserve"> va propune acțiuni concrete pentru a atrage </w:t>
      </w:r>
      <w:r w:rsidRPr="008E43D4">
        <w:rPr>
          <w:rFonts w:ascii="Times New Roman" w:hAnsi="Times New Roman"/>
          <w:b/>
          <w:noProof/>
          <w:sz w:val="24"/>
        </w:rPr>
        <w:t>investiții din sectorul privat</w:t>
      </w:r>
      <w:r w:rsidRPr="008E43D4">
        <w:rPr>
          <w:rFonts w:ascii="Times New Roman" w:hAnsi="Times New Roman"/>
          <w:noProof/>
          <w:sz w:val="24"/>
        </w:rPr>
        <w:t xml:space="preserve"> și a asigura un sprijin sporit din partea acestuia, inclusiv cu sprijinul BEI, un partener-cheie în accelerarea extinderii rețelei.</w:t>
      </w:r>
    </w:p>
    <w:p w14:paraId="608F07F8" w14:textId="201EDA48"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În ceea ce privește </w:t>
      </w:r>
      <w:r w:rsidRPr="008E43D4">
        <w:rPr>
          <w:rFonts w:ascii="Times New Roman" w:hAnsi="Times New Roman"/>
          <w:b/>
          <w:noProof/>
          <w:sz w:val="24"/>
        </w:rPr>
        <w:t>hidrogenul</w:t>
      </w:r>
      <w:r w:rsidRPr="008E43D4">
        <w:rPr>
          <w:rFonts w:ascii="Times New Roman" w:hAnsi="Times New Roman"/>
          <w:noProof/>
          <w:sz w:val="24"/>
        </w:rPr>
        <w:t xml:space="preserve">, dezvoltarea proiectelor este încă lentă din cauza bancabilității limitate și a riscurilor mari de-a lungul întregului lanț valoric. Pentru a remedia problema, </w:t>
      </w:r>
      <w:r w:rsidRPr="008E43D4">
        <w:rPr>
          <w:rFonts w:ascii="Times New Roman" w:hAnsi="Times New Roman"/>
          <w:b/>
          <w:noProof/>
          <w:sz w:val="24"/>
        </w:rPr>
        <w:t>Comisia va evalua și, după caz, va sprijini punerea în aplicare a unor posibile soluții</w:t>
      </w:r>
      <w:r w:rsidRPr="008E43D4">
        <w:rPr>
          <w:rFonts w:ascii="Times New Roman" w:hAnsi="Times New Roman"/>
          <w:noProof/>
          <w:sz w:val="24"/>
        </w:rPr>
        <w:t xml:space="preserve">, cum ar fi contractele pentru diferență sau coordonarea transfrontalieră a instrumentelor de reglementare, inclusiv în cadrul </w:t>
      </w:r>
      <w:r w:rsidRPr="008E43D4">
        <w:rPr>
          <w:rFonts w:ascii="Times New Roman" w:hAnsi="Times New Roman"/>
          <w:b/>
          <w:noProof/>
          <w:sz w:val="24"/>
        </w:rPr>
        <w:t>grupurilor regionale la nivel înalt</w:t>
      </w:r>
      <w:r w:rsidRPr="008E43D4">
        <w:rPr>
          <w:rFonts w:ascii="Times New Roman" w:hAnsi="Times New Roman"/>
          <w:noProof/>
          <w:sz w:val="24"/>
        </w:rPr>
        <w:t xml:space="preserve">, pentru a asigura </w:t>
      </w:r>
      <w:r w:rsidRPr="008E43D4">
        <w:rPr>
          <w:rFonts w:ascii="Times New Roman" w:hAnsi="Times New Roman"/>
          <w:b/>
          <w:noProof/>
          <w:sz w:val="24"/>
        </w:rPr>
        <w:t>progrese coordonate și a contribui la eliminarea deficitelor de finanțare</w:t>
      </w:r>
      <w:r w:rsidRPr="008E43D4">
        <w:rPr>
          <w:rFonts w:ascii="Times New Roman" w:hAnsi="Times New Roman"/>
          <w:noProof/>
          <w:sz w:val="24"/>
        </w:rPr>
        <w:t xml:space="preserve">. </w:t>
      </w:r>
    </w:p>
    <w:p w14:paraId="6A31AACE" w14:textId="23859DD9" w:rsidR="00C36F54" w:rsidRPr="008E43D4" w:rsidRDefault="004A1ACA" w:rsidP="00C36F54">
      <w:pPr>
        <w:jc w:val="both"/>
        <w:rPr>
          <w:rFonts w:ascii="Times New Roman" w:eastAsia="Calibri" w:hAnsi="Times New Roman" w:cs="Times New Roman"/>
          <w:noProof/>
          <w:sz w:val="24"/>
          <w:szCs w:val="24"/>
        </w:rPr>
      </w:pPr>
      <w:r w:rsidRPr="008E43D4">
        <w:rPr>
          <w:rFonts w:ascii="Times New Roman" w:hAnsi="Times New Roman"/>
          <w:noProof/>
          <w:sz w:val="24"/>
        </w:rPr>
        <w:t xml:space="preserve">În al patrulea rând, </w:t>
      </w:r>
      <w:r w:rsidRPr="008E43D4">
        <w:rPr>
          <w:rFonts w:ascii="Times New Roman" w:hAnsi="Times New Roman"/>
          <w:b/>
          <w:noProof/>
          <w:sz w:val="24"/>
          <w:u w:val="single"/>
        </w:rPr>
        <w:t>consolidarea securității și a rezilienței infrastructurii noastre energetice</w:t>
      </w:r>
      <w:r w:rsidRPr="008E43D4">
        <w:rPr>
          <w:rFonts w:ascii="Times New Roman" w:hAnsi="Times New Roman"/>
          <w:noProof/>
          <w:sz w:val="24"/>
        </w:rPr>
        <w:t xml:space="preserve"> este esențială în contextul geopolitic actual și având în vedere riscurile tot mai mari legate de climă. Incidentele recente din Marea Baltică, inclusiv deteriorarea conductelor Balticconnector și Estlink 2, evidențiază vulnerabilitățile activelor energetice transfrontaliere, iar evenimentele legate de climă și perturbările accidentale rămân riscuri semnificative pentru securitatea aprovizionării noastre.</w:t>
      </w:r>
    </w:p>
    <w:p w14:paraId="0E728864" w14:textId="3EBFA2F7" w:rsidR="00C36F54" w:rsidRPr="008E43D4" w:rsidRDefault="00C36F54" w:rsidP="00C36F54">
      <w:pPr>
        <w:spacing w:after="0" w:line="240" w:lineRule="auto"/>
        <w:jc w:val="both"/>
        <w:rPr>
          <w:rFonts w:ascii="Times New Roman" w:eastAsia="Times New Roman" w:hAnsi="Times New Roman" w:cs="Times New Roman"/>
          <w:noProof/>
          <w:kern w:val="0"/>
          <w:sz w:val="24"/>
          <w:szCs w:val="24"/>
          <w14:ligatures w14:val="none"/>
        </w:rPr>
      </w:pPr>
      <w:r w:rsidRPr="008E43D4">
        <w:rPr>
          <w:rFonts w:ascii="Times New Roman" w:hAnsi="Times New Roman"/>
          <w:noProof/>
          <w:sz w:val="24"/>
        </w:rPr>
        <w:t>Pentru a proteja independența energetică a UE, pachetul privind rețeaua europeană integrează de la bun început considerentele de securitate fizică și cibernetică în planificarea proiectelor transfrontaliere, promovând reziliența și securitatea noii infrastructuri de la stadiul conceperii, sporește transparența în ceea ce privește deținerea pentru a evita dependența de entități străine cu risc crescut și se asigură că îmbunătățirile aduse rezilienței și securității fizice și cibernetice a infrastructurii existente sunt eligibile pentru finanțare din partea MIE, prevenind în același timp suprapunerile cu alte tipuri de sprijin financiar din partea UE.</w:t>
      </w:r>
      <w:r w:rsidRPr="008E43D4">
        <w:rPr>
          <w:noProof/>
        </w:rPr>
        <w:t xml:space="preserve"> </w:t>
      </w:r>
      <w:r w:rsidRPr="008E43D4">
        <w:rPr>
          <w:rFonts w:ascii="Times New Roman" w:hAnsi="Times New Roman"/>
          <w:noProof/>
          <w:sz w:val="24"/>
        </w:rPr>
        <w:t>În plus, pe baza Planului de acțiune privind securitatea cablurilor, Comisia își va continua activitatea prin intermediul centrelor regionale de cabluri și va consolida aplicarea setului de instrumente pentru securitatea cablurilor</w:t>
      </w:r>
      <w:r w:rsidRPr="008E43D4">
        <w:rPr>
          <w:rStyle w:val="FootnoteReference"/>
          <w:rFonts w:ascii="Times New Roman" w:eastAsia="Times New Roman" w:hAnsi="Times New Roman" w:cs="Times New Roman"/>
          <w:noProof/>
          <w:kern w:val="0"/>
          <w:sz w:val="24"/>
          <w:szCs w:val="24"/>
        </w:rPr>
        <w:footnoteReference w:id="31"/>
      </w:r>
      <w:r w:rsidRPr="008E43D4">
        <w:rPr>
          <w:noProof/>
        </w:rPr>
        <w:t>.</w:t>
      </w:r>
    </w:p>
    <w:p w14:paraId="5AE718DA" w14:textId="77777777" w:rsidR="00C36F54" w:rsidRPr="008E43D4" w:rsidRDefault="00C36F54" w:rsidP="00C36F54">
      <w:pPr>
        <w:spacing w:after="0" w:line="240" w:lineRule="auto"/>
        <w:rPr>
          <w:rFonts w:ascii="Times New Roman" w:eastAsia="Times New Roman" w:hAnsi="Times New Roman" w:cs="Times New Roman"/>
          <w:noProof/>
          <w:kern w:val="0"/>
          <w:sz w:val="24"/>
          <w:szCs w:val="24"/>
          <w14:ligatures w14:val="none"/>
        </w:rPr>
      </w:pPr>
    </w:p>
    <w:p w14:paraId="6EB149B2" w14:textId="77777777" w:rsidR="00C36F54" w:rsidRPr="008E43D4" w:rsidRDefault="00C36F54" w:rsidP="00C36F54">
      <w:pPr>
        <w:spacing w:after="0" w:line="240" w:lineRule="auto"/>
        <w:jc w:val="both"/>
        <w:rPr>
          <w:rFonts w:ascii="Times New Roman" w:eastAsia="Times New Roman" w:hAnsi="Times New Roman" w:cs="Times New Roman"/>
          <w:b/>
          <w:bCs/>
          <w:noProof/>
          <w:kern w:val="0"/>
          <w:sz w:val="24"/>
          <w:szCs w:val="24"/>
          <w14:ligatures w14:val="none"/>
        </w:rPr>
      </w:pPr>
      <w:r w:rsidRPr="008E43D4">
        <w:rPr>
          <w:rFonts w:ascii="Times New Roman" w:hAnsi="Times New Roman"/>
          <w:b/>
          <w:noProof/>
          <w:sz w:val="24"/>
        </w:rPr>
        <w:t xml:space="preserve">3. Opt priorități pentru magistrala energetică a Europei: inițiativa „Autostrăzi energetice” </w:t>
      </w:r>
    </w:p>
    <w:p w14:paraId="22651E16" w14:textId="77777777" w:rsidR="00C36F54" w:rsidRPr="008E43D4" w:rsidRDefault="00C36F54" w:rsidP="00C36F54">
      <w:pPr>
        <w:spacing w:after="0" w:line="240" w:lineRule="auto"/>
        <w:jc w:val="both"/>
        <w:rPr>
          <w:rFonts w:ascii="Times New Roman" w:eastAsia="Times New Roman" w:hAnsi="Times New Roman" w:cs="Times New Roman"/>
          <w:noProof/>
          <w:kern w:val="0"/>
          <w:sz w:val="24"/>
          <w:szCs w:val="24"/>
          <w14:ligatures w14:val="none"/>
        </w:rPr>
      </w:pPr>
    </w:p>
    <w:p w14:paraId="1249CBA6" w14:textId="0D236C59" w:rsidR="003F013A"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În discursul său privind starea Uniunii din 10 septembrie 2025, președinta von der Leyen a anunțat opt „</w:t>
      </w:r>
      <w:r w:rsidRPr="008E43D4">
        <w:rPr>
          <w:rFonts w:ascii="Times New Roman" w:hAnsi="Times New Roman"/>
          <w:b/>
          <w:noProof/>
          <w:sz w:val="24"/>
        </w:rPr>
        <w:t>autostrăzi energetice</w:t>
      </w:r>
      <w:r w:rsidRPr="008E43D4">
        <w:rPr>
          <w:rFonts w:ascii="Times New Roman" w:hAnsi="Times New Roman"/>
          <w:noProof/>
          <w:sz w:val="24"/>
        </w:rPr>
        <w:t xml:space="preserve">”. Pe baza PIC și PIR existente în cadrul TEN-E, precum și a proiectelor emblematice menționate în Planul de acțiune pentru energie la prețuri accesibile, autostrăzile energetice răspund </w:t>
      </w:r>
      <w:r w:rsidRPr="008E43D4">
        <w:rPr>
          <w:rFonts w:ascii="Times New Roman" w:hAnsi="Times New Roman"/>
          <w:b/>
          <w:noProof/>
          <w:sz w:val="24"/>
        </w:rPr>
        <w:t>celor mai urgente nevoi în materie de infrastructură energetică pentru care este nevoie de sprijin suplimentar special pe termen scurt și de un angajament privind implementarea pentru a elimina blocajele care frânează progresul</w:t>
      </w:r>
      <w:r w:rsidRPr="008E43D4">
        <w:rPr>
          <w:rStyle w:val="FootnoteReference"/>
          <w:rFonts w:ascii="Times New Roman" w:hAnsi="Times New Roman" w:cs="Times New Roman"/>
          <w:noProof/>
          <w:sz w:val="24"/>
          <w:szCs w:val="24"/>
        </w:rPr>
        <w:footnoteReference w:id="32"/>
      </w:r>
      <w:r w:rsidRPr="008E43D4">
        <w:rPr>
          <w:noProof/>
        </w:rPr>
        <w:t>.</w:t>
      </w:r>
      <w:r w:rsidRPr="008E43D4">
        <w:rPr>
          <w:rFonts w:ascii="Times New Roman" w:hAnsi="Times New Roman"/>
          <w:noProof/>
          <w:sz w:val="24"/>
        </w:rPr>
        <w:t xml:space="preserve"> </w:t>
      </w:r>
    </w:p>
    <w:p w14:paraId="1C40058A" w14:textId="1384F8C5"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Autostrăzile energetice vor spori securitatea energetică, vor reduce dependența de combustibilii fosili, vor integra mai multe surse regenerabile de energie în rețea, vor promova electrificarea, vor scădea prețul energiei, vor accelera punerea în aplicare a REPowerEU și vor ajuta statele membre să se adapteze la eliminarea treptată a importurilor de combustibili fosili din Rusia. Multe dintre autostrăzile energetice dețin statutul de PIC sau PIR în cea de a doua listă a proiectelor de interes comun și a proiectelor de interes reciproc a Uniunii, publicată la 1 decembrie 2025, care cuprinde 235 de proiecte transfrontaliere de infrastructură energetică din cadrul UE și cu parteneri din țări terțe, cum ar fi Celtic Interconnector, Black Sea Interconnection Cable, Estlink 3. În temeiul cadrului TEN-E, toate PIC și PIR de pe lista Uniunii beneficiază de mai multe avantaje, printre care statut prioritar și proceduri raționalizate de autorizare, precum și eligibilitate pentru solicitarea de asistență financiară în cadrul Mecanismului pentru interconectarea Europei.</w:t>
      </w:r>
    </w:p>
    <w:p w14:paraId="5F2146EA" w14:textId="192F6349" w:rsidR="00C36F54" w:rsidRPr="008E43D4" w:rsidRDefault="008E43D4" w:rsidP="0010381B">
      <w:pPr>
        <w:jc w:val="center"/>
        <w:rPr>
          <w:rFonts w:ascii="Times New Roman" w:hAnsi="Times New Roman" w:cs="Times New Roman"/>
          <w:noProof/>
          <w:sz w:val="24"/>
          <w:szCs w:val="24"/>
        </w:rPr>
      </w:pPr>
      <w:r w:rsidRPr="008E43D4">
        <w:rPr>
          <w:rFonts w:ascii="Times New Roman" w:hAnsi="Times New Roman" w:cs="Times New Roman"/>
          <w:noProof/>
          <w:sz w:val="24"/>
          <w:szCs w:val="24"/>
          <w:lang w:val="en-GB" w:eastAsia="en-GB"/>
        </w:rPr>
        <w:drawing>
          <wp:inline distT="0" distB="0" distL="0" distR="0" wp14:anchorId="4A00B4C5" wp14:editId="79CC5154">
            <wp:extent cx="4256042" cy="4130615"/>
            <wp:effectExtent l="0" t="0" r="0" b="3810"/>
            <wp:docPr id="11594655" name="Picture 1" descr="A map of europe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655" name="Picture 1" descr="A map of europe with different colored lines&#10;&#10;AI-generated content may be incorrect."/>
                    <pic:cNvPicPr/>
                  </pic:nvPicPr>
                  <pic:blipFill>
                    <a:blip r:embed="rId15"/>
                    <a:stretch>
                      <a:fillRect/>
                    </a:stretch>
                  </pic:blipFill>
                  <pic:spPr>
                    <a:xfrm>
                      <a:off x="0" y="0"/>
                      <a:ext cx="4269285" cy="4143468"/>
                    </a:xfrm>
                    <a:prstGeom prst="rect">
                      <a:avLst/>
                    </a:prstGeom>
                  </pic:spPr>
                </pic:pic>
              </a:graphicData>
            </a:graphic>
          </wp:inline>
        </w:drawing>
      </w:r>
    </w:p>
    <w:p w14:paraId="1AAA594D" w14:textId="69306257" w:rsidR="00C36F54" w:rsidRPr="008E43D4" w:rsidRDefault="00C36F54" w:rsidP="7D5B2916">
      <w:pPr>
        <w:jc w:val="center"/>
        <w:rPr>
          <w:rFonts w:ascii="Times New Roman" w:hAnsi="Times New Roman" w:cs="Times New Roman"/>
          <w:i/>
          <w:iCs/>
          <w:noProof/>
          <w:sz w:val="20"/>
          <w:szCs w:val="20"/>
        </w:rPr>
      </w:pPr>
      <w:r w:rsidRPr="008E43D4">
        <w:rPr>
          <w:rFonts w:ascii="Times New Roman" w:hAnsi="Times New Roman"/>
          <w:i/>
          <w:noProof/>
          <w:sz w:val="20"/>
        </w:rPr>
        <w:t xml:space="preserve">Figura 1: Harta celor opt autostrăzi energetice </w:t>
      </w:r>
    </w:p>
    <w:p w14:paraId="14308DBB" w14:textId="77777777" w:rsidR="00C36F54" w:rsidRPr="008E43D4" w:rsidRDefault="00C36F54" w:rsidP="00C36F54">
      <w:pPr>
        <w:spacing w:after="0" w:line="240" w:lineRule="auto"/>
        <w:jc w:val="both"/>
        <w:rPr>
          <w:rFonts w:ascii="Times New Roman" w:hAnsi="Times New Roman" w:cs="Times New Roman"/>
          <w:noProof/>
          <w:sz w:val="24"/>
          <w:szCs w:val="24"/>
        </w:rPr>
      </w:pPr>
      <w:r w:rsidRPr="008E43D4">
        <w:rPr>
          <w:rFonts w:ascii="Times New Roman" w:hAnsi="Times New Roman"/>
          <w:noProof/>
          <w:sz w:val="24"/>
        </w:rPr>
        <w:t>1. Pyrenean crossing 1 și Pyrenean crossing 2 [</w:t>
      </w:r>
      <w:r w:rsidRPr="008E43D4">
        <w:rPr>
          <w:rFonts w:ascii="Times New Roman" w:hAnsi="Times New Roman"/>
          <w:i/>
          <w:noProof/>
          <w:sz w:val="24"/>
        </w:rPr>
        <w:t>O mai bună integrare a Peninsulei Iberice cu Franța prin interconexiuni electrice peste Pirinei</w:t>
      </w:r>
      <w:r w:rsidRPr="008E43D4">
        <w:rPr>
          <w:rFonts w:ascii="Times New Roman" w:hAnsi="Times New Roman"/>
          <w:noProof/>
          <w:sz w:val="24"/>
        </w:rPr>
        <w:t>]</w:t>
      </w:r>
    </w:p>
    <w:p w14:paraId="25B9FF99" w14:textId="77777777" w:rsidR="00C36F54" w:rsidRPr="008E43D4" w:rsidRDefault="00C36F54" w:rsidP="00C36F54">
      <w:pPr>
        <w:spacing w:after="0" w:line="240" w:lineRule="auto"/>
        <w:jc w:val="both"/>
        <w:rPr>
          <w:rFonts w:ascii="Times New Roman" w:hAnsi="Times New Roman" w:cs="Times New Roman"/>
          <w:noProof/>
          <w:sz w:val="24"/>
          <w:szCs w:val="24"/>
        </w:rPr>
      </w:pPr>
      <w:r w:rsidRPr="008E43D4">
        <w:rPr>
          <w:rFonts w:ascii="Times New Roman" w:hAnsi="Times New Roman"/>
          <w:noProof/>
          <w:sz w:val="24"/>
        </w:rPr>
        <w:t>2. Great Sea Interconnector [</w:t>
      </w:r>
      <w:r w:rsidRPr="008E43D4">
        <w:rPr>
          <w:rFonts w:ascii="Times New Roman" w:hAnsi="Times New Roman"/>
          <w:i/>
          <w:noProof/>
          <w:sz w:val="24"/>
        </w:rPr>
        <w:t>Conectarea Ciprului cu Europa continentală pentru a nu mai fi izolat din punct de vedere al energiei electrice</w:t>
      </w:r>
      <w:r w:rsidRPr="008E43D4">
        <w:rPr>
          <w:rFonts w:ascii="Times New Roman" w:hAnsi="Times New Roman"/>
          <w:noProof/>
          <w:sz w:val="24"/>
        </w:rPr>
        <w:t>]</w:t>
      </w:r>
    </w:p>
    <w:p w14:paraId="6B8F610D" w14:textId="77777777" w:rsidR="00C36F54" w:rsidRPr="008E43D4" w:rsidRDefault="00C36F54" w:rsidP="00C36F54">
      <w:pPr>
        <w:spacing w:after="0" w:line="240" w:lineRule="auto"/>
        <w:jc w:val="both"/>
        <w:rPr>
          <w:rFonts w:ascii="Times New Roman" w:hAnsi="Times New Roman" w:cs="Times New Roman"/>
          <w:noProof/>
          <w:sz w:val="24"/>
          <w:szCs w:val="24"/>
        </w:rPr>
      </w:pPr>
      <w:r w:rsidRPr="008E43D4">
        <w:rPr>
          <w:rFonts w:ascii="Times New Roman" w:hAnsi="Times New Roman"/>
          <w:noProof/>
          <w:sz w:val="24"/>
        </w:rPr>
        <w:t>3. Harmony Link [</w:t>
      </w:r>
      <w:r w:rsidRPr="008E43D4">
        <w:rPr>
          <w:rFonts w:ascii="Times New Roman" w:hAnsi="Times New Roman"/>
          <w:i/>
          <w:noProof/>
          <w:sz w:val="24"/>
        </w:rPr>
        <w:t>Consolidarea conexiunilor electrice cu statele baltice</w:t>
      </w:r>
      <w:r w:rsidRPr="008E43D4">
        <w:rPr>
          <w:rFonts w:ascii="Times New Roman" w:hAnsi="Times New Roman"/>
          <w:noProof/>
          <w:sz w:val="24"/>
        </w:rPr>
        <w:t>]</w:t>
      </w:r>
    </w:p>
    <w:p w14:paraId="768B3312" w14:textId="77777777" w:rsidR="00C36F54" w:rsidRPr="008E43D4" w:rsidRDefault="00C36F54" w:rsidP="00C36F54">
      <w:pPr>
        <w:spacing w:after="0" w:line="240" w:lineRule="auto"/>
        <w:jc w:val="both"/>
        <w:rPr>
          <w:rFonts w:ascii="Times New Roman" w:hAnsi="Times New Roman" w:cs="Times New Roman"/>
          <w:noProof/>
          <w:sz w:val="24"/>
          <w:szCs w:val="24"/>
        </w:rPr>
      </w:pPr>
      <w:r w:rsidRPr="008E43D4">
        <w:rPr>
          <w:rFonts w:ascii="Times New Roman" w:hAnsi="Times New Roman"/>
          <w:noProof/>
          <w:sz w:val="24"/>
        </w:rPr>
        <w:t>4. Flux inversat prin gazoductul transbalcanic (TBP) [</w:t>
      </w:r>
      <w:r w:rsidRPr="008E43D4">
        <w:rPr>
          <w:rFonts w:ascii="Times New Roman" w:hAnsi="Times New Roman"/>
          <w:i/>
          <w:noProof/>
          <w:sz w:val="24"/>
        </w:rPr>
        <w:t>Îmbunătățirea aprovizionării cu energie în regiunea Balcanilor și în statele vecine din est</w:t>
      </w:r>
      <w:r w:rsidRPr="008E43D4">
        <w:rPr>
          <w:rFonts w:ascii="Times New Roman" w:hAnsi="Times New Roman"/>
          <w:noProof/>
          <w:sz w:val="24"/>
        </w:rPr>
        <w:t>]</w:t>
      </w:r>
    </w:p>
    <w:p w14:paraId="55332369" w14:textId="77777777" w:rsidR="00C36F54" w:rsidRPr="008E43D4" w:rsidRDefault="00C36F54" w:rsidP="00C36F54">
      <w:pPr>
        <w:spacing w:after="0" w:line="240" w:lineRule="auto"/>
        <w:jc w:val="both"/>
        <w:rPr>
          <w:rFonts w:ascii="Times New Roman" w:hAnsi="Times New Roman" w:cs="Times New Roman"/>
          <w:noProof/>
          <w:sz w:val="24"/>
          <w:szCs w:val="24"/>
        </w:rPr>
      </w:pPr>
      <w:r w:rsidRPr="008E43D4">
        <w:rPr>
          <w:rFonts w:ascii="Times New Roman" w:hAnsi="Times New Roman"/>
          <w:noProof/>
          <w:sz w:val="24"/>
        </w:rPr>
        <w:t>5. Bornholm Energy Island [</w:t>
      </w:r>
      <w:r w:rsidRPr="008E43D4">
        <w:rPr>
          <w:rFonts w:ascii="Times New Roman" w:hAnsi="Times New Roman"/>
          <w:i/>
          <w:noProof/>
          <w:sz w:val="24"/>
        </w:rPr>
        <w:t>Transformarea Mării Baltice într-un nod de interconectare offshore</w:t>
      </w:r>
      <w:r w:rsidRPr="008E43D4">
        <w:rPr>
          <w:rFonts w:ascii="Times New Roman" w:hAnsi="Times New Roman"/>
          <w:noProof/>
          <w:sz w:val="24"/>
        </w:rPr>
        <w:t>]</w:t>
      </w:r>
    </w:p>
    <w:p w14:paraId="25E26650" w14:textId="77777777" w:rsidR="00C36F54" w:rsidRPr="008E43D4" w:rsidRDefault="00C36F54" w:rsidP="00C36F54">
      <w:pPr>
        <w:spacing w:after="0" w:line="240" w:lineRule="auto"/>
        <w:jc w:val="both"/>
        <w:rPr>
          <w:rFonts w:ascii="Times New Roman" w:hAnsi="Times New Roman" w:cs="Times New Roman"/>
          <w:noProof/>
          <w:sz w:val="24"/>
          <w:szCs w:val="24"/>
        </w:rPr>
      </w:pPr>
      <w:r w:rsidRPr="008E43D4">
        <w:rPr>
          <w:rFonts w:ascii="Times New Roman" w:hAnsi="Times New Roman"/>
          <w:noProof/>
          <w:sz w:val="24"/>
        </w:rPr>
        <w:t>6. Îmbunătățirea stabilității prețurilor și a securității energetice în Europa de Sud-Est</w:t>
      </w:r>
    </w:p>
    <w:p w14:paraId="797BC581" w14:textId="77777777" w:rsidR="00C36F54" w:rsidRPr="008E43D4" w:rsidRDefault="00C36F54" w:rsidP="00C36F54">
      <w:pPr>
        <w:spacing w:after="0" w:line="240" w:lineRule="auto"/>
        <w:jc w:val="both"/>
        <w:rPr>
          <w:rFonts w:ascii="Times New Roman" w:hAnsi="Times New Roman" w:cs="Times New Roman"/>
          <w:noProof/>
          <w:sz w:val="24"/>
          <w:szCs w:val="24"/>
        </w:rPr>
      </w:pPr>
      <w:r w:rsidRPr="008E43D4">
        <w:rPr>
          <w:rFonts w:ascii="Times New Roman" w:hAnsi="Times New Roman"/>
          <w:noProof/>
          <w:sz w:val="24"/>
        </w:rPr>
        <w:t>7. Coridorul SoutH2 [</w:t>
      </w:r>
      <w:r w:rsidRPr="008E43D4">
        <w:rPr>
          <w:rFonts w:ascii="Times New Roman" w:hAnsi="Times New Roman"/>
          <w:i/>
          <w:noProof/>
          <w:sz w:val="24"/>
        </w:rPr>
        <w:t>Coridorul sudic al hidrogenului</w:t>
      </w:r>
      <w:r w:rsidRPr="008E43D4">
        <w:rPr>
          <w:rFonts w:ascii="Times New Roman" w:hAnsi="Times New Roman"/>
          <w:noProof/>
          <w:sz w:val="24"/>
        </w:rPr>
        <w:t>]</w:t>
      </w:r>
    </w:p>
    <w:p w14:paraId="1C54D9C8" w14:textId="77777777" w:rsidR="00C36F54" w:rsidRPr="008E43D4" w:rsidRDefault="00C36F54" w:rsidP="00C36F54">
      <w:pPr>
        <w:spacing w:after="0" w:line="240" w:lineRule="auto"/>
        <w:jc w:val="both"/>
        <w:rPr>
          <w:rFonts w:ascii="Times New Roman" w:hAnsi="Times New Roman" w:cs="Times New Roman"/>
          <w:noProof/>
          <w:sz w:val="24"/>
          <w:szCs w:val="24"/>
        </w:rPr>
      </w:pPr>
      <w:r w:rsidRPr="008E43D4">
        <w:rPr>
          <w:rFonts w:ascii="Times New Roman" w:hAnsi="Times New Roman"/>
          <w:noProof/>
          <w:sz w:val="24"/>
        </w:rPr>
        <w:t>8. Coridorul sud-vestic al hidrogenului, din Portugalia în Germania</w:t>
      </w:r>
    </w:p>
    <w:p w14:paraId="7E338121" w14:textId="77777777" w:rsidR="00C36F54" w:rsidRPr="008E43D4" w:rsidRDefault="00C36F54" w:rsidP="00C36F54">
      <w:pPr>
        <w:spacing w:after="0" w:line="240" w:lineRule="auto"/>
        <w:jc w:val="both"/>
        <w:rPr>
          <w:rFonts w:ascii="Times New Roman" w:hAnsi="Times New Roman" w:cs="Times New Roman"/>
          <w:i/>
          <w:iCs/>
          <w:noProof/>
          <w:sz w:val="24"/>
          <w:szCs w:val="24"/>
        </w:rPr>
      </w:pPr>
    </w:p>
    <w:p w14:paraId="494B0282" w14:textId="77777777" w:rsidR="00030457"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Comisia și-a asumat angajamentul de a </w:t>
      </w:r>
      <w:r w:rsidRPr="008E43D4">
        <w:rPr>
          <w:rFonts w:ascii="Times New Roman" w:hAnsi="Times New Roman"/>
          <w:b/>
          <w:noProof/>
          <w:sz w:val="24"/>
        </w:rPr>
        <w:t>accelera imediat autostrăzile energetice printr-o coordonare politică mai strânsă</w:t>
      </w:r>
      <w:r w:rsidRPr="008E43D4">
        <w:rPr>
          <w:rFonts w:ascii="Times New Roman" w:hAnsi="Times New Roman"/>
          <w:noProof/>
          <w:sz w:val="24"/>
        </w:rPr>
        <w:t xml:space="preserve">, bazându-se pe activitatea grupurilor regionale la nivel înalt, mobilizând sprijinul coordonatorilor europeni dacă va fi cazul și colaborând îndeaproape cu grupul operativ pentru uniunea energetică, extinzându-și eforturile dincolo de statele membre ale UE atunci când va fi necesar. Fiecare proiect va avea prioritate la nivelul UE, iar Comisia va sprijini statele membre pentru a le acorda </w:t>
      </w:r>
      <w:r w:rsidRPr="008E43D4">
        <w:rPr>
          <w:rFonts w:ascii="Times New Roman" w:hAnsi="Times New Roman"/>
          <w:b/>
          <w:noProof/>
          <w:sz w:val="24"/>
        </w:rPr>
        <w:t>aceeași prioritate la nivel național</w:t>
      </w:r>
      <w:r w:rsidRPr="008E43D4">
        <w:rPr>
          <w:rFonts w:ascii="Times New Roman" w:hAnsi="Times New Roman"/>
          <w:noProof/>
          <w:sz w:val="24"/>
        </w:rPr>
        <w:t xml:space="preserve">. </w:t>
      </w:r>
    </w:p>
    <w:p w14:paraId="18EDC707" w14:textId="0773387F"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Pentru a asigura o </w:t>
      </w:r>
      <w:r w:rsidRPr="008E43D4">
        <w:rPr>
          <w:rFonts w:ascii="Times New Roman" w:hAnsi="Times New Roman"/>
          <w:b/>
          <w:noProof/>
          <w:sz w:val="24"/>
        </w:rPr>
        <w:t>cooperare transfrontalieră reală în materie de autorizare</w:t>
      </w:r>
      <w:r w:rsidRPr="008E43D4">
        <w:rPr>
          <w:rFonts w:ascii="Times New Roman" w:hAnsi="Times New Roman"/>
          <w:noProof/>
          <w:sz w:val="24"/>
        </w:rPr>
        <w:t xml:space="preserve">, Comisia va pune accentul pe proiectele de interconexiuni prioritare identificate, consolidând sprijinul pe care îl acordă statelor membre în efortul de identificare a unor proceduri comune pentru un proces de autorizare eficace și eficient, cu sprijinul unui coordonator european dacă va fi cazul. Pe baza acestei experiențe de coordonare mai strânsă a procedurilor de acordare a autorizațiilor, Comisia poate analiza oportunitatea unor acțiuni suplimentare. În plus, pentru a consolida capacitatea administrativă a autorităților responsabile cu acordarea autorizațiilor și digitalizarea procedurilor de autorizare pentru energia din surse regenerabile, Comisia va oferi sprijin statelor membre prin acțiuni specifice, care vor completa cadrul de reglementare în materie de autorizare. Comisia va realiza acest lucru, printre altele, prin mobilizarea unor instrumente precum Instrumentul de sprijin tehnic și prin explorarea </w:t>
      </w:r>
      <w:bookmarkStart w:id="5" w:name="_Hlk215650741"/>
      <w:r w:rsidRPr="008E43D4">
        <w:rPr>
          <w:rFonts w:ascii="Times New Roman" w:hAnsi="Times New Roman"/>
          <w:noProof/>
          <w:sz w:val="24"/>
        </w:rPr>
        <w:t xml:space="preserve">creării unui mecanism-pilot de autorizare pe baza </w:t>
      </w:r>
      <w:bookmarkEnd w:id="5"/>
      <w:r w:rsidRPr="008E43D4">
        <w:rPr>
          <w:rFonts w:ascii="Times New Roman" w:hAnsi="Times New Roman"/>
          <w:noProof/>
          <w:sz w:val="24"/>
        </w:rPr>
        <w:t>mecanismelor de consiliere existente, cu scopul de a consolida și mai mult capacitățile și de a îmbunătăți accesul la finanțare pentru investiții și reforme în materie de autorizare. De asemenea, Comisia va promova schimbul de cunoștințe cu privire la posibilitățile de finanțare și dezvoltarea de noi platforme digitale pentru autorizare prin intermediul grupului de experți privind autorizarea.</w:t>
      </w:r>
    </w:p>
    <w:p w14:paraId="45CF96DB" w14:textId="2300522C" w:rsidR="0010381B" w:rsidRPr="008E43D4" w:rsidRDefault="00C36F54" w:rsidP="009664B4">
      <w:pPr>
        <w:jc w:val="both"/>
        <w:rPr>
          <w:rFonts w:ascii="Times New Roman" w:hAnsi="Times New Roman" w:cs="Times New Roman"/>
          <w:noProof/>
          <w:sz w:val="24"/>
          <w:szCs w:val="24"/>
        </w:rPr>
      </w:pPr>
      <w:r w:rsidRPr="008E43D4">
        <w:rPr>
          <w:rFonts w:ascii="Times New Roman" w:hAnsi="Times New Roman"/>
          <w:noProof/>
          <w:sz w:val="24"/>
        </w:rPr>
        <w:t xml:space="preserve">Unele proiecte sunt deja recunoscute ca proiecte importante de interes european comun (PIIEC), calitate care aduce beneficii suplimentare în ceea ce privește finanțarea și coordonarea. De asemenea, autostrăzile Pyrenean crossing 1 și Pyrenean crossing 2, coridorul sud-vestic al hidrogenului și autostrada Europei de Sud-Est vor fi desemnate drept proiecte-pilot în cadrul </w:t>
      </w:r>
      <w:r w:rsidRPr="008E43D4">
        <w:rPr>
          <w:rFonts w:ascii="Times New Roman" w:hAnsi="Times New Roman"/>
          <w:b/>
          <w:noProof/>
          <w:sz w:val="24"/>
        </w:rPr>
        <w:t>Instrumentului de coordonare a competitivității</w:t>
      </w:r>
      <w:r w:rsidRPr="008E43D4">
        <w:rPr>
          <w:rFonts w:ascii="Times New Roman" w:hAnsi="Times New Roman"/>
          <w:noProof/>
          <w:sz w:val="24"/>
        </w:rPr>
        <w:t>, astfel încât să poată beneficia de abordarea la nivelul întregii administrații pe care o oferă instrumentul și de capacitatea sa specifică de a soluționa probleme orizontale. Acțiunile prioritare care vor fi stabilite în cadrul ICC vor fi realizate în coordonare cu eforturile grupurilor la nivel înalt sau a forurilor corespunzătoare și vor reflecta nevoile fiecărei autostrăzi în parte, de exemplu prin îmbunătățirea flexibilității sistemului energetic, prin remedierea problemelor legate de lanțul de aprovizionare sau prin eliminarea dificultăților de finanțare.</w:t>
      </w:r>
    </w:p>
    <w:p w14:paraId="74F90AB7" w14:textId="31DA39DF"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În plus, în cadrul TEN-E au fost alocați recent coordonatori europeni ai autostrăzilor din regiunea baltică și a Europei Centrale și de Sud-Est</w:t>
      </w:r>
      <w:r w:rsidRPr="008E43D4">
        <w:rPr>
          <w:rStyle w:val="FootnoteReference"/>
          <w:rFonts w:ascii="Times New Roman" w:hAnsi="Times New Roman" w:cs="Times New Roman"/>
          <w:noProof/>
          <w:sz w:val="24"/>
          <w:szCs w:val="24"/>
        </w:rPr>
        <w:footnoteReference w:id="33"/>
      </w:r>
      <w:r w:rsidRPr="008E43D4">
        <w:rPr>
          <w:rFonts w:ascii="Times New Roman" w:hAnsi="Times New Roman"/>
          <w:noProof/>
          <w:sz w:val="24"/>
        </w:rPr>
        <w:t xml:space="preserve">, cu scopul de a facilita implementarea la timp a proiectelor prin promovarea dialogului transfrontalier, sprijinirea autorizării și a finanțării, asigurarea de sprijin pentru statele membre și raportarea cu privire la progrese și la obstacole. De asemenea, </w:t>
      </w:r>
      <w:r w:rsidRPr="008E43D4">
        <w:rPr>
          <w:rFonts w:ascii="Times New Roman" w:hAnsi="Times New Roman"/>
          <w:b/>
          <w:noProof/>
          <w:sz w:val="24"/>
        </w:rPr>
        <w:t>Comisia</w:t>
      </w:r>
      <w:r w:rsidRPr="008E43D4">
        <w:rPr>
          <w:rFonts w:ascii="Times New Roman" w:hAnsi="Times New Roman"/>
          <w:noProof/>
          <w:sz w:val="24"/>
        </w:rPr>
        <w:t xml:space="preserve"> </w:t>
      </w:r>
      <w:r w:rsidRPr="008E43D4">
        <w:rPr>
          <w:rFonts w:ascii="Times New Roman" w:hAnsi="Times New Roman"/>
          <w:b/>
          <w:noProof/>
          <w:sz w:val="24"/>
        </w:rPr>
        <w:t>va consolida structurile existente și va asigura resurse specifice</w:t>
      </w:r>
      <w:r w:rsidRPr="008E43D4">
        <w:rPr>
          <w:rFonts w:ascii="Times New Roman" w:hAnsi="Times New Roman"/>
          <w:noProof/>
          <w:sz w:val="24"/>
        </w:rPr>
        <w:t xml:space="preserve"> pentru a pune un accent sporit și continuu pe realizarea celor opt autostrăzi energetice, în strânsă cooperare cu coordonatorii europeni atunci când va fi cazul.</w:t>
      </w:r>
    </w:p>
    <w:p w14:paraId="111D1102" w14:textId="5C67894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Comisia </w:t>
      </w:r>
      <w:r w:rsidRPr="008E43D4">
        <w:rPr>
          <w:rFonts w:ascii="Times New Roman" w:hAnsi="Times New Roman"/>
          <w:b/>
          <w:noProof/>
          <w:sz w:val="24"/>
        </w:rPr>
        <w:t>va colabora în mod activ cu toate statele membre în cauză, utilizând pe deplin setul de instrumente de mai sus</w:t>
      </w:r>
      <w:r w:rsidRPr="008E43D4">
        <w:rPr>
          <w:rFonts w:ascii="Times New Roman" w:hAnsi="Times New Roman"/>
          <w:noProof/>
          <w:sz w:val="24"/>
        </w:rPr>
        <w:t xml:space="preserve"> pentru a asigura realizarea cu succes a autostrăzilor energetice. Consiliul European va fi informat periodic cu privire la progresele înregistrate, pentru a se asigura pe de o parte angajamentul politic, iar pe de altă parte transparența și responsabilitatea.</w:t>
      </w:r>
    </w:p>
    <w:p w14:paraId="2580E0E9" w14:textId="34AA8ECC" w:rsidR="00AA1996" w:rsidRPr="008E43D4" w:rsidRDefault="00AA1996">
      <w:pPr>
        <w:rPr>
          <w:rFonts w:ascii="Times New Roman" w:hAnsi="Times New Roman" w:cs="Times New Roman"/>
          <w:noProof/>
          <w:sz w:val="24"/>
          <w:szCs w:val="24"/>
        </w:rPr>
      </w:pPr>
      <w:r w:rsidRPr="008E43D4">
        <w:rPr>
          <w:noProof/>
        </w:rPr>
        <w:br w:type="page"/>
      </w:r>
    </w:p>
    <w:p w14:paraId="0E350433" w14:textId="77777777" w:rsidR="00030457" w:rsidRPr="008E43D4" w:rsidRDefault="00030457" w:rsidP="00C36F54">
      <w:pPr>
        <w:jc w:val="both"/>
        <w:rPr>
          <w:rFonts w:ascii="Times New Roman" w:hAnsi="Times New Roman" w:cs="Times New Roman"/>
          <w:noProof/>
          <w:sz w:val="24"/>
          <w:szCs w:val="24"/>
        </w:rPr>
      </w:pPr>
    </w:p>
    <w:p w14:paraId="703EC715" w14:textId="77777777" w:rsidR="00C36F54" w:rsidRPr="008E43D4" w:rsidRDefault="00C36F54" w:rsidP="00C36F54">
      <w:pPr>
        <w:jc w:val="center"/>
        <w:rPr>
          <w:rFonts w:ascii="Times New Roman" w:hAnsi="Times New Roman" w:cs="Times New Roman"/>
          <w:b/>
          <w:bCs/>
          <w:noProof/>
          <w:sz w:val="24"/>
          <w:szCs w:val="24"/>
          <w:u w:val="single"/>
        </w:rPr>
      </w:pPr>
      <w:r w:rsidRPr="008E43D4">
        <w:rPr>
          <w:rFonts w:ascii="Times New Roman" w:hAnsi="Times New Roman"/>
          <w:b/>
          <w:noProof/>
          <w:sz w:val="24"/>
          <w:u w:val="single"/>
        </w:rPr>
        <w:t>Anexă: alte acțiuni specifice pe termen scurt pentru fiecare autostradă energetică</w:t>
      </w:r>
    </w:p>
    <w:p w14:paraId="3368697D"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Pe lângă sprijinul orizontal prezentat mai sus, Comisia va realiza </w:t>
      </w:r>
      <w:r w:rsidRPr="008E43D4">
        <w:rPr>
          <w:rFonts w:ascii="Times New Roman" w:hAnsi="Times New Roman"/>
          <w:b/>
          <w:noProof/>
          <w:sz w:val="24"/>
        </w:rPr>
        <w:t>acțiuni specifice pe termen scurt pentru depășirea provocărilor specifice ale fiecăreia dintre autostrăzi</w:t>
      </w:r>
      <w:r w:rsidRPr="008E43D4">
        <w:rPr>
          <w:rFonts w:ascii="Times New Roman" w:hAnsi="Times New Roman"/>
          <w:noProof/>
          <w:sz w:val="24"/>
        </w:rPr>
        <w:t xml:space="preserve">, astfel încât să asigure că se pot obține progrese și rezultate concrete în următoarele 6-9 luni. </w:t>
      </w:r>
    </w:p>
    <w:p w14:paraId="47A3B9CD" w14:textId="2E59079E" w:rsidR="00C36F54" w:rsidRPr="008E43D4" w:rsidRDefault="00C36F54" w:rsidP="00C36F54">
      <w:pPr>
        <w:jc w:val="both"/>
        <w:rPr>
          <w:rFonts w:ascii="Times New Roman" w:hAnsi="Times New Roman" w:cs="Times New Roman"/>
          <w:b/>
          <w:bCs/>
          <w:noProof/>
          <w:sz w:val="24"/>
          <w:szCs w:val="24"/>
          <w:u w:val="single"/>
        </w:rPr>
      </w:pPr>
      <w:r w:rsidRPr="008E43D4">
        <w:rPr>
          <w:rFonts w:ascii="Times New Roman" w:hAnsi="Times New Roman"/>
          <w:b/>
          <w:noProof/>
          <w:sz w:val="24"/>
          <w:u w:val="single"/>
        </w:rPr>
        <w:t>1. Pyrenean crossing 1 și Pyrenean crossing 2 [</w:t>
      </w:r>
      <w:r w:rsidRPr="008E43D4">
        <w:rPr>
          <w:rFonts w:ascii="Times New Roman" w:hAnsi="Times New Roman"/>
          <w:b/>
          <w:i/>
          <w:noProof/>
          <w:sz w:val="24"/>
          <w:u w:val="single"/>
        </w:rPr>
        <w:t>Interconexiuni electrice peste Pirinei în vederea unei mai bune integrări a Peninsulei Iberice</w:t>
      </w:r>
      <w:r w:rsidRPr="008E43D4">
        <w:rPr>
          <w:rFonts w:ascii="Times New Roman" w:hAnsi="Times New Roman"/>
          <w:b/>
          <w:noProof/>
          <w:sz w:val="24"/>
          <w:u w:val="single"/>
        </w:rPr>
        <w:t>]</w:t>
      </w:r>
    </w:p>
    <w:p w14:paraId="6F1BBBB2"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Peninsula Iberică rămâne insuficient conectată la restul pieței energetice a UE, capacitatea transfrontalieră actuală dintre Franța și Spania fiind limitată la 2,5 GW. Acest lucru îngreunează integrarea pieței, determină diferențe persistente de preț și restrânge posibilitățile de integrare a surselor regenerabile de energie. Pe lângă proiectul de interconectare din Golful Biscaya, aflat în construcție, obiectivul acestor două proiecte suplimentare din Pirinei este de </w:t>
      </w:r>
      <w:r w:rsidRPr="008E43D4">
        <w:rPr>
          <w:rFonts w:ascii="Times New Roman" w:hAnsi="Times New Roman"/>
          <w:b/>
          <w:noProof/>
          <w:sz w:val="24"/>
        </w:rPr>
        <w:t>a crește capacitatea totală de interconexiune la 8 GW până în 2040</w:t>
      </w:r>
      <w:r w:rsidRPr="008E43D4">
        <w:rPr>
          <w:rFonts w:ascii="Times New Roman" w:hAnsi="Times New Roman"/>
          <w:noProof/>
          <w:sz w:val="24"/>
        </w:rPr>
        <w:t xml:space="preserve">, de a consolida reziliența sistemului și de a reduce restricționarea energiei din surse regenerabile. Cele două proiecte de interconectare din Pirinei au fost </w:t>
      </w:r>
      <w:r w:rsidRPr="008E43D4">
        <w:rPr>
          <w:rFonts w:ascii="Times New Roman" w:hAnsi="Times New Roman"/>
          <w:b/>
          <w:noProof/>
          <w:sz w:val="24"/>
        </w:rPr>
        <w:t>reconfirmate în actuala listă PIC/PIR</w:t>
      </w:r>
      <w:r w:rsidRPr="008E43D4">
        <w:rPr>
          <w:rFonts w:ascii="Times New Roman" w:hAnsi="Times New Roman"/>
          <w:noProof/>
          <w:sz w:val="24"/>
        </w:rPr>
        <w:t xml:space="preserve"> ca proiecte prioritare menite să elimine acest blocaj. În mai 2025, proiectul Navarra (ES)-Landes (FR) a primit un grant în sumă de 11,1 milioane EUR prin Mecanismul pentru interconectarea Europei (MIE) pentru studii pregătitoare. În pofida importanței strategice a proiectelor, progresele au fost relativ lente, fiind necesare eforturi suplimentare de consolidare internă și de clarificare a abordării în materie de finanțare.</w:t>
      </w:r>
    </w:p>
    <w:p w14:paraId="15FC8DC8" w14:textId="629E2FF3" w:rsidR="00C36F54" w:rsidRPr="008E43D4" w:rsidRDefault="00C36F54" w:rsidP="00C36F54">
      <w:pPr>
        <w:jc w:val="both"/>
        <w:rPr>
          <w:rFonts w:ascii="Times New Roman" w:hAnsi="Times New Roman" w:cs="Times New Roman"/>
          <w:noProof/>
          <w:sz w:val="24"/>
          <w:szCs w:val="24"/>
          <w:u w:val="single"/>
        </w:rPr>
      </w:pPr>
      <w:r w:rsidRPr="008E43D4">
        <w:rPr>
          <w:rFonts w:ascii="Times New Roman" w:hAnsi="Times New Roman"/>
          <w:b/>
          <w:noProof/>
          <w:sz w:val="24"/>
          <w:u w:val="single"/>
        </w:rPr>
        <w:t>Acțiuni pe termen scurt</w:t>
      </w:r>
      <w:r w:rsidRPr="008E43D4">
        <w:rPr>
          <w:rFonts w:ascii="Times New Roman" w:hAnsi="Times New Roman"/>
          <w:b/>
          <w:noProof/>
          <w:sz w:val="24"/>
        </w:rPr>
        <w:t xml:space="preserve">: </w:t>
      </w:r>
      <w:r w:rsidRPr="008E43D4">
        <w:rPr>
          <w:rFonts w:ascii="Times New Roman" w:hAnsi="Times New Roman"/>
          <w:noProof/>
          <w:sz w:val="24"/>
        </w:rPr>
        <w:t xml:space="preserve">Comisia va depune eforturi pentru a facilita o declarație politică comună în cadrul următoarei reuniuni ministeriale a grupului la nivel înalt pentru Europa de Sud-Vest (T1 2026), cu obiectivul de a confirma </w:t>
      </w:r>
      <w:r w:rsidRPr="008E43D4">
        <w:rPr>
          <w:rFonts w:ascii="Times New Roman" w:hAnsi="Times New Roman"/>
          <w:b/>
          <w:noProof/>
          <w:sz w:val="24"/>
        </w:rPr>
        <w:t>începerea implementării a cel puțin unuia dintre proiecte</w:t>
      </w:r>
      <w:r w:rsidRPr="008E43D4">
        <w:rPr>
          <w:rFonts w:ascii="Times New Roman" w:hAnsi="Times New Roman"/>
          <w:noProof/>
          <w:sz w:val="24"/>
        </w:rPr>
        <w:t xml:space="preserve"> și de a aborda consolidările necesare ale rețelei interne. </w:t>
      </w:r>
    </w:p>
    <w:p w14:paraId="14D7FDB6" w14:textId="77777777" w:rsidR="00C36F54" w:rsidRPr="008E43D4" w:rsidRDefault="00C36F54" w:rsidP="00C36F54">
      <w:pPr>
        <w:jc w:val="both"/>
        <w:rPr>
          <w:rFonts w:ascii="Times New Roman" w:hAnsi="Times New Roman" w:cs="Times New Roman"/>
          <w:b/>
          <w:bCs/>
          <w:noProof/>
          <w:sz w:val="24"/>
          <w:szCs w:val="24"/>
          <w:u w:val="single"/>
        </w:rPr>
      </w:pPr>
      <w:r w:rsidRPr="008E43D4">
        <w:rPr>
          <w:rFonts w:ascii="Times New Roman" w:hAnsi="Times New Roman"/>
          <w:b/>
          <w:noProof/>
          <w:sz w:val="24"/>
          <w:u w:val="single"/>
        </w:rPr>
        <w:t>2. Great Sea Interconnector [</w:t>
      </w:r>
      <w:r w:rsidRPr="008E43D4">
        <w:rPr>
          <w:rFonts w:ascii="Times New Roman" w:hAnsi="Times New Roman"/>
          <w:b/>
          <w:i/>
          <w:noProof/>
          <w:sz w:val="24"/>
          <w:u w:val="single"/>
        </w:rPr>
        <w:t>Interconectarea electrică a Ciprului cu Europa continentală pentru a pune capăt izolării energetice</w:t>
      </w:r>
      <w:r w:rsidRPr="008E43D4">
        <w:rPr>
          <w:rFonts w:ascii="Times New Roman" w:hAnsi="Times New Roman"/>
          <w:b/>
          <w:noProof/>
          <w:sz w:val="24"/>
          <w:u w:val="single"/>
        </w:rPr>
        <w:t>]</w:t>
      </w:r>
    </w:p>
    <w:p w14:paraId="3D2CF09B"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Cipru este ultimul stat membru al UE care nu este conectat la rețeaua electrică europeană</w:t>
      </w:r>
      <w:r w:rsidRPr="008E43D4">
        <w:rPr>
          <w:rFonts w:ascii="Times New Roman" w:hAnsi="Times New Roman" w:cs="Times New Roman"/>
          <w:noProof/>
          <w:sz w:val="24"/>
          <w:szCs w:val="24"/>
          <w:vertAlign w:val="superscript"/>
        </w:rPr>
        <w:footnoteReference w:id="34"/>
      </w:r>
      <w:r w:rsidRPr="008E43D4">
        <w:rPr>
          <w:rFonts w:ascii="Times New Roman" w:hAnsi="Times New Roman"/>
          <w:noProof/>
          <w:sz w:val="24"/>
        </w:rPr>
        <w:t>, ceea ce limitează integrarea sa pe piața internă a energiei și restrânge posibilitățile de integrare a surselor regenerabile de energie. Great Sea Interconnector, interconexiunea planificată între Grecia și Cipru, va reduce acest decalaj, punând capăt izolării Ciprului din punct de vedere al energiei electrice, sprijinind decarbonizarea acestei țări și consolidând reziliența sistemului energetic european. De asemenea, aceasta va facilita o mai bună integrare a energiei din surse regenerabile în regiunea mediteraneeană extinsă.</w:t>
      </w:r>
    </w:p>
    <w:p w14:paraId="00173AB6" w14:textId="606E2D31"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Proiectul, reconfirmat în actuala listă de PIC/PIR, va fi cel mai lung cablu de energie submarin din lume, având o lungime de aproape 900 km. A fost finanțat prin granturi MIE, din care 2,3 milioane EUR pentru studii de fezabilitate și 658 de milioane EUR pentru lucrările de construire a secțiunii dintre Grecia și Cipru. În mai 2025 au fost finalizate lucrările aferente cablului submarin care leagă Grecia continentală de Creta, un pas esențial către interconectarea deplină.</w:t>
      </w:r>
    </w:p>
    <w:p w14:paraId="163407C6"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Progresele înregistrate în cadrul proiectului au fost îngreunate de un context geopolitic complex, cu potențiale implicații pentru termene și costuri. Valoarea strategică a acestei interconexiuni evidențiază importanța unei coordonări strânse între statele membre pentru a aborda aceste provocări și a asigura finalizarea proiectului.</w:t>
      </w:r>
    </w:p>
    <w:p w14:paraId="651AFE7C"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b/>
          <w:noProof/>
          <w:sz w:val="24"/>
          <w:u w:val="single"/>
        </w:rPr>
        <w:t>Acțiuni pe termen scurt</w:t>
      </w:r>
      <w:r w:rsidRPr="008E43D4">
        <w:rPr>
          <w:rFonts w:ascii="Times New Roman" w:hAnsi="Times New Roman"/>
          <w:noProof/>
          <w:sz w:val="24"/>
        </w:rPr>
        <w:t xml:space="preserve">: Comisia va continua să acorde un sprijin politic și tehnic puternic proiectului cu cea mai mare importanță strategică, în strânsă cooperare cu viitoarea președinție cipriotă a Consiliului din 2026, de exemplu prin evenimente specifice și prin discuții la nivel înalt, precum și printr-un angajament suplimentar privind abordarea aspectelor geopolitice. </w:t>
      </w:r>
    </w:p>
    <w:p w14:paraId="57A1D473" w14:textId="77777777" w:rsidR="00C36F54" w:rsidRPr="008E43D4" w:rsidRDefault="00C36F54" w:rsidP="00C36F54">
      <w:pPr>
        <w:jc w:val="both"/>
        <w:rPr>
          <w:rFonts w:ascii="Times New Roman" w:hAnsi="Times New Roman" w:cs="Times New Roman"/>
          <w:b/>
          <w:bCs/>
          <w:noProof/>
          <w:sz w:val="24"/>
          <w:szCs w:val="24"/>
          <w:u w:val="single"/>
        </w:rPr>
      </w:pPr>
      <w:r w:rsidRPr="008E43D4">
        <w:rPr>
          <w:rFonts w:ascii="Times New Roman" w:hAnsi="Times New Roman"/>
          <w:b/>
          <w:noProof/>
          <w:sz w:val="24"/>
          <w:u w:val="single"/>
        </w:rPr>
        <w:t>3. Harmony Link [</w:t>
      </w:r>
      <w:r w:rsidRPr="008E43D4">
        <w:rPr>
          <w:rFonts w:ascii="Times New Roman" w:hAnsi="Times New Roman"/>
          <w:b/>
          <w:i/>
          <w:noProof/>
          <w:sz w:val="24"/>
          <w:u w:val="single"/>
        </w:rPr>
        <w:t>Consolidarea interconectării electrice a statelor baltice pentru a spori beneficiile independenței lor față de Rusia din perspectiva securității</w:t>
      </w:r>
      <w:r w:rsidRPr="008E43D4">
        <w:rPr>
          <w:rFonts w:ascii="Times New Roman" w:hAnsi="Times New Roman"/>
          <w:b/>
          <w:noProof/>
          <w:sz w:val="24"/>
          <w:u w:val="single"/>
        </w:rPr>
        <w:t>]</w:t>
      </w:r>
    </w:p>
    <w:p w14:paraId="76601BA3"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La 9 februarie 2025, cele trei state baltice și-au sincronizat cu succes sistemele de furnizare a energiei electrice cu Europa continentală, o realizare majoră pentru securitatea energetică europeană. O investiție esențială încă nerealizată în cadrul PIC privind sincronizarea cu statele baltice este </w:t>
      </w:r>
      <w:r w:rsidRPr="008E43D4">
        <w:rPr>
          <w:rFonts w:ascii="Times New Roman" w:hAnsi="Times New Roman"/>
          <w:b/>
          <w:noProof/>
          <w:sz w:val="24"/>
        </w:rPr>
        <w:t>interconexiunea Harmony Link dintre Lituania și Polonia</w:t>
      </w:r>
      <w:r w:rsidRPr="008E43D4">
        <w:rPr>
          <w:rFonts w:ascii="Times New Roman" w:hAnsi="Times New Roman"/>
          <w:noProof/>
          <w:sz w:val="24"/>
        </w:rPr>
        <w:t xml:space="preserve">, a cărei finalizare va însemna integrarea deplină a piețelor de energie electrică ale statelor baltice. Recenta desemnare a unui coordonator european pentru finalizarea acestui proiect ar trebui să ajute la realizarea sa rapidă. </w:t>
      </w:r>
    </w:p>
    <w:p w14:paraId="60113094"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Odată finalizat, Harmony Link va îmbunătăți integrarea pieței, făcând posibil comerțul cu energie electrică prin Polonia și încurajând concurența, ceea ce poate duce la scăderea prețurilor pentru consumatorii și întreprinderile din regiune. Totodată, va fi facilitată integrarea energiei din surse regenerabile. De asemenea, Harmony Link va consolida semnificativ securitatea energetică în statele baltice. În prezent, interconexiunea LitPol Link este singura conexiune dintre statele baltice și Europa continentală, iar întreruperea ar avea consecințe grave pentru sistemul energetic al statelor baltice. </w:t>
      </w:r>
    </w:p>
    <w:p w14:paraId="0E817B0E" w14:textId="304B5395"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b/>
          <w:noProof/>
          <w:sz w:val="24"/>
          <w:u w:val="single"/>
        </w:rPr>
        <w:t>Acțiuni pe termen scurt</w:t>
      </w:r>
      <w:r w:rsidRPr="008E43D4">
        <w:rPr>
          <w:rFonts w:ascii="Times New Roman" w:hAnsi="Times New Roman"/>
          <w:b/>
          <w:noProof/>
          <w:sz w:val="24"/>
        </w:rPr>
        <w:t>:</w:t>
      </w:r>
      <w:r w:rsidRPr="008E43D4">
        <w:rPr>
          <w:rFonts w:ascii="Times New Roman" w:hAnsi="Times New Roman"/>
          <w:noProof/>
          <w:sz w:val="24"/>
        </w:rPr>
        <w:t xml:space="preserve"> Comisia va sprijini implementarea la timp a acestui proiect printr-o cooperare regională consolidată și va face un bilanț la nivel ministerial în cadrul următoarei reuniuni la nivel înalt a BEMIP din 2026, ca urmare a semnării memorandumului de înțelegere BEMIP actualizat de anul trecut; de asemenea, se va asigura că adoptarea noului plan de acțiune al grupului la nivel înalt pentru BEMIP acordă prioritate realizării acestei autostrăzi.</w:t>
      </w:r>
    </w:p>
    <w:p w14:paraId="185A8109" w14:textId="5A817793" w:rsidR="00C36F54" w:rsidRPr="008E43D4" w:rsidRDefault="00C36F54" w:rsidP="00C36F54">
      <w:pPr>
        <w:jc w:val="both"/>
        <w:rPr>
          <w:rFonts w:ascii="Times New Roman" w:hAnsi="Times New Roman" w:cs="Times New Roman"/>
          <w:noProof/>
          <w:sz w:val="24"/>
          <w:szCs w:val="24"/>
          <w:u w:val="single"/>
        </w:rPr>
      </w:pPr>
      <w:r w:rsidRPr="008E43D4">
        <w:rPr>
          <w:rFonts w:ascii="Times New Roman" w:hAnsi="Times New Roman"/>
          <w:noProof/>
          <w:sz w:val="24"/>
          <w:u w:val="single"/>
        </w:rPr>
        <w:t xml:space="preserve">4. </w:t>
      </w:r>
      <w:r w:rsidRPr="008E43D4">
        <w:rPr>
          <w:rFonts w:ascii="Times New Roman" w:hAnsi="Times New Roman"/>
          <w:b/>
          <w:noProof/>
          <w:sz w:val="24"/>
          <w:u w:val="single"/>
        </w:rPr>
        <w:t>Fluxul inversat prin gazoductul transbalcanic (TBP)</w:t>
      </w:r>
      <w:r w:rsidRPr="008E43D4">
        <w:rPr>
          <w:rFonts w:ascii="Times New Roman" w:hAnsi="Times New Roman"/>
          <w:noProof/>
          <w:sz w:val="24"/>
          <w:u w:val="single"/>
        </w:rPr>
        <w:t xml:space="preserve"> [</w:t>
      </w:r>
      <w:r w:rsidRPr="008E43D4">
        <w:rPr>
          <w:rFonts w:ascii="Times New Roman" w:hAnsi="Times New Roman"/>
          <w:b/>
          <w:i/>
          <w:noProof/>
          <w:sz w:val="24"/>
          <w:u w:val="single"/>
        </w:rPr>
        <w:t>Reziliența aprovizionării cu energie în regiunea Balcanilor și în vecinătatea estică</w:t>
      </w:r>
      <w:r w:rsidRPr="008E43D4">
        <w:rPr>
          <w:rFonts w:ascii="Times New Roman" w:hAnsi="Times New Roman"/>
          <w:b/>
          <w:i/>
          <w:noProof/>
          <w:sz w:val="24"/>
        </w:rPr>
        <w:t>]</w:t>
      </w:r>
    </w:p>
    <w:p w14:paraId="6314EB8B"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b/>
          <w:noProof/>
          <w:sz w:val="24"/>
        </w:rPr>
        <w:t>Fluxul inversat prin gazoductul transbalcanic (TBP)</w:t>
      </w:r>
      <w:r w:rsidRPr="008E43D4">
        <w:rPr>
          <w:rFonts w:ascii="Times New Roman" w:hAnsi="Times New Roman"/>
          <w:noProof/>
          <w:sz w:val="24"/>
        </w:rPr>
        <w:t xml:space="preserve"> nu este un proiect de extindere a capacității, ci un efort coordonat în regiunea Europei Centrale și regiunea Europei de Sud-Est menit </w:t>
      </w:r>
      <w:r w:rsidRPr="008E43D4">
        <w:rPr>
          <w:rFonts w:ascii="Times New Roman" w:hAnsi="Times New Roman"/>
          <w:b/>
          <w:noProof/>
          <w:sz w:val="24"/>
        </w:rPr>
        <w:t>să permită utilizarea la maximum a capacității existente de transport al gazelor naturale în sens invers, de la sud la nord</w:t>
      </w:r>
      <w:r w:rsidRPr="008E43D4">
        <w:rPr>
          <w:rFonts w:ascii="Times New Roman" w:hAnsi="Times New Roman"/>
          <w:noProof/>
          <w:sz w:val="24"/>
        </w:rPr>
        <w:t>. Această funcționalitate este esențială pentru diversificarea aprovizionării cu gaze naturale în Europa de Sud-Est și pentru oprirea importurilor din Rusia.</w:t>
      </w:r>
    </w:p>
    <w:p w14:paraId="349D12F5"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Cu o capacitate de transport semnificativă, TBP poate juca un rol central în diversificarea regională și în realizarea obiectivelor REPowerEU. Acest potențial va crește și mai mult începând din 2027, când se estimează că vor deveni disponibile gazele din zăcământul Neptun Deep aflat în România. Exploatarea completă a TBP pe direcția sud-nord, combinată cu diversificarea surselor, ar urma să stimuleze intensificarea comerțului, creșterea concurenței și a lichidității pieței în regiune, fără a fi necesară o nouă infrastructură costisitoare.</w:t>
      </w:r>
    </w:p>
    <w:p w14:paraId="08ED0438"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În pofida acestui potențial, </w:t>
      </w:r>
      <w:r w:rsidRPr="008E43D4">
        <w:rPr>
          <w:rFonts w:ascii="Times New Roman" w:hAnsi="Times New Roman"/>
          <w:b/>
          <w:noProof/>
          <w:sz w:val="24"/>
        </w:rPr>
        <w:t>obstacolele actuale legate de reglementare și de piață existente în mai multe state membre aflate de-a lungul conductei reprezintă piedici în calea utilizării și a viabilității comerciale a TBP</w:t>
      </w:r>
      <w:r w:rsidRPr="008E43D4">
        <w:rPr>
          <w:rFonts w:ascii="Times New Roman" w:hAnsi="Times New Roman"/>
          <w:noProof/>
          <w:sz w:val="24"/>
        </w:rPr>
        <w:t>. Recenta numire a unui coordonator european pentru regiunea CESEC va consolida sprijinul UE pentru eliminarea acestor bariere.</w:t>
      </w:r>
    </w:p>
    <w:p w14:paraId="07C78933" w14:textId="5E5D3288" w:rsidR="00C36F54" w:rsidRPr="008E43D4" w:rsidRDefault="00C36F54" w:rsidP="00C36F54">
      <w:pPr>
        <w:jc w:val="both"/>
        <w:rPr>
          <w:rFonts w:ascii="Times New Roman" w:hAnsi="Times New Roman" w:cs="Times New Roman"/>
          <w:noProof/>
          <w:sz w:val="24"/>
          <w:szCs w:val="24"/>
          <w:u w:val="single"/>
        </w:rPr>
      </w:pPr>
      <w:r w:rsidRPr="008E43D4">
        <w:rPr>
          <w:rFonts w:ascii="Times New Roman" w:hAnsi="Times New Roman"/>
          <w:b/>
          <w:noProof/>
          <w:sz w:val="24"/>
          <w:u w:val="single"/>
        </w:rPr>
        <w:t>Acțiuni pe termen scurt</w:t>
      </w:r>
      <w:r w:rsidRPr="008E43D4">
        <w:rPr>
          <w:rFonts w:ascii="Times New Roman" w:hAnsi="Times New Roman"/>
          <w:noProof/>
          <w:sz w:val="24"/>
        </w:rPr>
        <w:t xml:space="preserve">: Comisia urmează să intensifice coordonarea în cadrul grupului la nivel înalt pentru CESEC cu toate țările vizate, inclusiv cu Moldova și Ucraina, urmărind </w:t>
      </w:r>
      <w:r w:rsidRPr="008E43D4">
        <w:rPr>
          <w:rFonts w:ascii="Times New Roman" w:hAnsi="Times New Roman"/>
          <w:b/>
          <w:noProof/>
          <w:sz w:val="24"/>
        </w:rPr>
        <w:t>creșterea atractivității comerciale a conductei cât mai curând posibil</w:t>
      </w:r>
      <w:r w:rsidRPr="008E43D4">
        <w:rPr>
          <w:rFonts w:ascii="Times New Roman" w:hAnsi="Times New Roman"/>
          <w:noProof/>
          <w:sz w:val="24"/>
        </w:rPr>
        <w:t xml:space="preserve"> și asigurând în același timp respectarea pe termen lung a acquis-ului UE în domeniul energetic. În acest context, Comisia va sprijini în continuare activitatea grupului la nivel înalt pentru CESEC de armonizare a calității gazelor și de </w:t>
      </w:r>
      <w:r w:rsidRPr="008E43D4">
        <w:rPr>
          <w:rFonts w:ascii="Times New Roman" w:hAnsi="Times New Roman"/>
          <w:b/>
          <w:noProof/>
          <w:sz w:val="24"/>
        </w:rPr>
        <w:t>eliminare a obstacolelor care împiedică utilizarea la maximum a gazoductului transbalcanic</w:t>
      </w:r>
      <w:r w:rsidRPr="008E43D4">
        <w:rPr>
          <w:rFonts w:ascii="Times New Roman" w:hAnsi="Times New Roman"/>
          <w:noProof/>
          <w:sz w:val="24"/>
        </w:rPr>
        <w:t>.</w:t>
      </w:r>
    </w:p>
    <w:p w14:paraId="0CE72D7E" w14:textId="0B0A403D" w:rsidR="00C36F54" w:rsidRPr="008E43D4" w:rsidRDefault="00C36F54" w:rsidP="00C36F54">
      <w:pPr>
        <w:jc w:val="both"/>
        <w:rPr>
          <w:rFonts w:ascii="Times New Roman" w:hAnsi="Times New Roman" w:cs="Times New Roman"/>
          <w:b/>
          <w:bCs/>
          <w:noProof/>
          <w:sz w:val="24"/>
          <w:szCs w:val="24"/>
          <w:u w:val="single"/>
        </w:rPr>
      </w:pPr>
      <w:r w:rsidRPr="008E43D4">
        <w:rPr>
          <w:rFonts w:ascii="Times New Roman" w:hAnsi="Times New Roman"/>
          <w:b/>
          <w:noProof/>
          <w:sz w:val="24"/>
          <w:u w:val="single"/>
        </w:rPr>
        <w:t>5. Bornholm Energy Island [</w:t>
      </w:r>
      <w:r w:rsidRPr="008E43D4">
        <w:rPr>
          <w:rFonts w:ascii="Times New Roman" w:hAnsi="Times New Roman"/>
          <w:b/>
          <w:i/>
          <w:noProof/>
          <w:sz w:val="24"/>
          <w:u w:val="single"/>
        </w:rPr>
        <w:t>Transformarea Mării Baltice într-un nod de interconectare offshore</w:t>
      </w:r>
      <w:r w:rsidRPr="008E43D4">
        <w:rPr>
          <w:rFonts w:ascii="Times New Roman" w:hAnsi="Times New Roman"/>
          <w:b/>
          <w:noProof/>
          <w:sz w:val="24"/>
          <w:u w:val="single"/>
        </w:rPr>
        <w:t>]</w:t>
      </w:r>
    </w:p>
    <w:p w14:paraId="1BC8E496" w14:textId="3A576180"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b/>
          <w:noProof/>
          <w:sz w:val="24"/>
        </w:rPr>
        <w:t>Proiectul Bornholm Energy Island (BEI), primul de acest fel, este un proiect offshore hibrid</w:t>
      </w:r>
      <w:r w:rsidRPr="008E43D4">
        <w:rPr>
          <w:rFonts w:ascii="Times New Roman" w:hAnsi="Times New Roman"/>
          <w:noProof/>
          <w:sz w:val="24"/>
        </w:rPr>
        <w:t xml:space="preserve"> situat în sud-vestul insulei Bornholm, în zona economică exclusivă a Danemarcei. Proiectul este planificat ca un viitor nod energetic, având </w:t>
      </w:r>
      <w:r w:rsidRPr="008E43D4">
        <w:rPr>
          <w:rFonts w:ascii="Times New Roman" w:hAnsi="Times New Roman"/>
          <w:b/>
          <w:noProof/>
          <w:sz w:val="24"/>
        </w:rPr>
        <w:t>potențialul de a se extinde și de a se racorda la mai multe interconexiuni</w:t>
      </w:r>
      <w:r w:rsidRPr="008E43D4">
        <w:rPr>
          <w:rFonts w:ascii="Times New Roman" w:hAnsi="Times New Roman"/>
          <w:noProof/>
          <w:sz w:val="24"/>
        </w:rPr>
        <w:t xml:space="preserve"> cu alte țări. Este reconfirmat în cea de a doua listă PIC/PIR și a primit un grant MIE pentru lucrări (645,2 milioane EUR) în septembrie 2025. BEI este un model pentru viitoarele inițiative offshore ale UE, deoarece va crește integrarea pieței, va spori securitatea aprovizionării la nivelul UE și va aduce beneficii Danemarcei, Germaniei și statelor membre din afara regiunii. Prin conectarea producției offshore la rețelele naționale ale Danemarcei și Germaniei, energia eoliană offshore se transformă dintr-o resursă națională într-un activ european comun pentru extinderea electrificării, consolidând reziliența noastră colectivă și independența noastră energetică.</w:t>
      </w:r>
      <w:r w:rsidRPr="008E43D4">
        <w:rPr>
          <w:rFonts w:ascii="Times New Roman" w:hAnsi="Times New Roman"/>
          <w:i/>
          <w:noProof/>
          <w:sz w:val="24"/>
        </w:rPr>
        <w:t xml:space="preserve"> </w:t>
      </w:r>
      <w:r w:rsidRPr="008E43D4">
        <w:rPr>
          <w:rFonts w:ascii="Times New Roman" w:hAnsi="Times New Roman"/>
          <w:noProof/>
          <w:sz w:val="24"/>
        </w:rPr>
        <w:t>Rămân de soluționat provocarea semnării unui acord între Danemarca și Germania cu privire la modul de partajare a costurilor suplimentare de sprijinire a parcului eolian offshore din Danemarca și cea a finalizării cadrului de reglementare din Danemarca, în special în ceea ce privește răspunderea transfrontalieră.</w:t>
      </w:r>
    </w:p>
    <w:p w14:paraId="04F60F9C" w14:textId="360FB287" w:rsidR="00C36F54" w:rsidRPr="008E43D4" w:rsidRDefault="00C36F54" w:rsidP="00C36F54">
      <w:pPr>
        <w:jc w:val="both"/>
        <w:rPr>
          <w:rFonts w:ascii="Times New Roman" w:hAnsi="Times New Roman" w:cs="Times New Roman"/>
          <w:noProof/>
          <w:sz w:val="24"/>
          <w:szCs w:val="24"/>
          <w:u w:val="single"/>
        </w:rPr>
      </w:pPr>
      <w:r w:rsidRPr="008E43D4">
        <w:rPr>
          <w:rFonts w:ascii="Times New Roman" w:hAnsi="Times New Roman"/>
          <w:b/>
          <w:noProof/>
          <w:sz w:val="24"/>
          <w:u w:val="single"/>
        </w:rPr>
        <w:t>Acțiuni pe termen scurt</w:t>
      </w:r>
      <w:r w:rsidRPr="008E43D4">
        <w:rPr>
          <w:rFonts w:ascii="Times New Roman" w:hAnsi="Times New Roman"/>
          <w:noProof/>
          <w:sz w:val="24"/>
          <w:u w:val="single"/>
        </w:rPr>
        <w:t>:</w:t>
      </w:r>
      <w:r w:rsidRPr="008E43D4">
        <w:rPr>
          <w:rFonts w:ascii="Times New Roman" w:hAnsi="Times New Roman"/>
          <w:noProof/>
          <w:sz w:val="24"/>
        </w:rPr>
        <w:t xml:space="preserve"> În urma semnării la Copenhaga, la 4 septembrie 2025, a acordului de grant MIE în valoare de 645 de milioane EUR pentru oferirea de sprijin părții daneze a proiectului Bornholm Energy Island (BEI), destinat construirii a două noi stații de conversie și instalării unui sistem de cabluri submarine, Comisia va continua să ofere sprijin Danemarcei și Germaniei în vederea ajungerii la un acord politic privind partajarea costurilor aferente producției offshore în apele daneze, precum și în vederea finalizării cadrului de reglementare privind răspunderea transfrontalieră a celor două țări. În plus, Comisia va continua să sprijine lucrările privind interoperabilitatea rețelelor offshore, pentru a se asigura că BEI se va putea transforma în viitor într-un adevărat centru offshore pentru regiunea baltică.</w:t>
      </w:r>
    </w:p>
    <w:p w14:paraId="6EC1813A" w14:textId="77777777" w:rsidR="00C36F54" w:rsidRPr="008E43D4" w:rsidRDefault="00C36F54" w:rsidP="0027132F">
      <w:pPr>
        <w:keepNext/>
        <w:widowControl w:val="0"/>
        <w:spacing w:after="0" w:line="240" w:lineRule="auto"/>
        <w:jc w:val="both"/>
        <w:rPr>
          <w:rFonts w:ascii="Times New Roman" w:hAnsi="Times New Roman" w:cs="Times New Roman"/>
          <w:noProof/>
          <w:sz w:val="24"/>
          <w:szCs w:val="24"/>
          <w:u w:val="single"/>
        </w:rPr>
      </w:pPr>
      <w:r w:rsidRPr="008E43D4">
        <w:rPr>
          <w:rFonts w:ascii="Times New Roman" w:hAnsi="Times New Roman"/>
          <w:b/>
          <w:noProof/>
          <w:sz w:val="24"/>
          <w:u w:val="single"/>
        </w:rPr>
        <w:t>6.</w:t>
      </w:r>
      <w:r w:rsidRPr="008E43D4">
        <w:rPr>
          <w:rFonts w:ascii="Times New Roman" w:hAnsi="Times New Roman"/>
          <w:noProof/>
          <w:sz w:val="24"/>
          <w:u w:val="single"/>
        </w:rPr>
        <w:t xml:space="preserve"> </w:t>
      </w:r>
      <w:r w:rsidRPr="008E43D4">
        <w:rPr>
          <w:rFonts w:ascii="Times New Roman" w:hAnsi="Times New Roman"/>
          <w:b/>
          <w:noProof/>
          <w:sz w:val="24"/>
          <w:u w:val="single"/>
        </w:rPr>
        <w:t>Îmbunătățirea stabilității prețurilor și a securității energetice în Europa de Sud-Est, inclusiv prin stocare</w:t>
      </w:r>
    </w:p>
    <w:p w14:paraId="108778B2" w14:textId="77777777" w:rsidR="00C36F54" w:rsidRPr="008E43D4" w:rsidRDefault="00C36F54" w:rsidP="0027132F">
      <w:pPr>
        <w:keepNext/>
        <w:widowControl w:val="0"/>
        <w:spacing w:after="0" w:line="240" w:lineRule="auto"/>
        <w:jc w:val="both"/>
        <w:rPr>
          <w:rFonts w:ascii="Times New Roman" w:hAnsi="Times New Roman" w:cs="Times New Roman"/>
          <w:noProof/>
          <w:sz w:val="24"/>
          <w:szCs w:val="24"/>
        </w:rPr>
      </w:pPr>
    </w:p>
    <w:p w14:paraId="382E0A6C" w14:textId="77777777" w:rsidR="00C36F54" w:rsidRPr="008E43D4" w:rsidRDefault="00C36F54" w:rsidP="0027132F">
      <w:pPr>
        <w:keepNext/>
        <w:widowControl w:val="0"/>
        <w:jc w:val="both"/>
        <w:rPr>
          <w:rFonts w:ascii="Times New Roman" w:hAnsi="Times New Roman" w:cs="Times New Roman"/>
          <w:noProof/>
          <w:sz w:val="24"/>
          <w:szCs w:val="24"/>
        </w:rPr>
      </w:pPr>
      <w:r w:rsidRPr="008E43D4">
        <w:rPr>
          <w:rFonts w:ascii="Times New Roman" w:hAnsi="Times New Roman"/>
          <w:noProof/>
          <w:sz w:val="24"/>
        </w:rPr>
        <w:t>Regiunea Europei de Sud-Est are de suferit de pe urma diferențelor structurale mari între prețuri, evidențiate de creșterile bruște ale prețurilor din 2024, care au cauzat disparități medii ale prețurilor de peste 10 EUR/MWh între țările respective.</w:t>
      </w:r>
    </w:p>
    <w:p w14:paraId="5952AF31"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Autostrada energetică formată din </w:t>
      </w:r>
      <w:r w:rsidRPr="008E43D4">
        <w:rPr>
          <w:rFonts w:ascii="Times New Roman" w:hAnsi="Times New Roman"/>
          <w:b/>
          <w:noProof/>
          <w:sz w:val="24"/>
        </w:rPr>
        <w:t>interconexiunile electrice ale Europei de Sud-Est</w:t>
      </w:r>
      <w:r w:rsidRPr="008E43D4">
        <w:rPr>
          <w:rFonts w:ascii="Times New Roman" w:hAnsi="Times New Roman"/>
          <w:noProof/>
          <w:sz w:val="24"/>
        </w:rPr>
        <w:t xml:space="preserve"> reprezintă o soluție la lacunele critice în materie de infrastructură a energiei electrice din regiune, urmărind să îmbunătățească stabilitatea prețurilor, să sporească securitatea aprovizionării și să promoveze integrarea piețelor regionale. Aceasta presupune o mai bună utilizare a interconexiunilor existente și abordarea nevoilor transfrontaliere viitoare pentru a elimina disparitățile actuale de la nivelul prețurilor. Potrivit evaluării ENTSO-E din 2024 privind nevoile sistemului conform TYNDP, sunt necesare consolidări ale infrastructurii la majoritatea frontierelor din regiune. Implementarea rapidă a proiectelor existente de interes comun și a proiectelor prioritare privind infrastructura de energie electrică ale Grupului la nivel înalt pentru conectivitatea energetică în Europa Centrală și de Sud-Est (CESEC) va fi esențială pentru satisfacerea acestor nevoi. Accelerarea stocării în regiune va îmbunătăți totodată și flexibilitatea sistemului.</w:t>
      </w:r>
    </w:p>
    <w:p w14:paraId="5417E276" w14:textId="7D7D2753"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b/>
          <w:noProof/>
          <w:sz w:val="24"/>
          <w:u w:val="single"/>
        </w:rPr>
        <w:t>Acțiuni pe termen scurt</w:t>
      </w:r>
      <w:r w:rsidRPr="008E43D4">
        <w:rPr>
          <w:rFonts w:ascii="Times New Roman" w:hAnsi="Times New Roman"/>
          <w:noProof/>
          <w:sz w:val="24"/>
        </w:rPr>
        <w:t xml:space="preserve">: Coordonarea puternică și sprijinul oferit de grupul la nivel înalt pentru CESEC, împreună cu coordonatorul CESEC, vor fi esențiale pentru accelerarea progreselor. Pentru a menține dinamica și a sprijini punerea în aplicare, Comisia se va asigura că anul viitor vor avea loc discuții specifice de nivel înalt la toate nivelurile. </w:t>
      </w:r>
    </w:p>
    <w:p w14:paraId="3357A5C8" w14:textId="0F7A1AB4" w:rsidR="00C36F54" w:rsidRPr="008E43D4" w:rsidRDefault="00C36F54" w:rsidP="00C36F54">
      <w:pPr>
        <w:spacing w:after="0" w:line="240" w:lineRule="auto"/>
        <w:jc w:val="both"/>
        <w:rPr>
          <w:rFonts w:ascii="Times New Roman" w:hAnsi="Times New Roman" w:cs="Times New Roman"/>
          <w:b/>
          <w:bCs/>
          <w:noProof/>
          <w:sz w:val="24"/>
          <w:szCs w:val="24"/>
          <w:u w:val="single"/>
        </w:rPr>
      </w:pPr>
      <w:r w:rsidRPr="008E43D4">
        <w:rPr>
          <w:rFonts w:ascii="Times New Roman" w:hAnsi="Times New Roman"/>
          <w:b/>
          <w:noProof/>
          <w:sz w:val="24"/>
          <w:u w:val="single"/>
        </w:rPr>
        <w:t>7.</w:t>
      </w:r>
      <w:r w:rsidRPr="008E43D4">
        <w:rPr>
          <w:rFonts w:ascii="Times New Roman" w:hAnsi="Times New Roman"/>
          <w:noProof/>
          <w:sz w:val="24"/>
          <w:u w:val="single"/>
        </w:rPr>
        <w:t xml:space="preserve"> </w:t>
      </w:r>
      <w:r w:rsidRPr="008E43D4">
        <w:rPr>
          <w:rFonts w:ascii="Times New Roman" w:hAnsi="Times New Roman"/>
          <w:b/>
          <w:noProof/>
          <w:sz w:val="24"/>
          <w:u w:val="single"/>
        </w:rPr>
        <w:t>Coridorul SoutH2</w:t>
      </w:r>
      <w:r w:rsidRPr="008E43D4">
        <w:rPr>
          <w:rFonts w:ascii="Times New Roman" w:hAnsi="Times New Roman"/>
          <w:noProof/>
          <w:sz w:val="24"/>
          <w:u w:val="single"/>
        </w:rPr>
        <w:t xml:space="preserve"> [</w:t>
      </w:r>
      <w:r w:rsidRPr="008E43D4">
        <w:rPr>
          <w:rFonts w:ascii="Times New Roman" w:hAnsi="Times New Roman"/>
          <w:b/>
          <w:i/>
          <w:noProof/>
          <w:sz w:val="24"/>
          <w:u w:val="single"/>
        </w:rPr>
        <w:t>Coridorul sudic al hidrogenului (Tunisia, Italia, Austria și Germania)</w:t>
      </w:r>
      <w:r w:rsidRPr="008E43D4">
        <w:rPr>
          <w:rFonts w:ascii="Times New Roman" w:hAnsi="Times New Roman"/>
          <w:b/>
          <w:noProof/>
          <w:sz w:val="24"/>
          <w:u w:val="single"/>
        </w:rPr>
        <w:t>]</w:t>
      </w:r>
    </w:p>
    <w:p w14:paraId="447FA620" w14:textId="77777777" w:rsidR="00C36F54" w:rsidRPr="008E43D4" w:rsidRDefault="00C36F54" w:rsidP="00C36F54">
      <w:pPr>
        <w:spacing w:after="0" w:line="240" w:lineRule="auto"/>
        <w:jc w:val="both"/>
        <w:rPr>
          <w:rFonts w:ascii="Times New Roman" w:hAnsi="Times New Roman" w:cs="Times New Roman"/>
          <w:noProof/>
          <w:sz w:val="24"/>
          <w:szCs w:val="24"/>
        </w:rPr>
      </w:pPr>
    </w:p>
    <w:p w14:paraId="7014E380"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Coridorul sudic al hidrogenului va fi esențial pentru promovarea unei tranziții energetice juste și durabile în întreaga regiune mediteraneeană, în special în Africa de Nord, permițând în același timp decarbonizarea nodurilor industriale aflate de-a lungul traseului. Coridorul oferă un potențial semnificativ de extindere a producției de hidrogen din surse regenerabile, a infrastructurii și a piețelor de achiziție, de promovare a integrării piețelor și de instituire a unui cadru de reglementare și de investiții favorabil, aliniat la Strategia UE pentru hidrogen și la cadrul de reglementare aferent. </w:t>
      </w:r>
    </w:p>
    <w:p w14:paraId="6C68A972"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Acest coridor </w:t>
      </w:r>
      <w:r w:rsidRPr="008E43D4">
        <w:rPr>
          <w:rFonts w:ascii="Times New Roman" w:hAnsi="Times New Roman"/>
          <w:b/>
          <w:noProof/>
          <w:sz w:val="24"/>
        </w:rPr>
        <w:t>cuprinde patru proiecte de interes comun (PIC)</w:t>
      </w:r>
      <w:r w:rsidRPr="008E43D4">
        <w:rPr>
          <w:rFonts w:ascii="Times New Roman" w:hAnsi="Times New Roman"/>
          <w:noProof/>
          <w:sz w:val="24"/>
        </w:rPr>
        <w:t>, dintre care unele au beneficiat deja de granturi MIE pentru studii, și [un proiect de interes reciproc cu Tunisia], toate reconfirmate în cea de a doua listă PIC/PIR. În viitor, având în vedere că dezvoltarea pieței hidrogenului se află încă într-o etapă incipientă, vor fi necesare activități conceptuale suplimentare, în special pentru a reduce și mai mult riscurile investițiilor aferente, menținând în același timp un parteneriat reciproc avantajos cu Africa de Nord.</w:t>
      </w:r>
    </w:p>
    <w:p w14:paraId="063975AD" w14:textId="2C253B92"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b/>
          <w:noProof/>
          <w:sz w:val="24"/>
          <w:u w:val="single"/>
        </w:rPr>
        <w:t>Acțiuni pe termen scurt</w:t>
      </w:r>
      <w:r w:rsidRPr="008E43D4">
        <w:rPr>
          <w:rFonts w:ascii="Times New Roman" w:hAnsi="Times New Roman"/>
          <w:noProof/>
          <w:sz w:val="24"/>
        </w:rPr>
        <w:t>: Pe termen scurt, Comisia va consolida eforturile de coordonare și de punere în aplicare ale Secretariatului SoutH2, sub conducerea comună a DG MENA și a DG ENER. Totodată, vor fi intensificate dialogurile regionale prin reuniuni ale Grupului de lucru comun trilateral al UE pentru coridorul sudic al hidrogenului (Italia, Austria și Germania) și ale Grupului pentalateral (Algeria, Tunisia, Italia, Austria și Germania) la începutul anului 2026, menite să promoveze inițiativa. Inițiativa emblematică privind cooperarea transmediteraneeană în domeniul energiei din surse regenerabile și al tehnologiilor curate (T-MED), lansată în cadrul Pactului pentru Mediterana</w:t>
      </w:r>
      <w:r w:rsidRPr="008E43D4">
        <w:rPr>
          <w:rStyle w:val="FootnoteReference"/>
          <w:rFonts w:ascii="Times New Roman" w:hAnsi="Times New Roman" w:cs="Times New Roman"/>
          <w:noProof/>
          <w:sz w:val="24"/>
          <w:szCs w:val="24"/>
        </w:rPr>
        <w:footnoteReference w:id="35"/>
      </w:r>
      <w:r w:rsidRPr="008E43D4">
        <w:rPr>
          <w:rFonts w:ascii="Times New Roman" w:hAnsi="Times New Roman"/>
          <w:noProof/>
          <w:sz w:val="24"/>
        </w:rPr>
        <w:t>, va contribui de asemenea la realizarea acestei autostrăzi energetice.</w:t>
      </w:r>
    </w:p>
    <w:p w14:paraId="656419AE" w14:textId="1340C2A2" w:rsidR="00C36F54" w:rsidRPr="008E43D4" w:rsidRDefault="00C36F54" w:rsidP="00C36F54">
      <w:pPr>
        <w:spacing w:after="0" w:line="240" w:lineRule="auto"/>
        <w:jc w:val="both"/>
        <w:rPr>
          <w:rFonts w:ascii="Times New Roman" w:hAnsi="Times New Roman" w:cs="Times New Roman"/>
          <w:b/>
          <w:bCs/>
          <w:noProof/>
          <w:sz w:val="24"/>
          <w:szCs w:val="24"/>
          <w:u w:val="single"/>
        </w:rPr>
      </w:pPr>
      <w:r w:rsidRPr="008E43D4">
        <w:rPr>
          <w:rFonts w:ascii="Times New Roman" w:hAnsi="Times New Roman"/>
          <w:b/>
          <w:noProof/>
          <w:sz w:val="24"/>
          <w:u w:val="single"/>
        </w:rPr>
        <w:t>8. Coridorul sud-vestic al hidrogenului, din Portugalia în Germania</w:t>
      </w:r>
    </w:p>
    <w:p w14:paraId="4C3A0C04" w14:textId="77777777" w:rsidR="00C36F54" w:rsidRPr="008E43D4" w:rsidRDefault="00C36F54" w:rsidP="00C36F54">
      <w:pPr>
        <w:spacing w:after="0" w:line="240" w:lineRule="auto"/>
        <w:jc w:val="both"/>
        <w:rPr>
          <w:rFonts w:ascii="Times New Roman" w:hAnsi="Times New Roman" w:cs="Times New Roman"/>
          <w:noProof/>
          <w:sz w:val="24"/>
          <w:szCs w:val="24"/>
        </w:rPr>
      </w:pPr>
    </w:p>
    <w:p w14:paraId="69EBCD31"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 xml:space="preserve">Coridorul sud-vestic al hidrogenului va transporta hidrogenul decarbonizat de la locurile de producție din Europa de Sud-Est la centrele de cerere industrială, accelerând decarbonizarea sectoarelor greu de decarbonizat și făcând posibilă integrarea eficientă a energiei din surse regenerabile. Inițiativa cuprinde </w:t>
      </w:r>
      <w:r w:rsidRPr="008E43D4">
        <w:rPr>
          <w:rFonts w:ascii="Times New Roman" w:hAnsi="Times New Roman"/>
          <w:b/>
          <w:noProof/>
          <w:sz w:val="24"/>
        </w:rPr>
        <w:t>proiecte-cheie de interes comun între Portugalia, Spania și Franța, precum și conexiuni interne care se extind către Germania</w:t>
      </w:r>
      <w:r w:rsidRPr="008E43D4">
        <w:rPr>
          <w:rFonts w:ascii="Times New Roman" w:hAnsi="Times New Roman"/>
          <w:noProof/>
          <w:sz w:val="24"/>
        </w:rPr>
        <w:t xml:space="preserve">. Împreună, aceste proiecte urmăresc să furnizeze până la </w:t>
      </w:r>
      <w:r w:rsidRPr="008E43D4">
        <w:rPr>
          <w:rFonts w:ascii="Times New Roman" w:hAnsi="Times New Roman"/>
          <w:b/>
          <w:noProof/>
          <w:sz w:val="24"/>
        </w:rPr>
        <w:t>2 milioane de tone de hidrogen din surse regenerabile anual până în 2030</w:t>
      </w:r>
      <w:r w:rsidRPr="008E43D4">
        <w:rPr>
          <w:rFonts w:ascii="Times New Roman" w:hAnsi="Times New Roman"/>
          <w:noProof/>
          <w:sz w:val="24"/>
        </w:rPr>
        <w:t>, consolidând flexibilitatea și securitatea energetică în întreaga regiune.</w:t>
      </w:r>
    </w:p>
    <w:p w14:paraId="162BC58B" w14:textId="77777777"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noProof/>
          <w:sz w:val="24"/>
        </w:rPr>
        <w:t>Progresele au fost însă limitate și încă persistă o serie de provocări, printre care utilizarea insuficientă, întârzierile în punerea în aplicare normativă, dificultățile în asigurarea finanțării și în coordonarea măsurilor de reducere a riscurilor de-a lungul coridorului, precum și prioritățile strategice ale diferitelor state membre în ceea ce privește distribuirea beneficiilor coridorului către toți participanții.</w:t>
      </w:r>
    </w:p>
    <w:p w14:paraId="284618D3" w14:textId="14596721" w:rsidR="00C36F54" w:rsidRPr="008E43D4" w:rsidRDefault="00C36F54" w:rsidP="00C36F54">
      <w:pPr>
        <w:jc w:val="both"/>
        <w:rPr>
          <w:rFonts w:ascii="Times New Roman" w:hAnsi="Times New Roman" w:cs="Times New Roman"/>
          <w:noProof/>
          <w:sz w:val="24"/>
          <w:szCs w:val="24"/>
        </w:rPr>
      </w:pPr>
      <w:r w:rsidRPr="008E43D4">
        <w:rPr>
          <w:rFonts w:ascii="Times New Roman" w:hAnsi="Times New Roman"/>
          <w:b/>
          <w:noProof/>
          <w:sz w:val="24"/>
          <w:u w:val="single"/>
        </w:rPr>
        <w:t>Acțiuni pe termen scurt</w:t>
      </w:r>
      <w:r w:rsidRPr="008E43D4">
        <w:rPr>
          <w:rFonts w:ascii="Times New Roman" w:hAnsi="Times New Roman"/>
          <w:noProof/>
          <w:sz w:val="24"/>
        </w:rPr>
        <w:t>:</w:t>
      </w:r>
      <w:r w:rsidRPr="008E43D4">
        <w:rPr>
          <w:rFonts w:ascii="Segoe UI" w:hAnsi="Segoe UI"/>
          <w:noProof/>
          <w:color w:val="002060"/>
          <w:sz w:val="20"/>
        </w:rPr>
        <w:t xml:space="preserve"> </w:t>
      </w:r>
      <w:r w:rsidRPr="008E43D4">
        <w:rPr>
          <w:rFonts w:ascii="Times New Roman" w:hAnsi="Times New Roman"/>
          <w:noProof/>
          <w:sz w:val="24"/>
        </w:rPr>
        <w:t xml:space="preserve">În vederea accelerării progreselor, sunt necesare o coordonare strânsă și un sprijin politic reînnoit prin intermediul Grupului la nivel înalt pentru Europa de Sud-Vest. Viitoarea reuniune ministerială a Grupului la nivel înalt pentru Europa de Sud-Vest, care va avea loc în T1 2026, va contribui la intensificarea eforturilor și va facilita schimburile între statele membre cu privire la principalele aspecte tehnice, financiare și legate de reducerea riscurilor aferente realizării coridorului. </w:t>
      </w:r>
    </w:p>
    <w:p w14:paraId="24331A64" w14:textId="77777777" w:rsidR="00C36F54" w:rsidRPr="008E43D4" w:rsidRDefault="00C36F54" w:rsidP="00C36F54">
      <w:pPr>
        <w:jc w:val="both"/>
        <w:rPr>
          <w:rFonts w:ascii="Times New Roman" w:hAnsi="Times New Roman" w:cs="Times New Roman"/>
          <w:noProof/>
          <w:sz w:val="24"/>
          <w:szCs w:val="24"/>
        </w:rPr>
      </w:pPr>
    </w:p>
    <w:p w14:paraId="57882998" w14:textId="77777777" w:rsidR="00C36F54" w:rsidRPr="008E43D4" w:rsidRDefault="00C36F54" w:rsidP="00C36F54">
      <w:pPr>
        <w:jc w:val="both"/>
        <w:rPr>
          <w:rFonts w:ascii="Times New Roman" w:hAnsi="Times New Roman" w:cs="Times New Roman"/>
          <w:noProof/>
          <w:sz w:val="24"/>
          <w:szCs w:val="24"/>
        </w:rPr>
      </w:pPr>
    </w:p>
    <w:p w14:paraId="46E7FCCE" w14:textId="23AE1FA5" w:rsidR="007E2115" w:rsidRPr="008E43D4" w:rsidRDefault="007E2115">
      <w:pPr>
        <w:rPr>
          <w:noProof/>
        </w:rPr>
      </w:pPr>
    </w:p>
    <w:sectPr w:rsidR="007E2115" w:rsidRPr="008E43D4" w:rsidSect="00C36F54">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DC62B" w14:textId="77777777" w:rsidR="00DB0933" w:rsidRPr="00C36F54" w:rsidRDefault="00DB0933" w:rsidP="00343D67">
      <w:pPr>
        <w:spacing w:after="0" w:line="240" w:lineRule="auto"/>
      </w:pPr>
      <w:r>
        <w:separator/>
      </w:r>
    </w:p>
  </w:endnote>
  <w:endnote w:type="continuationSeparator" w:id="0">
    <w:p w14:paraId="0E5FFAA5" w14:textId="77777777" w:rsidR="00DB0933" w:rsidRPr="00C36F54" w:rsidRDefault="00DB0933" w:rsidP="00343D67">
      <w:pPr>
        <w:spacing w:after="0" w:line="240" w:lineRule="auto"/>
      </w:pPr>
      <w:r>
        <w:continuationSeparator/>
      </w:r>
    </w:p>
  </w:endnote>
  <w:endnote w:type="continuationNotice" w:id="1">
    <w:p w14:paraId="31E4B121" w14:textId="77777777" w:rsidR="00DB0933" w:rsidRDefault="00DB09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B21CA" w14:textId="090A0A73" w:rsidR="009C237B" w:rsidRPr="009C237B" w:rsidRDefault="009C237B" w:rsidP="009C237B">
    <w:pPr>
      <w:pStyle w:val="FooterCoverPage"/>
      <w:rPr>
        <w:rFonts w:ascii="Arial" w:hAnsi="Arial" w:cs="Arial"/>
        <w:b/>
        <w:sz w:val="48"/>
      </w:rPr>
    </w:pPr>
    <w:r w:rsidRPr="009C237B">
      <w:rPr>
        <w:rFonts w:ascii="Arial" w:hAnsi="Arial" w:cs="Arial"/>
        <w:b/>
        <w:sz w:val="48"/>
      </w:rPr>
      <w:t>RO</w:t>
    </w:r>
    <w:r w:rsidRPr="009C237B">
      <w:rPr>
        <w:rFonts w:ascii="Arial" w:hAnsi="Arial" w:cs="Arial"/>
        <w:b/>
        <w:sz w:val="48"/>
      </w:rPr>
      <w:tab/>
    </w:r>
    <w:r w:rsidRPr="009C237B">
      <w:rPr>
        <w:rFonts w:ascii="Arial" w:hAnsi="Arial" w:cs="Arial"/>
        <w:b/>
        <w:sz w:val="48"/>
      </w:rPr>
      <w:tab/>
    </w:r>
    <w:r w:rsidRPr="009C237B">
      <w:tab/>
    </w:r>
    <w:r w:rsidRPr="009C237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E136F" w14:textId="27E142B0" w:rsidR="009C237B" w:rsidRPr="009C237B" w:rsidRDefault="009C237B" w:rsidP="009C237B">
    <w:pPr>
      <w:pStyle w:val="FooterCoverPage"/>
      <w:rPr>
        <w:rFonts w:ascii="Arial" w:hAnsi="Arial" w:cs="Arial"/>
        <w:b/>
        <w:sz w:val="48"/>
      </w:rPr>
    </w:pPr>
    <w:r w:rsidRPr="009C237B">
      <w:rPr>
        <w:rFonts w:ascii="Arial" w:hAnsi="Arial" w:cs="Arial"/>
        <w:b/>
        <w:sz w:val="48"/>
      </w:rPr>
      <w:t>RO</w:t>
    </w:r>
    <w:r w:rsidRPr="009C237B">
      <w:rPr>
        <w:rFonts w:ascii="Arial" w:hAnsi="Arial" w:cs="Arial"/>
        <w:b/>
        <w:sz w:val="48"/>
      </w:rPr>
      <w:tab/>
    </w:r>
    <w:r w:rsidRPr="009C237B">
      <w:rPr>
        <w:rFonts w:ascii="Arial" w:hAnsi="Arial" w:cs="Arial"/>
        <w:b/>
        <w:sz w:val="48"/>
      </w:rPr>
      <w:tab/>
    </w:r>
    <w:r w:rsidRPr="009C237B">
      <w:tab/>
    </w:r>
    <w:r w:rsidRPr="009C237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1F0C9" w14:textId="77777777" w:rsidR="009C237B" w:rsidRPr="009C237B" w:rsidRDefault="009C237B" w:rsidP="009C237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C2285" w14:textId="77777777" w:rsidR="004A1ACA" w:rsidRPr="00C36F54" w:rsidRDefault="004A1A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987512707"/>
      <w:docPartObj>
        <w:docPartGallery w:val="Page Numbers (Bottom of Page)"/>
        <w:docPartUnique/>
      </w:docPartObj>
    </w:sdtPr>
    <w:sdtEndPr/>
    <w:sdtContent>
      <w:p w14:paraId="3606451B" w14:textId="5143C7B5" w:rsidR="004A1ACA" w:rsidRPr="006154EC" w:rsidRDefault="004A1ACA">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9C237B">
          <w:rPr>
            <w:rFonts w:ascii="Times New Roman" w:hAnsi="Times New Roman" w:cs="Times New Roman"/>
            <w:noProof/>
          </w:rPr>
          <w:t>1</w:t>
        </w:r>
        <w:r>
          <w:rPr>
            <w:rFonts w:ascii="Times New Roman" w:hAnsi="Times New Roman" w:cs="Times New Roman"/>
          </w:rPr>
          <w:fldChar w:fldCharType="end"/>
        </w:r>
      </w:p>
    </w:sdtContent>
  </w:sdt>
  <w:p w14:paraId="2995DD2C" w14:textId="77777777" w:rsidR="004A1ACA" w:rsidRPr="00C36F54" w:rsidRDefault="004A1A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44CA3" w14:textId="77777777" w:rsidR="004A1ACA" w:rsidRPr="00C36F54" w:rsidRDefault="004A1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5C6CA" w14:textId="77777777" w:rsidR="00DB0933" w:rsidRPr="00C36F54" w:rsidRDefault="00DB0933" w:rsidP="00343D67">
      <w:pPr>
        <w:spacing w:after="0" w:line="240" w:lineRule="auto"/>
      </w:pPr>
      <w:r>
        <w:separator/>
      </w:r>
    </w:p>
  </w:footnote>
  <w:footnote w:type="continuationSeparator" w:id="0">
    <w:p w14:paraId="23F8FB76" w14:textId="77777777" w:rsidR="00DB0933" w:rsidRPr="00C36F54" w:rsidRDefault="00DB0933" w:rsidP="00343D67">
      <w:pPr>
        <w:spacing w:after="0" w:line="240" w:lineRule="auto"/>
      </w:pPr>
      <w:r>
        <w:continuationSeparator/>
      </w:r>
    </w:p>
  </w:footnote>
  <w:footnote w:type="continuationNotice" w:id="1">
    <w:p w14:paraId="4CB24C2F" w14:textId="77777777" w:rsidR="00DB0933" w:rsidRDefault="00DB0933">
      <w:pPr>
        <w:spacing w:after="0" w:line="240" w:lineRule="auto"/>
      </w:pPr>
    </w:p>
  </w:footnote>
  <w:footnote w:id="2">
    <w:p w14:paraId="5133803B" w14:textId="77777777" w:rsidR="00706445" w:rsidRPr="00B26FBB" w:rsidRDefault="00706445" w:rsidP="00706445">
      <w:pPr>
        <w:pStyle w:val="FootnoteText"/>
        <w:jc w:val="both"/>
        <w:rPr>
          <w:rFonts w:ascii="Times New Roman" w:hAnsi="Times New Roman" w:cs="Times New Roman"/>
          <w:color w:val="000000"/>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1" w:history="1">
        <w:r w:rsidRPr="00B26FBB">
          <w:rPr>
            <w:rStyle w:val="Hyperlink"/>
            <w:rFonts w:ascii="Times New Roman" w:hAnsi="Times New Roman" w:cs="Times New Roman"/>
            <w:color w:val="000000"/>
          </w:rPr>
          <w:t xml:space="preserve">EUR-Lex - </w:t>
        </w:r>
        <w:r w:rsidRPr="008E43D4">
          <w:rPr>
            <w:rStyle w:val="Hyperlink"/>
            <w:rFonts w:ascii="Times New Roman" w:hAnsi="Times New Roman" w:cs="Times New Roman"/>
            <w:color w:val="000000"/>
          </w:rPr>
          <w:t>52025</w:t>
        </w:r>
        <w:r w:rsidRPr="00B26FBB">
          <w:rPr>
            <w:rStyle w:val="Hyperlink"/>
            <w:rFonts w:ascii="Times New Roman" w:hAnsi="Times New Roman" w:cs="Times New Roman"/>
            <w:color w:val="000000"/>
          </w:rPr>
          <w:t>DC</w:t>
        </w:r>
        <w:r w:rsidRPr="008E43D4">
          <w:rPr>
            <w:rStyle w:val="Hyperlink"/>
            <w:rFonts w:ascii="Times New Roman" w:hAnsi="Times New Roman" w:cs="Times New Roman"/>
            <w:color w:val="000000"/>
          </w:rPr>
          <w:t>0079</w:t>
        </w:r>
        <w:r w:rsidRPr="00B26FBB">
          <w:rPr>
            <w:rStyle w:val="Hyperlink"/>
            <w:rFonts w:ascii="Times New Roman" w:hAnsi="Times New Roman" w:cs="Times New Roman"/>
            <w:color w:val="000000"/>
          </w:rPr>
          <w:t xml:space="preserve"> - RO - EUR-Lex</w:t>
        </w:r>
      </w:hyperlink>
      <w:r w:rsidRPr="00B26FBB">
        <w:rPr>
          <w:rFonts w:ascii="Times New Roman" w:hAnsi="Times New Roman" w:cs="Times New Roman"/>
        </w:rPr>
        <w:t>.</w:t>
      </w:r>
    </w:p>
  </w:footnote>
  <w:footnote w:id="3">
    <w:p w14:paraId="61A6941C" w14:textId="3709AD1E" w:rsidR="004434B1" w:rsidRPr="00B26FBB" w:rsidRDefault="004434B1">
      <w:pPr>
        <w:pStyle w:val="FootnoteText"/>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2" w:history="1">
        <w:r w:rsidRPr="00B26FBB">
          <w:rPr>
            <w:rStyle w:val="Hyperlink"/>
            <w:rFonts w:ascii="Times New Roman" w:hAnsi="Times New Roman" w:cs="Times New Roman"/>
          </w:rPr>
          <w:t>REPowerEU</w:t>
        </w:r>
      </w:hyperlink>
      <w:r w:rsidRPr="00B26FBB">
        <w:rPr>
          <w:rFonts w:ascii="Times New Roman" w:hAnsi="Times New Roman" w:cs="Times New Roman"/>
        </w:rPr>
        <w:t>.</w:t>
      </w:r>
    </w:p>
  </w:footnote>
  <w:footnote w:id="4">
    <w:p w14:paraId="6CE22228" w14:textId="77777777" w:rsidR="00C36F54" w:rsidRPr="00B26FBB" w:rsidRDefault="00C36F54" w:rsidP="00C36F54">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3" w:history="1">
        <w:r w:rsidRPr="00B26FBB">
          <w:rPr>
            <w:rStyle w:val="Hyperlink"/>
            <w:rFonts w:ascii="Times New Roman" w:hAnsi="Times New Roman" w:cs="Times New Roman"/>
            <w:i/>
            <w:iCs/>
          </w:rPr>
          <w:t xml:space="preserve">Renewables, electrification and flexibility - For a competitive EU energy system transformation by </w:t>
        </w:r>
        <w:r w:rsidRPr="008E43D4">
          <w:rPr>
            <w:rStyle w:val="Hyperlink"/>
            <w:rFonts w:ascii="Times New Roman" w:hAnsi="Times New Roman" w:cs="Times New Roman"/>
            <w:i/>
            <w:iCs/>
          </w:rPr>
          <w:t>2030</w:t>
        </w:r>
      </w:hyperlink>
      <w:r w:rsidRPr="00B26FBB">
        <w:rPr>
          <w:rFonts w:ascii="Times New Roman" w:hAnsi="Times New Roman" w:cs="Times New Roman"/>
        </w:rPr>
        <w:t xml:space="preserve"> (Surse regenerabile de energie, electrificare și flexibilitate - Pentru o transformare competitivă a sistemului energetic al UE până în </w:t>
      </w:r>
      <w:r w:rsidRPr="008E43D4">
        <w:rPr>
          <w:rFonts w:ascii="Times New Roman" w:hAnsi="Times New Roman" w:cs="Times New Roman"/>
        </w:rPr>
        <w:t>2030</w:t>
      </w:r>
      <w:r w:rsidRPr="00B26FBB">
        <w:rPr>
          <w:rFonts w:ascii="Times New Roman" w:hAnsi="Times New Roman" w:cs="Times New Roman"/>
        </w:rPr>
        <w:t>) |</w:t>
      </w:r>
      <w:hyperlink r:id="rId4" w:history="1">
        <w:r w:rsidRPr="00B26FBB">
          <w:rPr>
            <w:rStyle w:val="Hyperlink"/>
            <w:rFonts w:ascii="Times New Roman" w:hAnsi="Times New Roman" w:cs="Times New Roman"/>
          </w:rPr>
          <w:t xml:space="preserve"> Publicații |</w:t>
        </w:r>
      </w:hyperlink>
      <w:hyperlink r:id="rId5" w:history="1">
        <w:r w:rsidRPr="00B26FBB">
          <w:rPr>
            <w:rStyle w:val="Hyperlink"/>
            <w:rFonts w:ascii="Times New Roman" w:hAnsi="Times New Roman" w:cs="Times New Roman"/>
          </w:rPr>
          <w:t xml:space="preserve"> Agenția Europeană de Mediu (AEM)</w:t>
        </w:r>
      </w:hyperlink>
      <w:r w:rsidRPr="00B26FBB">
        <w:rPr>
          <w:rFonts w:ascii="Times New Roman" w:hAnsi="Times New Roman" w:cs="Times New Roman"/>
        </w:rPr>
        <w:t>, p. </w:t>
      </w:r>
      <w:r w:rsidRPr="008E43D4">
        <w:rPr>
          <w:rFonts w:ascii="Times New Roman" w:hAnsi="Times New Roman" w:cs="Times New Roman"/>
        </w:rPr>
        <w:t>6</w:t>
      </w:r>
      <w:r w:rsidRPr="00B26FBB">
        <w:rPr>
          <w:rFonts w:ascii="Times New Roman" w:hAnsi="Times New Roman" w:cs="Times New Roman"/>
        </w:rPr>
        <w:t xml:space="preserve"> și </w:t>
      </w:r>
      <w:r w:rsidRPr="008E43D4">
        <w:rPr>
          <w:rFonts w:ascii="Times New Roman" w:hAnsi="Times New Roman" w:cs="Times New Roman"/>
        </w:rPr>
        <w:t>16</w:t>
      </w:r>
      <w:r w:rsidRPr="00B26FBB">
        <w:rPr>
          <w:rFonts w:ascii="Times New Roman" w:hAnsi="Times New Roman" w:cs="Times New Roman"/>
        </w:rPr>
        <w:t>.</w:t>
      </w:r>
    </w:p>
  </w:footnote>
  <w:footnote w:id="5">
    <w:p w14:paraId="01D24016" w14:textId="7F01C377" w:rsidR="004A6000" w:rsidRPr="00B26FBB" w:rsidRDefault="004A6000">
      <w:pPr>
        <w:pStyle w:val="FootnoteText"/>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6" w:history="1">
        <w:r w:rsidRPr="00B26FBB">
          <w:rPr>
            <w:rStyle w:val="Hyperlink"/>
            <w:rFonts w:ascii="Times New Roman" w:hAnsi="Times New Roman" w:cs="Times New Roman"/>
            <w:i/>
            <w:iCs/>
          </w:rPr>
          <w:t xml:space="preserve">Imports of energy products to the EU down in </w:t>
        </w:r>
        <w:r w:rsidRPr="008E43D4">
          <w:rPr>
            <w:rStyle w:val="Hyperlink"/>
            <w:rFonts w:ascii="Times New Roman" w:hAnsi="Times New Roman" w:cs="Times New Roman"/>
            <w:i/>
            <w:iCs/>
          </w:rPr>
          <w:t>2024</w:t>
        </w:r>
        <w:r w:rsidRPr="00B26FBB">
          <w:rPr>
            <w:rStyle w:val="Hyperlink"/>
            <w:rFonts w:ascii="Times New Roman" w:hAnsi="Times New Roman" w:cs="Times New Roman"/>
            <w:i/>
            <w:iCs/>
          </w:rPr>
          <w:t xml:space="preserve"> - News articles - Eurostat</w:t>
        </w:r>
      </w:hyperlink>
      <w:r w:rsidRPr="00B26FBB">
        <w:rPr>
          <w:rFonts w:ascii="Times New Roman" w:hAnsi="Times New Roman" w:cs="Times New Roman"/>
        </w:rPr>
        <w:t xml:space="preserve"> (Importurile de produse energetice în UE au scăzut în </w:t>
      </w:r>
      <w:r w:rsidRPr="008E43D4">
        <w:rPr>
          <w:rFonts w:ascii="Times New Roman" w:hAnsi="Times New Roman" w:cs="Times New Roman"/>
        </w:rPr>
        <w:t>2024</w:t>
      </w:r>
      <w:r w:rsidRPr="00B26FBB">
        <w:rPr>
          <w:rFonts w:ascii="Times New Roman" w:hAnsi="Times New Roman" w:cs="Times New Roman"/>
        </w:rPr>
        <w:t xml:space="preserve"> - Articole de știri - Eurostat).</w:t>
      </w:r>
    </w:p>
  </w:footnote>
  <w:footnote w:id="6">
    <w:p w14:paraId="0DFD3D91" w14:textId="77777777" w:rsidR="00C36F54" w:rsidRPr="00B26FBB" w:rsidRDefault="00C36F54" w:rsidP="00C36F54">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7" w:history="1">
        <w:r w:rsidRPr="00B26FBB">
          <w:rPr>
            <w:rStyle w:val="Hyperlink"/>
            <w:rFonts w:ascii="Times New Roman" w:hAnsi="Times New Roman" w:cs="Times New Roman"/>
            <w:i/>
            <w:iCs/>
          </w:rPr>
          <w:t>China’s energy dominance in three charts</w:t>
        </w:r>
      </w:hyperlink>
      <w:r w:rsidRPr="00B26FBB">
        <w:rPr>
          <w:rFonts w:ascii="Times New Roman" w:hAnsi="Times New Roman" w:cs="Times New Roman"/>
        </w:rPr>
        <w:t xml:space="preserve"> (Poziția dominantă a Chinei în domeniul energiei, în trei grafice) |</w:t>
      </w:r>
      <w:hyperlink r:id="rId8" w:history="1">
        <w:r w:rsidRPr="00B26FBB">
          <w:rPr>
            <w:rStyle w:val="Hyperlink"/>
            <w:rFonts w:ascii="Times New Roman" w:hAnsi="Times New Roman" w:cs="Times New Roman"/>
          </w:rPr>
          <w:t xml:space="preserve"> MIT Technology Review</w:t>
        </w:r>
      </w:hyperlink>
      <w:r w:rsidRPr="00B26FBB">
        <w:rPr>
          <w:rFonts w:ascii="Times New Roman" w:hAnsi="Times New Roman" w:cs="Times New Roman"/>
        </w:rPr>
        <w:t>.</w:t>
      </w:r>
    </w:p>
  </w:footnote>
  <w:footnote w:id="7">
    <w:p w14:paraId="2B8F6806" w14:textId="496359EC" w:rsidR="003D767E" w:rsidRPr="00B26FBB" w:rsidRDefault="003D767E">
      <w:pPr>
        <w:pStyle w:val="FootnoteText"/>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Comisia Europeană, Planul de acțiune pentru energie la prețuri accesibile [COM(</w:t>
      </w:r>
      <w:r w:rsidRPr="008E43D4">
        <w:rPr>
          <w:rFonts w:ascii="Times New Roman" w:hAnsi="Times New Roman" w:cs="Times New Roman"/>
        </w:rPr>
        <w:t>2025</w:t>
      </w:r>
      <w:r w:rsidRPr="00B26FBB">
        <w:rPr>
          <w:rFonts w:ascii="Times New Roman" w:hAnsi="Times New Roman" w:cs="Times New Roman"/>
        </w:rPr>
        <w:t xml:space="preserve">) </w:t>
      </w:r>
      <w:r w:rsidRPr="008E43D4">
        <w:rPr>
          <w:rFonts w:ascii="Times New Roman" w:hAnsi="Times New Roman" w:cs="Times New Roman"/>
        </w:rPr>
        <w:t>79</w:t>
      </w:r>
      <w:r w:rsidRPr="00B26FBB">
        <w:rPr>
          <w:rFonts w:ascii="Times New Roman" w:hAnsi="Times New Roman" w:cs="Times New Roman"/>
        </w:rPr>
        <w:t>], p. </w:t>
      </w:r>
      <w:r w:rsidRPr="008E43D4">
        <w:rPr>
          <w:rFonts w:ascii="Times New Roman" w:hAnsi="Times New Roman" w:cs="Times New Roman"/>
        </w:rPr>
        <w:t>1</w:t>
      </w:r>
      <w:r w:rsidRPr="00B26FBB">
        <w:rPr>
          <w:rFonts w:ascii="Times New Roman" w:hAnsi="Times New Roman" w:cs="Times New Roman"/>
        </w:rPr>
        <w:t xml:space="preserve">. </w:t>
      </w:r>
    </w:p>
  </w:footnote>
  <w:footnote w:id="8">
    <w:p w14:paraId="3E0813BF" w14:textId="28807B7C" w:rsidR="00C42F56" w:rsidRPr="00B26FBB" w:rsidRDefault="00C42F56">
      <w:pPr>
        <w:pStyle w:val="FootnoteText"/>
        <w:tabs>
          <w:tab w:val="left" w:pos="5850"/>
        </w:tabs>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9" w:history="1">
        <w:r w:rsidRPr="00B26FBB">
          <w:rPr>
            <w:rStyle w:val="Hyperlink"/>
            <w:rFonts w:ascii="Times New Roman" w:hAnsi="Times New Roman" w:cs="Times New Roman"/>
            <w:i/>
            <w:iCs/>
          </w:rPr>
          <w:t>Electricity price statistics - Statistics Explained - Eurostat</w:t>
        </w:r>
      </w:hyperlink>
      <w:r w:rsidRPr="00B26FBB">
        <w:rPr>
          <w:rFonts w:ascii="Times New Roman" w:hAnsi="Times New Roman" w:cs="Times New Roman"/>
        </w:rPr>
        <w:t xml:space="preserve"> (Statistici privind prețul energiei electrice - Statistici explicate - Eurostat).</w:t>
      </w:r>
    </w:p>
  </w:footnote>
  <w:footnote w:id="9">
    <w:p w14:paraId="501D6D0B" w14:textId="77777777" w:rsidR="00C36F54" w:rsidRPr="00B26FBB" w:rsidRDefault="00C36F54" w:rsidP="006154EC">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10" w:history="1">
        <w:r w:rsidRPr="00B26FBB">
          <w:rPr>
            <w:rStyle w:val="Hyperlink"/>
            <w:rFonts w:ascii="Times New Roman" w:hAnsi="Times New Roman" w:cs="Times New Roman"/>
            <w:i/>
            <w:iCs/>
          </w:rPr>
          <w:t xml:space="preserve">TYNDP </w:t>
        </w:r>
        <w:r w:rsidRPr="008E43D4">
          <w:rPr>
            <w:rStyle w:val="Hyperlink"/>
            <w:rFonts w:ascii="Times New Roman" w:hAnsi="Times New Roman" w:cs="Times New Roman"/>
            <w:i/>
            <w:iCs/>
          </w:rPr>
          <w:t>2024</w:t>
        </w:r>
        <w:r w:rsidRPr="00B26FBB">
          <w:rPr>
            <w:rStyle w:val="Hyperlink"/>
            <w:rFonts w:ascii="Times New Roman" w:hAnsi="Times New Roman" w:cs="Times New Roman"/>
            <w:i/>
            <w:iCs/>
          </w:rPr>
          <w:t xml:space="preserve"> / Infrastructure Gaps Report / Opportunities for a more efficient European power system by </w:t>
        </w:r>
        <w:r w:rsidRPr="008E43D4">
          <w:rPr>
            <w:rStyle w:val="Hyperlink"/>
            <w:rFonts w:ascii="Times New Roman" w:hAnsi="Times New Roman" w:cs="Times New Roman"/>
            <w:i/>
            <w:iCs/>
          </w:rPr>
          <w:t>2050</w:t>
        </w:r>
      </w:hyperlink>
      <w:r w:rsidRPr="00B26FBB">
        <w:rPr>
          <w:rFonts w:ascii="Times New Roman" w:hAnsi="Times New Roman" w:cs="Times New Roman"/>
        </w:rPr>
        <w:t xml:space="preserve"> (TYNDP </w:t>
      </w:r>
      <w:r w:rsidRPr="008E43D4">
        <w:rPr>
          <w:rFonts w:ascii="Times New Roman" w:hAnsi="Times New Roman" w:cs="Times New Roman"/>
        </w:rPr>
        <w:t>2024</w:t>
      </w:r>
      <w:r w:rsidRPr="00B26FBB">
        <w:rPr>
          <w:rFonts w:ascii="Times New Roman" w:hAnsi="Times New Roman" w:cs="Times New Roman"/>
        </w:rPr>
        <w:t xml:space="preserve"> / Raport privind lacunele în materie de infrastructură / Oportunități pentru un sistem energetic european mai eficient până în </w:t>
      </w:r>
      <w:r w:rsidRPr="008E43D4">
        <w:rPr>
          <w:rFonts w:ascii="Times New Roman" w:hAnsi="Times New Roman" w:cs="Times New Roman"/>
        </w:rPr>
        <w:t>2050</w:t>
      </w:r>
      <w:r w:rsidRPr="00B26FBB">
        <w:rPr>
          <w:rFonts w:ascii="Times New Roman" w:hAnsi="Times New Roman" w:cs="Times New Roman"/>
        </w:rPr>
        <w:t xml:space="preserve">). </w:t>
      </w:r>
    </w:p>
  </w:footnote>
  <w:footnote w:id="10">
    <w:p w14:paraId="13ED2354" w14:textId="77777777" w:rsidR="00C36F54" w:rsidRPr="00B26FBB" w:rsidRDefault="00C36F54" w:rsidP="006154EC">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11" w:history="1">
        <w:r w:rsidRPr="00B26FBB">
          <w:rPr>
            <w:rStyle w:val="Hyperlink"/>
            <w:rFonts w:ascii="Times New Roman" w:hAnsi="Times New Roman" w:cs="Times New Roman"/>
            <w:i/>
            <w:iCs/>
          </w:rPr>
          <w:t>Electricity and heat statistics - Statistics Explained - Eurostat</w:t>
        </w:r>
      </w:hyperlink>
      <w:r w:rsidRPr="00B26FBB">
        <w:rPr>
          <w:rFonts w:ascii="Times New Roman" w:hAnsi="Times New Roman" w:cs="Times New Roman"/>
        </w:rPr>
        <w:t xml:space="preserve"> (Statistici privind energia electrică și termică - Statistici explicate - Eurostat).</w:t>
      </w:r>
    </w:p>
  </w:footnote>
  <w:footnote w:id="11">
    <w:p w14:paraId="0B710950" w14:textId="77777777" w:rsidR="00C36F54" w:rsidRPr="00B26FBB" w:rsidRDefault="00C36F54" w:rsidP="002D1E16">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r w:rsidRPr="00B26FBB">
        <w:rPr>
          <w:rFonts w:ascii="Times New Roman" w:hAnsi="Times New Roman" w:cs="Times New Roman"/>
          <w:i/>
          <w:iCs/>
        </w:rPr>
        <w:t>IMF Staff Background note on EU Energy Market Integration</w:t>
      </w:r>
      <w:r w:rsidRPr="00B26FBB">
        <w:rPr>
          <w:rFonts w:ascii="Times New Roman" w:hAnsi="Times New Roman" w:cs="Times New Roman"/>
        </w:rPr>
        <w:t xml:space="preserve"> (Nota de informare a personalului FMI privind integrarea pieței energetice a UE), </w:t>
      </w:r>
      <w:r w:rsidRPr="008E43D4">
        <w:rPr>
          <w:rFonts w:ascii="Times New Roman" w:hAnsi="Times New Roman" w:cs="Times New Roman"/>
        </w:rPr>
        <w:t>17</w:t>
      </w:r>
      <w:r w:rsidRPr="00B26FBB">
        <w:rPr>
          <w:rFonts w:ascii="Times New Roman" w:hAnsi="Times New Roman" w:cs="Times New Roman"/>
        </w:rPr>
        <w:t xml:space="preserve"> ianuarie </w:t>
      </w:r>
      <w:r w:rsidRPr="008E43D4">
        <w:rPr>
          <w:rFonts w:ascii="Times New Roman" w:hAnsi="Times New Roman" w:cs="Times New Roman"/>
        </w:rPr>
        <w:t>2025</w:t>
      </w:r>
      <w:r w:rsidRPr="00B26FBB">
        <w:rPr>
          <w:rFonts w:ascii="Times New Roman" w:hAnsi="Times New Roman" w:cs="Times New Roman"/>
        </w:rPr>
        <w:t xml:space="preserve">, </w:t>
      </w:r>
      <w:hyperlink r:id="rId12" w:history="1">
        <w:r w:rsidRPr="00B26FBB">
          <w:rPr>
            <w:rStyle w:val="Hyperlink"/>
            <w:rFonts w:ascii="Times New Roman" w:hAnsi="Times New Roman" w:cs="Times New Roman"/>
          </w:rPr>
          <w:t>https://data.consilium.europa.eu/doc/document/ST-</w:t>
        </w:r>
        <w:r w:rsidRPr="008E43D4">
          <w:rPr>
            <w:rStyle w:val="Hyperlink"/>
            <w:rFonts w:ascii="Times New Roman" w:hAnsi="Times New Roman" w:cs="Times New Roman"/>
          </w:rPr>
          <w:t>5438</w:t>
        </w:r>
        <w:r w:rsidRPr="00B26FBB">
          <w:rPr>
            <w:rStyle w:val="Hyperlink"/>
            <w:rFonts w:ascii="Times New Roman" w:hAnsi="Times New Roman" w:cs="Times New Roman"/>
          </w:rPr>
          <w:t>-</w:t>
        </w:r>
        <w:r w:rsidRPr="008E43D4">
          <w:rPr>
            <w:rStyle w:val="Hyperlink"/>
            <w:rFonts w:ascii="Times New Roman" w:hAnsi="Times New Roman" w:cs="Times New Roman"/>
          </w:rPr>
          <w:t>2025</w:t>
        </w:r>
        <w:r w:rsidRPr="00B26FBB">
          <w:rPr>
            <w:rStyle w:val="Hyperlink"/>
            <w:rFonts w:ascii="Times New Roman" w:hAnsi="Times New Roman" w:cs="Times New Roman"/>
          </w:rPr>
          <w:t>-INIT/en/pdf</w:t>
        </w:r>
      </w:hyperlink>
      <w:r w:rsidRPr="00B26FBB">
        <w:rPr>
          <w:rFonts w:ascii="Times New Roman" w:hAnsi="Times New Roman" w:cs="Times New Roman"/>
        </w:rPr>
        <w:t>, p. </w:t>
      </w:r>
      <w:r w:rsidRPr="008E43D4">
        <w:rPr>
          <w:rFonts w:ascii="Times New Roman" w:hAnsi="Times New Roman" w:cs="Times New Roman"/>
        </w:rPr>
        <w:t>5</w:t>
      </w:r>
      <w:r w:rsidRPr="00B26FBB">
        <w:rPr>
          <w:rFonts w:ascii="Times New Roman" w:hAnsi="Times New Roman" w:cs="Times New Roman"/>
        </w:rPr>
        <w:t>.</w:t>
      </w:r>
    </w:p>
  </w:footnote>
  <w:footnote w:id="12">
    <w:p w14:paraId="0A7EF398" w14:textId="577350C4" w:rsidR="00C36F54" w:rsidRPr="00B26FBB" w:rsidRDefault="00C36F54" w:rsidP="006154EC">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13" w:history="1">
        <w:r w:rsidRPr="00B26FBB">
          <w:rPr>
            <w:rStyle w:val="Hyperlink"/>
            <w:rFonts w:ascii="Times New Roman" w:hAnsi="Times New Roman" w:cs="Times New Roman"/>
            <w:i/>
            <w:iCs/>
          </w:rPr>
          <w:t xml:space="preserve">TYNDP </w:t>
        </w:r>
        <w:r w:rsidRPr="008E43D4">
          <w:rPr>
            <w:rStyle w:val="Hyperlink"/>
            <w:rFonts w:ascii="Times New Roman" w:hAnsi="Times New Roman" w:cs="Times New Roman"/>
            <w:i/>
            <w:iCs/>
          </w:rPr>
          <w:t>2024</w:t>
        </w:r>
        <w:r w:rsidRPr="00B26FBB">
          <w:rPr>
            <w:rStyle w:val="Hyperlink"/>
            <w:rFonts w:ascii="Times New Roman" w:hAnsi="Times New Roman" w:cs="Times New Roman"/>
            <w:i/>
            <w:iCs/>
          </w:rPr>
          <w:t xml:space="preserve"> / Infrastructure Gaps Report / Opportunities for a more efficient European power system by </w:t>
        </w:r>
        <w:r w:rsidRPr="008E43D4">
          <w:rPr>
            <w:rStyle w:val="Hyperlink"/>
            <w:rFonts w:ascii="Times New Roman" w:hAnsi="Times New Roman" w:cs="Times New Roman"/>
            <w:i/>
            <w:iCs/>
          </w:rPr>
          <w:t>2050</w:t>
        </w:r>
      </w:hyperlink>
      <w:r w:rsidRPr="00B26FBB">
        <w:rPr>
          <w:rFonts w:ascii="Times New Roman" w:hAnsi="Times New Roman" w:cs="Times New Roman"/>
        </w:rPr>
        <w:t xml:space="preserve"> (TYNDP </w:t>
      </w:r>
      <w:r w:rsidRPr="008E43D4">
        <w:rPr>
          <w:rFonts w:ascii="Times New Roman" w:hAnsi="Times New Roman" w:cs="Times New Roman"/>
        </w:rPr>
        <w:t>2024</w:t>
      </w:r>
      <w:r w:rsidRPr="00B26FBB">
        <w:rPr>
          <w:rFonts w:ascii="Times New Roman" w:hAnsi="Times New Roman" w:cs="Times New Roman"/>
        </w:rPr>
        <w:t xml:space="preserve"> / Raport privind lacunele în materie de infrastructură / Oportunități pentru un sistem energetic european mai eficient până în </w:t>
      </w:r>
      <w:r w:rsidRPr="008E43D4">
        <w:rPr>
          <w:rFonts w:ascii="Times New Roman" w:hAnsi="Times New Roman" w:cs="Times New Roman"/>
        </w:rPr>
        <w:t>2050</w:t>
      </w:r>
      <w:r w:rsidRPr="00B26FBB">
        <w:rPr>
          <w:rFonts w:ascii="Times New Roman" w:hAnsi="Times New Roman" w:cs="Times New Roman"/>
        </w:rPr>
        <w:t xml:space="preserve">). </w:t>
      </w:r>
    </w:p>
  </w:footnote>
  <w:footnote w:id="13">
    <w:p w14:paraId="4353C42B" w14:textId="77777777" w:rsidR="00C36F54" w:rsidRPr="00B26FBB" w:rsidRDefault="00C36F54" w:rsidP="006154EC">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14" w:history="1">
        <w:r w:rsidRPr="00B26FBB">
          <w:rPr>
            <w:rStyle w:val="Hyperlink"/>
            <w:rFonts w:ascii="Times New Roman" w:hAnsi="Times New Roman" w:cs="Times New Roman"/>
          </w:rPr>
          <w:t>Portofoliul de proiecte al CINEA - Pagina de întâmpinare |</w:t>
        </w:r>
      </w:hyperlink>
      <w:hyperlink r:id="rId15" w:history="1">
        <w:r w:rsidRPr="00B26FBB">
          <w:rPr>
            <w:rStyle w:val="Hyperlink"/>
            <w:rFonts w:ascii="Times New Roman" w:hAnsi="Times New Roman" w:cs="Times New Roman"/>
          </w:rPr>
          <w:t xml:space="preserve"> Fișa - Qlik Sense</w:t>
        </w:r>
      </w:hyperlink>
      <w:r w:rsidRPr="00B26FBB">
        <w:rPr>
          <w:rFonts w:ascii="Times New Roman" w:hAnsi="Times New Roman" w:cs="Times New Roman"/>
        </w:rPr>
        <w:t>.</w:t>
      </w:r>
    </w:p>
  </w:footnote>
  <w:footnote w:id="14">
    <w:p w14:paraId="1D4C14AE" w14:textId="6EDF404D" w:rsidR="004A1ACA" w:rsidRPr="00B26FBB" w:rsidRDefault="004A1ACA" w:rsidP="0027132F">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16" w:history="1">
        <w:r w:rsidRPr="00B26FBB">
          <w:rPr>
            <w:rStyle w:val="Hyperlink"/>
            <w:rFonts w:ascii="Times New Roman" w:hAnsi="Times New Roman" w:cs="Times New Roman"/>
          </w:rPr>
          <w:t>Rețele, veriga lipsă: un plan de acțiune al UE pentru rețele</w:t>
        </w:r>
      </w:hyperlink>
      <w:r w:rsidRPr="00B26FBB">
        <w:rPr>
          <w:rFonts w:ascii="Times New Roman" w:hAnsi="Times New Roman" w:cs="Times New Roman"/>
        </w:rPr>
        <w:t>, COM(</w:t>
      </w:r>
      <w:r w:rsidRPr="008E43D4">
        <w:rPr>
          <w:rFonts w:ascii="Times New Roman" w:hAnsi="Times New Roman" w:cs="Times New Roman"/>
        </w:rPr>
        <w:t>2023</w:t>
      </w:r>
      <w:r w:rsidRPr="00B26FBB">
        <w:rPr>
          <w:rFonts w:ascii="Times New Roman" w:hAnsi="Times New Roman" w:cs="Times New Roman"/>
        </w:rPr>
        <w:t xml:space="preserve">) </w:t>
      </w:r>
      <w:r w:rsidRPr="008E43D4">
        <w:rPr>
          <w:rFonts w:ascii="Times New Roman" w:hAnsi="Times New Roman" w:cs="Times New Roman"/>
        </w:rPr>
        <w:t>757</w:t>
      </w:r>
      <w:r w:rsidRPr="00B26FBB">
        <w:rPr>
          <w:rFonts w:ascii="Times New Roman" w:hAnsi="Times New Roman" w:cs="Times New Roman"/>
        </w:rPr>
        <w:t xml:space="preserve"> final.</w:t>
      </w:r>
    </w:p>
  </w:footnote>
  <w:footnote w:id="15">
    <w:p w14:paraId="3D79B206" w14:textId="3747F7CB" w:rsidR="00C36F54" w:rsidRPr="00B26FBB" w:rsidRDefault="00C36F54" w:rsidP="00C36F54">
      <w:pPr>
        <w:pStyle w:val="FootnoteText"/>
        <w:rPr>
          <w:rFonts w:ascii="Times New Roman" w:hAnsi="Times New Roman" w:cs="Times New Roman"/>
        </w:rPr>
      </w:pPr>
      <w:r w:rsidRPr="00B26FBB">
        <w:rPr>
          <w:rFonts w:ascii="Times New Roman" w:hAnsi="Times New Roman" w:cs="Times New Roman"/>
          <w:vertAlign w:val="superscript"/>
        </w:rPr>
        <w:footnoteRef/>
      </w:r>
      <w:r w:rsidRPr="00B26FBB">
        <w:rPr>
          <w:rFonts w:ascii="Times New Roman" w:hAnsi="Times New Roman" w:cs="Times New Roman"/>
        </w:rPr>
        <w:t xml:space="preserve"> Raportul ACER de monitorizare a infrastructurii de energie electrică </w:t>
      </w:r>
      <w:r w:rsidRPr="008E43D4">
        <w:rPr>
          <w:rFonts w:ascii="Times New Roman" w:hAnsi="Times New Roman" w:cs="Times New Roman"/>
        </w:rPr>
        <w:t>2024</w:t>
      </w:r>
      <w:r w:rsidRPr="00B26FBB">
        <w:rPr>
          <w:rFonts w:ascii="Times New Roman" w:hAnsi="Times New Roman" w:cs="Times New Roman"/>
        </w:rPr>
        <w:t xml:space="preserve">, </w:t>
      </w:r>
      <w:hyperlink r:id="rId17" w:history="1">
        <w:r w:rsidRPr="00B26FBB">
          <w:rPr>
            <w:rStyle w:val="Hyperlink"/>
            <w:rFonts w:ascii="Times New Roman" w:hAnsi="Times New Roman" w:cs="Times New Roman"/>
          </w:rPr>
          <w:t>ACER_</w:t>
        </w:r>
        <w:r w:rsidRPr="008E43D4">
          <w:rPr>
            <w:rStyle w:val="Hyperlink"/>
            <w:rFonts w:ascii="Times New Roman" w:hAnsi="Times New Roman" w:cs="Times New Roman"/>
          </w:rPr>
          <w:t>2024</w:t>
        </w:r>
        <w:r w:rsidRPr="00B26FBB">
          <w:rPr>
            <w:rStyle w:val="Hyperlink"/>
            <w:rFonts w:ascii="Times New Roman" w:hAnsi="Times New Roman" w:cs="Times New Roman"/>
          </w:rPr>
          <w:t>_Monitoring_Electricity_Infrastructure.pdf</w:t>
        </w:r>
      </w:hyperlink>
      <w:r w:rsidRPr="00B26FBB">
        <w:rPr>
          <w:rFonts w:ascii="Times New Roman" w:hAnsi="Times New Roman" w:cs="Times New Roman"/>
        </w:rPr>
        <w:t>.</w:t>
      </w:r>
    </w:p>
  </w:footnote>
  <w:footnote w:id="16">
    <w:p w14:paraId="00AF6AEC" w14:textId="76FDAAA1" w:rsidR="00C36F54" w:rsidRPr="00B26FBB" w:rsidRDefault="00C36F54" w:rsidP="00C36F54">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18" w:history="1">
        <w:r w:rsidRPr="00B26FBB">
          <w:rPr>
            <w:rStyle w:val="Hyperlink"/>
            <w:rFonts w:ascii="Times New Roman" w:hAnsi="Times New Roman" w:cs="Times New Roman"/>
          </w:rPr>
          <w:t>Technopedia OST OSD - Pagina principală</w:t>
        </w:r>
      </w:hyperlink>
      <w:r w:rsidRPr="00B26FBB">
        <w:rPr>
          <w:rFonts w:ascii="Times New Roman" w:hAnsi="Times New Roman" w:cs="Times New Roman"/>
        </w:rPr>
        <w:t xml:space="preserve">. </w:t>
      </w:r>
    </w:p>
  </w:footnote>
  <w:footnote w:id="17">
    <w:p w14:paraId="3EDC727D" w14:textId="77777777" w:rsidR="00C36F54" w:rsidRPr="00B26FBB" w:rsidRDefault="00C36F54" w:rsidP="006154EC">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Astfel cum se prevede la articolul </w:t>
      </w:r>
      <w:r w:rsidRPr="008E43D4">
        <w:rPr>
          <w:rFonts w:ascii="Times New Roman" w:hAnsi="Times New Roman" w:cs="Times New Roman"/>
        </w:rPr>
        <w:t>15</w:t>
      </w:r>
      <w:r w:rsidRPr="00B26FBB">
        <w:rPr>
          <w:rFonts w:ascii="Times New Roman" w:hAnsi="Times New Roman" w:cs="Times New Roman"/>
        </w:rPr>
        <w:t xml:space="preserve"> alineatul (</w:t>
      </w:r>
      <w:r w:rsidRPr="008E43D4">
        <w:rPr>
          <w:rFonts w:ascii="Times New Roman" w:hAnsi="Times New Roman" w:cs="Times New Roman"/>
        </w:rPr>
        <w:t>2</w:t>
      </w:r>
      <w:r w:rsidRPr="00B26FBB">
        <w:rPr>
          <w:rFonts w:ascii="Times New Roman" w:hAnsi="Times New Roman" w:cs="Times New Roman"/>
        </w:rPr>
        <w:t xml:space="preserve">) din Regulamentul (UE) </w:t>
      </w:r>
      <w:r w:rsidRPr="008E43D4">
        <w:rPr>
          <w:rFonts w:ascii="Times New Roman" w:hAnsi="Times New Roman" w:cs="Times New Roman"/>
        </w:rPr>
        <w:t>2019</w:t>
      </w:r>
      <w:r w:rsidRPr="00B26FBB">
        <w:rPr>
          <w:rFonts w:ascii="Times New Roman" w:hAnsi="Times New Roman" w:cs="Times New Roman"/>
        </w:rPr>
        <w:t>/</w:t>
      </w:r>
      <w:r w:rsidRPr="008E43D4">
        <w:rPr>
          <w:rFonts w:ascii="Times New Roman" w:hAnsi="Times New Roman" w:cs="Times New Roman"/>
        </w:rPr>
        <w:t>943</w:t>
      </w:r>
      <w:r w:rsidRPr="00B26FBB">
        <w:rPr>
          <w:rFonts w:ascii="Times New Roman" w:hAnsi="Times New Roman" w:cs="Times New Roman"/>
        </w:rPr>
        <w:t xml:space="preserve"> privind piața internă de energie electrică, această capacitate minimă trebuie atinsă până la </w:t>
      </w:r>
      <w:r w:rsidRPr="008E43D4">
        <w:rPr>
          <w:rFonts w:ascii="Times New Roman" w:hAnsi="Times New Roman" w:cs="Times New Roman"/>
        </w:rPr>
        <w:t>31</w:t>
      </w:r>
      <w:r w:rsidRPr="00B26FBB">
        <w:rPr>
          <w:rFonts w:ascii="Times New Roman" w:hAnsi="Times New Roman" w:cs="Times New Roman"/>
        </w:rPr>
        <w:t xml:space="preserve"> decembrie </w:t>
      </w:r>
      <w:r w:rsidRPr="008E43D4">
        <w:rPr>
          <w:rFonts w:ascii="Times New Roman" w:hAnsi="Times New Roman" w:cs="Times New Roman"/>
        </w:rPr>
        <w:t>2025</w:t>
      </w:r>
      <w:r w:rsidRPr="00B26FBB">
        <w:rPr>
          <w:rFonts w:ascii="Times New Roman" w:hAnsi="Times New Roman" w:cs="Times New Roman"/>
        </w:rPr>
        <w:t xml:space="preserve">. </w:t>
      </w:r>
    </w:p>
  </w:footnote>
  <w:footnote w:id="18">
    <w:p w14:paraId="2A210399" w14:textId="73ADAAE2" w:rsidR="00C36F54" w:rsidRPr="00B26FBB" w:rsidRDefault="00C36F54" w:rsidP="006154EC">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19" w:history="1">
        <w:r w:rsidRPr="008E43D4">
          <w:rPr>
            <w:rStyle w:val="Hyperlink"/>
            <w:rFonts w:ascii="Times New Roman" w:hAnsi="Times New Roman" w:cs="Times New Roman"/>
          </w:rPr>
          <w:t>2023</w:t>
        </w:r>
        <w:r w:rsidRPr="00B26FBB">
          <w:rPr>
            <w:rStyle w:val="Hyperlink"/>
            <w:rFonts w:ascii="Times New Roman" w:hAnsi="Times New Roman" w:cs="Times New Roman"/>
          </w:rPr>
          <w:t>_ACER_PCI_Report.pdf</w:t>
        </w:r>
      </w:hyperlink>
      <w:r w:rsidRPr="00B26FBB">
        <w:rPr>
          <w:rFonts w:ascii="Times New Roman" w:hAnsi="Times New Roman" w:cs="Times New Roman"/>
        </w:rPr>
        <w:t>.</w:t>
      </w:r>
    </w:p>
  </w:footnote>
  <w:footnote w:id="19">
    <w:p w14:paraId="4F93C46C" w14:textId="747AC9EC" w:rsidR="00C36F54" w:rsidRPr="00B26FBB" w:rsidRDefault="00C36F54" w:rsidP="006154EC">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Raportul ACER de monitorizare </w:t>
      </w:r>
      <w:r w:rsidRPr="008E43D4">
        <w:rPr>
          <w:rFonts w:ascii="Times New Roman" w:hAnsi="Times New Roman" w:cs="Times New Roman"/>
        </w:rPr>
        <w:t>2024</w:t>
      </w:r>
      <w:r w:rsidRPr="00B26FBB">
        <w:rPr>
          <w:rFonts w:ascii="Times New Roman" w:hAnsi="Times New Roman" w:cs="Times New Roman"/>
        </w:rPr>
        <w:t xml:space="preserve">, </w:t>
      </w:r>
      <w:r w:rsidRPr="00B26FBB">
        <w:rPr>
          <w:rFonts w:ascii="Times New Roman" w:hAnsi="Times New Roman" w:cs="Times New Roman"/>
          <w:i/>
          <w:iCs/>
        </w:rPr>
        <w:t>Electricity infrastructure development to support a competitive and sustainable energy system</w:t>
      </w:r>
      <w:r w:rsidRPr="00B26FBB">
        <w:rPr>
          <w:rFonts w:ascii="Times New Roman" w:hAnsi="Times New Roman" w:cs="Times New Roman"/>
        </w:rPr>
        <w:t xml:space="preserve"> (Dezvoltarea infrastructurii de energie electrică pentru sprijinirea unui sistem energetic competitiv și sustenabil), p. </w:t>
      </w:r>
      <w:r w:rsidRPr="008E43D4">
        <w:rPr>
          <w:rFonts w:ascii="Times New Roman" w:hAnsi="Times New Roman" w:cs="Times New Roman"/>
        </w:rPr>
        <w:t>18</w:t>
      </w:r>
      <w:r w:rsidRPr="00B26FBB">
        <w:rPr>
          <w:rFonts w:ascii="Times New Roman" w:hAnsi="Times New Roman" w:cs="Times New Roman"/>
        </w:rPr>
        <w:t>.</w:t>
      </w:r>
    </w:p>
  </w:footnote>
  <w:footnote w:id="20">
    <w:p w14:paraId="72E333C8" w14:textId="3299509F" w:rsidR="00C36F54" w:rsidRPr="00B26FBB" w:rsidRDefault="00C36F54" w:rsidP="006154EC">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20" w:history="1">
        <w:r w:rsidRPr="00B26FBB">
          <w:rPr>
            <w:rStyle w:val="Hyperlink"/>
            <w:rFonts w:ascii="Times New Roman" w:hAnsi="Times New Roman" w:cs="Times New Roman"/>
          </w:rPr>
          <w:t>https://www.acer.europa.eu/media/charts/PCIs-and-PMIs-monitoring-</w:t>
        </w:r>
        <w:r w:rsidRPr="008E43D4">
          <w:rPr>
            <w:rStyle w:val="Hyperlink"/>
            <w:rFonts w:ascii="Times New Roman" w:hAnsi="Times New Roman" w:cs="Times New Roman"/>
          </w:rPr>
          <w:t>2025</w:t>
        </w:r>
      </w:hyperlink>
      <w:r w:rsidRPr="00B26FBB">
        <w:rPr>
          <w:rFonts w:ascii="Times New Roman" w:hAnsi="Times New Roman" w:cs="Times New Roman"/>
        </w:rPr>
        <w:t xml:space="preserve">. </w:t>
      </w:r>
    </w:p>
  </w:footnote>
  <w:footnote w:id="21">
    <w:p w14:paraId="1146639D" w14:textId="22CC16EA" w:rsidR="00C36F54" w:rsidRPr="00B26FBB" w:rsidRDefault="00C36F54" w:rsidP="002D1E16">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Raportul final se găsește aici: </w:t>
      </w:r>
      <w:hyperlink r:id="rId21">
        <w:r w:rsidRPr="00B26FBB">
          <w:rPr>
            <w:rStyle w:val="Hyperlink"/>
            <w:rFonts w:ascii="Times New Roman" w:hAnsi="Times New Roman" w:cs="Times New Roman"/>
            <w:i/>
            <w:iCs/>
          </w:rPr>
          <w:t>Technical support for RES policy development and implementation – simplification of permission and administrative procedures for RES installations (RES Simplify)</w:t>
        </w:r>
      </w:hyperlink>
      <w:r w:rsidRPr="00B26FBB">
        <w:rPr>
          <w:rFonts w:ascii="Times New Roman" w:hAnsi="Times New Roman" w:cs="Times New Roman"/>
        </w:rPr>
        <w:t xml:space="preserve"> [Asistență tehnică pentru elaborarea și punerea în aplicare a politicii în domeniul surselor regenerabile de energie – Simplificarea procedurilor de autorizare și administrative pentru instalațiile SRE („Simplificarea SRE”)] – Oficiul pentru Publicații al UE.</w:t>
      </w:r>
    </w:p>
  </w:footnote>
  <w:footnote w:id="22">
    <w:p w14:paraId="54683D80" w14:textId="7C87DC18" w:rsidR="00C36F54" w:rsidRPr="00B26FBB" w:rsidRDefault="00C36F54" w:rsidP="002D1E16">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Fraunhofer Institute for Systems and Innovation Research ISI, et al., </w:t>
      </w:r>
      <w:hyperlink r:id="rId22" w:history="1">
        <w:r w:rsidRPr="00B26FBB">
          <w:rPr>
            <w:rStyle w:val="Hyperlink"/>
            <w:rFonts w:ascii="Times New Roman" w:hAnsi="Times New Roman" w:cs="Times New Roman"/>
            <w:i/>
            <w:iCs/>
          </w:rPr>
          <w:t>Study on energy storage</w:t>
        </w:r>
      </w:hyperlink>
      <w:r w:rsidRPr="00B26FBB">
        <w:rPr>
          <w:rFonts w:ascii="Times New Roman" w:hAnsi="Times New Roman" w:cs="Times New Roman"/>
        </w:rPr>
        <w:t xml:space="preserve"> (Studiu privind stocarea energiei), </w:t>
      </w:r>
      <w:r w:rsidRPr="008E43D4">
        <w:rPr>
          <w:rFonts w:ascii="Times New Roman" w:hAnsi="Times New Roman" w:cs="Times New Roman"/>
        </w:rPr>
        <w:t>2023</w:t>
      </w:r>
      <w:r w:rsidRPr="00B26FBB">
        <w:rPr>
          <w:rFonts w:ascii="Times New Roman" w:hAnsi="Times New Roman" w:cs="Times New Roman"/>
        </w:rPr>
        <w:t xml:space="preserve">. </w:t>
      </w:r>
    </w:p>
  </w:footnote>
  <w:footnote w:id="23">
    <w:p w14:paraId="3E0C2B92" w14:textId="28B52E57" w:rsidR="00C36F54" w:rsidRPr="00B26FBB" w:rsidRDefault="00C36F54" w:rsidP="002D1E16">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Informații colectate de organizațiile de încărcare a vehiculelor electrice, în special ChargeUp Europe, Ionity și Milence.</w:t>
      </w:r>
    </w:p>
  </w:footnote>
  <w:footnote w:id="24">
    <w:p w14:paraId="73F0523C" w14:textId="13C7D030" w:rsidR="00C36F54" w:rsidRPr="00B26FBB" w:rsidRDefault="00C36F54" w:rsidP="002D1E16">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Se pot găsi exemple relevante de bune practici în SWD(</w:t>
      </w:r>
      <w:r w:rsidRPr="008E43D4">
        <w:rPr>
          <w:rFonts w:ascii="Times New Roman" w:hAnsi="Times New Roman" w:cs="Times New Roman"/>
        </w:rPr>
        <w:t>2024</w:t>
      </w:r>
      <w:r w:rsidRPr="00B26FBB">
        <w:rPr>
          <w:rFonts w:ascii="Times New Roman" w:hAnsi="Times New Roman" w:cs="Times New Roman"/>
        </w:rPr>
        <w:t xml:space="preserve">) </w:t>
      </w:r>
      <w:r w:rsidRPr="008E43D4">
        <w:rPr>
          <w:rFonts w:ascii="Times New Roman" w:hAnsi="Times New Roman" w:cs="Times New Roman"/>
        </w:rPr>
        <w:t>124</w:t>
      </w:r>
      <w:r w:rsidRPr="00B26FBB">
        <w:rPr>
          <w:rFonts w:ascii="Times New Roman" w:hAnsi="Times New Roman" w:cs="Times New Roman"/>
        </w:rPr>
        <w:t xml:space="preserve"> final – Orientări pentru statele membre privind bunele practici de accelerare a procedurilor de autorizare a proiectelor în domeniul energiei din surse regenerabile și a proiectelor de infrastructură conexe.</w:t>
      </w:r>
    </w:p>
  </w:footnote>
  <w:footnote w:id="25">
    <w:p w14:paraId="658FAB99" w14:textId="77777777" w:rsidR="00C36F54" w:rsidRPr="00B26FBB" w:rsidRDefault="00C36F54" w:rsidP="002D1E16">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Cum ar fi Convenția primarilor, Pactul de angajament și inițiativa „Fast &amp; Fair Renewables and Grids”. </w:t>
      </w:r>
    </w:p>
  </w:footnote>
  <w:footnote w:id="26">
    <w:p w14:paraId="53B70AAF" w14:textId="1DBFB06B" w:rsidR="00C36F54" w:rsidRPr="00B26FBB" w:rsidRDefault="00C36F54" w:rsidP="0027132F">
      <w:pPr>
        <w:pStyle w:val="FootnoteText"/>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De exemplu, prețurile și termenele de execuție pentru transformatoarele și cablurile noi aproape s-au dublat în </w:t>
      </w:r>
      <w:r w:rsidRPr="008E43D4">
        <w:rPr>
          <w:rFonts w:ascii="Times New Roman" w:hAnsi="Times New Roman" w:cs="Times New Roman"/>
        </w:rPr>
        <w:t>2025</w:t>
      </w:r>
      <w:r w:rsidRPr="00B26FBB">
        <w:rPr>
          <w:rFonts w:ascii="Times New Roman" w:hAnsi="Times New Roman" w:cs="Times New Roman"/>
        </w:rPr>
        <w:t xml:space="preserve"> comparativ cu perioada </w:t>
      </w:r>
      <w:r w:rsidRPr="008E43D4">
        <w:rPr>
          <w:rFonts w:ascii="Times New Roman" w:hAnsi="Times New Roman" w:cs="Times New Roman"/>
        </w:rPr>
        <w:t>2021</w:t>
      </w:r>
      <w:r w:rsidRPr="00B26FBB">
        <w:rPr>
          <w:rFonts w:ascii="Times New Roman" w:hAnsi="Times New Roman" w:cs="Times New Roman"/>
        </w:rPr>
        <w:t>-</w:t>
      </w:r>
      <w:r w:rsidRPr="008E43D4">
        <w:rPr>
          <w:rFonts w:ascii="Times New Roman" w:hAnsi="Times New Roman" w:cs="Times New Roman"/>
        </w:rPr>
        <w:t>2022</w:t>
      </w:r>
      <w:r w:rsidRPr="00B26FBB">
        <w:rPr>
          <w:rFonts w:ascii="Times New Roman" w:hAnsi="Times New Roman" w:cs="Times New Roman"/>
        </w:rPr>
        <w:t xml:space="preserve"> [sursa: </w:t>
      </w:r>
      <w:hyperlink r:id="rId23" w:history="1">
        <w:r w:rsidRPr="00B26FBB">
          <w:rPr>
            <w:rStyle w:val="Hyperlink"/>
            <w:rFonts w:ascii="Times New Roman" w:hAnsi="Times New Roman" w:cs="Times New Roman"/>
            <w:i/>
            <w:iCs/>
          </w:rPr>
          <w:t>Building the future transmission grid – Strategies to navigate supply chain challenges</w:t>
        </w:r>
      </w:hyperlink>
      <w:r w:rsidRPr="00B26FBB">
        <w:rPr>
          <w:rFonts w:ascii="Times New Roman" w:hAnsi="Times New Roman" w:cs="Times New Roman"/>
        </w:rPr>
        <w:t xml:space="preserve"> (Construirea viitoarei rețele de transport – strategii pentru abordarea provocărilor din lanțul de aprovizionare); IEA, februarie </w:t>
      </w:r>
      <w:r w:rsidRPr="008E43D4">
        <w:rPr>
          <w:rFonts w:ascii="Times New Roman" w:hAnsi="Times New Roman" w:cs="Times New Roman"/>
        </w:rPr>
        <w:t>2025</w:t>
      </w:r>
      <w:r w:rsidRPr="00B26FBB">
        <w:rPr>
          <w:rFonts w:ascii="Times New Roman" w:hAnsi="Times New Roman" w:cs="Times New Roman"/>
        </w:rPr>
        <w:t>].</w:t>
      </w:r>
    </w:p>
  </w:footnote>
  <w:footnote w:id="27">
    <w:p w14:paraId="1C4166C1" w14:textId="77777777" w:rsidR="00C36F54" w:rsidRPr="00B26FBB" w:rsidRDefault="00C36F54" w:rsidP="002D1E16">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Artelys, LBST, Trinomics, Finesso, A. et al., </w:t>
      </w:r>
      <w:hyperlink r:id="rId24" w:history="1">
        <w:r w:rsidRPr="00B26FBB">
          <w:rPr>
            <w:rStyle w:val="Hyperlink"/>
            <w:rFonts w:ascii="Times New Roman" w:hAnsi="Times New Roman" w:cs="Times New Roman"/>
            <w:i/>
            <w:iCs/>
          </w:rPr>
          <w:t>Investment needs of European energy infrastructure to enable a decarbonised economy</w:t>
        </w:r>
      </w:hyperlink>
      <w:r w:rsidRPr="00B26FBB">
        <w:rPr>
          <w:rFonts w:ascii="Times New Roman" w:hAnsi="Times New Roman" w:cs="Times New Roman"/>
        </w:rPr>
        <w:t xml:space="preserve"> (Necesitățile de investiții ale infrastructurii energetice europene pentru a permite o economie decarbonizată), </w:t>
      </w:r>
      <w:r w:rsidRPr="008E43D4">
        <w:rPr>
          <w:rFonts w:ascii="Times New Roman" w:hAnsi="Times New Roman" w:cs="Times New Roman"/>
        </w:rPr>
        <w:t>2025</w:t>
      </w:r>
      <w:r w:rsidRPr="00B26FBB">
        <w:rPr>
          <w:rFonts w:ascii="Times New Roman" w:hAnsi="Times New Roman" w:cs="Times New Roman"/>
        </w:rPr>
        <w:t xml:space="preserve">. </w:t>
      </w:r>
    </w:p>
  </w:footnote>
  <w:footnote w:id="28">
    <w:p w14:paraId="140FBDDA" w14:textId="071BA8AD" w:rsidR="00C36F54" w:rsidRPr="00B26FBB" w:rsidRDefault="00C36F54" w:rsidP="00C36F54">
      <w:pPr>
        <w:pStyle w:val="FootnoteText"/>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25" w:history="1">
        <w:r w:rsidRPr="00B26FBB">
          <w:rPr>
            <w:rStyle w:val="Hyperlink"/>
            <w:rFonts w:ascii="Times New Roman" w:hAnsi="Times New Roman" w:cs="Times New Roman"/>
          </w:rPr>
          <w:t>https://energy.ec.europa.eu/publications/communication-future-proof-network-charges-reduced-energy-system-costs_en</w:t>
        </w:r>
      </w:hyperlink>
      <w:r w:rsidRPr="00B26FBB">
        <w:rPr>
          <w:rFonts w:ascii="Times New Roman" w:hAnsi="Times New Roman" w:cs="Times New Roman"/>
        </w:rPr>
        <w:t xml:space="preserve">. </w:t>
      </w:r>
    </w:p>
  </w:footnote>
  <w:footnote w:id="29">
    <w:p w14:paraId="521540B8" w14:textId="277C6F78" w:rsidR="00CA4739" w:rsidRPr="00B26FBB" w:rsidRDefault="00CA4739" w:rsidP="0027132F">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Sprijinul ar putea fi direcționat către dezvoltarea interconexiunilor energetice transfrontaliere, extinderea surselor regenerabile de energie, cum ar fi energia solară și eoliană, instalarea infrastructurii de reîncărcare și modernizarea rețelelor de distribuție a energiei pentru a gestiona eficient fluctuațiile aprovizionării.</w:t>
      </w:r>
    </w:p>
  </w:footnote>
  <w:footnote w:id="30">
    <w:p w14:paraId="3AF30F77" w14:textId="2607C8E0" w:rsidR="00C36F54" w:rsidRPr="00B26FBB" w:rsidRDefault="00C36F54" w:rsidP="00C36F54">
      <w:pPr>
        <w:pStyle w:val="FootnoteText"/>
        <w:jc w:val="both"/>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În prezent, UE oferă sprijin substanțial prin intermediul Mecanismului pentru interconectarea Europei, al fondurilor europene de dezvoltare regională, al fondurilor de coeziune sau al planurilor de redresare și reziliență, printre altele. În conformitate cu propunerea Comisiei pentru următorul cadru financiar multianual, bugetul </w:t>
      </w:r>
      <w:r w:rsidRPr="008E43D4">
        <w:rPr>
          <w:rFonts w:ascii="Times New Roman" w:hAnsi="Times New Roman" w:cs="Times New Roman"/>
          <w:b/>
        </w:rPr>
        <w:t>Mecanismului pentru interconectarea Europei - Energie</w:t>
      </w:r>
      <w:r w:rsidRPr="00B26FBB">
        <w:rPr>
          <w:rFonts w:ascii="Times New Roman" w:hAnsi="Times New Roman" w:cs="Times New Roman"/>
        </w:rPr>
        <w:t xml:space="preserve"> (MIE-E) ar urma să crească semnificativ, de la </w:t>
      </w:r>
      <w:r w:rsidRPr="008E43D4">
        <w:rPr>
          <w:rFonts w:ascii="Times New Roman" w:hAnsi="Times New Roman" w:cs="Times New Roman"/>
        </w:rPr>
        <w:t>5</w:t>
      </w:r>
      <w:r w:rsidRPr="00B26FBB">
        <w:rPr>
          <w:rFonts w:ascii="Times New Roman" w:hAnsi="Times New Roman" w:cs="Times New Roman"/>
        </w:rPr>
        <w:t>,</w:t>
      </w:r>
      <w:r w:rsidRPr="008E43D4">
        <w:rPr>
          <w:rFonts w:ascii="Times New Roman" w:hAnsi="Times New Roman" w:cs="Times New Roman"/>
        </w:rPr>
        <w:t>84</w:t>
      </w:r>
      <w:r w:rsidRPr="00B26FBB">
        <w:rPr>
          <w:rFonts w:ascii="Times New Roman" w:hAnsi="Times New Roman" w:cs="Times New Roman"/>
        </w:rPr>
        <w:t xml:space="preserve"> miliarde EUR în perioada </w:t>
      </w:r>
      <w:r w:rsidRPr="008E43D4">
        <w:rPr>
          <w:rFonts w:ascii="Times New Roman" w:hAnsi="Times New Roman" w:cs="Times New Roman"/>
        </w:rPr>
        <w:t>2021</w:t>
      </w:r>
      <w:r w:rsidRPr="00B26FBB">
        <w:rPr>
          <w:rFonts w:ascii="Times New Roman" w:hAnsi="Times New Roman" w:cs="Times New Roman"/>
        </w:rPr>
        <w:t>-</w:t>
      </w:r>
      <w:r w:rsidRPr="008E43D4">
        <w:rPr>
          <w:rFonts w:ascii="Times New Roman" w:hAnsi="Times New Roman" w:cs="Times New Roman"/>
        </w:rPr>
        <w:t>2027</w:t>
      </w:r>
      <w:r w:rsidRPr="00B26FBB">
        <w:rPr>
          <w:rFonts w:ascii="Times New Roman" w:hAnsi="Times New Roman" w:cs="Times New Roman"/>
        </w:rPr>
        <w:t xml:space="preserve"> la </w:t>
      </w:r>
      <w:r w:rsidRPr="008E43D4">
        <w:rPr>
          <w:rFonts w:ascii="Times New Roman" w:hAnsi="Times New Roman" w:cs="Times New Roman"/>
        </w:rPr>
        <w:t>29</w:t>
      </w:r>
      <w:r w:rsidRPr="00B26FBB">
        <w:rPr>
          <w:rFonts w:ascii="Times New Roman" w:hAnsi="Times New Roman" w:cs="Times New Roman"/>
        </w:rPr>
        <w:t>,</w:t>
      </w:r>
      <w:r w:rsidRPr="008E43D4">
        <w:rPr>
          <w:rFonts w:ascii="Times New Roman" w:hAnsi="Times New Roman" w:cs="Times New Roman"/>
        </w:rPr>
        <w:t>91</w:t>
      </w:r>
      <w:r w:rsidRPr="00B26FBB">
        <w:rPr>
          <w:rFonts w:ascii="Times New Roman" w:hAnsi="Times New Roman" w:cs="Times New Roman"/>
        </w:rPr>
        <w:t xml:space="preserve"> miliarde EUR în perioada </w:t>
      </w:r>
      <w:r w:rsidRPr="008E43D4">
        <w:rPr>
          <w:rFonts w:ascii="Times New Roman" w:hAnsi="Times New Roman" w:cs="Times New Roman"/>
        </w:rPr>
        <w:t>2028</w:t>
      </w:r>
      <w:r w:rsidRPr="00B26FBB">
        <w:rPr>
          <w:rFonts w:ascii="Times New Roman" w:hAnsi="Times New Roman" w:cs="Times New Roman"/>
        </w:rPr>
        <w:t>-</w:t>
      </w:r>
      <w:r w:rsidRPr="008E43D4">
        <w:rPr>
          <w:rFonts w:ascii="Times New Roman" w:hAnsi="Times New Roman" w:cs="Times New Roman"/>
        </w:rPr>
        <w:t>2034</w:t>
      </w:r>
      <w:r w:rsidRPr="00B26FBB">
        <w:rPr>
          <w:rFonts w:ascii="Times New Roman" w:hAnsi="Times New Roman" w:cs="Times New Roman"/>
        </w:rPr>
        <w:t xml:space="preserve">. </w:t>
      </w:r>
      <w:r w:rsidRPr="008E43D4">
        <w:rPr>
          <w:rFonts w:ascii="Times New Roman" w:hAnsi="Times New Roman" w:cs="Times New Roman"/>
          <w:b/>
        </w:rPr>
        <w:t>Fondul european pentru competitivitate</w:t>
      </w:r>
      <w:r w:rsidRPr="00B26FBB">
        <w:rPr>
          <w:rFonts w:ascii="Times New Roman" w:hAnsi="Times New Roman" w:cs="Times New Roman"/>
        </w:rPr>
        <w:t xml:space="preserve"> va oferi un flux de finanțare consolidat (</w:t>
      </w:r>
      <w:r w:rsidRPr="008E43D4">
        <w:rPr>
          <w:rFonts w:ascii="Times New Roman" w:hAnsi="Times New Roman" w:cs="Times New Roman"/>
        </w:rPr>
        <w:t>234</w:t>
      </w:r>
      <w:r w:rsidRPr="00B26FBB">
        <w:rPr>
          <w:rFonts w:ascii="Times New Roman" w:hAnsi="Times New Roman" w:cs="Times New Roman"/>
        </w:rPr>
        <w:t>,</w:t>
      </w:r>
      <w:r w:rsidRPr="008E43D4">
        <w:rPr>
          <w:rFonts w:ascii="Times New Roman" w:hAnsi="Times New Roman" w:cs="Times New Roman"/>
        </w:rPr>
        <w:t>3</w:t>
      </w:r>
      <w:r w:rsidRPr="00B26FBB">
        <w:rPr>
          <w:rFonts w:ascii="Times New Roman" w:hAnsi="Times New Roman" w:cs="Times New Roman"/>
        </w:rPr>
        <w:t xml:space="preserve"> miliarde EUR), cu finanțare specifică (</w:t>
      </w:r>
      <w:r w:rsidRPr="008E43D4">
        <w:rPr>
          <w:rFonts w:ascii="Times New Roman" w:hAnsi="Times New Roman" w:cs="Times New Roman"/>
        </w:rPr>
        <w:t>26</w:t>
      </w:r>
      <w:r w:rsidRPr="00B26FBB">
        <w:rPr>
          <w:rFonts w:ascii="Times New Roman" w:hAnsi="Times New Roman" w:cs="Times New Roman"/>
        </w:rPr>
        <w:t>,</w:t>
      </w:r>
      <w:r w:rsidRPr="008E43D4">
        <w:rPr>
          <w:rFonts w:ascii="Times New Roman" w:hAnsi="Times New Roman" w:cs="Times New Roman"/>
        </w:rPr>
        <w:t>2</w:t>
      </w:r>
      <w:r w:rsidRPr="00B26FBB">
        <w:rPr>
          <w:rFonts w:ascii="Times New Roman" w:hAnsi="Times New Roman" w:cs="Times New Roman"/>
        </w:rPr>
        <w:t xml:space="preserve"> miliarde EUR) pentru extinderea și implementarea tehnologiilor de decarbonizare și de tranziție curată, inclusiv a infrastructurii. </w:t>
      </w:r>
      <w:r w:rsidRPr="008E43D4">
        <w:rPr>
          <w:rFonts w:ascii="Times New Roman" w:hAnsi="Times New Roman" w:cs="Times New Roman"/>
          <w:b/>
        </w:rPr>
        <w:t>Planurile de parteneriat național și regional</w:t>
      </w:r>
      <w:r w:rsidRPr="00B26FBB">
        <w:rPr>
          <w:rFonts w:ascii="Times New Roman" w:hAnsi="Times New Roman" w:cs="Times New Roman"/>
        </w:rPr>
        <w:t xml:space="preserve"> (</w:t>
      </w:r>
      <w:r w:rsidRPr="008E43D4">
        <w:rPr>
          <w:rFonts w:ascii="Times New Roman" w:hAnsi="Times New Roman" w:cs="Times New Roman"/>
        </w:rPr>
        <w:t>865</w:t>
      </w:r>
      <w:r w:rsidRPr="00B26FBB">
        <w:rPr>
          <w:rFonts w:ascii="Times New Roman" w:hAnsi="Times New Roman" w:cs="Times New Roman"/>
        </w:rPr>
        <w:t xml:space="preserve"> de miliarde EUR) vor reuni investiții și reforme în domeniul energiei curate și vor sprijini punerea în aplicare a planurilor naționale privind energia și clima.</w:t>
      </w:r>
    </w:p>
  </w:footnote>
  <w:footnote w:id="31">
    <w:p w14:paraId="58DBAAE8" w14:textId="498E1406" w:rsidR="00B44C28" w:rsidRPr="00B26FBB" w:rsidRDefault="00B44C28">
      <w:pPr>
        <w:pStyle w:val="FootnoteText"/>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Planul de acțiune al UE privind securitatea cablurilor, JOIN(</w:t>
      </w:r>
      <w:r w:rsidRPr="008E43D4">
        <w:rPr>
          <w:rFonts w:ascii="Times New Roman" w:hAnsi="Times New Roman" w:cs="Times New Roman"/>
        </w:rPr>
        <w:t>2025</w:t>
      </w:r>
      <w:r w:rsidRPr="00B26FBB">
        <w:rPr>
          <w:rFonts w:ascii="Times New Roman" w:hAnsi="Times New Roman" w:cs="Times New Roman"/>
        </w:rPr>
        <w:t xml:space="preserve">) </w:t>
      </w:r>
      <w:r w:rsidRPr="008E43D4">
        <w:rPr>
          <w:rFonts w:ascii="Times New Roman" w:hAnsi="Times New Roman" w:cs="Times New Roman"/>
        </w:rPr>
        <w:t>9</w:t>
      </w:r>
      <w:r w:rsidRPr="00B26FBB">
        <w:rPr>
          <w:rFonts w:ascii="Times New Roman" w:hAnsi="Times New Roman" w:cs="Times New Roman"/>
        </w:rPr>
        <w:t xml:space="preserve"> final, </w:t>
      </w:r>
      <w:hyperlink r:id="rId26" w:history="1">
        <w:r w:rsidRPr="00B26FBB">
          <w:rPr>
            <w:rStyle w:val="Hyperlink"/>
            <w:rFonts w:ascii="Times New Roman" w:hAnsi="Times New Roman" w:cs="Times New Roman"/>
          </w:rPr>
          <w:t>eur-lex.europa.eu/legal-content/RO/TXT/PDF/?uri=CELEX:</w:t>
        </w:r>
        <w:r w:rsidRPr="008E43D4">
          <w:rPr>
            <w:rStyle w:val="Hyperlink"/>
            <w:rFonts w:ascii="Times New Roman" w:hAnsi="Times New Roman" w:cs="Times New Roman"/>
          </w:rPr>
          <w:t>52025</w:t>
        </w:r>
        <w:r w:rsidRPr="00B26FBB">
          <w:rPr>
            <w:rStyle w:val="Hyperlink"/>
            <w:rFonts w:ascii="Times New Roman" w:hAnsi="Times New Roman" w:cs="Times New Roman"/>
          </w:rPr>
          <w:t>JC</w:t>
        </w:r>
        <w:r w:rsidRPr="008E43D4">
          <w:rPr>
            <w:rStyle w:val="Hyperlink"/>
            <w:rFonts w:ascii="Times New Roman" w:hAnsi="Times New Roman" w:cs="Times New Roman"/>
          </w:rPr>
          <w:t>0009</w:t>
        </w:r>
      </w:hyperlink>
      <w:r w:rsidRPr="00B26FBB">
        <w:rPr>
          <w:rFonts w:ascii="Times New Roman" w:hAnsi="Times New Roman" w:cs="Times New Roman"/>
        </w:rPr>
        <w:t>.</w:t>
      </w:r>
    </w:p>
  </w:footnote>
  <w:footnote w:id="32">
    <w:p w14:paraId="7079007F" w14:textId="6F48C834" w:rsidR="00194A2E" w:rsidRPr="00B26FBB" w:rsidRDefault="00194A2E">
      <w:pPr>
        <w:pStyle w:val="FootnoteText"/>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27" w:history="1">
        <w:r w:rsidRPr="00B26FBB">
          <w:rPr>
            <w:rStyle w:val="Hyperlink"/>
            <w:rFonts w:ascii="Times New Roman" w:hAnsi="Times New Roman" w:cs="Times New Roman"/>
          </w:rPr>
          <w:t>Regulamentul delegat privind a doua listă a proiectelor de interes comun și a proiectelor de interes reciproc a Uniunii și anexa la acesta – Energie</w:t>
        </w:r>
      </w:hyperlink>
      <w:r w:rsidRPr="00B26FBB">
        <w:rPr>
          <w:rFonts w:ascii="Times New Roman" w:hAnsi="Times New Roman" w:cs="Times New Roman"/>
        </w:rPr>
        <w:t>.</w:t>
      </w:r>
    </w:p>
  </w:footnote>
  <w:footnote w:id="33">
    <w:p w14:paraId="42280548" w14:textId="373F74C9" w:rsidR="003960C3" w:rsidRPr="00B26FBB" w:rsidRDefault="003960C3">
      <w:pPr>
        <w:pStyle w:val="FootnoteText"/>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28" w:history="1">
        <w:r w:rsidRPr="00B26FBB">
          <w:rPr>
            <w:rStyle w:val="Hyperlink"/>
            <w:rFonts w:ascii="Times New Roman" w:hAnsi="Times New Roman" w:cs="Times New Roman"/>
          </w:rPr>
          <w:t>Un nou coordonator european desemnat să supravegheze finalizarea proiectului energetic de sincronizare în zona baltică – Comisia Europeană</w:t>
        </w:r>
      </w:hyperlink>
      <w:r w:rsidRPr="00B26FBB">
        <w:rPr>
          <w:rFonts w:ascii="Times New Roman" w:hAnsi="Times New Roman" w:cs="Times New Roman"/>
        </w:rPr>
        <w:t>.</w:t>
      </w:r>
    </w:p>
    <w:p w14:paraId="0B8BDFCA" w14:textId="107CB306" w:rsidR="0010381B" w:rsidRPr="00B26FBB" w:rsidRDefault="009C237B">
      <w:pPr>
        <w:pStyle w:val="FootnoteText"/>
        <w:rPr>
          <w:rFonts w:ascii="Times New Roman" w:hAnsi="Times New Roman" w:cs="Times New Roman"/>
        </w:rPr>
      </w:pPr>
      <w:hyperlink r:id="rId29" w:history="1">
        <w:r w:rsidR="0010381B" w:rsidRPr="00B26FBB">
          <w:rPr>
            <w:rStyle w:val="Hyperlink"/>
            <w:rFonts w:ascii="Times New Roman" w:hAnsi="Times New Roman" w:cs="Times New Roman"/>
          </w:rPr>
          <w:t>Numirea unui nou coordonator european pentru interconectivitatea energetică în Europa Centrală și de Sud-Est</w:t>
        </w:r>
      </w:hyperlink>
      <w:r w:rsidR="0010381B" w:rsidRPr="00B26FBB">
        <w:rPr>
          <w:rFonts w:ascii="Times New Roman" w:hAnsi="Times New Roman" w:cs="Times New Roman"/>
        </w:rPr>
        <w:t>.</w:t>
      </w:r>
    </w:p>
  </w:footnote>
  <w:footnote w:id="34">
    <w:p w14:paraId="6D3E938C" w14:textId="77777777" w:rsidR="00C36F54" w:rsidRPr="00B26FBB" w:rsidRDefault="00C36F54" w:rsidP="00C36F54">
      <w:pPr>
        <w:pStyle w:val="FootnoteText"/>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Irlanda va fi conectată direct la rețeaua de energie electrică a UE prin intermediul proiectului Celtic Interconnector, aflat în curs de implementare între Irlanda și Franța.</w:t>
      </w:r>
    </w:p>
  </w:footnote>
  <w:footnote w:id="35">
    <w:p w14:paraId="48860D4E" w14:textId="5B852D53" w:rsidR="00A16BF2" w:rsidRPr="00B26FBB" w:rsidRDefault="00A16BF2">
      <w:pPr>
        <w:pStyle w:val="FootnoteText"/>
        <w:rPr>
          <w:rFonts w:ascii="Times New Roman" w:hAnsi="Times New Roman" w:cs="Times New Roman"/>
        </w:rPr>
      </w:pPr>
      <w:r w:rsidRPr="00B26FBB">
        <w:rPr>
          <w:rStyle w:val="FootnoteReference"/>
          <w:rFonts w:ascii="Times New Roman" w:hAnsi="Times New Roman" w:cs="Times New Roman"/>
        </w:rPr>
        <w:footnoteRef/>
      </w:r>
      <w:r w:rsidRPr="00B26FBB">
        <w:rPr>
          <w:rFonts w:ascii="Times New Roman" w:hAnsi="Times New Roman" w:cs="Times New Roman"/>
        </w:rPr>
        <w:t xml:space="preserve"> </w:t>
      </w:r>
      <w:hyperlink r:id="rId30" w:history="1">
        <w:r w:rsidRPr="00B26FBB">
          <w:rPr>
            <w:rStyle w:val="Hyperlink"/>
            <w:rFonts w:ascii="Times New Roman" w:hAnsi="Times New Roman" w:cs="Times New Roman"/>
          </w:rPr>
          <w:t>Comunicare comună privind Pactul pentru Mediterana – Orientul Mijlociu, Africa de Nord și Golf</w:t>
        </w:r>
      </w:hyperlink>
      <w:r w:rsidRPr="00B26FBB">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3EE56" w14:textId="77777777" w:rsidR="009C237B" w:rsidRPr="009C237B" w:rsidRDefault="009C237B" w:rsidP="009C237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F508E" w14:textId="77777777" w:rsidR="009C237B" w:rsidRPr="009C237B" w:rsidRDefault="009C237B" w:rsidP="009C237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02DBE" w14:textId="77777777" w:rsidR="009C237B" w:rsidRPr="009C237B" w:rsidRDefault="009C237B" w:rsidP="009C237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F570D" w14:textId="77777777" w:rsidR="004A1ACA" w:rsidRPr="00C36F54" w:rsidRDefault="004A1A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F8D82" w14:textId="77777777" w:rsidR="004A1ACA" w:rsidRPr="00C36F54" w:rsidRDefault="004A1A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12063" w14:textId="77777777" w:rsidR="004A1ACA" w:rsidRPr="00C36F54" w:rsidRDefault="004A1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D2F89"/>
    <w:multiLevelType w:val="hybridMultilevel"/>
    <w:tmpl w:val="B3EE2640"/>
    <w:lvl w:ilvl="0" w:tplc="C6ECC4AC">
      <w:start w:val="1"/>
      <w:numFmt w:val="bullet"/>
      <w:lvlText w:val=""/>
      <w:lvlJc w:val="left"/>
      <w:pPr>
        <w:ind w:left="720" w:hanging="360"/>
      </w:pPr>
      <w:rPr>
        <w:rFonts w:ascii="Symbol" w:hAnsi="Symbol"/>
      </w:rPr>
    </w:lvl>
    <w:lvl w:ilvl="1" w:tplc="7C0693BE">
      <w:start w:val="1"/>
      <w:numFmt w:val="bullet"/>
      <w:lvlText w:val=""/>
      <w:lvlJc w:val="left"/>
      <w:pPr>
        <w:ind w:left="720" w:hanging="360"/>
      </w:pPr>
      <w:rPr>
        <w:rFonts w:ascii="Symbol" w:hAnsi="Symbol"/>
      </w:rPr>
    </w:lvl>
    <w:lvl w:ilvl="2" w:tplc="88048CB8">
      <w:start w:val="1"/>
      <w:numFmt w:val="bullet"/>
      <w:lvlText w:val=""/>
      <w:lvlJc w:val="left"/>
      <w:pPr>
        <w:ind w:left="720" w:hanging="360"/>
      </w:pPr>
      <w:rPr>
        <w:rFonts w:ascii="Symbol" w:hAnsi="Symbol"/>
      </w:rPr>
    </w:lvl>
    <w:lvl w:ilvl="3" w:tplc="0F5E0D6A">
      <w:start w:val="1"/>
      <w:numFmt w:val="bullet"/>
      <w:lvlText w:val=""/>
      <w:lvlJc w:val="left"/>
      <w:pPr>
        <w:ind w:left="720" w:hanging="360"/>
      </w:pPr>
      <w:rPr>
        <w:rFonts w:ascii="Symbol" w:hAnsi="Symbol"/>
      </w:rPr>
    </w:lvl>
    <w:lvl w:ilvl="4" w:tplc="EC2CDB2E">
      <w:start w:val="1"/>
      <w:numFmt w:val="bullet"/>
      <w:lvlText w:val=""/>
      <w:lvlJc w:val="left"/>
      <w:pPr>
        <w:ind w:left="720" w:hanging="360"/>
      </w:pPr>
      <w:rPr>
        <w:rFonts w:ascii="Symbol" w:hAnsi="Symbol"/>
      </w:rPr>
    </w:lvl>
    <w:lvl w:ilvl="5" w:tplc="0262AC48">
      <w:start w:val="1"/>
      <w:numFmt w:val="bullet"/>
      <w:lvlText w:val=""/>
      <w:lvlJc w:val="left"/>
      <w:pPr>
        <w:ind w:left="720" w:hanging="360"/>
      </w:pPr>
      <w:rPr>
        <w:rFonts w:ascii="Symbol" w:hAnsi="Symbol"/>
      </w:rPr>
    </w:lvl>
    <w:lvl w:ilvl="6" w:tplc="D9F08118">
      <w:start w:val="1"/>
      <w:numFmt w:val="bullet"/>
      <w:lvlText w:val=""/>
      <w:lvlJc w:val="left"/>
      <w:pPr>
        <w:ind w:left="720" w:hanging="360"/>
      </w:pPr>
      <w:rPr>
        <w:rFonts w:ascii="Symbol" w:hAnsi="Symbol"/>
      </w:rPr>
    </w:lvl>
    <w:lvl w:ilvl="7" w:tplc="FA149522">
      <w:start w:val="1"/>
      <w:numFmt w:val="bullet"/>
      <w:lvlText w:val=""/>
      <w:lvlJc w:val="left"/>
      <w:pPr>
        <w:ind w:left="720" w:hanging="360"/>
      </w:pPr>
      <w:rPr>
        <w:rFonts w:ascii="Symbol" w:hAnsi="Symbol"/>
      </w:rPr>
    </w:lvl>
    <w:lvl w:ilvl="8" w:tplc="9FAE4546">
      <w:start w:val="1"/>
      <w:numFmt w:val="bullet"/>
      <w:lvlText w:val=""/>
      <w:lvlJc w:val="left"/>
      <w:pPr>
        <w:ind w:left="720" w:hanging="360"/>
      </w:pPr>
      <w:rPr>
        <w:rFonts w:ascii="Symbol" w:hAnsi="Symbol"/>
      </w:rPr>
    </w:lvl>
  </w:abstractNum>
  <w:abstractNum w:abstractNumId="1" w15:restartNumberingAfterBreak="0">
    <w:nsid w:val="339352F2"/>
    <w:multiLevelType w:val="hybridMultilevel"/>
    <w:tmpl w:val="CB26FA9A"/>
    <w:lvl w:ilvl="0" w:tplc="285CC6B0">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B70C83"/>
    <w:multiLevelType w:val="hybridMultilevel"/>
    <w:tmpl w:val="F9BE9500"/>
    <w:lvl w:ilvl="0" w:tplc="37E6C6BE">
      <w:start w:val="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5051899"/>
    <w:multiLevelType w:val="hybridMultilevel"/>
    <w:tmpl w:val="B7CEE654"/>
    <w:lvl w:ilvl="0" w:tplc="D6A8A8A0">
      <w:start w:val="1"/>
      <w:numFmt w:val="decimal"/>
      <w:lvlText w:val="%1."/>
      <w:lvlJc w:val="left"/>
      <w:pPr>
        <w:ind w:left="720" w:hanging="360"/>
      </w:pPr>
    </w:lvl>
    <w:lvl w:ilvl="1" w:tplc="B01CC9C4">
      <w:start w:val="1"/>
      <w:numFmt w:val="lowerLetter"/>
      <w:lvlText w:val="%2."/>
      <w:lvlJc w:val="left"/>
      <w:pPr>
        <w:ind w:left="1440" w:hanging="360"/>
      </w:pPr>
    </w:lvl>
    <w:lvl w:ilvl="2" w:tplc="19C63732">
      <w:start w:val="1"/>
      <w:numFmt w:val="lowerRoman"/>
      <w:lvlText w:val="%3."/>
      <w:lvlJc w:val="right"/>
      <w:pPr>
        <w:ind w:left="2160" w:hanging="180"/>
      </w:pPr>
    </w:lvl>
    <w:lvl w:ilvl="3" w:tplc="DBBEA894">
      <w:start w:val="1"/>
      <w:numFmt w:val="decimal"/>
      <w:lvlText w:val="%4."/>
      <w:lvlJc w:val="left"/>
      <w:pPr>
        <w:ind w:left="2880" w:hanging="360"/>
      </w:pPr>
    </w:lvl>
    <w:lvl w:ilvl="4" w:tplc="E8A81FAA">
      <w:start w:val="1"/>
      <w:numFmt w:val="lowerLetter"/>
      <w:lvlText w:val="%5."/>
      <w:lvlJc w:val="left"/>
      <w:pPr>
        <w:ind w:left="3600" w:hanging="360"/>
      </w:pPr>
    </w:lvl>
    <w:lvl w:ilvl="5" w:tplc="261EDA64">
      <w:start w:val="1"/>
      <w:numFmt w:val="lowerRoman"/>
      <w:lvlText w:val="%6."/>
      <w:lvlJc w:val="right"/>
      <w:pPr>
        <w:ind w:left="4320" w:hanging="180"/>
      </w:pPr>
    </w:lvl>
    <w:lvl w:ilvl="6" w:tplc="A8D4605E">
      <w:start w:val="1"/>
      <w:numFmt w:val="decimal"/>
      <w:lvlText w:val="%7."/>
      <w:lvlJc w:val="left"/>
      <w:pPr>
        <w:ind w:left="5040" w:hanging="360"/>
      </w:pPr>
    </w:lvl>
    <w:lvl w:ilvl="7" w:tplc="6024B20E">
      <w:start w:val="1"/>
      <w:numFmt w:val="lowerLetter"/>
      <w:lvlText w:val="%8."/>
      <w:lvlJc w:val="left"/>
      <w:pPr>
        <w:ind w:left="5760" w:hanging="360"/>
      </w:pPr>
    </w:lvl>
    <w:lvl w:ilvl="8" w:tplc="7B0608BC">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ocStatus" w:val="Green"/>
    <w:docVar w:name="LW_CORRIGENDUM" w:val="&lt;UNUSED&gt;"/>
    <w:docVar w:name="LW_COVERPAGE_EXISTS" w:val="True"/>
    <w:docVar w:name="LW_COVERPAGE_GUID" w:val="18EF207F-B87F-452E-99D3-A12DCB476AC8"/>
    <w:docVar w:name="LW_COVERPAGE_TYPE" w:val="1"/>
    <w:docVar w:name="LW_CROSSREFERENCE" w:val="&lt;UNUSED&gt;"/>
    <w:docVar w:name="LW_DocType" w:val="NORMAL"/>
    <w:docVar w:name="LW_EMISSION" w:val="10.12.2025"/>
    <w:docVar w:name="LW_EMISSION_ISODATE" w:val="2025-12-1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10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b_&lt;FMT:Bold&gt;\u8222?Pachetul privind re\u539?eaua european\u259?\u8221?&lt;/FMT&gt;_x000d__x000b__x000d__x000d__x000d__x000d__x000d__x000d__x000d__x000d_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343D67"/>
    <w:rsid w:val="00001293"/>
    <w:rsid w:val="00005F94"/>
    <w:rsid w:val="0000664A"/>
    <w:rsid w:val="00006993"/>
    <w:rsid w:val="00007206"/>
    <w:rsid w:val="000125F9"/>
    <w:rsid w:val="000179B2"/>
    <w:rsid w:val="00030263"/>
    <w:rsid w:val="00030457"/>
    <w:rsid w:val="00032FC3"/>
    <w:rsid w:val="00034765"/>
    <w:rsid w:val="00041778"/>
    <w:rsid w:val="0004446B"/>
    <w:rsid w:val="00053BF0"/>
    <w:rsid w:val="000561E0"/>
    <w:rsid w:val="00056740"/>
    <w:rsid w:val="0006026B"/>
    <w:rsid w:val="00062049"/>
    <w:rsid w:val="000651A0"/>
    <w:rsid w:val="000658E6"/>
    <w:rsid w:val="00067DFD"/>
    <w:rsid w:val="00073325"/>
    <w:rsid w:val="00075E23"/>
    <w:rsid w:val="00077028"/>
    <w:rsid w:val="00077DD5"/>
    <w:rsid w:val="00085162"/>
    <w:rsid w:val="00087C7A"/>
    <w:rsid w:val="000914EE"/>
    <w:rsid w:val="000A074F"/>
    <w:rsid w:val="000A1D9C"/>
    <w:rsid w:val="000A2A50"/>
    <w:rsid w:val="000A7F70"/>
    <w:rsid w:val="000B123D"/>
    <w:rsid w:val="000B2C94"/>
    <w:rsid w:val="000B2FE2"/>
    <w:rsid w:val="000B5C8A"/>
    <w:rsid w:val="000B6DBF"/>
    <w:rsid w:val="000C60BA"/>
    <w:rsid w:val="000C7237"/>
    <w:rsid w:val="000D4EB8"/>
    <w:rsid w:val="000D5511"/>
    <w:rsid w:val="000D6B7D"/>
    <w:rsid w:val="000D7023"/>
    <w:rsid w:val="000D75CF"/>
    <w:rsid w:val="000E457F"/>
    <w:rsid w:val="000E7EED"/>
    <w:rsid w:val="000F01D5"/>
    <w:rsid w:val="000F064D"/>
    <w:rsid w:val="000F515C"/>
    <w:rsid w:val="0010381B"/>
    <w:rsid w:val="00113095"/>
    <w:rsid w:val="00115835"/>
    <w:rsid w:val="00122141"/>
    <w:rsid w:val="00122435"/>
    <w:rsid w:val="0012301F"/>
    <w:rsid w:val="00123EFB"/>
    <w:rsid w:val="00124D8C"/>
    <w:rsid w:val="0012541D"/>
    <w:rsid w:val="00126420"/>
    <w:rsid w:val="00132526"/>
    <w:rsid w:val="00137A12"/>
    <w:rsid w:val="00140ED0"/>
    <w:rsid w:val="00141925"/>
    <w:rsid w:val="00144EE4"/>
    <w:rsid w:val="00145CD4"/>
    <w:rsid w:val="0014696D"/>
    <w:rsid w:val="00146AA6"/>
    <w:rsid w:val="00146F48"/>
    <w:rsid w:val="001513BF"/>
    <w:rsid w:val="00152F27"/>
    <w:rsid w:val="00162981"/>
    <w:rsid w:val="00164B2D"/>
    <w:rsid w:val="00165522"/>
    <w:rsid w:val="0016747E"/>
    <w:rsid w:val="00170D4B"/>
    <w:rsid w:val="00172A34"/>
    <w:rsid w:val="00174A2C"/>
    <w:rsid w:val="00180642"/>
    <w:rsid w:val="00185FB7"/>
    <w:rsid w:val="00192605"/>
    <w:rsid w:val="001948FF"/>
    <w:rsid w:val="00194A2E"/>
    <w:rsid w:val="001A17A7"/>
    <w:rsid w:val="001A4289"/>
    <w:rsid w:val="001A611C"/>
    <w:rsid w:val="001A63F1"/>
    <w:rsid w:val="001B1433"/>
    <w:rsid w:val="001B1A8D"/>
    <w:rsid w:val="001B6745"/>
    <w:rsid w:val="001C4119"/>
    <w:rsid w:val="001C475D"/>
    <w:rsid w:val="001C58AE"/>
    <w:rsid w:val="001C7CFA"/>
    <w:rsid w:val="001D611D"/>
    <w:rsid w:val="001E6F02"/>
    <w:rsid w:val="001F0E15"/>
    <w:rsid w:val="001F168A"/>
    <w:rsid w:val="001F687D"/>
    <w:rsid w:val="00206E6E"/>
    <w:rsid w:val="00210A84"/>
    <w:rsid w:val="00214930"/>
    <w:rsid w:val="00215273"/>
    <w:rsid w:val="00215379"/>
    <w:rsid w:val="00216123"/>
    <w:rsid w:val="002164B6"/>
    <w:rsid w:val="002167B2"/>
    <w:rsid w:val="002257D1"/>
    <w:rsid w:val="002309C7"/>
    <w:rsid w:val="00230BD5"/>
    <w:rsid w:val="00240444"/>
    <w:rsid w:val="0024087D"/>
    <w:rsid w:val="00246730"/>
    <w:rsid w:val="00251C2E"/>
    <w:rsid w:val="00253AAB"/>
    <w:rsid w:val="00260466"/>
    <w:rsid w:val="00261AA4"/>
    <w:rsid w:val="00265A77"/>
    <w:rsid w:val="00266303"/>
    <w:rsid w:val="0027132F"/>
    <w:rsid w:val="00272956"/>
    <w:rsid w:val="0027493E"/>
    <w:rsid w:val="002768A7"/>
    <w:rsid w:val="0029106A"/>
    <w:rsid w:val="00292FEF"/>
    <w:rsid w:val="00294A36"/>
    <w:rsid w:val="00295122"/>
    <w:rsid w:val="002957CB"/>
    <w:rsid w:val="002A2B1B"/>
    <w:rsid w:val="002A4C99"/>
    <w:rsid w:val="002A545A"/>
    <w:rsid w:val="002A57A1"/>
    <w:rsid w:val="002B0FD4"/>
    <w:rsid w:val="002B6ACD"/>
    <w:rsid w:val="002B723A"/>
    <w:rsid w:val="002C2FC6"/>
    <w:rsid w:val="002C3674"/>
    <w:rsid w:val="002C4F6E"/>
    <w:rsid w:val="002D1E16"/>
    <w:rsid w:val="002D30E0"/>
    <w:rsid w:val="002D6902"/>
    <w:rsid w:val="002D72D6"/>
    <w:rsid w:val="002E0433"/>
    <w:rsid w:val="002E1C93"/>
    <w:rsid w:val="002E7ABF"/>
    <w:rsid w:val="002F3CDD"/>
    <w:rsid w:val="002F4CC3"/>
    <w:rsid w:val="002F5898"/>
    <w:rsid w:val="002F7A45"/>
    <w:rsid w:val="00301080"/>
    <w:rsid w:val="00302324"/>
    <w:rsid w:val="00303A54"/>
    <w:rsid w:val="00304803"/>
    <w:rsid w:val="00304B96"/>
    <w:rsid w:val="00304EE1"/>
    <w:rsid w:val="00306202"/>
    <w:rsid w:val="003103A5"/>
    <w:rsid w:val="00312ACA"/>
    <w:rsid w:val="00312B2C"/>
    <w:rsid w:val="00321476"/>
    <w:rsid w:val="003233CD"/>
    <w:rsid w:val="00330096"/>
    <w:rsid w:val="00330AAB"/>
    <w:rsid w:val="00335610"/>
    <w:rsid w:val="00336603"/>
    <w:rsid w:val="003414FC"/>
    <w:rsid w:val="00343D67"/>
    <w:rsid w:val="00351A45"/>
    <w:rsid w:val="00364AE5"/>
    <w:rsid w:val="003651A6"/>
    <w:rsid w:val="003657FD"/>
    <w:rsid w:val="00374819"/>
    <w:rsid w:val="003753D1"/>
    <w:rsid w:val="003778C3"/>
    <w:rsid w:val="00380B27"/>
    <w:rsid w:val="00384105"/>
    <w:rsid w:val="00391C68"/>
    <w:rsid w:val="003960C3"/>
    <w:rsid w:val="003A4E8E"/>
    <w:rsid w:val="003A6587"/>
    <w:rsid w:val="003A674F"/>
    <w:rsid w:val="003A6E1B"/>
    <w:rsid w:val="003A7AB6"/>
    <w:rsid w:val="003B015D"/>
    <w:rsid w:val="003B098D"/>
    <w:rsid w:val="003B50CA"/>
    <w:rsid w:val="003B6371"/>
    <w:rsid w:val="003B788D"/>
    <w:rsid w:val="003C30E6"/>
    <w:rsid w:val="003D179E"/>
    <w:rsid w:val="003D35FA"/>
    <w:rsid w:val="003D767E"/>
    <w:rsid w:val="003E3A92"/>
    <w:rsid w:val="003E4982"/>
    <w:rsid w:val="003F013A"/>
    <w:rsid w:val="003F08FD"/>
    <w:rsid w:val="003F233C"/>
    <w:rsid w:val="003F2A38"/>
    <w:rsid w:val="003F7587"/>
    <w:rsid w:val="0040271D"/>
    <w:rsid w:val="00404052"/>
    <w:rsid w:val="0041469E"/>
    <w:rsid w:val="00415D90"/>
    <w:rsid w:val="00420DE8"/>
    <w:rsid w:val="0042248C"/>
    <w:rsid w:val="00424A1B"/>
    <w:rsid w:val="004268F7"/>
    <w:rsid w:val="00426EE0"/>
    <w:rsid w:val="004300AD"/>
    <w:rsid w:val="00436B62"/>
    <w:rsid w:val="00437123"/>
    <w:rsid w:val="00443063"/>
    <w:rsid w:val="004434B1"/>
    <w:rsid w:val="004449DE"/>
    <w:rsid w:val="00447981"/>
    <w:rsid w:val="004567F6"/>
    <w:rsid w:val="00466AE7"/>
    <w:rsid w:val="004671E0"/>
    <w:rsid w:val="00473680"/>
    <w:rsid w:val="0047495A"/>
    <w:rsid w:val="00477F95"/>
    <w:rsid w:val="004830DA"/>
    <w:rsid w:val="00484E89"/>
    <w:rsid w:val="00490CA6"/>
    <w:rsid w:val="0049134B"/>
    <w:rsid w:val="00494FFA"/>
    <w:rsid w:val="00496DA0"/>
    <w:rsid w:val="004A0BE8"/>
    <w:rsid w:val="004A1ACA"/>
    <w:rsid w:val="004A5672"/>
    <w:rsid w:val="004A6000"/>
    <w:rsid w:val="004A692C"/>
    <w:rsid w:val="004B0DDC"/>
    <w:rsid w:val="004B62FB"/>
    <w:rsid w:val="004C23B5"/>
    <w:rsid w:val="004C256C"/>
    <w:rsid w:val="004C2EEA"/>
    <w:rsid w:val="004C5A7E"/>
    <w:rsid w:val="004C6B9C"/>
    <w:rsid w:val="004D00B2"/>
    <w:rsid w:val="004D2295"/>
    <w:rsid w:val="004D64DA"/>
    <w:rsid w:val="004D714D"/>
    <w:rsid w:val="004E0128"/>
    <w:rsid w:val="004E5132"/>
    <w:rsid w:val="004E5964"/>
    <w:rsid w:val="004E6BAE"/>
    <w:rsid w:val="004E6FB9"/>
    <w:rsid w:val="004E7ECD"/>
    <w:rsid w:val="004F08E2"/>
    <w:rsid w:val="004F1C67"/>
    <w:rsid w:val="004F2D11"/>
    <w:rsid w:val="00510082"/>
    <w:rsid w:val="005140D6"/>
    <w:rsid w:val="00514FA7"/>
    <w:rsid w:val="00515C15"/>
    <w:rsid w:val="005177EA"/>
    <w:rsid w:val="0052063C"/>
    <w:rsid w:val="0052795D"/>
    <w:rsid w:val="0053277C"/>
    <w:rsid w:val="00540FA5"/>
    <w:rsid w:val="00550D4B"/>
    <w:rsid w:val="00553ACE"/>
    <w:rsid w:val="00557E55"/>
    <w:rsid w:val="005603A7"/>
    <w:rsid w:val="00563203"/>
    <w:rsid w:val="00564DF2"/>
    <w:rsid w:val="00573D8C"/>
    <w:rsid w:val="00580C26"/>
    <w:rsid w:val="005845ED"/>
    <w:rsid w:val="00584742"/>
    <w:rsid w:val="00585F5F"/>
    <w:rsid w:val="0058723C"/>
    <w:rsid w:val="00590295"/>
    <w:rsid w:val="00592614"/>
    <w:rsid w:val="0059413D"/>
    <w:rsid w:val="005A15F3"/>
    <w:rsid w:val="005A340E"/>
    <w:rsid w:val="005A4A65"/>
    <w:rsid w:val="005B0103"/>
    <w:rsid w:val="005B2C67"/>
    <w:rsid w:val="005B3B3F"/>
    <w:rsid w:val="005B55B1"/>
    <w:rsid w:val="005B6E39"/>
    <w:rsid w:val="005C3FA3"/>
    <w:rsid w:val="005C4DB0"/>
    <w:rsid w:val="005D1976"/>
    <w:rsid w:val="005D19A6"/>
    <w:rsid w:val="005D203B"/>
    <w:rsid w:val="005E649D"/>
    <w:rsid w:val="005F0DDD"/>
    <w:rsid w:val="005F5245"/>
    <w:rsid w:val="005F6276"/>
    <w:rsid w:val="00600C8F"/>
    <w:rsid w:val="00601208"/>
    <w:rsid w:val="00601CD9"/>
    <w:rsid w:val="006022C7"/>
    <w:rsid w:val="00610BEA"/>
    <w:rsid w:val="00611DCA"/>
    <w:rsid w:val="00614A0E"/>
    <w:rsid w:val="00614FE6"/>
    <w:rsid w:val="006154EC"/>
    <w:rsid w:val="00617C4A"/>
    <w:rsid w:val="00621B34"/>
    <w:rsid w:val="00623543"/>
    <w:rsid w:val="0062354D"/>
    <w:rsid w:val="00630766"/>
    <w:rsid w:val="006310F5"/>
    <w:rsid w:val="006337FA"/>
    <w:rsid w:val="00636C1A"/>
    <w:rsid w:val="00640280"/>
    <w:rsid w:val="006407DF"/>
    <w:rsid w:val="00642951"/>
    <w:rsid w:val="006451B5"/>
    <w:rsid w:val="006451F5"/>
    <w:rsid w:val="00645C30"/>
    <w:rsid w:val="00646269"/>
    <w:rsid w:val="006512AD"/>
    <w:rsid w:val="00652FA7"/>
    <w:rsid w:val="00660F4D"/>
    <w:rsid w:val="00665499"/>
    <w:rsid w:val="00673E85"/>
    <w:rsid w:val="006831F8"/>
    <w:rsid w:val="00686771"/>
    <w:rsid w:val="00691EDD"/>
    <w:rsid w:val="00697D68"/>
    <w:rsid w:val="006A4F66"/>
    <w:rsid w:val="006A7350"/>
    <w:rsid w:val="006B2142"/>
    <w:rsid w:val="006B469D"/>
    <w:rsid w:val="006B6D84"/>
    <w:rsid w:val="006B7B3B"/>
    <w:rsid w:val="006C46DE"/>
    <w:rsid w:val="006C63DF"/>
    <w:rsid w:val="006D2176"/>
    <w:rsid w:val="006D37C1"/>
    <w:rsid w:val="006D4500"/>
    <w:rsid w:val="006D772C"/>
    <w:rsid w:val="006D776D"/>
    <w:rsid w:val="006D7F15"/>
    <w:rsid w:val="006E2B42"/>
    <w:rsid w:val="006E336C"/>
    <w:rsid w:val="006E60B6"/>
    <w:rsid w:val="006F056F"/>
    <w:rsid w:val="006F2258"/>
    <w:rsid w:val="006F463B"/>
    <w:rsid w:val="006F47E4"/>
    <w:rsid w:val="006F62A2"/>
    <w:rsid w:val="006F7601"/>
    <w:rsid w:val="00702E82"/>
    <w:rsid w:val="00705A5B"/>
    <w:rsid w:val="00706445"/>
    <w:rsid w:val="00713169"/>
    <w:rsid w:val="00723C42"/>
    <w:rsid w:val="00724B7B"/>
    <w:rsid w:val="00725A8D"/>
    <w:rsid w:val="00730F4D"/>
    <w:rsid w:val="007332D9"/>
    <w:rsid w:val="00741240"/>
    <w:rsid w:val="00741FC6"/>
    <w:rsid w:val="00744E57"/>
    <w:rsid w:val="007457A1"/>
    <w:rsid w:val="00745A1A"/>
    <w:rsid w:val="007521C3"/>
    <w:rsid w:val="00757736"/>
    <w:rsid w:val="0077017A"/>
    <w:rsid w:val="00784A64"/>
    <w:rsid w:val="007907AE"/>
    <w:rsid w:val="00792A8B"/>
    <w:rsid w:val="00794773"/>
    <w:rsid w:val="007A40BA"/>
    <w:rsid w:val="007B67DE"/>
    <w:rsid w:val="007C1733"/>
    <w:rsid w:val="007C5974"/>
    <w:rsid w:val="007C7DC0"/>
    <w:rsid w:val="007D2A04"/>
    <w:rsid w:val="007D564A"/>
    <w:rsid w:val="007D6007"/>
    <w:rsid w:val="007D7B3C"/>
    <w:rsid w:val="007E0CA5"/>
    <w:rsid w:val="007E2115"/>
    <w:rsid w:val="00800E4A"/>
    <w:rsid w:val="008030EB"/>
    <w:rsid w:val="008040BA"/>
    <w:rsid w:val="00805BCE"/>
    <w:rsid w:val="00813C41"/>
    <w:rsid w:val="00814293"/>
    <w:rsid w:val="0082400D"/>
    <w:rsid w:val="00831A29"/>
    <w:rsid w:val="008329B3"/>
    <w:rsid w:val="00834242"/>
    <w:rsid w:val="008401BC"/>
    <w:rsid w:val="008439B8"/>
    <w:rsid w:val="00844706"/>
    <w:rsid w:val="008472A0"/>
    <w:rsid w:val="0086660D"/>
    <w:rsid w:val="00871155"/>
    <w:rsid w:val="008736DC"/>
    <w:rsid w:val="00875CEE"/>
    <w:rsid w:val="008819DC"/>
    <w:rsid w:val="00883737"/>
    <w:rsid w:val="00885126"/>
    <w:rsid w:val="00891E4D"/>
    <w:rsid w:val="00892B52"/>
    <w:rsid w:val="008939C0"/>
    <w:rsid w:val="008941FB"/>
    <w:rsid w:val="008A5C4D"/>
    <w:rsid w:val="008A673F"/>
    <w:rsid w:val="008B026D"/>
    <w:rsid w:val="008B394C"/>
    <w:rsid w:val="008B472A"/>
    <w:rsid w:val="008C0DF4"/>
    <w:rsid w:val="008C1232"/>
    <w:rsid w:val="008C6EB9"/>
    <w:rsid w:val="008D386F"/>
    <w:rsid w:val="008D7038"/>
    <w:rsid w:val="008E43D4"/>
    <w:rsid w:val="008E73DF"/>
    <w:rsid w:val="008F1EEB"/>
    <w:rsid w:val="008F2CF9"/>
    <w:rsid w:val="008F4275"/>
    <w:rsid w:val="009021A8"/>
    <w:rsid w:val="00903C44"/>
    <w:rsid w:val="009042E7"/>
    <w:rsid w:val="0090431B"/>
    <w:rsid w:val="00912FAA"/>
    <w:rsid w:val="009137F3"/>
    <w:rsid w:val="00922912"/>
    <w:rsid w:val="00931A57"/>
    <w:rsid w:val="00933796"/>
    <w:rsid w:val="0093535C"/>
    <w:rsid w:val="009403F3"/>
    <w:rsid w:val="0094044B"/>
    <w:rsid w:val="00941DB4"/>
    <w:rsid w:val="009433D8"/>
    <w:rsid w:val="00945B88"/>
    <w:rsid w:val="00946322"/>
    <w:rsid w:val="009474FE"/>
    <w:rsid w:val="00953B66"/>
    <w:rsid w:val="00954505"/>
    <w:rsid w:val="009579AA"/>
    <w:rsid w:val="00961642"/>
    <w:rsid w:val="0096225B"/>
    <w:rsid w:val="009656B6"/>
    <w:rsid w:val="009664B4"/>
    <w:rsid w:val="0097067C"/>
    <w:rsid w:val="00971B6A"/>
    <w:rsid w:val="00973DC3"/>
    <w:rsid w:val="0097444B"/>
    <w:rsid w:val="0098091C"/>
    <w:rsid w:val="00981E7B"/>
    <w:rsid w:val="009845C2"/>
    <w:rsid w:val="00986594"/>
    <w:rsid w:val="00994D22"/>
    <w:rsid w:val="00997EED"/>
    <w:rsid w:val="009A16D9"/>
    <w:rsid w:val="009A21E1"/>
    <w:rsid w:val="009A21EF"/>
    <w:rsid w:val="009A2912"/>
    <w:rsid w:val="009A5BB4"/>
    <w:rsid w:val="009B05EB"/>
    <w:rsid w:val="009B0B87"/>
    <w:rsid w:val="009B3F98"/>
    <w:rsid w:val="009B6006"/>
    <w:rsid w:val="009B7F93"/>
    <w:rsid w:val="009C237B"/>
    <w:rsid w:val="009D300B"/>
    <w:rsid w:val="009D3DC0"/>
    <w:rsid w:val="009D510B"/>
    <w:rsid w:val="009D5AB7"/>
    <w:rsid w:val="009F3B56"/>
    <w:rsid w:val="009F3E9E"/>
    <w:rsid w:val="009F718A"/>
    <w:rsid w:val="009F7C82"/>
    <w:rsid w:val="00A00AEB"/>
    <w:rsid w:val="00A0176E"/>
    <w:rsid w:val="00A0585A"/>
    <w:rsid w:val="00A105ED"/>
    <w:rsid w:val="00A109B0"/>
    <w:rsid w:val="00A12BB7"/>
    <w:rsid w:val="00A14E24"/>
    <w:rsid w:val="00A16BF2"/>
    <w:rsid w:val="00A17F29"/>
    <w:rsid w:val="00A23431"/>
    <w:rsid w:val="00A24084"/>
    <w:rsid w:val="00A3091C"/>
    <w:rsid w:val="00A30F03"/>
    <w:rsid w:val="00A33F96"/>
    <w:rsid w:val="00A3776D"/>
    <w:rsid w:val="00A4217D"/>
    <w:rsid w:val="00A42D7A"/>
    <w:rsid w:val="00A46090"/>
    <w:rsid w:val="00A50C8D"/>
    <w:rsid w:val="00A50FF4"/>
    <w:rsid w:val="00A52867"/>
    <w:rsid w:val="00A53945"/>
    <w:rsid w:val="00A579DA"/>
    <w:rsid w:val="00A60E51"/>
    <w:rsid w:val="00A61985"/>
    <w:rsid w:val="00A61CC5"/>
    <w:rsid w:val="00A61F60"/>
    <w:rsid w:val="00A62147"/>
    <w:rsid w:val="00A62453"/>
    <w:rsid w:val="00A63FE5"/>
    <w:rsid w:val="00A67066"/>
    <w:rsid w:val="00A6723B"/>
    <w:rsid w:val="00A71B84"/>
    <w:rsid w:val="00A7320C"/>
    <w:rsid w:val="00A75B09"/>
    <w:rsid w:val="00A9429A"/>
    <w:rsid w:val="00AA02B5"/>
    <w:rsid w:val="00AA1996"/>
    <w:rsid w:val="00AA32BA"/>
    <w:rsid w:val="00AA67F4"/>
    <w:rsid w:val="00AB0938"/>
    <w:rsid w:val="00AB4DBC"/>
    <w:rsid w:val="00AB5B8B"/>
    <w:rsid w:val="00AC537F"/>
    <w:rsid w:val="00AC6D16"/>
    <w:rsid w:val="00AD11BD"/>
    <w:rsid w:val="00AD7028"/>
    <w:rsid w:val="00AE03C6"/>
    <w:rsid w:val="00AE0801"/>
    <w:rsid w:val="00AE2733"/>
    <w:rsid w:val="00AE32E7"/>
    <w:rsid w:val="00AE7EE9"/>
    <w:rsid w:val="00AF502A"/>
    <w:rsid w:val="00AF7161"/>
    <w:rsid w:val="00B01B98"/>
    <w:rsid w:val="00B05817"/>
    <w:rsid w:val="00B074EB"/>
    <w:rsid w:val="00B15872"/>
    <w:rsid w:val="00B22B85"/>
    <w:rsid w:val="00B24742"/>
    <w:rsid w:val="00B26FBB"/>
    <w:rsid w:val="00B3116D"/>
    <w:rsid w:val="00B32491"/>
    <w:rsid w:val="00B35307"/>
    <w:rsid w:val="00B37407"/>
    <w:rsid w:val="00B44C28"/>
    <w:rsid w:val="00B451CD"/>
    <w:rsid w:val="00B51707"/>
    <w:rsid w:val="00B51E61"/>
    <w:rsid w:val="00B53F2B"/>
    <w:rsid w:val="00B55C7A"/>
    <w:rsid w:val="00B564AC"/>
    <w:rsid w:val="00B61CAE"/>
    <w:rsid w:val="00B64255"/>
    <w:rsid w:val="00B65F79"/>
    <w:rsid w:val="00B70713"/>
    <w:rsid w:val="00B72980"/>
    <w:rsid w:val="00B75C99"/>
    <w:rsid w:val="00B80E06"/>
    <w:rsid w:val="00B84B29"/>
    <w:rsid w:val="00B85BEF"/>
    <w:rsid w:val="00B9021D"/>
    <w:rsid w:val="00B927B2"/>
    <w:rsid w:val="00B97AFA"/>
    <w:rsid w:val="00BA23A9"/>
    <w:rsid w:val="00BA7EAA"/>
    <w:rsid w:val="00BB0A81"/>
    <w:rsid w:val="00BB0B8D"/>
    <w:rsid w:val="00BB1A63"/>
    <w:rsid w:val="00BB37E7"/>
    <w:rsid w:val="00BB39FB"/>
    <w:rsid w:val="00BC1180"/>
    <w:rsid w:val="00BC4421"/>
    <w:rsid w:val="00BC6A5B"/>
    <w:rsid w:val="00BC6E20"/>
    <w:rsid w:val="00BC75EA"/>
    <w:rsid w:val="00BD18D5"/>
    <w:rsid w:val="00BD6783"/>
    <w:rsid w:val="00BE4636"/>
    <w:rsid w:val="00BF031C"/>
    <w:rsid w:val="00BF6BE3"/>
    <w:rsid w:val="00C00D88"/>
    <w:rsid w:val="00C04D48"/>
    <w:rsid w:val="00C100BE"/>
    <w:rsid w:val="00C111F2"/>
    <w:rsid w:val="00C12349"/>
    <w:rsid w:val="00C15695"/>
    <w:rsid w:val="00C2637F"/>
    <w:rsid w:val="00C26575"/>
    <w:rsid w:val="00C31A49"/>
    <w:rsid w:val="00C36F54"/>
    <w:rsid w:val="00C40C1B"/>
    <w:rsid w:val="00C42F56"/>
    <w:rsid w:val="00C42FDC"/>
    <w:rsid w:val="00C4562D"/>
    <w:rsid w:val="00C60483"/>
    <w:rsid w:val="00C634BB"/>
    <w:rsid w:val="00C64038"/>
    <w:rsid w:val="00C65D91"/>
    <w:rsid w:val="00C6614D"/>
    <w:rsid w:val="00C6768A"/>
    <w:rsid w:val="00C73382"/>
    <w:rsid w:val="00C82DCD"/>
    <w:rsid w:val="00C85AF0"/>
    <w:rsid w:val="00C91C83"/>
    <w:rsid w:val="00C91F60"/>
    <w:rsid w:val="00C95C96"/>
    <w:rsid w:val="00C960AD"/>
    <w:rsid w:val="00C9635A"/>
    <w:rsid w:val="00CA4739"/>
    <w:rsid w:val="00CA563E"/>
    <w:rsid w:val="00CA7C6F"/>
    <w:rsid w:val="00CB1F71"/>
    <w:rsid w:val="00CB5857"/>
    <w:rsid w:val="00CC1BCE"/>
    <w:rsid w:val="00CC5074"/>
    <w:rsid w:val="00CC50DF"/>
    <w:rsid w:val="00CC58F1"/>
    <w:rsid w:val="00CC6551"/>
    <w:rsid w:val="00CD26DE"/>
    <w:rsid w:val="00CD3EED"/>
    <w:rsid w:val="00CD4CFE"/>
    <w:rsid w:val="00CE0C28"/>
    <w:rsid w:val="00CE1DFB"/>
    <w:rsid w:val="00CE2193"/>
    <w:rsid w:val="00CF23A6"/>
    <w:rsid w:val="00CF3473"/>
    <w:rsid w:val="00CF7F61"/>
    <w:rsid w:val="00D00AF7"/>
    <w:rsid w:val="00D04060"/>
    <w:rsid w:val="00D041FD"/>
    <w:rsid w:val="00D11569"/>
    <w:rsid w:val="00D22B27"/>
    <w:rsid w:val="00D24CCE"/>
    <w:rsid w:val="00D262AF"/>
    <w:rsid w:val="00D3287E"/>
    <w:rsid w:val="00D362CE"/>
    <w:rsid w:val="00D42AFD"/>
    <w:rsid w:val="00D47A8C"/>
    <w:rsid w:val="00D53F15"/>
    <w:rsid w:val="00D61491"/>
    <w:rsid w:val="00D67464"/>
    <w:rsid w:val="00D71032"/>
    <w:rsid w:val="00D727A1"/>
    <w:rsid w:val="00D72A2E"/>
    <w:rsid w:val="00D73C8F"/>
    <w:rsid w:val="00D76CC5"/>
    <w:rsid w:val="00D77DD7"/>
    <w:rsid w:val="00D80592"/>
    <w:rsid w:val="00D80E7D"/>
    <w:rsid w:val="00D822C2"/>
    <w:rsid w:val="00D850A6"/>
    <w:rsid w:val="00D878E6"/>
    <w:rsid w:val="00D94B1E"/>
    <w:rsid w:val="00D9724A"/>
    <w:rsid w:val="00D97590"/>
    <w:rsid w:val="00DA1A07"/>
    <w:rsid w:val="00DA2CB0"/>
    <w:rsid w:val="00DA3014"/>
    <w:rsid w:val="00DA34B8"/>
    <w:rsid w:val="00DA3A5E"/>
    <w:rsid w:val="00DB0933"/>
    <w:rsid w:val="00DB4584"/>
    <w:rsid w:val="00DB4F90"/>
    <w:rsid w:val="00DB50DF"/>
    <w:rsid w:val="00DC0AF8"/>
    <w:rsid w:val="00DC3681"/>
    <w:rsid w:val="00DC432A"/>
    <w:rsid w:val="00DC4BA0"/>
    <w:rsid w:val="00DC5642"/>
    <w:rsid w:val="00DD0EBC"/>
    <w:rsid w:val="00DD228C"/>
    <w:rsid w:val="00DD6207"/>
    <w:rsid w:val="00DD7556"/>
    <w:rsid w:val="00DE1071"/>
    <w:rsid w:val="00DE47FA"/>
    <w:rsid w:val="00DE66A0"/>
    <w:rsid w:val="00DE6CDC"/>
    <w:rsid w:val="00DF02D6"/>
    <w:rsid w:val="00DF4F0A"/>
    <w:rsid w:val="00DF4F6C"/>
    <w:rsid w:val="00DF60DB"/>
    <w:rsid w:val="00E02CDC"/>
    <w:rsid w:val="00E03E30"/>
    <w:rsid w:val="00E047C7"/>
    <w:rsid w:val="00E15700"/>
    <w:rsid w:val="00E27217"/>
    <w:rsid w:val="00E27DDB"/>
    <w:rsid w:val="00E3082E"/>
    <w:rsid w:val="00E336F5"/>
    <w:rsid w:val="00E366F4"/>
    <w:rsid w:val="00E467B9"/>
    <w:rsid w:val="00E643EA"/>
    <w:rsid w:val="00E64C32"/>
    <w:rsid w:val="00E65DF1"/>
    <w:rsid w:val="00E679C0"/>
    <w:rsid w:val="00E70504"/>
    <w:rsid w:val="00E70FF3"/>
    <w:rsid w:val="00E72ED3"/>
    <w:rsid w:val="00E747DB"/>
    <w:rsid w:val="00E75616"/>
    <w:rsid w:val="00E75CC7"/>
    <w:rsid w:val="00E8030E"/>
    <w:rsid w:val="00E826AB"/>
    <w:rsid w:val="00E86870"/>
    <w:rsid w:val="00E86E8D"/>
    <w:rsid w:val="00E91E88"/>
    <w:rsid w:val="00E93120"/>
    <w:rsid w:val="00E94C84"/>
    <w:rsid w:val="00E95527"/>
    <w:rsid w:val="00E97B77"/>
    <w:rsid w:val="00EA22C9"/>
    <w:rsid w:val="00EA4209"/>
    <w:rsid w:val="00EB0F21"/>
    <w:rsid w:val="00EB3C28"/>
    <w:rsid w:val="00EB3E8B"/>
    <w:rsid w:val="00EB46F8"/>
    <w:rsid w:val="00EB5FEE"/>
    <w:rsid w:val="00EB6122"/>
    <w:rsid w:val="00EC3DEA"/>
    <w:rsid w:val="00ED04FA"/>
    <w:rsid w:val="00ED1016"/>
    <w:rsid w:val="00ED12AC"/>
    <w:rsid w:val="00ED743F"/>
    <w:rsid w:val="00EE02CA"/>
    <w:rsid w:val="00EE089B"/>
    <w:rsid w:val="00EE12A0"/>
    <w:rsid w:val="00EE2A14"/>
    <w:rsid w:val="00EE63A6"/>
    <w:rsid w:val="00EE7075"/>
    <w:rsid w:val="00EF41F4"/>
    <w:rsid w:val="00EF64A2"/>
    <w:rsid w:val="00F00D63"/>
    <w:rsid w:val="00F01541"/>
    <w:rsid w:val="00F03C2C"/>
    <w:rsid w:val="00F1031D"/>
    <w:rsid w:val="00F104E2"/>
    <w:rsid w:val="00F1172A"/>
    <w:rsid w:val="00F161F0"/>
    <w:rsid w:val="00F22597"/>
    <w:rsid w:val="00F22D14"/>
    <w:rsid w:val="00F23F73"/>
    <w:rsid w:val="00F301D7"/>
    <w:rsid w:val="00F30509"/>
    <w:rsid w:val="00F341FE"/>
    <w:rsid w:val="00F42759"/>
    <w:rsid w:val="00F44755"/>
    <w:rsid w:val="00F515DA"/>
    <w:rsid w:val="00F52988"/>
    <w:rsid w:val="00F52D7F"/>
    <w:rsid w:val="00F57850"/>
    <w:rsid w:val="00F616D8"/>
    <w:rsid w:val="00F716BF"/>
    <w:rsid w:val="00F71D6C"/>
    <w:rsid w:val="00F72876"/>
    <w:rsid w:val="00F740EE"/>
    <w:rsid w:val="00F811EA"/>
    <w:rsid w:val="00F8148B"/>
    <w:rsid w:val="00F81E4D"/>
    <w:rsid w:val="00F841B7"/>
    <w:rsid w:val="00F91049"/>
    <w:rsid w:val="00F92535"/>
    <w:rsid w:val="00F93913"/>
    <w:rsid w:val="00F96773"/>
    <w:rsid w:val="00F972D2"/>
    <w:rsid w:val="00FA382F"/>
    <w:rsid w:val="00FA3E01"/>
    <w:rsid w:val="00FA51F3"/>
    <w:rsid w:val="00FB5255"/>
    <w:rsid w:val="00FC4EA7"/>
    <w:rsid w:val="00FC7061"/>
    <w:rsid w:val="00FD1834"/>
    <w:rsid w:val="00FD5F27"/>
    <w:rsid w:val="00FE2BFC"/>
    <w:rsid w:val="00FE4705"/>
    <w:rsid w:val="00FE556E"/>
    <w:rsid w:val="00FE681D"/>
    <w:rsid w:val="00FE7911"/>
    <w:rsid w:val="00FE7981"/>
    <w:rsid w:val="00FF1252"/>
    <w:rsid w:val="037ACAF4"/>
    <w:rsid w:val="05693858"/>
    <w:rsid w:val="05FD6BC0"/>
    <w:rsid w:val="082E414C"/>
    <w:rsid w:val="0E3D6F60"/>
    <w:rsid w:val="109B2C6E"/>
    <w:rsid w:val="145C5080"/>
    <w:rsid w:val="15BBA0D5"/>
    <w:rsid w:val="15C3FECB"/>
    <w:rsid w:val="170DEF3B"/>
    <w:rsid w:val="1DC8B114"/>
    <w:rsid w:val="2062B91B"/>
    <w:rsid w:val="22EC3A64"/>
    <w:rsid w:val="23FB5FA2"/>
    <w:rsid w:val="24F3AC02"/>
    <w:rsid w:val="260E68F5"/>
    <w:rsid w:val="2A51BB37"/>
    <w:rsid w:val="2FA97155"/>
    <w:rsid w:val="3009B66A"/>
    <w:rsid w:val="311E35B0"/>
    <w:rsid w:val="3233BE32"/>
    <w:rsid w:val="3337E8B9"/>
    <w:rsid w:val="33872560"/>
    <w:rsid w:val="38193634"/>
    <w:rsid w:val="422DC438"/>
    <w:rsid w:val="528B64CA"/>
    <w:rsid w:val="54C933D3"/>
    <w:rsid w:val="553633E9"/>
    <w:rsid w:val="584F2401"/>
    <w:rsid w:val="5C6CB6E1"/>
    <w:rsid w:val="5D233E19"/>
    <w:rsid w:val="6144401C"/>
    <w:rsid w:val="64F71744"/>
    <w:rsid w:val="66C5E379"/>
    <w:rsid w:val="68B0F714"/>
    <w:rsid w:val="69C7DE62"/>
    <w:rsid w:val="79512943"/>
    <w:rsid w:val="7D5B29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2A449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43D67"/>
    <w:rPr>
      <w:color w:val="0000FF"/>
      <w:shd w:val="clear" w:color="auto" w:fill="auto"/>
    </w:rPr>
  </w:style>
  <w:style w:type="paragraph" w:styleId="Header">
    <w:name w:val="header"/>
    <w:basedOn w:val="Normal"/>
    <w:link w:val="HeaderChar"/>
    <w:uiPriority w:val="99"/>
    <w:unhideWhenUsed/>
    <w:rsid w:val="00343D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D67"/>
    <w:rPr>
      <w:lang w:val="ro-RO"/>
    </w:rPr>
  </w:style>
  <w:style w:type="paragraph" w:styleId="Footer">
    <w:name w:val="footer"/>
    <w:basedOn w:val="Normal"/>
    <w:link w:val="FooterChar"/>
    <w:uiPriority w:val="99"/>
    <w:unhideWhenUsed/>
    <w:rsid w:val="00343D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D67"/>
    <w:rPr>
      <w:lang w:val="ro-RO"/>
    </w:rPr>
  </w:style>
  <w:style w:type="paragraph" w:customStyle="1" w:styleId="Pagedecouverture">
    <w:name w:val="Page de couverture"/>
    <w:basedOn w:val="Normal"/>
    <w:next w:val="Normal"/>
    <w:rsid w:val="00343D6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343D6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43D67"/>
    <w:rPr>
      <w:rFonts w:ascii="Times New Roman" w:hAnsi="Times New Roman" w:cs="Times New Roman"/>
      <w:sz w:val="24"/>
    </w:rPr>
  </w:style>
  <w:style w:type="paragraph" w:customStyle="1" w:styleId="FooterSensitivity">
    <w:name w:val="Footer Sensitivity"/>
    <w:basedOn w:val="Normal"/>
    <w:link w:val="FooterSensitivityChar"/>
    <w:rsid w:val="00343D6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43D67"/>
    <w:rPr>
      <w:rFonts w:ascii="Times New Roman" w:hAnsi="Times New Roman" w:cs="Times New Roman"/>
      <w:b/>
      <w:sz w:val="32"/>
    </w:rPr>
  </w:style>
  <w:style w:type="paragraph" w:customStyle="1" w:styleId="HeaderCoverPage">
    <w:name w:val="Header Cover Page"/>
    <w:basedOn w:val="Normal"/>
    <w:link w:val="HeaderCoverPageChar"/>
    <w:rsid w:val="00343D6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43D67"/>
    <w:rPr>
      <w:rFonts w:ascii="Times New Roman" w:hAnsi="Times New Roman" w:cs="Times New Roman"/>
      <w:sz w:val="24"/>
    </w:rPr>
  </w:style>
  <w:style w:type="paragraph" w:customStyle="1" w:styleId="HeaderSensitivity">
    <w:name w:val="Header Sensitivity"/>
    <w:basedOn w:val="Normal"/>
    <w:link w:val="HeaderSensitivityChar"/>
    <w:rsid w:val="00343D6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43D67"/>
    <w:rPr>
      <w:rFonts w:ascii="Times New Roman" w:hAnsi="Times New Roman" w:cs="Times New Roman"/>
      <w:b/>
      <w:sz w:val="32"/>
    </w:rPr>
  </w:style>
  <w:style w:type="paragraph" w:customStyle="1" w:styleId="HeaderSensitivityRight">
    <w:name w:val="Header Sensitivity Right"/>
    <w:basedOn w:val="Normal"/>
    <w:link w:val="HeaderSensitivityRightChar"/>
    <w:rsid w:val="00573D8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43D67"/>
    <w:rPr>
      <w:rFonts w:ascii="Times New Roman" w:hAnsi="Times New Roman" w:cs="Times New Roman"/>
      <w:sz w:val="28"/>
    </w:rPr>
  </w:style>
  <w:style w:type="paragraph" w:customStyle="1" w:styleId="Languesfaisantfoi">
    <w:name w:val="Langues faisant foi"/>
    <w:basedOn w:val="Normal"/>
    <w:next w:val="Normal"/>
    <w:rsid w:val="00892B52"/>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892B52"/>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892B52"/>
    <w:pPr>
      <w:spacing w:after="0"/>
    </w:pPr>
  </w:style>
  <w:style w:type="paragraph" w:customStyle="1" w:styleId="IntrtEEEPagedecouverture">
    <w:name w:val="Intérêt EEE (Page de couverture)"/>
    <w:basedOn w:val="IntrtEEE"/>
    <w:next w:val="Normal"/>
    <w:rsid w:val="00892B52"/>
  </w:style>
  <w:style w:type="paragraph" w:styleId="ListParagraph">
    <w:name w:val="List Paragraph"/>
    <w:basedOn w:val="Normal"/>
    <w:uiPriority w:val="34"/>
    <w:qFormat/>
    <w:rsid w:val="00C36F54"/>
    <w:pPr>
      <w:spacing w:after="160" w:line="259" w:lineRule="auto"/>
      <w:ind w:left="720"/>
      <w:contextualSpacing/>
    </w:pPr>
  </w:style>
  <w:style w:type="character" w:customStyle="1" w:styleId="normaltextrun">
    <w:name w:val="normaltextrun"/>
    <w:basedOn w:val="DefaultParagraphFont"/>
    <w:rsid w:val="00C36F54"/>
  </w:style>
  <w:style w:type="paragraph" w:styleId="FootnoteText">
    <w:name w:val="footnote text"/>
    <w:basedOn w:val="Normal"/>
    <w:link w:val="FootnoteTextChar"/>
    <w:uiPriority w:val="99"/>
    <w:unhideWhenUsed/>
    <w:rsid w:val="00C36F54"/>
    <w:pPr>
      <w:spacing w:after="0" w:line="240" w:lineRule="auto"/>
    </w:pPr>
    <w:rPr>
      <w:sz w:val="20"/>
      <w:szCs w:val="20"/>
    </w:rPr>
  </w:style>
  <w:style w:type="character" w:customStyle="1" w:styleId="FootnoteTextChar">
    <w:name w:val="Footnote Text Char"/>
    <w:basedOn w:val="DefaultParagraphFont"/>
    <w:link w:val="FootnoteText"/>
    <w:uiPriority w:val="99"/>
    <w:rsid w:val="00C36F54"/>
    <w:rPr>
      <w:sz w:val="20"/>
      <w:szCs w:val="20"/>
      <w:lang w:val="ro-RO"/>
    </w:rPr>
  </w:style>
  <w:style w:type="character" w:styleId="FootnoteReference">
    <w:name w:val="footnote reference"/>
    <w:aliases w:val="Nota Char,Char1 Char,(NECG) Footnote Reference Char,fr Char,Appel note de bas de p Char,o Char,Style 6 Char,Signature Ch Char,Footnote symbol,Footnote reference number,Footnote,Times 10 Point,Exposant 3 Point,Ref,de nota al pie,SUPERS"/>
    <w:basedOn w:val="DefaultParagraphFont"/>
    <w:link w:val="CharCharChar1"/>
    <w:unhideWhenUsed/>
    <w:qFormat/>
    <w:rsid w:val="00C36F54"/>
    <w:rPr>
      <w:vertAlign w:val="superscript"/>
    </w:rPr>
  </w:style>
  <w:style w:type="character" w:styleId="Hyperlink">
    <w:name w:val="Hyperlink"/>
    <w:basedOn w:val="DefaultParagraphFont"/>
    <w:uiPriority w:val="99"/>
    <w:unhideWhenUsed/>
    <w:rsid w:val="00C36F54"/>
    <w:rPr>
      <w:color w:val="0000FF"/>
      <w:u w:val="single"/>
    </w:rPr>
  </w:style>
  <w:style w:type="paragraph" w:styleId="CommentText">
    <w:name w:val="annotation text"/>
    <w:basedOn w:val="Normal"/>
    <w:link w:val="CommentTextChar"/>
    <w:uiPriority w:val="99"/>
    <w:unhideWhenUsed/>
    <w:rsid w:val="00C36F54"/>
    <w:pPr>
      <w:spacing w:after="160" w:line="240" w:lineRule="auto"/>
    </w:pPr>
    <w:rPr>
      <w:sz w:val="20"/>
      <w:szCs w:val="20"/>
    </w:rPr>
  </w:style>
  <w:style w:type="character" w:customStyle="1" w:styleId="CommentTextChar">
    <w:name w:val="Comment Text Char"/>
    <w:basedOn w:val="DefaultParagraphFont"/>
    <w:link w:val="CommentText"/>
    <w:uiPriority w:val="99"/>
    <w:rsid w:val="00C36F54"/>
    <w:rPr>
      <w:sz w:val="20"/>
      <w:szCs w:val="20"/>
      <w:lang w:val="ro-RO"/>
    </w:rPr>
  </w:style>
  <w:style w:type="character" w:styleId="CommentReference">
    <w:name w:val="annotation reference"/>
    <w:basedOn w:val="DefaultParagraphFont"/>
    <w:uiPriority w:val="99"/>
    <w:semiHidden/>
    <w:unhideWhenUsed/>
    <w:rsid w:val="00C36F54"/>
    <w:rPr>
      <w:sz w:val="16"/>
      <w:szCs w:val="16"/>
    </w:rPr>
  </w:style>
  <w:style w:type="paragraph" w:customStyle="1" w:styleId="CharCharChar1">
    <w:name w:val="Char Char Char1"/>
    <w:basedOn w:val="Normal"/>
    <w:link w:val="FootnoteReference"/>
    <w:rsid w:val="00C36F54"/>
    <w:pPr>
      <w:spacing w:after="160" w:line="240" w:lineRule="exact"/>
      <w:jc w:val="both"/>
    </w:pPr>
    <w:rPr>
      <w:vertAlign w:val="superscript"/>
    </w:rPr>
  </w:style>
  <w:style w:type="character" w:styleId="FollowedHyperlink">
    <w:name w:val="FollowedHyperlink"/>
    <w:basedOn w:val="DefaultParagraphFont"/>
    <w:uiPriority w:val="99"/>
    <w:semiHidden/>
    <w:unhideWhenUsed/>
    <w:rsid w:val="00C36F54"/>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C36F54"/>
    <w:pPr>
      <w:spacing w:after="200"/>
    </w:pPr>
    <w:rPr>
      <w:b/>
      <w:bCs/>
    </w:rPr>
  </w:style>
  <w:style w:type="character" w:customStyle="1" w:styleId="CommentSubjectChar">
    <w:name w:val="Comment Subject Char"/>
    <w:basedOn w:val="CommentTextChar"/>
    <w:link w:val="CommentSubject"/>
    <w:uiPriority w:val="99"/>
    <w:semiHidden/>
    <w:rsid w:val="00C36F54"/>
    <w:rPr>
      <w:b/>
      <w:bCs/>
      <w:sz w:val="20"/>
      <w:szCs w:val="20"/>
      <w:lang w:val="ro-RO"/>
    </w:rPr>
  </w:style>
  <w:style w:type="character" w:customStyle="1" w:styleId="UnresolvedMention1">
    <w:name w:val="Unresolved Mention1"/>
    <w:basedOn w:val="DefaultParagraphFont"/>
    <w:uiPriority w:val="99"/>
    <w:semiHidden/>
    <w:unhideWhenUsed/>
    <w:rsid w:val="004C5A7E"/>
    <w:rPr>
      <w:color w:val="605E5C"/>
      <w:shd w:val="clear" w:color="auto" w:fill="E1DFDD"/>
    </w:rPr>
  </w:style>
  <w:style w:type="paragraph" w:styleId="Revision">
    <w:name w:val="Revision"/>
    <w:hidden/>
    <w:uiPriority w:val="99"/>
    <w:semiHidden/>
    <w:rsid w:val="00032FC3"/>
    <w:pPr>
      <w:spacing w:after="0" w:line="240" w:lineRule="auto"/>
    </w:pPr>
  </w:style>
  <w:style w:type="character" w:customStyle="1" w:styleId="Mention1">
    <w:name w:val="Mention1"/>
    <w:basedOn w:val="DefaultParagraphFont"/>
    <w:uiPriority w:val="99"/>
    <w:unhideWhenUsed/>
    <w:rsid w:val="00140ED0"/>
    <w:rPr>
      <w:color w:val="2B579A"/>
      <w:shd w:val="clear" w:color="auto" w:fill="E1DFDD"/>
    </w:rPr>
  </w:style>
  <w:style w:type="paragraph" w:customStyle="1" w:styleId="Disclaimer">
    <w:name w:val="Disclaimer"/>
    <w:basedOn w:val="Normal"/>
    <w:rsid w:val="00573D8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573D8C"/>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573D8C"/>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573D8C"/>
    <w:pPr>
      <w:spacing w:after="0"/>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17555">
      <w:bodyDiv w:val="1"/>
      <w:marLeft w:val="0"/>
      <w:marRight w:val="0"/>
      <w:marTop w:val="0"/>
      <w:marBottom w:val="0"/>
      <w:divBdr>
        <w:top w:val="none" w:sz="0" w:space="0" w:color="auto"/>
        <w:left w:val="none" w:sz="0" w:space="0" w:color="auto"/>
        <w:bottom w:val="none" w:sz="0" w:space="0" w:color="auto"/>
        <w:right w:val="none" w:sz="0" w:space="0" w:color="auto"/>
      </w:divBdr>
    </w:div>
    <w:div w:id="495804332">
      <w:bodyDiv w:val="1"/>
      <w:marLeft w:val="0"/>
      <w:marRight w:val="0"/>
      <w:marTop w:val="0"/>
      <w:marBottom w:val="0"/>
      <w:divBdr>
        <w:top w:val="none" w:sz="0" w:space="0" w:color="auto"/>
        <w:left w:val="none" w:sz="0" w:space="0" w:color="auto"/>
        <w:bottom w:val="none" w:sz="0" w:space="0" w:color="auto"/>
        <w:right w:val="none" w:sz="0" w:space="0" w:color="auto"/>
      </w:divBdr>
      <w:divsChild>
        <w:div w:id="437142023">
          <w:marLeft w:val="0"/>
          <w:marRight w:val="0"/>
          <w:marTop w:val="0"/>
          <w:marBottom w:val="0"/>
          <w:divBdr>
            <w:top w:val="none" w:sz="0" w:space="0" w:color="auto"/>
            <w:left w:val="none" w:sz="0" w:space="0" w:color="auto"/>
            <w:bottom w:val="none" w:sz="0" w:space="0" w:color="auto"/>
            <w:right w:val="none" w:sz="0" w:space="0" w:color="auto"/>
          </w:divBdr>
          <w:divsChild>
            <w:div w:id="842553144">
              <w:marLeft w:val="0"/>
              <w:marRight w:val="0"/>
              <w:marTop w:val="0"/>
              <w:marBottom w:val="0"/>
              <w:divBdr>
                <w:top w:val="none" w:sz="0" w:space="0" w:color="auto"/>
                <w:left w:val="none" w:sz="0" w:space="0" w:color="auto"/>
                <w:bottom w:val="none" w:sz="0" w:space="0" w:color="auto"/>
                <w:right w:val="none" w:sz="0" w:space="0" w:color="auto"/>
              </w:divBdr>
              <w:divsChild>
                <w:div w:id="1439836194">
                  <w:marLeft w:val="0"/>
                  <w:marRight w:val="0"/>
                  <w:marTop w:val="0"/>
                  <w:marBottom w:val="0"/>
                  <w:divBdr>
                    <w:top w:val="none" w:sz="0" w:space="0" w:color="auto"/>
                    <w:left w:val="none" w:sz="0" w:space="0" w:color="auto"/>
                    <w:bottom w:val="none" w:sz="0" w:space="0" w:color="auto"/>
                    <w:right w:val="none" w:sz="0" w:space="0" w:color="auto"/>
                  </w:divBdr>
                  <w:divsChild>
                    <w:div w:id="36047114">
                      <w:marLeft w:val="0"/>
                      <w:marRight w:val="0"/>
                      <w:marTop w:val="0"/>
                      <w:marBottom w:val="0"/>
                      <w:divBdr>
                        <w:top w:val="none" w:sz="0" w:space="0" w:color="auto"/>
                        <w:left w:val="none" w:sz="0" w:space="0" w:color="auto"/>
                        <w:bottom w:val="none" w:sz="0" w:space="0" w:color="auto"/>
                        <w:right w:val="none" w:sz="0" w:space="0" w:color="auto"/>
                      </w:divBdr>
                      <w:divsChild>
                        <w:div w:id="731655184">
                          <w:marLeft w:val="0"/>
                          <w:marRight w:val="0"/>
                          <w:marTop w:val="0"/>
                          <w:marBottom w:val="0"/>
                          <w:divBdr>
                            <w:top w:val="none" w:sz="0" w:space="0" w:color="auto"/>
                            <w:left w:val="none" w:sz="0" w:space="0" w:color="auto"/>
                            <w:bottom w:val="none" w:sz="0" w:space="0" w:color="auto"/>
                            <w:right w:val="none" w:sz="0" w:space="0" w:color="auto"/>
                          </w:divBdr>
                          <w:divsChild>
                            <w:div w:id="35804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696217">
      <w:bodyDiv w:val="1"/>
      <w:marLeft w:val="0"/>
      <w:marRight w:val="0"/>
      <w:marTop w:val="0"/>
      <w:marBottom w:val="0"/>
      <w:divBdr>
        <w:top w:val="none" w:sz="0" w:space="0" w:color="auto"/>
        <w:left w:val="none" w:sz="0" w:space="0" w:color="auto"/>
        <w:bottom w:val="none" w:sz="0" w:space="0" w:color="auto"/>
        <w:right w:val="none" w:sz="0" w:space="0" w:color="auto"/>
      </w:divBdr>
    </w:div>
    <w:div w:id="697127863">
      <w:bodyDiv w:val="1"/>
      <w:marLeft w:val="0"/>
      <w:marRight w:val="0"/>
      <w:marTop w:val="0"/>
      <w:marBottom w:val="0"/>
      <w:divBdr>
        <w:top w:val="none" w:sz="0" w:space="0" w:color="auto"/>
        <w:left w:val="none" w:sz="0" w:space="0" w:color="auto"/>
        <w:bottom w:val="none" w:sz="0" w:space="0" w:color="auto"/>
        <w:right w:val="none" w:sz="0" w:space="0" w:color="auto"/>
      </w:divBdr>
    </w:div>
    <w:div w:id="741299290">
      <w:bodyDiv w:val="1"/>
      <w:marLeft w:val="0"/>
      <w:marRight w:val="0"/>
      <w:marTop w:val="0"/>
      <w:marBottom w:val="0"/>
      <w:divBdr>
        <w:top w:val="none" w:sz="0" w:space="0" w:color="auto"/>
        <w:left w:val="none" w:sz="0" w:space="0" w:color="auto"/>
        <w:bottom w:val="none" w:sz="0" w:space="0" w:color="auto"/>
        <w:right w:val="none" w:sz="0" w:space="0" w:color="auto"/>
      </w:divBdr>
    </w:div>
    <w:div w:id="765882237">
      <w:bodyDiv w:val="1"/>
      <w:marLeft w:val="0"/>
      <w:marRight w:val="0"/>
      <w:marTop w:val="0"/>
      <w:marBottom w:val="0"/>
      <w:divBdr>
        <w:top w:val="none" w:sz="0" w:space="0" w:color="auto"/>
        <w:left w:val="none" w:sz="0" w:space="0" w:color="auto"/>
        <w:bottom w:val="none" w:sz="0" w:space="0" w:color="auto"/>
        <w:right w:val="none" w:sz="0" w:space="0" w:color="auto"/>
      </w:divBdr>
    </w:div>
    <w:div w:id="871697696">
      <w:bodyDiv w:val="1"/>
      <w:marLeft w:val="0"/>
      <w:marRight w:val="0"/>
      <w:marTop w:val="0"/>
      <w:marBottom w:val="0"/>
      <w:divBdr>
        <w:top w:val="none" w:sz="0" w:space="0" w:color="auto"/>
        <w:left w:val="none" w:sz="0" w:space="0" w:color="auto"/>
        <w:bottom w:val="none" w:sz="0" w:space="0" w:color="auto"/>
        <w:right w:val="none" w:sz="0" w:space="0" w:color="auto"/>
      </w:divBdr>
    </w:div>
    <w:div w:id="1086271825">
      <w:bodyDiv w:val="1"/>
      <w:marLeft w:val="0"/>
      <w:marRight w:val="0"/>
      <w:marTop w:val="0"/>
      <w:marBottom w:val="0"/>
      <w:divBdr>
        <w:top w:val="none" w:sz="0" w:space="0" w:color="auto"/>
        <w:left w:val="none" w:sz="0" w:space="0" w:color="auto"/>
        <w:bottom w:val="none" w:sz="0" w:space="0" w:color="auto"/>
        <w:right w:val="none" w:sz="0" w:space="0" w:color="auto"/>
      </w:divBdr>
    </w:div>
    <w:div w:id="1346904535">
      <w:bodyDiv w:val="1"/>
      <w:marLeft w:val="0"/>
      <w:marRight w:val="0"/>
      <w:marTop w:val="0"/>
      <w:marBottom w:val="0"/>
      <w:divBdr>
        <w:top w:val="none" w:sz="0" w:space="0" w:color="auto"/>
        <w:left w:val="none" w:sz="0" w:space="0" w:color="auto"/>
        <w:bottom w:val="none" w:sz="0" w:space="0" w:color="auto"/>
        <w:right w:val="none" w:sz="0" w:space="0" w:color="auto"/>
      </w:divBdr>
    </w:div>
    <w:div w:id="1370566452">
      <w:bodyDiv w:val="1"/>
      <w:marLeft w:val="0"/>
      <w:marRight w:val="0"/>
      <w:marTop w:val="0"/>
      <w:marBottom w:val="0"/>
      <w:divBdr>
        <w:top w:val="none" w:sz="0" w:space="0" w:color="auto"/>
        <w:left w:val="none" w:sz="0" w:space="0" w:color="auto"/>
        <w:bottom w:val="none" w:sz="0" w:space="0" w:color="auto"/>
        <w:right w:val="none" w:sz="0" w:space="0" w:color="auto"/>
      </w:divBdr>
      <w:divsChild>
        <w:div w:id="2136827229">
          <w:marLeft w:val="0"/>
          <w:marRight w:val="0"/>
          <w:marTop w:val="0"/>
          <w:marBottom w:val="0"/>
          <w:divBdr>
            <w:top w:val="none" w:sz="0" w:space="0" w:color="auto"/>
            <w:left w:val="none" w:sz="0" w:space="0" w:color="auto"/>
            <w:bottom w:val="none" w:sz="0" w:space="0" w:color="auto"/>
            <w:right w:val="none" w:sz="0" w:space="0" w:color="auto"/>
          </w:divBdr>
          <w:divsChild>
            <w:div w:id="1296910775">
              <w:marLeft w:val="0"/>
              <w:marRight w:val="0"/>
              <w:marTop w:val="0"/>
              <w:marBottom w:val="0"/>
              <w:divBdr>
                <w:top w:val="none" w:sz="0" w:space="0" w:color="auto"/>
                <w:left w:val="none" w:sz="0" w:space="0" w:color="auto"/>
                <w:bottom w:val="none" w:sz="0" w:space="0" w:color="auto"/>
                <w:right w:val="none" w:sz="0" w:space="0" w:color="auto"/>
              </w:divBdr>
              <w:divsChild>
                <w:div w:id="1887335461">
                  <w:marLeft w:val="0"/>
                  <w:marRight w:val="0"/>
                  <w:marTop w:val="0"/>
                  <w:marBottom w:val="0"/>
                  <w:divBdr>
                    <w:top w:val="none" w:sz="0" w:space="0" w:color="auto"/>
                    <w:left w:val="none" w:sz="0" w:space="0" w:color="auto"/>
                    <w:bottom w:val="none" w:sz="0" w:space="0" w:color="auto"/>
                    <w:right w:val="none" w:sz="0" w:space="0" w:color="auto"/>
                  </w:divBdr>
                  <w:divsChild>
                    <w:div w:id="181558732">
                      <w:marLeft w:val="0"/>
                      <w:marRight w:val="0"/>
                      <w:marTop w:val="0"/>
                      <w:marBottom w:val="0"/>
                      <w:divBdr>
                        <w:top w:val="none" w:sz="0" w:space="0" w:color="auto"/>
                        <w:left w:val="none" w:sz="0" w:space="0" w:color="auto"/>
                        <w:bottom w:val="none" w:sz="0" w:space="0" w:color="auto"/>
                        <w:right w:val="none" w:sz="0" w:space="0" w:color="auto"/>
                      </w:divBdr>
                      <w:divsChild>
                        <w:div w:id="1947157916">
                          <w:marLeft w:val="0"/>
                          <w:marRight w:val="0"/>
                          <w:marTop w:val="0"/>
                          <w:marBottom w:val="0"/>
                          <w:divBdr>
                            <w:top w:val="none" w:sz="0" w:space="0" w:color="auto"/>
                            <w:left w:val="none" w:sz="0" w:space="0" w:color="auto"/>
                            <w:bottom w:val="none" w:sz="0" w:space="0" w:color="auto"/>
                            <w:right w:val="none" w:sz="0" w:space="0" w:color="auto"/>
                          </w:divBdr>
                          <w:divsChild>
                            <w:div w:id="210653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156958">
      <w:bodyDiv w:val="1"/>
      <w:marLeft w:val="0"/>
      <w:marRight w:val="0"/>
      <w:marTop w:val="0"/>
      <w:marBottom w:val="0"/>
      <w:divBdr>
        <w:top w:val="none" w:sz="0" w:space="0" w:color="auto"/>
        <w:left w:val="none" w:sz="0" w:space="0" w:color="auto"/>
        <w:bottom w:val="none" w:sz="0" w:space="0" w:color="auto"/>
        <w:right w:val="none" w:sz="0" w:space="0" w:color="auto"/>
      </w:divBdr>
      <w:divsChild>
        <w:div w:id="108865838">
          <w:marLeft w:val="0"/>
          <w:marRight w:val="0"/>
          <w:marTop w:val="0"/>
          <w:marBottom w:val="0"/>
          <w:divBdr>
            <w:top w:val="none" w:sz="0" w:space="0" w:color="auto"/>
            <w:left w:val="none" w:sz="0" w:space="0" w:color="auto"/>
            <w:bottom w:val="none" w:sz="0" w:space="0" w:color="auto"/>
            <w:right w:val="none" w:sz="0" w:space="0" w:color="auto"/>
          </w:divBdr>
          <w:divsChild>
            <w:div w:id="843589224">
              <w:marLeft w:val="0"/>
              <w:marRight w:val="0"/>
              <w:marTop w:val="0"/>
              <w:marBottom w:val="0"/>
              <w:divBdr>
                <w:top w:val="none" w:sz="0" w:space="0" w:color="auto"/>
                <w:left w:val="none" w:sz="0" w:space="0" w:color="auto"/>
                <w:bottom w:val="none" w:sz="0" w:space="0" w:color="auto"/>
                <w:right w:val="none" w:sz="0" w:space="0" w:color="auto"/>
              </w:divBdr>
              <w:divsChild>
                <w:div w:id="1548294671">
                  <w:marLeft w:val="0"/>
                  <w:marRight w:val="0"/>
                  <w:marTop w:val="0"/>
                  <w:marBottom w:val="0"/>
                  <w:divBdr>
                    <w:top w:val="none" w:sz="0" w:space="0" w:color="auto"/>
                    <w:left w:val="none" w:sz="0" w:space="0" w:color="auto"/>
                    <w:bottom w:val="none" w:sz="0" w:space="0" w:color="auto"/>
                    <w:right w:val="none" w:sz="0" w:space="0" w:color="auto"/>
                  </w:divBdr>
                  <w:divsChild>
                    <w:div w:id="1914655939">
                      <w:marLeft w:val="0"/>
                      <w:marRight w:val="0"/>
                      <w:marTop w:val="0"/>
                      <w:marBottom w:val="0"/>
                      <w:divBdr>
                        <w:top w:val="none" w:sz="0" w:space="0" w:color="auto"/>
                        <w:left w:val="none" w:sz="0" w:space="0" w:color="auto"/>
                        <w:bottom w:val="none" w:sz="0" w:space="0" w:color="auto"/>
                        <w:right w:val="none" w:sz="0" w:space="0" w:color="auto"/>
                      </w:divBdr>
                      <w:divsChild>
                        <w:div w:id="894899414">
                          <w:marLeft w:val="0"/>
                          <w:marRight w:val="0"/>
                          <w:marTop w:val="0"/>
                          <w:marBottom w:val="0"/>
                          <w:divBdr>
                            <w:top w:val="none" w:sz="0" w:space="0" w:color="auto"/>
                            <w:left w:val="none" w:sz="0" w:space="0" w:color="auto"/>
                            <w:bottom w:val="none" w:sz="0" w:space="0" w:color="auto"/>
                            <w:right w:val="none" w:sz="0" w:space="0" w:color="auto"/>
                          </w:divBdr>
                          <w:divsChild>
                            <w:div w:id="178325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749253">
      <w:bodyDiv w:val="1"/>
      <w:marLeft w:val="0"/>
      <w:marRight w:val="0"/>
      <w:marTop w:val="0"/>
      <w:marBottom w:val="0"/>
      <w:divBdr>
        <w:top w:val="none" w:sz="0" w:space="0" w:color="auto"/>
        <w:left w:val="none" w:sz="0" w:space="0" w:color="auto"/>
        <w:bottom w:val="none" w:sz="0" w:space="0" w:color="auto"/>
        <w:right w:val="none" w:sz="0" w:space="0" w:color="auto"/>
      </w:divBdr>
    </w:div>
    <w:div w:id="1764376547">
      <w:bodyDiv w:val="1"/>
      <w:marLeft w:val="0"/>
      <w:marRight w:val="0"/>
      <w:marTop w:val="0"/>
      <w:marBottom w:val="0"/>
      <w:divBdr>
        <w:top w:val="none" w:sz="0" w:space="0" w:color="auto"/>
        <w:left w:val="none" w:sz="0" w:space="0" w:color="auto"/>
        <w:bottom w:val="none" w:sz="0" w:space="0" w:color="auto"/>
        <w:right w:val="none" w:sz="0" w:space="0" w:color="auto"/>
      </w:divBdr>
    </w:div>
    <w:div w:id="1798916441">
      <w:bodyDiv w:val="1"/>
      <w:marLeft w:val="0"/>
      <w:marRight w:val="0"/>
      <w:marTop w:val="0"/>
      <w:marBottom w:val="0"/>
      <w:divBdr>
        <w:top w:val="none" w:sz="0" w:space="0" w:color="auto"/>
        <w:left w:val="none" w:sz="0" w:space="0" w:color="auto"/>
        <w:bottom w:val="none" w:sz="0" w:space="0" w:color="auto"/>
        <w:right w:val="none" w:sz="0" w:space="0" w:color="auto"/>
      </w:divBdr>
      <w:divsChild>
        <w:div w:id="733896463">
          <w:marLeft w:val="0"/>
          <w:marRight w:val="0"/>
          <w:marTop w:val="0"/>
          <w:marBottom w:val="0"/>
          <w:divBdr>
            <w:top w:val="none" w:sz="0" w:space="0" w:color="auto"/>
            <w:left w:val="none" w:sz="0" w:space="0" w:color="auto"/>
            <w:bottom w:val="none" w:sz="0" w:space="0" w:color="auto"/>
            <w:right w:val="none" w:sz="0" w:space="0" w:color="auto"/>
          </w:divBdr>
          <w:divsChild>
            <w:div w:id="998538270">
              <w:marLeft w:val="0"/>
              <w:marRight w:val="0"/>
              <w:marTop w:val="0"/>
              <w:marBottom w:val="0"/>
              <w:divBdr>
                <w:top w:val="none" w:sz="0" w:space="0" w:color="auto"/>
                <w:left w:val="none" w:sz="0" w:space="0" w:color="auto"/>
                <w:bottom w:val="none" w:sz="0" w:space="0" w:color="auto"/>
                <w:right w:val="none" w:sz="0" w:space="0" w:color="auto"/>
              </w:divBdr>
              <w:divsChild>
                <w:div w:id="866605150">
                  <w:marLeft w:val="0"/>
                  <w:marRight w:val="0"/>
                  <w:marTop w:val="0"/>
                  <w:marBottom w:val="0"/>
                  <w:divBdr>
                    <w:top w:val="none" w:sz="0" w:space="0" w:color="auto"/>
                    <w:left w:val="none" w:sz="0" w:space="0" w:color="auto"/>
                    <w:bottom w:val="none" w:sz="0" w:space="0" w:color="auto"/>
                    <w:right w:val="none" w:sz="0" w:space="0" w:color="auto"/>
                  </w:divBdr>
                  <w:divsChild>
                    <w:div w:id="569736429">
                      <w:marLeft w:val="0"/>
                      <w:marRight w:val="0"/>
                      <w:marTop w:val="0"/>
                      <w:marBottom w:val="0"/>
                      <w:divBdr>
                        <w:top w:val="none" w:sz="0" w:space="0" w:color="auto"/>
                        <w:left w:val="none" w:sz="0" w:space="0" w:color="auto"/>
                        <w:bottom w:val="none" w:sz="0" w:space="0" w:color="auto"/>
                        <w:right w:val="none" w:sz="0" w:space="0" w:color="auto"/>
                      </w:divBdr>
                      <w:divsChild>
                        <w:div w:id="922488854">
                          <w:marLeft w:val="0"/>
                          <w:marRight w:val="0"/>
                          <w:marTop w:val="0"/>
                          <w:marBottom w:val="0"/>
                          <w:divBdr>
                            <w:top w:val="none" w:sz="0" w:space="0" w:color="auto"/>
                            <w:left w:val="none" w:sz="0" w:space="0" w:color="auto"/>
                            <w:bottom w:val="none" w:sz="0" w:space="0" w:color="auto"/>
                            <w:right w:val="none" w:sz="0" w:space="0" w:color="auto"/>
                          </w:divBdr>
                          <w:divsChild>
                            <w:div w:id="183337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331076">
      <w:bodyDiv w:val="1"/>
      <w:marLeft w:val="0"/>
      <w:marRight w:val="0"/>
      <w:marTop w:val="0"/>
      <w:marBottom w:val="0"/>
      <w:divBdr>
        <w:top w:val="none" w:sz="0" w:space="0" w:color="auto"/>
        <w:left w:val="none" w:sz="0" w:space="0" w:color="auto"/>
        <w:bottom w:val="none" w:sz="0" w:space="0" w:color="auto"/>
        <w:right w:val="none" w:sz="0" w:space="0" w:color="auto"/>
      </w:divBdr>
    </w:div>
    <w:div w:id="1952200840">
      <w:bodyDiv w:val="1"/>
      <w:marLeft w:val="0"/>
      <w:marRight w:val="0"/>
      <w:marTop w:val="0"/>
      <w:marBottom w:val="0"/>
      <w:divBdr>
        <w:top w:val="none" w:sz="0" w:space="0" w:color="auto"/>
        <w:left w:val="none" w:sz="0" w:space="0" w:color="auto"/>
        <w:bottom w:val="none" w:sz="0" w:space="0" w:color="auto"/>
        <w:right w:val="none" w:sz="0" w:space="0" w:color="auto"/>
      </w:divBdr>
    </w:div>
    <w:div w:id="1952276363">
      <w:bodyDiv w:val="1"/>
      <w:marLeft w:val="0"/>
      <w:marRight w:val="0"/>
      <w:marTop w:val="0"/>
      <w:marBottom w:val="0"/>
      <w:divBdr>
        <w:top w:val="none" w:sz="0" w:space="0" w:color="auto"/>
        <w:left w:val="none" w:sz="0" w:space="0" w:color="auto"/>
        <w:bottom w:val="none" w:sz="0" w:space="0" w:color="auto"/>
        <w:right w:val="none" w:sz="0" w:space="0" w:color="auto"/>
      </w:divBdr>
    </w:div>
    <w:div w:id="201441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echnologyreview.com/2025/07/10/1119941/china-energy-dominance-three-charts/" TargetMode="External"/><Relationship Id="rId13" Type="http://schemas.openxmlformats.org/officeDocument/2006/relationships/hyperlink" Target="https://eepublicdownloads.blob.core.windows.net/public-cdn-container/tyndp-documents/TYNDP2024/foropinion/Infrastructure_Gaps_Report.pdf" TargetMode="External"/><Relationship Id="rId18" Type="http://schemas.openxmlformats.org/officeDocument/2006/relationships/hyperlink" Target="https://dso-tso-technopedia.eu/" TargetMode="External"/><Relationship Id="rId26" Type="http://schemas.openxmlformats.org/officeDocument/2006/relationships/hyperlink" Target="https://eur-lex.europa.eu/legal-content/RO/TXT/PDF/?uri=CELEX:52025JC0009" TargetMode="External"/><Relationship Id="rId3" Type="http://schemas.openxmlformats.org/officeDocument/2006/relationships/hyperlink" Target="https://www.eea.europa.eu/en/analysis/publications/renewables-electrification-and-flexibility-for-a-competitive-eu-energy-system" TargetMode="External"/><Relationship Id="rId21" Type="http://schemas.openxmlformats.org/officeDocument/2006/relationships/hyperlink" Target="https://op.europa.eu/ro/publication-detail/-/publication/949ddae8-0674-11ee-b12e-01aa75ed71a1" TargetMode="External"/><Relationship Id="rId7" Type="http://schemas.openxmlformats.org/officeDocument/2006/relationships/hyperlink" Target="https://www.technologyreview.com/2025/07/10/1119941/china-energy-dominance-three-charts/" TargetMode="External"/><Relationship Id="rId12" Type="http://schemas.openxmlformats.org/officeDocument/2006/relationships/hyperlink" Target="https://data.consilium.europa.eu/doc/document/ST-5438-2025-INIT/en/pdf" TargetMode="External"/><Relationship Id="rId17" Type="http://schemas.openxmlformats.org/officeDocument/2006/relationships/hyperlink" Target="https://www.acer.europa.eu/sites/default/files/documents/Publications/ACER_2024_Monitoring_Electricity_Infrastructure.pdf" TargetMode="External"/><Relationship Id="rId25" Type="http://schemas.openxmlformats.org/officeDocument/2006/relationships/hyperlink" Target="https://energy.ec.europa.eu/publications/communication-future-proof-network-charges-reduced-energy-system-costs_en" TargetMode="External"/><Relationship Id="rId2" Type="http://schemas.openxmlformats.org/officeDocument/2006/relationships/hyperlink" Target="https://commission.europa.eu/topics/energy/repowereu_ro" TargetMode="External"/><Relationship Id="rId16" Type="http://schemas.openxmlformats.org/officeDocument/2006/relationships/hyperlink" Target="https://eur-lex.europa.eu/legal-content/RO/TXT/?uri=celex:52023DC0757" TargetMode="External"/><Relationship Id="rId20" Type="http://schemas.openxmlformats.org/officeDocument/2006/relationships/hyperlink" Target="https://www.acer.europa.eu/media/charts/PCIs-and-PMIs-monitoring-2025" TargetMode="External"/><Relationship Id="rId29" Type="http://schemas.openxmlformats.org/officeDocument/2006/relationships/hyperlink" Target="https://energy.ec.europa.eu/news/new-european-coordinator-appointed-central-and-south-east-european-energy-interconnectivity-2025-10-24_en" TargetMode="External"/><Relationship Id="rId1" Type="http://schemas.openxmlformats.org/officeDocument/2006/relationships/hyperlink" Target="https://eur-lex.europa.eu/legal-content/RO/TXT/?uri=CELEX%3A52025DC0079&amp;qid=1741780110418" TargetMode="External"/><Relationship Id="rId6" Type="http://schemas.openxmlformats.org/officeDocument/2006/relationships/hyperlink" Target="https://ec.europa.eu/eurostat/web/products-eurostat-news/w/ddn-20250321-1" TargetMode="External"/><Relationship Id="rId11" Type="http://schemas.openxmlformats.org/officeDocument/2006/relationships/hyperlink" Target="https://ec.europa.eu/eurostat/statistics-explained/index.php?title=Electricity_and_heat_statistics" TargetMode="External"/><Relationship Id="rId24" Type="http://schemas.openxmlformats.org/officeDocument/2006/relationships/hyperlink" Target="https://data.europa.eu/doi/10.2833/8232521" TargetMode="External"/><Relationship Id="rId5" Type="http://schemas.openxmlformats.org/officeDocument/2006/relationships/hyperlink" Target="https://www.eea.europa.eu/en/analysis/publications/renewables-electrification-and-flexibility-for-a-competitive-eu-energy-system" TargetMode="External"/><Relationship Id="rId15" Type="http://schemas.openxmlformats.org/officeDocument/2006/relationships/hyperlink" Target="https://dashboard.tech.ec.europa.eu/qs_digit_dashboard_mt/public/sense/app/3744499f-670f-42f8-9ef3-0d98f6cd586f/sheet/4c9ea8df-f0f9-4c0d-b26b-99fc0218d9d9/state/analysis" TargetMode="External"/><Relationship Id="rId23" Type="http://schemas.openxmlformats.org/officeDocument/2006/relationships/hyperlink" Target="https://iea.blob.core.windows.net/assets/a688d0f5-a100-447f-91a1-50b7b0d8eaa1/BuildingtheFutureTransmissionGrid.pdf" TargetMode="External"/><Relationship Id="rId28" Type="http://schemas.openxmlformats.org/officeDocument/2006/relationships/hyperlink" Target="https://energy.ec.europa.eu/news/new-european-coordinator-appointed-oversee-completion-baltic-synchronisation-energy-project-2025-01-08_en" TargetMode="External"/><Relationship Id="rId10" Type="http://schemas.openxmlformats.org/officeDocument/2006/relationships/hyperlink" Target="https://eepublicdownloads.blob.core.windows.net/public-cdn-container/tyndp-documents/TYNDP2024/foropinion/Infrastructure_Gaps_Report.pdf" TargetMode="External"/><Relationship Id="rId19" Type="http://schemas.openxmlformats.org/officeDocument/2006/relationships/hyperlink" Target="https://acer.europa.eu/sites/default/files/documents/Publications/2023_ACER_PCI_Report.pdf" TargetMode="External"/><Relationship Id="rId4" Type="http://schemas.openxmlformats.org/officeDocument/2006/relationships/hyperlink" Target="https://www.eea.europa.eu/en/analysis/publications/renewables-electrification-and-flexibility-for-a-competitive-eu-energy-system" TargetMode="External"/><Relationship Id="rId9" Type="http://schemas.openxmlformats.org/officeDocument/2006/relationships/hyperlink" Target="https://ec.europa.eu/eurostat/statistics-explained/index.php?title=Electricity_price_statistics" TargetMode="External"/><Relationship Id="rId14" Type="http://schemas.openxmlformats.org/officeDocument/2006/relationships/hyperlink" Target="https://dashboard.tech.ec.europa.eu/qs_digit_dashboard_mt/public/sense/app/3744499f-670f-42f8-9ef3-0d98f6cd586f/sheet/4c9ea8df-f0f9-4c0d-b26b-99fc0218d9d9/state/analysis" TargetMode="External"/><Relationship Id="rId22" Type="http://schemas.openxmlformats.org/officeDocument/2006/relationships/hyperlink" Target="https://data.europa.eu/doi/10.2833/333409" TargetMode="External"/><Relationship Id="rId27" Type="http://schemas.openxmlformats.org/officeDocument/2006/relationships/hyperlink" Target="https://energy.ec.europa.eu/publications/delegated-regulation-second-union-list-projects-common-and-mutual-interest-and-its-annex_ro" TargetMode="External"/><Relationship Id="rId30" Type="http://schemas.openxmlformats.org/officeDocument/2006/relationships/hyperlink" Target="https://north-africa-middle-east-gulf.ec.europa.eu/joint-communication-pact-mediterranea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1BA2C-9DDD-409C-BF70-A9EB861A2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6748</Words>
  <Characters>38465</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2025-12-09T20:23:00Z</dcterms:created>
  <dcterms:modified xsi:type="dcterms:W3CDTF">2026-02-11T08:02:00Z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9.2, Build 20250828</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2025-12-08T00:15:23Z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9c1d75c4-7792-4647-ad01-4312c83a7a82</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