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BFD5C" w14:textId="50EFD17E" w:rsidR="003759FF" w:rsidRDefault="0082449A" w:rsidP="0082449A">
      <w:pPr>
        <w:pStyle w:val="Pagedecouverture"/>
        <w:rPr>
          <w:noProof/>
        </w:rPr>
      </w:pPr>
      <w:bookmarkStart w:id="0" w:name="LW_BM_COVERPAGE"/>
      <w:r>
        <w:rPr>
          <w:noProof/>
        </w:rPr>
        <w:pict w14:anchorId="55C64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65FCD2-B0F9-48A4-AF7D-D21859D2CC47" style="width:455.25pt;height:300pt">
            <v:imagedata r:id="rId11" o:title=""/>
          </v:shape>
        </w:pict>
      </w:r>
    </w:p>
    <w:bookmarkEnd w:id="0"/>
    <w:p w14:paraId="19770EB2" w14:textId="77777777" w:rsidR="00132AE2" w:rsidRDefault="00132AE2" w:rsidP="00132AE2">
      <w:pPr>
        <w:rPr>
          <w:noProof/>
        </w:rPr>
        <w:sectPr w:rsidR="00132AE2" w:rsidSect="0082449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62095E8E" w14:textId="03B389CF" w:rsidR="003707C5" w:rsidRPr="00E4479F" w:rsidRDefault="003707C5" w:rsidP="1EF30FC0">
      <w:pPr>
        <w:pBdr>
          <w:top w:val="single" w:sz="4" w:space="1" w:color="auto"/>
          <w:left w:val="single" w:sz="4" w:space="4" w:color="auto"/>
          <w:bottom w:val="single" w:sz="4" w:space="1" w:color="auto"/>
          <w:right w:val="single" w:sz="4" w:space="4" w:color="auto"/>
        </w:pBdr>
        <w:spacing w:after="200" w:line="276" w:lineRule="auto"/>
        <w:jc w:val="both"/>
        <w:rPr>
          <w:rFonts w:cs="Times New Roman"/>
          <w:b/>
          <w:bCs/>
          <w:smallCaps/>
          <w:noProof/>
          <w:szCs w:val="24"/>
        </w:rPr>
      </w:pPr>
      <w:bookmarkStart w:id="1" w:name="_GoBack"/>
      <w:bookmarkEnd w:id="1"/>
      <w:r w:rsidRPr="1EF30FC0">
        <w:rPr>
          <w:rFonts w:eastAsia="Times New Roman" w:cs="Times New Roman"/>
          <w:i/>
          <w:iCs/>
          <w:noProof/>
          <w:lang w:eastAsia="en-IE"/>
        </w:rPr>
        <w:lastRenderedPageBreak/>
        <w:t xml:space="preserve">The EU cardiovascular health plan (Safe Hearts Plan) is a strategic response to the EU’s leading health challenge. Its aim is to deliver tangible benefits for citizens, health systems and society through a focused set of ambitious, high-impact actions. The Safe Hearts Plan is centred on three pillars – </w:t>
      </w:r>
      <w:r w:rsidRPr="1EF30FC0">
        <w:rPr>
          <w:rFonts w:eastAsia="Times New Roman" w:cs="Times New Roman"/>
          <w:b/>
          <w:bCs/>
          <w:i/>
          <w:iCs/>
          <w:noProof/>
          <w:lang w:eastAsia="en-IE"/>
        </w:rPr>
        <w:t>prevention, early detection and screening, and treatment and care (including rehabilitation)</w:t>
      </w:r>
      <w:r w:rsidRPr="1EF30FC0">
        <w:rPr>
          <w:rFonts w:eastAsia="Times New Roman" w:cs="Times New Roman"/>
          <w:i/>
          <w:iCs/>
          <w:noProof/>
          <w:lang w:eastAsia="en-IE"/>
        </w:rPr>
        <w:t xml:space="preserve"> </w:t>
      </w:r>
      <w:r w:rsidR="00223CE5" w:rsidRPr="1EF30FC0">
        <w:rPr>
          <w:rFonts w:eastAsia="Times New Roman" w:cs="Times New Roman"/>
          <w:i/>
          <w:iCs/>
          <w:noProof/>
          <w:lang w:eastAsia="en-IE"/>
        </w:rPr>
        <w:t>–</w:t>
      </w:r>
      <w:r w:rsidRPr="1EF30FC0">
        <w:rPr>
          <w:rFonts w:eastAsia="Times New Roman" w:cs="Times New Roman"/>
          <w:i/>
          <w:iCs/>
          <w:noProof/>
          <w:lang w:eastAsia="en-IE"/>
        </w:rPr>
        <w:t xml:space="preserve"> and supported by three cross-cutting themes on </w:t>
      </w:r>
      <w:r w:rsidRPr="1EF30FC0">
        <w:rPr>
          <w:rFonts w:eastAsia="Times New Roman" w:cs="Times New Roman"/>
          <w:b/>
          <w:bCs/>
          <w:i/>
          <w:iCs/>
          <w:noProof/>
          <w:lang w:eastAsia="en-IE"/>
        </w:rPr>
        <w:t>digital innovation, research and knowledge, and tackling ineq</w:t>
      </w:r>
      <w:r w:rsidR="00223CE5" w:rsidRPr="1EF30FC0">
        <w:rPr>
          <w:rFonts w:eastAsia="Times New Roman" w:cs="Times New Roman"/>
          <w:b/>
          <w:bCs/>
          <w:i/>
          <w:iCs/>
          <w:noProof/>
          <w:lang w:eastAsia="en-IE"/>
        </w:rPr>
        <w:t>ual</w:t>
      </w:r>
      <w:r w:rsidRPr="1EF30FC0">
        <w:rPr>
          <w:rFonts w:eastAsia="Times New Roman" w:cs="Times New Roman"/>
          <w:b/>
          <w:bCs/>
          <w:i/>
          <w:iCs/>
          <w:noProof/>
          <w:lang w:eastAsia="en-IE"/>
        </w:rPr>
        <w:t>ities</w:t>
      </w:r>
      <w:r w:rsidRPr="1EF30FC0">
        <w:rPr>
          <w:rFonts w:eastAsia="Times New Roman" w:cs="Times New Roman"/>
          <w:i/>
          <w:iCs/>
          <w:noProof/>
          <w:lang w:eastAsia="en-IE"/>
        </w:rPr>
        <w:t>. It seeks to strengt</w:t>
      </w:r>
      <w:r w:rsidR="00223CE5" w:rsidRPr="1EF30FC0">
        <w:rPr>
          <w:rFonts w:eastAsia="Times New Roman" w:cs="Times New Roman"/>
          <w:i/>
          <w:iCs/>
          <w:noProof/>
          <w:lang w:eastAsia="en-IE"/>
        </w:rPr>
        <w:t>h</w:t>
      </w:r>
      <w:r w:rsidRPr="1EF30FC0">
        <w:rPr>
          <w:rFonts w:eastAsia="Times New Roman" w:cs="Times New Roman"/>
          <w:i/>
          <w:iCs/>
          <w:noProof/>
          <w:lang w:eastAsia="en-IE"/>
        </w:rPr>
        <w:t>en national policies while adding clear EU value.</w:t>
      </w:r>
    </w:p>
    <w:p w14:paraId="00800DBA" w14:textId="31A2E2C5" w:rsidR="00DE54C7" w:rsidRPr="000E1D82" w:rsidRDefault="00DE54C7" w:rsidP="003E1314">
      <w:pPr>
        <w:pStyle w:val="Heading1"/>
        <w:numPr>
          <w:ilvl w:val="0"/>
          <w:numId w:val="127"/>
        </w:numPr>
        <w:spacing w:before="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 xml:space="preserve">Improving cardiovascular health in the EU: the challenges ahead </w:t>
      </w:r>
    </w:p>
    <w:p w14:paraId="4B9B429B" w14:textId="77777777" w:rsidR="00DE54C7" w:rsidRPr="000E1D82" w:rsidRDefault="00DE54C7" w:rsidP="00DE54C7">
      <w:pPr>
        <w:jc w:val="both"/>
        <w:rPr>
          <w:rStyle w:val="Strong"/>
          <w:rFonts w:cs="Times New Roman"/>
          <w:noProof/>
        </w:rPr>
      </w:pPr>
      <w:r w:rsidRPr="000E1D82">
        <w:rPr>
          <w:rStyle w:val="Strong"/>
          <w:rFonts w:cs="Times New Roman"/>
          <w:noProof/>
        </w:rPr>
        <w:t xml:space="preserve">Introduction </w:t>
      </w:r>
    </w:p>
    <w:p w14:paraId="1E570A54" w14:textId="4760F0F8" w:rsidR="00DE54C7" w:rsidRPr="000E1D82" w:rsidRDefault="00DE54C7" w:rsidP="00DE54C7">
      <w:pPr>
        <w:spacing w:after="200" w:line="276" w:lineRule="auto"/>
        <w:jc w:val="both"/>
        <w:rPr>
          <w:rFonts w:eastAsia="Times New Roman" w:cs="Times New Roman"/>
          <w:noProof/>
          <w:lang w:eastAsia="en-IE"/>
        </w:rPr>
      </w:pPr>
      <w:bookmarkStart w:id="2" w:name="_Hlk210546557"/>
      <w:r w:rsidRPr="000E1D82">
        <w:rPr>
          <w:rStyle w:val="Strong"/>
          <w:rFonts w:cs="Times New Roman"/>
          <w:b w:val="0"/>
          <w:bCs w:val="0"/>
          <w:noProof/>
        </w:rPr>
        <w:t xml:space="preserve">Cardiovascular diseases </w:t>
      </w:r>
      <w:bookmarkEnd w:id="2"/>
      <w:r>
        <w:rPr>
          <w:rStyle w:val="Strong"/>
          <w:rFonts w:cs="Times New Roman"/>
          <w:b w:val="0"/>
          <w:bCs w:val="0"/>
          <w:noProof/>
        </w:rPr>
        <w:t>remain</w:t>
      </w:r>
      <w:r w:rsidRPr="000E1D82">
        <w:rPr>
          <w:rStyle w:val="Strong"/>
          <w:rFonts w:cs="Times New Roman"/>
          <w:b w:val="0"/>
          <w:bCs w:val="0"/>
          <w:noProof/>
        </w:rPr>
        <w:t xml:space="preserve"> the </w:t>
      </w:r>
      <w:r w:rsidRPr="000E1D82">
        <w:rPr>
          <w:rStyle w:val="Strong"/>
          <w:rFonts w:cs="Times New Roman"/>
          <w:noProof/>
        </w:rPr>
        <w:t>biggest public health challenge in the EU</w:t>
      </w:r>
      <w:r w:rsidRPr="000E1D82">
        <w:rPr>
          <w:rStyle w:val="Strong"/>
          <w:rFonts w:cs="Times New Roman"/>
          <w:b w:val="0"/>
          <w:bCs w:val="0"/>
          <w:noProof/>
        </w:rPr>
        <w:t xml:space="preserve"> despite advances in their prevention and management</w:t>
      </w:r>
      <w:r w:rsidRPr="000E1D82">
        <w:rPr>
          <w:rStyle w:val="FootnoteReference"/>
          <w:rFonts w:cs="Times New Roman"/>
          <w:noProof/>
        </w:rPr>
        <w:footnoteReference w:id="2"/>
      </w:r>
      <w:r w:rsidRPr="000E1D82">
        <w:rPr>
          <w:rStyle w:val="Strong"/>
          <w:rFonts w:cs="Times New Roman"/>
          <w:b w:val="0"/>
          <w:bCs w:val="0"/>
          <w:noProof/>
        </w:rPr>
        <w:t xml:space="preserve">. </w:t>
      </w:r>
      <w:r w:rsidRPr="2A612BEF">
        <w:rPr>
          <w:rStyle w:val="Strong"/>
          <w:rFonts w:cs="Times New Roman"/>
          <w:b w:val="0"/>
          <w:bCs w:val="0"/>
          <w:noProof/>
        </w:rPr>
        <w:t>They</w:t>
      </w:r>
      <w:r w:rsidRPr="539FCDA3">
        <w:rPr>
          <w:rStyle w:val="Strong"/>
          <w:rFonts w:cs="Times New Roman"/>
          <w:b w:val="0"/>
          <w:bCs w:val="0"/>
          <w:noProof/>
        </w:rPr>
        <w:t xml:space="preserve"> </w:t>
      </w:r>
      <w:r>
        <w:rPr>
          <w:rStyle w:val="Strong"/>
          <w:rFonts w:cs="Times New Roman"/>
          <w:b w:val="0"/>
          <w:noProof/>
        </w:rPr>
        <w:t xml:space="preserve">are </w:t>
      </w:r>
      <w:r w:rsidRPr="2A612BEF">
        <w:rPr>
          <w:rFonts w:cs="Times New Roman"/>
          <w:noProof/>
          <w:lang w:eastAsia="en-IE"/>
        </w:rPr>
        <w:t>the leading cause of death and disability in the EU,</w:t>
      </w:r>
      <w:r>
        <w:rPr>
          <w:rFonts w:cs="Times New Roman"/>
          <w:noProof/>
          <w:lang w:eastAsia="en-IE"/>
        </w:rPr>
        <w:t xml:space="preserve"> </w:t>
      </w:r>
      <w:r w:rsidRPr="2A612BEF">
        <w:rPr>
          <w:rFonts w:cs="Times New Roman"/>
          <w:noProof/>
          <w:lang w:eastAsia="en-IE"/>
        </w:rPr>
        <w:t xml:space="preserve">claiming </w:t>
      </w:r>
      <w:r>
        <w:rPr>
          <w:rFonts w:cs="Times New Roman"/>
          <w:noProof/>
          <w:lang w:eastAsia="en-IE"/>
        </w:rPr>
        <w:t>1.7 million</w:t>
      </w:r>
      <w:r w:rsidRPr="2A612BEF">
        <w:rPr>
          <w:rFonts w:cs="Times New Roman"/>
          <w:noProof/>
          <w:lang w:eastAsia="en-IE"/>
        </w:rPr>
        <w:t xml:space="preserve"> </w:t>
      </w:r>
      <w:r>
        <w:rPr>
          <w:rFonts w:cs="Times New Roman"/>
          <w:noProof/>
          <w:lang w:eastAsia="en-IE"/>
        </w:rPr>
        <w:t>lives every year</w:t>
      </w:r>
      <w:r>
        <w:rPr>
          <w:rStyle w:val="FootnoteReference"/>
          <w:rFonts w:cs="Times New Roman"/>
          <w:noProof/>
          <w:lang w:eastAsia="en-IE"/>
        </w:rPr>
        <w:footnoteReference w:id="3"/>
      </w:r>
      <w:r w:rsidRPr="2A612BEF">
        <w:rPr>
          <w:rFonts w:cs="Times New Roman"/>
          <w:noProof/>
          <w:lang w:eastAsia="en-IE"/>
        </w:rPr>
        <w:t xml:space="preserve"> and affecting around </w:t>
      </w:r>
      <w:r w:rsidRPr="2A612BEF">
        <w:rPr>
          <w:rFonts w:cs="Times New Roman"/>
          <w:b/>
          <w:bCs/>
          <w:noProof/>
          <w:lang w:eastAsia="en-IE"/>
        </w:rPr>
        <w:t>62 million people</w:t>
      </w:r>
      <w:r w:rsidRPr="2A612BEF">
        <w:rPr>
          <w:rFonts w:cs="Times New Roman"/>
          <w:noProof/>
          <w:lang w:eastAsia="en-IE"/>
        </w:rPr>
        <w:t xml:space="preserve"> in </w:t>
      </w:r>
      <w:r w:rsidR="007E7755" w:rsidRPr="2A612BEF">
        <w:rPr>
          <w:rFonts w:cs="Times New Roman"/>
          <w:noProof/>
          <w:lang w:eastAsia="en-IE"/>
        </w:rPr>
        <w:t>many ways</w:t>
      </w:r>
      <w:r w:rsidRPr="2A612BEF">
        <w:rPr>
          <w:rFonts w:cs="Times New Roman"/>
          <w:noProof/>
          <w:lang w:eastAsia="en-IE"/>
        </w:rPr>
        <w:t xml:space="preserve"> </w:t>
      </w:r>
      <w:r>
        <w:rPr>
          <w:rFonts w:cs="Times New Roman"/>
          <w:noProof/>
          <w:lang w:eastAsia="en-IE"/>
        </w:rPr>
        <w:t>that go</w:t>
      </w:r>
      <w:r w:rsidRPr="2A612BEF">
        <w:rPr>
          <w:rFonts w:cs="Times New Roman"/>
          <w:noProof/>
          <w:lang w:eastAsia="en-IE"/>
        </w:rPr>
        <w:t xml:space="preserve"> beyond just physical symptoms. The economic cost exceeds </w:t>
      </w:r>
      <w:r w:rsidRPr="2A612BEF">
        <w:rPr>
          <w:rFonts w:cs="Times New Roman"/>
          <w:b/>
          <w:bCs/>
          <w:noProof/>
          <w:lang w:eastAsia="en-IE"/>
        </w:rPr>
        <w:t>EUR 282 billion per year</w:t>
      </w:r>
      <w:r w:rsidRPr="2A612BEF">
        <w:rPr>
          <w:rFonts w:cs="Times New Roman"/>
          <w:noProof/>
          <w:lang w:eastAsia="en-IE"/>
        </w:rPr>
        <w:t>, including EUR 47 billion in lost productivity</w:t>
      </w:r>
      <w:r w:rsidRPr="2A612BEF">
        <w:rPr>
          <w:rStyle w:val="FootnoteReference"/>
          <w:rFonts w:cs="Times New Roman"/>
          <w:noProof/>
          <w:lang w:eastAsia="en-IE"/>
        </w:rPr>
        <w:footnoteReference w:id="4"/>
      </w:r>
      <w:r w:rsidRPr="2A612BEF">
        <w:rPr>
          <w:rFonts w:cs="Times New Roman"/>
          <w:noProof/>
          <w:lang w:eastAsia="en-IE"/>
        </w:rPr>
        <w:t>.</w:t>
      </w:r>
    </w:p>
    <w:p w14:paraId="0C340B8A" w14:textId="351873D5" w:rsidR="00DE54C7" w:rsidRPr="000E1D82" w:rsidRDefault="00DE54C7" w:rsidP="00DE54C7">
      <w:pPr>
        <w:spacing w:after="200" w:line="276" w:lineRule="auto"/>
        <w:jc w:val="both"/>
        <w:rPr>
          <w:rFonts w:cs="Times New Roman"/>
          <w:noProof/>
          <w:lang w:eastAsia="en-IE"/>
        </w:rPr>
      </w:pPr>
      <w:r w:rsidRPr="000E1D82">
        <w:rPr>
          <w:rFonts w:cs="Times New Roman"/>
          <w:noProof/>
          <w:lang w:eastAsia="en-IE"/>
        </w:rPr>
        <w:t>Besides this heavy societal and economic burden, there are significant geographical, gender</w:t>
      </w:r>
      <w:r w:rsidR="00D85E8B">
        <w:rPr>
          <w:rFonts w:cs="Times New Roman"/>
          <w:noProof/>
          <w:lang w:eastAsia="en-IE"/>
        </w:rPr>
        <w:t>,</w:t>
      </w:r>
      <w:r w:rsidRPr="000E1D82">
        <w:rPr>
          <w:rFonts w:cs="Times New Roman"/>
          <w:noProof/>
          <w:lang w:eastAsia="en-IE"/>
        </w:rPr>
        <w:t xml:space="preserve"> </w:t>
      </w:r>
      <w:r w:rsidR="0028780C">
        <w:rPr>
          <w:rFonts w:cs="Times New Roman"/>
          <w:noProof/>
          <w:lang w:eastAsia="en-IE"/>
        </w:rPr>
        <w:t xml:space="preserve">disability-related </w:t>
      </w:r>
      <w:r w:rsidRPr="000E1D82">
        <w:rPr>
          <w:rFonts w:cs="Times New Roman"/>
          <w:noProof/>
          <w:lang w:eastAsia="en-IE"/>
        </w:rPr>
        <w:t xml:space="preserve">and socio-economic </w:t>
      </w:r>
      <w:r w:rsidRPr="76E278BC">
        <w:rPr>
          <w:rFonts w:cs="Times New Roman"/>
          <w:noProof/>
          <w:lang w:eastAsia="en-IE"/>
        </w:rPr>
        <w:t>inequ</w:t>
      </w:r>
      <w:r>
        <w:rPr>
          <w:rFonts w:cs="Times New Roman"/>
          <w:noProof/>
          <w:lang w:eastAsia="en-IE"/>
        </w:rPr>
        <w:t>a</w:t>
      </w:r>
      <w:r w:rsidRPr="76E278BC">
        <w:rPr>
          <w:rFonts w:cs="Times New Roman"/>
          <w:noProof/>
          <w:lang w:eastAsia="en-IE"/>
        </w:rPr>
        <w:t xml:space="preserve">lities </w:t>
      </w:r>
      <w:r>
        <w:rPr>
          <w:rFonts w:cs="Times New Roman"/>
          <w:noProof/>
          <w:lang w:eastAsia="en-IE"/>
        </w:rPr>
        <w:t>that</w:t>
      </w:r>
      <w:r w:rsidRPr="000E1D82">
        <w:rPr>
          <w:rFonts w:cs="Times New Roman"/>
          <w:noProof/>
          <w:lang w:eastAsia="en-IE"/>
        </w:rPr>
        <w:t xml:space="preserve"> reinforc</w:t>
      </w:r>
      <w:r>
        <w:rPr>
          <w:rFonts w:cs="Times New Roman"/>
          <w:noProof/>
          <w:lang w:eastAsia="en-IE"/>
        </w:rPr>
        <w:t>e</w:t>
      </w:r>
      <w:r w:rsidRPr="000E1D82">
        <w:rPr>
          <w:rFonts w:cs="Times New Roman"/>
          <w:noProof/>
          <w:lang w:eastAsia="en-IE"/>
        </w:rPr>
        <w:t xml:space="preserve"> the need to intervene decisively at </w:t>
      </w:r>
      <w:r>
        <w:rPr>
          <w:rFonts w:cs="Times New Roman"/>
          <w:noProof/>
          <w:lang w:eastAsia="en-IE"/>
        </w:rPr>
        <w:t xml:space="preserve">EU </w:t>
      </w:r>
      <w:r w:rsidRPr="000E1D82">
        <w:rPr>
          <w:rFonts w:cs="Times New Roman"/>
          <w:noProof/>
          <w:lang w:eastAsia="en-IE"/>
        </w:rPr>
        <w:t xml:space="preserve">and national level for the benefit of present and future generations. </w:t>
      </w:r>
      <w:r>
        <w:rPr>
          <w:rFonts w:cs="Times New Roman"/>
          <w:noProof/>
          <w:lang w:eastAsia="en-IE"/>
        </w:rPr>
        <w:t>C</w:t>
      </w:r>
      <w:r w:rsidRPr="000E1D82">
        <w:rPr>
          <w:rFonts w:cs="Times New Roman"/>
          <w:noProof/>
          <w:lang w:eastAsia="en-IE"/>
        </w:rPr>
        <w:t>ardiovascular death</w:t>
      </w:r>
      <w:r>
        <w:rPr>
          <w:rFonts w:cs="Times New Roman"/>
          <w:noProof/>
          <w:lang w:eastAsia="en-IE"/>
        </w:rPr>
        <w:t xml:space="preserve"> rates</w:t>
      </w:r>
      <w:r w:rsidRPr="000E1D82">
        <w:rPr>
          <w:rFonts w:cs="Times New Roman"/>
          <w:noProof/>
          <w:lang w:eastAsia="en-IE"/>
        </w:rPr>
        <w:t xml:space="preserve"> are nearly</w:t>
      </w:r>
      <w:r>
        <w:rPr>
          <w:rFonts w:cs="Times New Roman"/>
          <w:noProof/>
          <w:lang w:eastAsia="en-IE"/>
        </w:rPr>
        <w:t xml:space="preserve"> </w:t>
      </w:r>
      <w:r w:rsidRPr="2A612BEF">
        <w:rPr>
          <w:rFonts w:cs="Times New Roman"/>
          <w:noProof/>
          <w:lang w:eastAsia="en-IE"/>
        </w:rPr>
        <w:t>6</w:t>
      </w:r>
      <w:r>
        <w:rPr>
          <w:rFonts w:cs="Times New Roman"/>
          <w:noProof/>
          <w:lang w:eastAsia="en-IE"/>
        </w:rPr>
        <w:t>.3</w:t>
      </w:r>
      <w:r w:rsidRPr="000E1D82">
        <w:rPr>
          <w:rFonts w:cs="Times New Roman"/>
          <w:noProof/>
          <w:lang w:eastAsia="en-IE"/>
        </w:rPr>
        <w:t xml:space="preserve"> times higher in </w:t>
      </w:r>
      <w:r>
        <w:rPr>
          <w:rFonts w:cs="Times New Roman"/>
          <w:noProof/>
          <w:lang w:eastAsia="en-IE"/>
        </w:rPr>
        <w:t xml:space="preserve">some Member States than in </w:t>
      </w:r>
      <w:r w:rsidRPr="000E1D82">
        <w:rPr>
          <w:rFonts w:cs="Times New Roman"/>
          <w:noProof/>
          <w:lang w:eastAsia="en-IE"/>
        </w:rPr>
        <w:t>others</w:t>
      </w:r>
      <w:r w:rsidRPr="000E1D82">
        <w:rPr>
          <w:rStyle w:val="FootnoteReference"/>
          <w:rFonts w:cs="Times New Roman"/>
          <w:noProof/>
          <w:lang w:eastAsia="en-IE"/>
        </w:rPr>
        <w:footnoteReference w:id="5"/>
      </w:r>
      <w:r>
        <w:rPr>
          <w:rFonts w:cs="Times New Roman"/>
          <w:noProof/>
          <w:lang w:eastAsia="en-IE"/>
        </w:rPr>
        <w:t>. W</w:t>
      </w:r>
      <w:r w:rsidRPr="000E1D82">
        <w:rPr>
          <w:rFonts w:cs="Times New Roman"/>
          <w:noProof/>
          <w:lang w:eastAsia="en-IE"/>
        </w:rPr>
        <w:t>ithin Member States</w:t>
      </w:r>
      <w:r>
        <w:rPr>
          <w:rFonts w:cs="Times New Roman"/>
          <w:noProof/>
          <w:lang w:eastAsia="en-IE"/>
        </w:rPr>
        <w:t>,</w:t>
      </w:r>
      <w:r w:rsidRPr="000E1D82">
        <w:rPr>
          <w:rFonts w:cs="Times New Roman"/>
          <w:noProof/>
          <w:lang w:eastAsia="en-IE"/>
        </w:rPr>
        <w:t xml:space="preserve"> there is </w:t>
      </w:r>
      <w:r w:rsidR="0007696C">
        <w:rPr>
          <w:rFonts w:cs="Times New Roman"/>
          <w:noProof/>
          <w:lang w:eastAsia="en-IE"/>
        </w:rPr>
        <w:t xml:space="preserve">a </w:t>
      </w:r>
      <w:r w:rsidRPr="000E1D82">
        <w:rPr>
          <w:rFonts w:cs="Times New Roman"/>
          <w:noProof/>
        </w:rPr>
        <w:t xml:space="preserve">higher </w:t>
      </w:r>
      <w:r w:rsidRPr="000E1D82">
        <w:rPr>
          <w:rFonts w:cs="Times New Roman"/>
          <w:noProof/>
          <w:lang w:eastAsia="en-IE"/>
        </w:rPr>
        <w:t xml:space="preserve">prevalence </w:t>
      </w:r>
      <w:r>
        <w:rPr>
          <w:rFonts w:cs="Times New Roman"/>
          <w:noProof/>
          <w:lang w:eastAsia="en-IE"/>
        </w:rPr>
        <w:t xml:space="preserve">of cardiovascular diseases </w:t>
      </w:r>
      <w:r w:rsidRPr="000E1D82">
        <w:rPr>
          <w:rFonts w:cs="Times New Roman"/>
          <w:noProof/>
          <w:lang w:eastAsia="en-IE"/>
        </w:rPr>
        <w:t xml:space="preserve">and </w:t>
      </w:r>
      <w:r>
        <w:rPr>
          <w:rFonts w:cs="Times New Roman"/>
          <w:noProof/>
          <w:lang w:eastAsia="en-IE"/>
        </w:rPr>
        <w:t xml:space="preserve">related </w:t>
      </w:r>
      <w:r w:rsidRPr="000E1D82">
        <w:rPr>
          <w:rFonts w:cs="Times New Roman"/>
          <w:noProof/>
          <w:lang w:eastAsia="en-IE"/>
        </w:rPr>
        <w:t>mortality in lower</w:t>
      </w:r>
      <w:r w:rsidR="00D738EC">
        <w:rPr>
          <w:rFonts w:cs="Times New Roman"/>
          <w:noProof/>
          <w:lang w:eastAsia="en-IE"/>
        </w:rPr>
        <w:t xml:space="preserve"> </w:t>
      </w:r>
      <w:r w:rsidRPr="000E1D82">
        <w:rPr>
          <w:rFonts w:cs="Times New Roman"/>
          <w:noProof/>
          <w:lang w:eastAsia="en-IE"/>
        </w:rPr>
        <w:t>income and education population groups.</w:t>
      </w:r>
      <w:r w:rsidR="00695AB7">
        <w:rPr>
          <w:rFonts w:cs="Times New Roman"/>
          <w:noProof/>
          <w:lang w:eastAsia="en-IE"/>
        </w:rPr>
        <w:t xml:space="preserve"> </w:t>
      </w:r>
      <w:r w:rsidRPr="000E1D82">
        <w:rPr>
          <w:rFonts w:cs="Times New Roman"/>
          <w:noProof/>
          <w:lang w:eastAsia="en-IE"/>
        </w:rPr>
        <w:t>Cardiovascular diseases occur frequently together with conditions like diabetes and obesity</w:t>
      </w:r>
      <w:r>
        <w:rPr>
          <w:rFonts w:cs="Times New Roman"/>
          <w:noProof/>
          <w:lang w:eastAsia="en-IE"/>
        </w:rPr>
        <w:t>,</w:t>
      </w:r>
      <w:r w:rsidRPr="000E1D82">
        <w:rPr>
          <w:rFonts w:cs="Times New Roman"/>
          <w:noProof/>
          <w:lang w:eastAsia="en-IE"/>
        </w:rPr>
        <w:t xml:space="preserve"> significantly impacting people’s quality of life</w:t>
      </w:r>
      <w:r>
        <w:rPr>
          <w:rFonts w:cs="Times New Roman"/>
          <w:noProof/>
          <w:lang w:eastAsia="en-IE"/>
        </w:rPr>
        <w:t xml:space="preserve">. It is necessary </w:t>
      </w:r>
      <w:r w:rsidRPr="000E1D82">
        <w:rPr>
          <w:rFonts w:cs="Times New Roman"/>
          <w:noProof/>
          <w:lang w:eastAsia="en-IE"/>
        </w:rPr>
        <w:t>to pool resources, knowledge and experience, as well as to maximise synergies and economies of scale at EU level.</w:t>
      </w:r>
      <w:r w:rsidR="00B42A77">
        <w:rPr>
          <w:rFonts w:cs="Times New Roman"/>
          <w:noProof/>
          <w:lang w:eastAsia="en-IE"/>
        </w:rPr>
        <w:t xml:space="preserve"> </w:t>
      </w:r>
    </w:p>
    <w:p w14:paraId="4FB27540" w14:textId="043AF112" w:rsidR="002C491A" w:rsidRDefault="00DE54C7" w:rsidP="00DE54C7">
      <w:pPr>
        <w:spacing w:after="200" w:line="276" w:lineRule="auto"/>
        <w:jc w:val="both"/>
        <w:rPr>
          <w:rFonts w:cs="Times New Roman"/>
          <w:noProof/>
          <w:lang w:eastAsia="en-IE"/>
        </w:rPr>
      </w:pPr>
      <w:r w:rsidRPr="000E1D82">
        <w:rPr>
          <w:rFonts w:cs="Times New Roman"/>
          <w:noProof/>
          <w:lang w:eastAsia="en-IE"/>
        </w:rPr>
        <w:t>Without decisive</w:t>
      </w:r>
      <w:r>
        <w:rPr>
          <w:rFonts w:cs="Times New Roman"/>
          <w:noProof/>
          <w:lang w:eastAsia="en-IE"/>
        </w:rPr>
        <w:t xml:space="preserve"> and</w:t>
      </w:r>
      <w:r w:rsidRPr="000E1D82">
        <w:rPr>
          <w:rFonts w:cs="Times New Roman"/>
          <w:noProof/>
          <w:lang w:eastAsia="en-IE"/>
        </w:rPr>
        <w:t xml:space="preserve"> coordinated EU action, the burden of cardiovascular diseases will continue to rise, undermining the health and well</w:t>
      </w:r>
      <w:r w:rsidRPr="0B8FD0D6">
        <w:rPr>
          <w:rFonts w:cs="Times New Roman"/>
          <w:noProof/>
          <w:lang w:eastAsia="en-IE"/>
        </w:rPr>
        <w:t>-</w:t>
      </w:r>
      <w:r w:rsidRPr="000E1D82">
        <w:rPr>
          <w:rFonts w:cs="Times New Roman"/>
          <w:noProof/>
          <w:lang w:eastAsia="en-IE"/>
        </w:rPr>
        <w:t xml:space="preserve">being of future generations, straining health systems and weakening the EU’s economic resilience. Between 2025 and 2050, </w:t>
      </w:r>
      <w:r>
        <w:rPr>
          <w:rFonts w:cs="Times New Roman"/>
          <w:noProof/>
          <w:lang w:eastAsia="en-IE"/>
        </w:rPr>
        <w:t xml:space="preserve">the prevalence of </w:t>
      </w:r>
      <w:r w:rsidRPr="000E1D82">
        <w:rPr>
          <w:rFonts w:cs="Times New Roman"/>
          <w:noProof/>
          <w:lang w:eastAsia="en-IE"/>
        </w:rPr>
        <w:t xml:space="preserve">cardiovascular </w:t>
      </w:r>
      <w:r>
        <w:rPr>
          <w:rFonts w:cs="Times New Roman"/>
          <w:noProof/>
          <w:lang w:eastAsia="en-IE"/>
        </w:rPr>
        <w:t>diseases</w:t>
      </w:r>
      <w:r w:rsidRPr="000E1D82">
        <w:rPr>
          <w:rFonts w:cs="Times New Roman"/>
          <w:noProof/>
          <w:lang w:eastAsia="en-IE"/>
        </w:rPr>
        <w:t xml:space="preserve"> is projected to rise by 90%, with deaths increasing by 73.4%</w:t>
      </w:r>
      <w:r>
        <w:rPr>
          <w:rFonts w:cs="Times New Roman"/>
          <w:noProof/>
          <w:lang w:eastAsia="en-IE"/>
        </w:rPr>
        <w:t xml:space="preserve"> to</w:t>
      </w:r>
      <w:r w:rsidRPr="000E1D82">
        <w:rPr>
          <w:rFonts w:cs="Times New Roman"/>
          <w:noProof/>
          <w:lang w:eastAsia="en-IE"/>
        </w:rPr>
        <w:t xml:space="preserve"> reach an estimated 35.6 million in 2050 (up from 20.5 million in 2025)</w:t>
      </w:r>
      <w:r>
        <w:rPr>
          <w:rStyle w:val="FootnoteReference"/>
          <w:rFonts w:cs="Times New Roman"/>
          <w:noProof/>
          <w:lang w:eastAsia="en-IE"/>
        </w:rPr>
        <w:footnoteReference w:id="6"/>
      </w:r>
      <w:r w:rsidRPr="000E1D82">
        <w:rPr>
          <w:rFonts w:cs="Times New Roman"/>
          <w:noProof/>
          <w:lang w:eastAsia="en-IE"/>
        </w:rPr>
        <w:t>. Ischaemic heart disease</w:t>
      </w:r>
      <w:r w:rsidRPr="000E1D82">
        <w:rPr>
          <w:rStyle w:val="FootnoteReference"/>
          <w:rFonts w:cs="Times New Roman"/>
          <w:noProof/>
          <w:lang w:eastAsia="en-IE"/>
        </w:rPr>
        <w:footnoteReference w:id="7"/>
      </w:r>
      <w:r w:rsidRPr="000E1D82">
        <w:rPr>
          <w:rFonts w:cs="Times New Roman"/>
          <w:noProof/>
          <w:lang w:eastAsia="en-IE"/>
        </w:rPr>
        <w:t xml:space="preserve"> </w:t>
      </w:r>
      <w:r>
        <w:rPr>
          <w:rFonts w:cs="Times New Roman"/>
          <w:noProof/>
          <w:lang w:eastAsia="en-IE"/>
        </w:rPr>
        <w:t>is expected to</w:t>
      </w:r>
      <w:r w:rsidRPr="000E1D82">
        <w:rPr>
          <w:rFonts w:cs="Times New Roman"/>
          <w:noProof/>
          <w:lang w:eastAsia="en-IE"/>
        </w:rPr>
        <w:t xml:space="preserve"> remain the leading cause of cardiovascular deaths and high blood pressure will </w:t>
      </w:r>
      <w:r>
        <w:rPr>
          <w:rFonts w:cs="Times New Roman"/>
          <w:noProof/>
          <w:lang w:eastAsia="en-IE"/>
        </w:rPr>
        <w:t>remain</w:t>
      </w:r>
      <w:r w:rsidRPr="000E1D82">
        <w:rPr>
          <w:rFonts w:cs="Times New Roman"/>
          <w:noProof/>
          <w:lang w:eastAsia="en-IE"/>
        </w:rPr>
        <w:t xml:space="preserve"> the main risk</w:t>
      </w:r>
      <w:r w:rsidR="0007696C">
        <w:rPr>
          <w:rFonts w:cs="Times New Roman"/>
          <w:noProof/>
          <w:lang w:eastAsia="en-IE"/>
        </w:rPr>
        <w:t xml:space="preserve"> factor</w:t>
      </w:r>
      <w:r>
        <w:rPr>
          <w:rFonts w:cs="Times New Roman"/>
          <w:noProof/>
          <w:lang w:eastAsia="en-IE"/>
        </w:rPr>
        <w:t xml:space="preserve">. </w:t>
      </w:r>
    </w:p>
    <w:p w14:paraId="22218146" w14:textId="124E858D" w:rsidR="00DE54C7" w:rsidRPr="000E1D82" w:rsidRDefault="00DE54C7" w:rsidP="00DE54C7">
      <w:pPr>
        <w:spacing w:after="200" w:line="276" w:lineRule="auto"/>
        <w:jc w:val="both"/>
        <w:rPr>
          <w:noProof/>
        </w:rPr>
      </w:pPr>
      <w:r w:rsidRPr="000E1D82">
        <w:rPr>
          <w:rFonts w:cs="Times New Roman"/>
          <w:noProof/>
          <w:lang w:eastAsia="en-IE"/>
        </w:rPr>
        <w:t xml:space="preserve">The </w:t>
      </w:r>
      <w:r>
        <w:rPr>
          <w:rFonts w:cs="Times New Roman"/>
          <w:b/>
          <w:bCs/>
          <w:noProof/>
          <w:lang w:eastAsia="en-IE"/>
        </w:rPr>
        <w:t>Safe Hearts Plan</w:t>
      </w:r>
      <w:r w:rsidRPr="000E1D82">
        <w:rPr>
          <w:rFonts w:cs="Times New Roman"/>
          <w:noProof/>
          <w:lang w:eastAsia="en-IE"/>
        </w:rPr>
        <w:t xml:space="preserve"> responds directly to the call</w:t>
      </w:r>
      <w:r>
        <w:rPr>
          <w:rFonts w:cs="Times New Roman"/>
          <w:noProof/>
          <w:lang w:eastAsia="en-IE"/>
        </w:rPr>
        <w:t>s</w:t>
      </w:r>
      <w:r w:rsidRPr="000E1D82">
        <w:rPr>
          <w:rFonts w:cs="Times New Roman"/>
          <w:noProof/>
          <w:lang w:eastAsia="en-IE"/>
        </w:rPr>
        <w:t xml:space="preserve"> from </w:t>
      </w:r>
      <w:r>
        <w:rPr>
          <w:rFonts w:cs="Times New Roman"/>
          <w:noProof/>
          <w:lang w:eastAsia="en-IE"/>
        </w:rPr>
        <w:t xml:space="preserve">the </w:t>
      </w:r>
      <w:r w:rsidRPr="000E1D82">
        <w:rPr>
          <w:rFonts w:cs="Times New Roman"/>
          <w:noProof/>
          <w:lang w:eastAsia="en-IE"/>
        </w:rPr>
        <w:t>Member States</w:t>
      </w:r>
      <w:r w:rsidRPr="000E1D82">
        <w:rPr>
          <w:rFonts w:cs="Times New Roman"/>
          <w:noProof/>
          <w:vertAlign w:val="superscript"/>
          <w:lang w:eastAsia="en-IE"/>
        </w:rPr>
        <w:footnoteReference w:id="8"/>
      </w:r>
      <w:r w:rsidRPr="000E1D82">
        <w:rPr>
          <w:rFonts w:cs="Times New Roman"/>
          <w:noProof/>
          <w:lang w:eastAsia="en-IE"/>
        </w:rPr>
        <w:t xml:space="preserve"> and the European Parliament</w:t>
      </w:r>
      <w:r w:rsidRPr="000E1D82">
        <w:rPr>
          <w:rFonts w:cs="Times New Roman"/>
          <w:noProof/>
          <w:vertAlign w:val="superscript"/>
          <w:lang w:eastAsia="en-IE"/>
        </w:rPr>
        <w:footnoteReference w:id="9"/>
      </w:r>
      <w:r w:rsidRPr="000E1D82">
        <w:rPr>
          <w:rFonts w:cs="Times New Roman"/>
          <w:noProof/>
          <w:lang w:eastAsia="en-IE"/>
        </w:rPr>
        <w:t xml:space="preserve"> for stronger action at EU level and is based on contributions received through various consultation activities</w:t>
      </w:r>
      <w:r w:rsidRPr="000E1D82">
        <w:rPr>
          <w:rStyle w:val="FootnoteReference"/>
          <w:rFonts w:cs="Times New Roman"/>
          <w:noProof/>
          <w:lang w:eastAsia="en-IE"/>
        </w:rPr>
        <w:footnoteReference w:id="10"/>
      </w:r>
      <w:r w:rsidRPr="000E1D82">
        <w:rPr>
          <w:noProof/>
          <w:lang w:eastAsia="en-IE"/>
        </w:rPr>
        <w:t>.</w:t>
      </w:r>
      <w:r w:rsidRPr="000E1D82">
        <w:rPr>
          <w:rFonts w:asciiTheme="minorHAnsi" w:eastAsiaTheme="minorEastAsia" w:hAnsiTheme="minorHAnsi"/>
          <w:noProof/>
          <w:lang w:eastAsia="en-IE"/>
        </w:rPr>
        <w:t xml:space="preserve"> </w:t>
      </w:r>
      <w:r w:rsidRPr="000E1D82">
        <w:rPr>
          <w:rFonts w:cs="Times New Roman"/>
          <w:noProof/>
          <w:lang w:eastAsia="en-IE"/>
        </w:rPr>
        <w:t xml:space="preserve">It </w:t>
      </w:r>
      <w:r w:rsidRPr="000E1D82">
        <w:rPr>
          <w:rFonts w:eastAsia="Times New Roman" w:cs="Times New Roman"/>
          <w:noProof/>
          <w:szCs w:val="20"/>
          <w:lang w:eastAsia="en-IE"/>
        </w:rPr>
        <w:t>focuses on targeted impactful actions</w:t>
      </w:r>
      <w:r>
        <w:rPr>
          <w:rFonts w:eastAsia="Times New Roman" w:cs="Times New Roman"/>
          <w:noProof/>
          <w:szCs w:val="20"/>
          <w:lang w:eastAsia="en-IE"/>
        </w:rPr>
        <w:t>,</w:t>
      </w:r>
      <w:r w:rsidRPr="000E1D82">
        <w:rPr>
          <w:rFonts w:eastAsia="Times New Roman" w:cs="Times New Roman"/>
          <w:noProof/>
          <w:szCs w:val="20"/>
          <w:lang w:eastAsia="en-IE"/>
        </w:rPr>
        <w:t xml:space="preserve"> with </w:t>
      </w:r>
      <w:r>
        <w:rPr>
          <w:rFonts w:eastAsia="Times New Roman" w:cs="Times New Roman"/>
          <w:noProof/>
          <w:szCs w:val="20"/>
          <w:lang w:eastAsia="en-IE"/>
        </w:rPr>
        <w:t xml:space="preserve">evidence-based </w:t>
      </w:r>
      <w:r w:rsidRPr="000E1D82">
        <w:rPr>
          <w:rFonts w:eastAsia="Times New Roman" w:cs="Times New Roman"/>
          <w:noProof/>
          <w:szCs w:val="20"/>
          <w:lang w:eastAsia="en-IE"/>
        </w:rPr>
        <w:t>EU added value for citizens, governments and stakeholders</w:t>
      </w:r>
      <w:r>
        <w:rPr>
          <w:rFonts w:eastAsia="Times New Roman" w:cs="Times New Roman"/>
          <w:noProof/>
          <w:szCs w:val="20"/>
          <w:lang w:eastAsia="en-IE"/>
        </w:rPr>
        <w:t>,</w:t>
      </w:r>
      <w:r w:rsidRPr="000E1D82">
        <w:rPr>
          <w:rFonts w:eastAsia="Times New Roman" w:cs="Times New Roman"/>
          <w:noProof/>
          <w:szCs w:val="20"/>
          <w:lang w:eastAsia="en-IE"/>
        </w:rPr>
        <w:t xml:space="preserve"> to support</w:t>
      </w:r>
      <w:r w:rsidR="0007696C">
        <w:rPr>
          <w:rFonts w:eastAsia="Times New Roman" w:cs="Times New Roman"/>
          <w:noProof/>
          <w:szCs w:val="20"/>
          <w:lang w:eastAsia="en-IE"/>
        </w:rPr>
        <w:t xml:space="preserve"> the</w:t>
      </w:r>
      <w:r w:rsidRPr="000E1D82">
        <w:rPr>
          <w:rFonts w:cs="Times New Roman"/>
          <w:noProof/>
          <w:lang w:eastAsia="en-IE"/>
        </w:rPr>
        <w:t xml:space="preserve"> Member States to tackle </w:t>
      </w:r>
      <w:r>
        <w:rPr>
          <w:rFonts w:cs="Times New Roman"/>
          <w:noProof/>
          <w:lang w:eastAsia="en-IE"/>
        </w:rPr>
        <w:t xml:space="preserve">one of the </w:t>
      </w:r>
      <w:r w:rsidRPr="000E1D82">
        <w:rPr>
          <w:rFonts w:cs="Times New Roman"/>
          <w:noProof/>
          <w:lang w:eastAsia="en-IE"/>
        </w:rPr>
        <w:t xml:space="preserve">biggest collective health </w:t>
      </w:r>
      <w:r w:rsidR="007E7755" w:rsidRPr="000E1D82">
        <w:rPr>
          <w:rFonts w:cs="Times New Roman"/>
          <w:noProof/>
          <w:lang w:eastAsia="en-IE"/>
        </w:rPr>
        <w:t>challenges</w:t>
      </w:r>
      <w:r w:rsidRPr="000E1D82">
        <w:rPr>
          <w:rFonts w:cs="Times New Roman"/>
          <w:noProof/>
          <w:lang w:eastAsia="en-IE"/>
        </w:rPr>
        <w:t>.</w:t>
      </w:r>
      <w:r w:rsidRPr="000E1D82">
        <w:rPr>
          <w:noProof/>
        </w:rPr>
        <w:t xml:space="preserve"> </w:t>
      </w:r>
    </w:p>
    <w:p w14:paraId="7A692CEC" w14:textId="54BFC864" w:rsidR="00DE54C7" w:rsidRPr="000E1D82" w:rsidRDefault="00DE54C7" w:rsidP="00DE54C7">
      <w:pPr>
        <w:spacing w:after="200" w:line="276" w:lineRule="auto"/>
        <w:jc w:val="both"/>
        <w:rPr>
          <w:noProof/>
        </w:rPr>
      </w:pPr>
      <w:r w:rsidRPr="000E1D82">
        <w:rPr>
          <w:noProof/>
        </w:rPr>
        <w:t xml:space="preserve">The </w:t>
      </w:r>
      <w:r>
        <w:rPr>
          <w:noProof/>
        </w:rPr>
        <w:t>Safe Hearts Plan</w:t>
      </w:r>
      <w:r w:rsidRPr="000E1D82">
        <w:rPr>
          <w:noProof/>
        </w:rPr>
        <w:t xml:space="preserve"> </w:t>
      </w:r>
      <w:r w:rsidR="00925359">
        <w:rPr>
          <w:noProof/>
        </w:rPr>
        <w:t>is part of</w:t>
      </w:r>
      <w:r w:rsidRPr="000E1D82">
        <w:rPr>
          <w:noProof/>
        </w:rPr>
        <w:t xml:space="preserve"> the European Health Union</w:t>
      </w:r>
      <w:r>
        <w:rPr>
          <w:rStyle w:val="FootnoteReference"/>
          <w:noProof/>
        </w:rPr>
        <w:footnoteReference w:id="11"/>
      </w:r>
      <w:r w:rsidRPr="000E1D82">
        <w:rPr>
          <w:noProof/>
        </w:rPr>
        <w:t xml:space="preserve"> and thus exploits synergies with strategic initiatives</w:t>
      </w:r>
      <w:r>
        <w:rPr>
          <w:noProof/>
        </w:rPr>
        <w:t xml:space="preserve"> and builds on actions linked to non-communicable diseases (NCDs),</w:t>
      </w:r>
      <w:r w:rsidRPr="000E1D82">
        <w:rPr>
          <w:noProof/>
        </w:rPr>
        <w:t xml:space="preserve"> such as</w:t>
      </w:r>
      <w:r>
        <w:rPr>
          <w:noProof/>
        </w:rPr>
        <w:t xml:space="preserve"> the ‘Healthier Together’ – NCDs initiative</w:t>
      </w:r>
      <w:r>
        <w:rPr>
          <w:rStyle w:val="FootnoteReference"/>
          <w:noProof/>
        </w:rPr>
        <w:footnoteReference w:id="12"/>
      </w:r>
      <w:r>
        <w:rPr>
          <w:noProof/>
        </w:rPr>
        <w:t>, the</w:t>
      </w:r>
      <w:r w:rsidRPr="000E1D82">
        <w:rPr>
          <w:noProof/>
        </w:rPr>
        <w:t xml:space="preserve"> Europe’s Beating Cancer Plan</w:t>
      </w:r>
      <w:r>
        <w:rPr>
          <w:rStyle w:val="FootnoteReference"/>
          <w:noProof/>
        </w:rPr>
        <w:footnoteReference w:id="13"/>
      </w:r>
      <w:r w:rsidR="006C4648">
        <w:rPr>
          <w:noProof/>
        </w:rPr>
        <w:t>,</w:t>
      </w:r>
      <w:r>
        <w:rPr>
          <w:noProof/>
        </w:rPr>
        <w:t xml:space="preserve"> </w:t>
      </w:r>
      <w:r w:rsidRPr="000E1D82">
        <w:rPr>
          <w:noProof/>
        </w:rPr>
        <w:t xml:space="preserve">the </w:t>
      </w:r>
      <w:r w:rsidR="009B1FBA">
        <w:rPr>
          <w:noProof/>
        </w:rPr>
        <w:t>EU Cancer Mission</w:t>
      </w:r>
      <w:r w:rsidR="00134491">
        <w:rPr>
          <w:rStyle w:val="FootnoteReference"/>
          <w:noProof/>
        </w:rPr>
        <w:footnoteReference w:id="14"/>
      </w:r>
      <w:r w:rsidR="006C4648">
        <w:rPr>
          <w:noProof/>
        </w:rPr>
        <w:t>,</w:t>
      </w:r>
      <w:r w:rsidR="00BF6CB8">
        <w:rPr>
          <w:noProof/>
        </w:rPr>
        <w:t xml:space="preserve"> </w:t>
      </w:r>
      <w:r w:rsidRPr="000E1D82">
        <w:rPr>
          <w:noProof/>
        </w:rPr>
        <w:t xml:space="preserve">the </w:t>
      </w:r>
      <w:r>
        <w:rPr>
          <w:noProof/>
        </w:rPr>
        <w:t>c</w:t>
      </w:r>
      <w:r w:rsidRPr="000E1D82">
        <w:rPr>
          <w:noProof/>
        </w:rPr>
        <w:t>omprehensive approach on mental health</w:t>
      </w:r>
      <w:r>
        <w:rPr>
          <w:rStyle w:val="FootnoteReference"/>
          <w:noProof/>
        </w:rPr>
        <w:footnoteReference w:id="15"/>
      </w:r>
      <w:r w:rsidR="006C4648">
        <w:rPr>
          <w:noProof/>
        </w:rPr>
        <w:t>,</w:t>
      </w:r>
      <w:r>
        <w:rPr>
          <w:noProof/>
        </w:rPr>
        <w:t xml:space="preserve"> the Zero Pollution Action Plan</w:t>
      </w:r>
      <w:r w:rsidRPr="00411EC5">
        <w:rPr>
          <w:noProof/>
          <w:vertAlign w:val="superscript"/>
        </w:rPr>
        <w:footnoteReference w:id="16"/>
      </w:r>
      <w:r w:rsidRPr="0001479F">
        <w:rPr>
          <w:noProof/>
          <w:vertAlign w:val="superscript"/>
        </w:rPr>
        <w:t xml:space="preserve"> </w:t>
      </w:r>
      <w:r>
        <w:rPr>
          <w:noProof/>
        </w:rPr>
        <w:t xml:space="preserve">and </w:t>
      </w:r>
      <w:r w:rsidRPr="000E1D82">
        <w:rPr>
          <w:noProof/>
        </w:rPr>
        <w:t>the Strategy for European Life Sciences</w:t>
      </w:r>
      <w:r w:rsidRPr="000E1D82">
        <w:rPr>
          <w:rStyle w:val="FootnoteReference"/>
          <w:noProof/>
        </w:rPr>
        <w:footnoteReference w:id="17"/>
      </w:r>
      <w:r>
        <w:rPr>
          <w:noProof/>
        </w:rPr>
        <w:t xml:space="preserve">, as well as the legislative frameworks on </w:t>
      </w:r>
      <w:r w:rsidRPr="000E1D82">
        <w:rPr>
          <w:noProof/>
        </w:rPr>
        <w:t>the European Health Data Space</w:t>
      </w:r>
      <w:r w:rsidRPr="000E1D82">
        <w:rPr>
          <w:rStyle w:val="FootnoteReference"/>
          <w:noProof/>
        </w:rPr>
        <w:footnoteReference w:id="18"/>
      </w:r>
      <w:r w:rsidR="00BF7DB0">
        <w:rPr>
          <w:noProof/>
        </w:rPr>
        <w:t xml:space="preserve"> </w:t>
      </w:r>
      <w:r w:rsidR="00BE7F5F">
        <w:rPr>
          <w:noProof/>
        </w:rPr>
        <w:t>an</w:t>
      </w:r>
      <w:r w:rsidR="00BF7DB0">
        <w:rPr>
          <w:noProof/>
        </w:rPr>
        <w:t>d</w:t>
      </w:r>
      <w:r w:rsidRPr="000E1D82">
        <w:rPr>
          <w:noProof/>
        </w:rPr>
        <w:t xml:space="preserve"> </w:t>
      </w:r>
      <w:r>
        <w:rPr>
          <w:noProof/>
        </w:rPr>
        <w:t xml:space="preserve">on </w:t>
      </w:r>
      <w:r w:rsidRPr="000E1D82">
        <w:rPr>
          <w:noProof/>
        </w:rPr>
        <w:t>substances of human origin</w:t>
      </w:r>
      <w:r w:rsidRPr="000E1D82">
        <w:rPr>
          <w:rStyle w:val="FootnoteReference"/>
          <w:noProof/>
        </w:rPr>
        <w:footnoteReference w:id="19"/>
      </w:r>
      <w:r>
        <w:rPr>
          <w:noProof/>
        </w:rPr>
        <w:t xml:space="preserve">, </w:t>
      </w:r>
      <w:r w:rsidRPr="000E1D82">
        <w:rPr>
          <w:noProof/>
        </w:rPr>
        <w:t xml:space="preserve">the </w:t>
      </w:r>
      <w:r>
        <w:rPr>
          <w:noProof/>
        </w:rPr>
        <w:t xml:space="preserve">proposed </w:t>
      </w:r>
      <w:r w:rsidRPr="000E1D82">
        <w:rPr>
          <w:noProof/>
        </w:rPr>
        <w:t xml:space="preserve">revision of the </w:t>
      </w:r>
      <w:r>
        <w:rPr>
          <w:noProof/>
        </w:rPr>
        <w:t xml:space="preserve">legislation on </w:t>
      </w:r>
      <w:r w:rsidRPr="000E1D82">
        <w:rPr>
          <w:noProof/>
        </w:rPr>
        <w:t>pharmaceutical</w:t>
      </w:r>
      <w:r>
        <w:rPr>
          <w:noProof/>
        </w:rPr>
        <w:t>s and</w:t>
      </w:r>
      <w:r w:rsidRPr="000E1D82">
        <w:rPr>
          <w:noProof/>
        </w:rPr>
        <w:t xml:space="preserve"> medical devices, </w:t>
      </w:r>
      <w:r w:rsidR="00695AB7">
        <w:rPr>
          <w:noProof/>
        </w:rPr>
        <w:t>the</w:t>
      </w:r>
      <w:r w:rsidRPr="000E1D82">
        <w:rPr>
          <w:noProof/>
        </w:rPr>
        <w:t xml:space="preserve"> </w:t>
      </w:r>
      <w:r>
        <w:rPr>
          <w:noProof/>
        </w:rPr>
        <w:t>proposed</w:t>
      </w:r>
      <w:r w:rsidRPr="000E1D82">
        <w:rPr>
          <w:noProof/>
        </w:rPr>
        <w:t xml:space="preserve"> </w:t>
      </w:r>
      <w:r w:rsidR="00A3775F">
        <w:rPr>
          <w:noProof/>
        </w:rPr>
        <w:t>C</w:t>
      </w:r>
      <w:r w:rsidRPr="000E1D82">
        <w:rPr>
          <w:noProof/>
        </w:rPr>
        <w:t xml:space="preserve">ritical </w:t>
      </w:r>
      <w:r w:rsidR="00A3775F">
        <w:rPr>
          <w:noProof/>
        </w:rPr>
        <w:t>M</w:t>
      </w:r>
      <w:r w:rsidRPr="000E1D82">
        <w:rPr>
          <w:noProof/>
        </w:rPr>
        <w:t xml:space="preserve">edicines </w:t>
      </w:r>
      <w:r w:rsidR="00A3775F">
        <w:rPr>
          <w:noProof/>
        </w:rPr>
        <w:t>A</w:t>
      </w:r>
      <w:r w:rsidRPr="000E1D82">
        <w:rPr>
          <w:noProof/>
        </w:rPr>
        <w:t xml:space="preserve">ct and the proposal for a European </w:t>
      </w:r>
      <w:r w:rsidR="00D41B1B">
        <w:rPr>
          <w:noProof/>
        </w:rPr>
        <w:t>B</w:t>
      </w:r>
      <w:r w:rsidRPr="000E1D82">
        <w:rPr>
          <w:noProof/>
        </w:rPr>
        <w:t xml:space="preserve">iotech </w:t>
      </w:r>
      <w:r w:rsidR="00D41B1B">
        <w:rPr>
          <w:noProof/>
        </w:rPr>
        <w:t>A</w:t>
      </w:r>
      <w:r w:rsidRPr="000E1D82">
        <w:rPr>
          <w:noProof/>
        </w:rPr>
        <w:t>ct</w:t>
      </w:r>
      <w:r w:rsidRPr="000E1D82">
        <w:rPr>
          <w:noProof/>
          <w:vertAlign w:val="superscript"/>
        </w:rPr>
        <w:footnoteReference w:id="20"/>
      </w:r>
      <w:r w:rsidRPr="000E1D82">
        <w:rPr>
          <w:noProof/>
        </w:rPr>
        <w:t>. It also builds on and strengthens the EU’s ongoing support to Member States</w:t>
      </w:r>
      <w:r w:rsidRPr="000E1D82">
        <w:rPr>
          <w:noProof/>
          <w:vertAlign w:val="superscript"/>
        </w:rPr>
        <w:footnoteReference w:id="21"/>
      </w:r>
      <w:r w:rsidRPr="000E1D82">
        <w:rPr>
          <w:noProof/>
        </w:rPr>
        <w:t xml:space="preserve"> and stakeholders to improve cardiovascular health. </w:t>
      </w:r>
    </w:p>
    <w:p w14:paraId="2FED596A" w14:textId="1D7C9C4A" w:rsidR="00DE54C7" w:rsidRPr="000E1D82" w:rsidRDefault="4EB03D1C" w:rsidP="00DE54C7">
      <w:pPr>
        <w:spacing w:after="200" w:line="276" w:lineRule="auto"/>
        <w:jc w:val="both"/>
        <w:rPr>
          <w:noProof/>
        </w:rPr>
      </w:pPr>
      <w:r>
        <w:rPr>
          <w:noProof/>
        </w:rPr>
        <w:t xml:space="preserve">The Safe Hearts Plan will support Member States’ progress towards Sustainable Development Goal 3.4 (to reduce premature mortality from cardiovascular diseases, diabetes and other key NCDs through prevention and treatment, by one third by 2030). </w:t>
      </w:r>
    </w:p>
    <w:p w14:paraId="2EACB698" w14:textId="0936B3AC" w:rsidR="6B1A555A" w:rsidRPr="00E4479F" w:rsidRDefault="6B1A555A" w:rsidP="00E4479F">
      <w:pPr>
        <w:spacing w:after="200" w:line="276" w:lineRule="auto"/>
        <w:jc w:val="both"/>
        <w:rPr>
          <w:rFonts w:eastAsia="Times New Roman" w:cs="Times New Roman"/>
          <w:noProof/>
          <w:szCs w:val="24"/>
        </w:rPr>
      </w:pPr>
      <w:r w:rsidRPr="00E4479F">
        <w:rPr>
          <w:rFonts w:cs="Times New Roman"/>
          <w:noProof/>
          <w:lang w:eastAsia="en-IE"/>
        </w:rPr>
        <w:t>The Safe Heart</w:t>
      </w:r>
      <w:r w:rsidR="00B06062" w:rsidRPr="00E4479F">
        <w:rPr>
          <w:rFonts w:cs="Times New Roman"/>
          <w:noProof/>
          <w:lang w:eastAsia="en-IE"/>
        </w:rPr>
        <w:t>s</w:t>
      </w:r>
      <w:r w:rsidRPr="00E4479F">
        <w:rPr>
          <w:rFonts w:cs="Times New Roman"/>
          <w:noProof/>
          <w:lang w:eastAsia="en-IE"/>
        </w:rPr>
        <w:t xml:space="preserve"> Plan is supported by the evidence provided in </w:t>
      </w:r>
      <w:r w:rsidR="00BD1B23" w:rsidRPr="00E4479F">
        <w:rPr>
          <w:rFonts w:cs="Times New Roman"/>
          <w:noProof/>
          <w:lang w:eastAsia="en-IE"/>
        </w:rPr>
        <w:t xml:space="preserve">the </w:t>
      </w:r>
      <w:r w:rsidR="00B06062" w:rsidRPr="00E4479F">
        <w:rPr>
          <w:rFonts w:cs="Times New Roman"/>
          <w:noProof/>
          <w:lang w:eastAsia="en-IE"/>
        </w:rPr>
        <w:t xml:space="preserve">recently published </w:t>
      </w:r>
      <w:r w:rsidR="2F1E6B48" w:rsidRPr="00E4479F">
        <w:rPr>
          <w:rFonts w:cs="Times New Roman"/>
          <w:noProof/>
          <w:lang w:eastAsia="en-IE"/>
        </w:rPr>
        <w:t>report on ‘</w:t>
      </w:r>
      <w:r w:rsidRPr="00E4479F">
        <w:rPr>
          <w:rFonts w:cs="Times New Roman"/>
          <w:noProof/>
          <w:lang w:eastAsia="en-IE"/>
        </w:rPr>
        <w:t>The State of Cardiovascular Health in the E</w:t>
      </w:r>
      <w:r w:rsidR="0E30E9AC" w:rsidRPr="00E4479F">
        <w:rPr>
          <w:rFonts w:cs="Times New Roman"/>
          <w:noProof/>
          <w:lang w:eastAsia="en-IE"/>
        </w:rPr>
        <w:t>U’</w:t>
      </w:r>
      <w:r w:rsidR="00BD1B23" w:rsidRPr="00E4479F">
        <w:rPr>
          <w:rStyle w:val="FootnoteReference"/>
          <w:rFonts w:eastAsia="Times New Roman" w:cs="Times New Roman"/>
          <w:noProof/>
          <w:szCs w:val="24"/>
        </w:rPr>
        <w:footnoteReference w:id="22"/>
      </w:r>
      <w:r w:rsidRPr="00E4479F">
        <w:rPr>
          <w:rFonts w:eastAsia="Times New Roman" w:cs="Times New Roman"/>
          <w:noProof/>
          <w:szCs w:val="24"/>
        </w:rPr>
        <w:t>. This OECD report</w:t>
      </w:r>
      <w:r w:rsidR="00BD1B23" w:rsidRPr="00E4479F">
        <w:rPr>
          <w:rFonts w:eastAsia="Times New Roman" w:cs="Times New Roman"/>
          <w:noProof/>
          <w:szCs w:val="24"/>
        </w:rPr>
        <w:t>, which is</w:t>
      </w:r>
      <w:r w:rsidRPr="00E4479F">
        <w:rPr>
          <w:rFonts w:eastAsia="Times New Roman" w:cs="Times New Roman"/>
          <w:noProof/>
          <w:szCs w:val="24"/>
        </w:rPr>
        <w:t xml:space="preserve"> co-funded by the </w:t>
      </w:r>
      <w:r w:rsidR="4454E0AC" w:rsidRPr="00E4479F">
        <w:rPr>
          <w:rFonts w:eastAsia="Times New Roman" w:cs="Times New Roman"/>
          <w:noProof/>
          <w:szCs w:val="24"/>
        </w:rPr>
        <w:t>EU</w:t>
      </w:r>
      <w:r w:rsidRPr="00E4479F">
        <w:rPr>
          <w:rFonts w:eastAsia="Times New Roman" w:cs="Times New Roman"/>
          <w:noProof/>
          <w:szCs w:val="24"/>
        </w:rPr>
        <w:t>4</w:t>
      </w:r>
      <w:r w:rsidR="63086DF5" w:rsidRPr="00E4479F">
        <w:rPr>
          <w:rFonts w:eastAsia="Times New Roman" w:cs="Times New Roman"/>
          <w:noProof/>
          <w:szCs w:val="24"/>
        </w:rPr>
        <w:t>H</w:t>
      </w:r>
      <w:r w:rsidRPr="00E4479F">
        <w:rPr>
          <w:rFonts w:eastAsia="Times New Roman" w:cs="Times New Roman"/>
          <w:noProof/>
          <w:szCs w:val="24"/>
        </w:rPr>
        <w:t xml:space="preserve">ealth </w:t>
      </w:r>
      <w:r w:rsidRPr="00E4479F">
        <w:rPr>
          <w:rFonts w:cs="Times New Roman"/>
          <w:noProof/>
          <w:lang w:eastAsia="en-IE"/>
        </w:rPr>
        <w:t>programme</w:t>
      </w:r>
      <w:r w:rsidR="006C4648">
        <w:rPr>
          <w:rStyle w:val="FootnoteReference"/>
          <w:rFonts w:cs="Times New Roman"/>
          <w:noProof/>
          <w:lang w:eastAsia="en-IE"/>
        </w:rPr>
        <w:footnoteReference w:id="23"/>
      </w:r>
      <w:r w:rsidRPr="00E4479F">
        <w:rPr>
          <w:rFonts w:eastAsia="Times New Roman" w:cs="Times New Roman"/>
          <w:noProof/>
          <w:szCs w:val="24"/>
        </w:rPr>
        <w:t>, builds on a longstanding collaboration between the OECD and the Commission to monitor and improve population health, including through the State of Health in the EU</w:t>
      </w:r>
      <w:r w:rsidR="00374A91" w:rsidRPr="00E4479F">
        <w:rPr>
          <w:rStyle w:val="FootnoteReference"/>
          <w:rFonts w:eastAsia="Times New Roman" w:cs="Times New Roman"/>
          <w:noProof/>
          <w:szCs w:val="24"/>
        </w:rPr>
        <w:footnoteReference w:id="24"/>
      </w:r>
      <w:r w:rsidRPr="00E4479F">
        <w:rPr>
          <w:rFonts w:eastAsia="Times New Roman" w:cs="Times New Roman"/>
          <w:noProof/>
          <w:szCs w:val="24"/>
        </w:rPr>
        <w:t xml:space="preserve"> initiative, which includes the Health at a Glance: Europe series and the EU Country Health Profiles. By providing a comprehensive assessment of cardiovascular health across the EU, the report aims to inform future EU and national policy efforts. Leveraging digital health technologies, promoting people-centred care, and aligning policies and cross-sectoral actions can enhance progress, reduce inequalities, with a specific focus on women, and make cardiovascular care more efficient.</w:t>
      </w:r>
    </w:p>
    <w:p w14:paraId="3F8BFEC4" w14:textId="77777777" w:rsidR="00DE54C7" w:rsidRPr="00E0064F" w:rsidRDefault="00DE54C7" w:rsidP="00E0064F">
      <w:pPr>
        <w:jc w:val="both"/>
        <w:rPr>
          <w:rFonts w:ascii="Times New Roman Bold" w:hAnsi="Times New Roman Bold" w:cs="Times New Roman"/>
          <w:b/>
          <w:noProof/>
          <w:szCs w:val="24"/>
        </w:rPr>
      </w:pPr>
      <w:r w:rsidRPr="00E0064F">
        <w:rPr>
          <w:rFonts w:ascii="Times New Roman Bold" w:hAnsi="Times New Roman Bold" w:cs="Times New Roman"/>
          <w:b/>
          <w:noProof/>
          <w:szCs w:val="24"/>
        </w:rPr>
        <w:t>Challenges across the EU</w:t>
      </w:r>
    </w:p>
    <w:p w14:paraId="78B97513" w14:textId="77777777" w:rsidR="00DE54C7" w:rsidRPr="000E1D82" w:rsidRDefault="00DE54C7" w:rsidP="00DE54C7">
      <w:pPr>
        <w:spacing w:after="200" w:line="276" w:lineRule="auto"/>
        <w:jc w:val="both"/>
        <w:rPr>
          <w:rFonts w:cs="Times New Roman"/>
          <w:noProof/>
          <w:lang w:eastAsia="en-IE"/>
        </w:rPr>
      </w:pPr>
      <w:r w:rsidRPr="000E1D82">
        <w:rPr>
          <w:rFonts w:cs="Times New Roman"/>
          <w:noProof/>
          <w:lang w:eastAsia="en-IE"/>
        </w:rPr>
        <w:t xml:space="preserve">Tackling cardiovascular diseases </w:t>
      </w:r>
      <w:r w:rsidRPr="00737A69">
        <w:rPr>
          <w:rFonts w:cs="Times New Roman"/>
          <w:noProof/>
          <w:lang w:eastAsia="en-IE"/>
        </w:rPr>
        <w:t>and their main risk factors</w:t>
      </w:r>
      <w:r>
        <w:rPr>
          <w:rFonts w:cs="Times New Roman"/>
          <w:noProof/>
          <w:lang w:eastAsia="en-IE"/>
        </w:rPr>
        <w:t>,</w:t>
      </w:r>
      <w:r w:rsidRPr="00737A69">
        <w:rPr>
          <w:rFonts w:cs="Times New Roman"/>
          <w:noProof/>
          <w:lang w:eastAsia="en-IE"/>
        </w:rPr>
        <w:t xml:space="preserve"> </w:t>
      </w:r>
      <w:r w:rsidRPr="000E1D82">
        <w:rPr>
          <w:rFonts w:cs="Times New Roman"/>
          <w:noProof/>
          <w:lang w:eastAsia="en-IE"/>
        </w:rPr>
        <w:t xml:space="preserve">involves several significant challenges. </w:t>
      </w:r>
    </w:p>
    <w:p w14:paraId="7DCD4BDD" w14:textId="17A15C83" w:rsidR="00DE54C7" w:rsidRPr="000E1D82" w:rsidRDefault="00DE54C7" w:rsidP="00DE54C7">
      <w:pPr>
        <w:spacing w:before="120" w:after="60" w:line="276" w:lineRule="auto"/>
        <w:jc w:val="both"/>
        <w:rPr>
          <w:rFonts w:cs="Times New Roman"/>
          <w:noProof/>
          <w:lang w:eastAsia="en-IE"/>
        </w:rPr>
      </w:pPr>
      <w:r w:rsidRPr="000E1D82">
        <w:rPr>
          <w:rFonts w:cs="Times New Roman"/>
          <w:b/>
          <w:bCs/>
          <w:noProof/>
          <w:lang w:eastAsia="en-IE"/>
        </w:rPr>
        <w:t>Insufficient focus on prevention</w:t>
      </w:r>
      <w:r w:rsidRPr="000E1D82">
        <w:rPr>
          <w:rFonts w:cs="Times New Roman"/>
          <w:noProof/>
          <w:lang w:eastAsia="en-IE"/>
        </w:rPr>
        <w:t xml:space="preserve">: </w:t>
      </w:r>
      <w:r>
        <w:rPr>
          <w:rFonts w:cs="Times New Roman"/>
          <w:noProof/>
          <w:lang w:eastAsia="en-IE"/>
        </w:rPr>
        <w:t>n</w:t>
      </w:r>
      <w:r w:rsidRPr="2FF8B1D1">
        <w:rPr>
          <w:rFonts w:cs="Times New Roman"/>
          <w:noProof/>
          <w:lang w:eastAsia="en-IE"/>
        </w:rPr>
        <w:t>ear</w:t>
      </w:r>
      <w:r>
        <w:rPr>
          <w:rFonts w:cs="Times New Roman"/>
          <w:noProof/>
          <w:lang w:eastAsia="en-IE"/>
        </w:rPr>
        <w:t>ly 80</w:t>
      </w:r>
      <w:r w:rsidRPr="000E1D82">
        <w:rPr>
          <w:rFonts w:cs="Times New Roman"/>
          <w:noProof/>
          <w:lang w:eastAsia="en-IE"/>
        </w:rPr>
        <w:t xml:space="preserve">% of cardiovascular </w:t>
      </w:r>
      <w:r>
        <w:rPr>
          <w:rFonts w:cs="Times New Roman"/>
          <w:noProof/>
          <w:lang w:eastAsia="en-IE"/>
        </w:rPr>
        <w:t>diseases</w:t>
      </w:r>
      <w:r w:rsidRPr="000E1D82">
        <w:rPr>
          <w:rFonts w:cs="Times New Roman"/>
          <w:noProof/>
          <w:lang w:eastAsia="en-IE"/>
        </w:rPr>
        <w:t xml:space="preserve"> can be prevented through lifestyle changes</w:t>
      </w:r>
      <w:r w:rsidRPr="000E1D82">
        <w:rPr>
          <w:noProof/>
          <w:vertAlign w:val="superscript"/>
        </w:rPr>
        <w:footnoteReference w:id="25"/>
      </w:r>
      <w:r w:rsidRPr="000E1D82">
        <w:rPr>
          <w:rFonts w:cs="Times New Roman"/>
          <w:noProof/>
          <w:lang w:eastAsia="en-IE"/>
        </w:rPr>
        <w:t xml:space="preserve">. </w:t>
      </w:r>
      <w:r>
        <w:rPr>
          <w:rFonts w:cs="Times New Roman"/>
          <w:noProof/>
          <w:lang w:eastAsia="en-IE"/>
        </w:rPr>
        <w:t xml:space="preserve">However, in the EU, </w:t>
      </w:r>
      <w:r w:rsidRPr="000E1D82">
        <w:rPr>
          <w:rFonts w:cs="Times New Roman"/>
          <w:noProof/>
          <w:lang w:eastAsia="en-IE"/>
        </w:rPr>
        <w:t>prevention receives only 3% of total healthcare spending despite being the most cost-effective investment in an overall context of increasingly challenging budgetary outlooks. The scale of the problem is clear</w:t>
      </w:r>
      <w:r>
        <w:rPr>
          <w:rFonts w:cs="Times New Roman"/>
          <w:noProof/>
          <w:lang w:eastAsia="en-IE"/>
        </w:rPr>
        <w:t>.</w:t>
      </w:r>
    </w:p>
    <w:p w14:paraId="5B176F23" w14:textId="77777777" w:rsidR="007503DB" w:rsidRDefault="00DE54C7" w:rsidP="00DE54C7">
      <w:pPr>
        <w:pStyle w:val="ListParagraph"/>
        <w:numPr>
          <w:ilvl w:val="0"/>
          <w:numId w:val="4"/>
        </w:numPr>
        <w:spacing w:before="60" w:after="60" w:line="276" w:lineRule="auto"/>
        <w:ind w:left="714" w:hanging="357"/>
        <w:contextualSpacing w:val="0"/>
        <w:jc w:val="both"/>
        <w:rPr>
          <w:rFonts w:cs="Times New Roman"/>
          <w:noProof/>
        </w:rPr>
      </w:pPr>
      <w:r w:rsidRPr="000E1D82">
        <w:rPr>
          <w:rFonts w:cs="Times New Roman"/>
          <w:noProof/>
        </w:rPr>
        <w:t>Between 2012 and 2022, diabetes prevalence rose by 22% and has doubled since 1990 to reach 7.8% of the population. Hypertension affects almost</w:t>
      </w:r>
      <w:r>
        <w:rPr>
          <w:rFonts w:cs="Times New Roman"/>
          <w:noProof/>
        </w:rPr>
        <w:t xml:space="preserve"> 25% of adults</w:t>
      </w:r>
      <w:r w:rsidRPr="000E1D82">
        <w:rPr>
          <w:rFonts w:cs="Times New Roman"/>
          <w:noProof/>
        </w:rPr>
        <w:t xml:space="preserve">, and its prevalence is rising. </w:t>
      </w:r>
    </w:p>
    <w:p w14:paraId="47528D95" w14:textId="3A947B00" w:rsidR="007503DB" w:rsidRPr="009167E6" w:rsidRDefault="009167E6" w:rsidP="00DE54C7">
      <w:pPr>
        <w:pStyle w:val="ListParagraph"/>
        <w:numPr>
          <w:ilvl w:val="0"/>
          <w:numId w:val="4"/>
        </w:numPr>
        <w:spacing w:before="60" w:after="60" w:line="276" w:lineRule="auto"/>
        <w:ind w:left="714" w:hanging="357"/>
        <w:contextualSpacing w:val="0"/>
        <w:jc w:val="both"/>
        <w:rPr>
          <w:rFonts w:cs="Times New Roman"/>
          <w:noProof/>
        </w:rPr>
      </w:pPr>
      <w:r>
        <w:rPr>
          <w:rFonts w:cs="Times New Roman"/>
          <w:noProof/>
        </w:rPr>
        <w:t>O</w:t>
      </w:r>
      <w:r w:rsidR="00DE54C7" w:rsidRPr="009167E6">
        <w:rPr>
          <w:rFonts w:cs="Times New Roman"/>
          <w:noProof/>
        </w:rPr>
        <w:t xml:space="preserve">besity is widespread, with 15% of adults and </w:t>
      </w:r>
      <w:r w:rsidR="00EE22B2">
        <w:rPr>
          <w:rFonts w:cs="Times New Roman"/>
          <w:noProof/>
        </w:rPr>
        <w:t>9</w:t>
      </w:r>
      <w:r w:rsidR="00DE54C7" w:rsidRPr="009167E6">
        <w:rPr>
          <w:rFonts w:cs="Times New Roman"/>
          <w:noProof/>
        </w:rPr>
        <w:t>% of children living with obesity</w:t>
      </w:r>
      <w:r w:rsidR="00AE1D92">
        <w:rPr>
          <w:rStyle w:val="FootnoteReference"/>
          <w:rFonts w:cs="Times New Roman"/>
          <w:noProof/>
        </w:rPr>
        <w:footnoteReference w:id="26"/>
      </w:r>
      <w:r w:rsidR="00DE54C7" w:rsidRPr="009167E6">
        <w:rPr>
          <w:rFonts w:cs="Times New Roman"/>
          <w:noProof/>
        </w:rPr>
        <w:t>. 75% of obesity-related excess deaths are attributable to cardiovascular diseases</w:t>
      </w:r>
      <w:r w:rsidR="00DE54C7">
        <w:rPr>
          <w:rStyle w:val="FootnoteReference"/>
          <w:rFonts w:cs="Times New Roman"/>
          <w:noProof/>
        </w:rPr>
        <w:footnoteReference w:id="27"/>
      </w:r>
      <w:r w:rsidR="00DE54C7" w:rsidRPr="009167E6">
        <w:rPr>
          <w:rFonts w:cs="Times New Roman"/>
          <w:noProof/>
        </w:rPr>
        <w:t xml:space="preserve">. </w:t>
      </w:r>
      <w:bookmarkStart w:id="3" w:name="_Hlk215823423"/>
      <w:r w:rsidRPr="009167E6">
        <w:rPr>
          <w:rFonts w:cs="Times New Roman"/>
          <w:noProof/>
        </w:rPr>
        <w:t xml:space="preserve">In addition, </w:t>
      </w:r>
      <w:r>
        <w:rPr>
          <w:rFonts w:cs="Times New Roman"/>
          <w:noProof/>
        </w:rPr>
        <w:t>o</w:t>
      </w:r>
      <w:r w:rsidRPr="009167E6">
        <w:rPr>
          <w:rFonts w:cs="Times New Roman"/>
          <w:noProof/>
        </w:rPr>
        <w:t>ver half of adults are overweight in the EU and overweight rates among adolescents have increased to 21% in 2022, up from 17% in 2014</w:t>
      </w:r>
      <w:r w:rsidR="009873D6">
        <w:rPr>
          <w:rStyle w:val="FootnoteReference"/>
          <w:rFonts w:cs="Times New Roman"/>
          <w:noProof/>
        </w:rPr>
        <w:footnoteReference w:id="28"/>
      </w:r>
      <w:r w:rsidRPr="009167E6">
        <w:rPr>
          <w:rFonts w:cs="Times New Roman"/>
          <w:noProof/>
        </w:rPr>
        <w:t xml:space="preserve">. </w:t>
      </w:r>
    </w:p>
    <w:p w14:paraId="47E46821" w14:textId="12977919" w:rsidR="00DE54C7" w:rsidRPr="000E1D82" w:rsidRDefault="004D514A" w:rsidP="00DE54C7">
      <w:pPr>
        <w:pStyle w:val="ListParagraph"/>
        <w:numPr>
          <w:ilvl w:val="0"/>
          <w:numId w:val="4"/>
        </w:numPr>
        <w:spacing w:before="60" w:after="60" w:line="276" w:lineRule="auto"/>
        <w:ind w:left="714" w:hanging="357"/>
        <w:contextualSpacing w:val="0"/>
        <w:jc w:val="both"/>
        <w:rPr>
          <w:rFonts w:cs="Times New Roman"/>
          <w:noProof/>
        </w:rPr>
      </w:pPr>
      <w:r w:rsidRPr="004D514A">
        <w:rPr>
          <w:rFonts w:cs="Times New Roman"/>
          <w:noProof/>
        </w:rPr>
        <w:t xml:space="preserve">Almost a third of </w:t>
      </w:r>
      <w:r w:rsidR="00BD74F3">
        <w:rPr>
          <w:rFonts w:cs="Times New Roman"/>
          <w:noProof/>
        </w:rPr>
        <w:t>cardiovascular</w:t>
      </w:r>
      <w:r w:rsidRPr="004D514A">
        <w:rPr>
          <w:rFonts w:cs="Times New Roman"/>
          <w:noProof/>
        </w:rPr>
        <w:t>-related morbidity and mortality in Europe is due to uncontrolled cholesterol</w:t>
      </w:r>
      <w:r w:rsidR="007F25E8">
        <w:rPr>
          <w:rStyle w:val="FootnoteReference"/>
          <w:rFonts w:cs="Times New Roman"/>
          <w:noProof/>
        </w:rPr>
        <w:footnoteReference w:id="29"/>
      </w:r>
      <w:r w:rsidRPr="004D514A">
        <w:rPr>
          <w:rFonts w:cs="Times New Roman"/>
          <w:noProof/>
        </w:rPr>
        <w:t xml:space="preserve"> with the prevalence of elevated/uncontrolled cholesterol levels over 50% in Europe</w:t>
      </w:r>
      <w:r w:rsidR="007F25E8">
        <w:rPr>
          <w:rStyle w:val="FootnoteReference"/>
          <w:rFonts w:cs="Times New Roman"/>
          <w:noProof/>
        </w:rPr>
        <w:footnoteReference w:id="30"/>
      </w:r>
      <w:r w:rsidRPr="004D514A">
        <w:rPr>
          <w:rFonts w:cs="Times New Roman"/>
          <w:noProof/>
        </w:rPr>
        <w:t>.</w:t>
      </w:r>
      <w:bookmarkEnd w:id="3"/>
      <w:r w:rsidR="00C93A4B">
        <w:rPr>
          <w:rFonts w:cs="Times New Roman"/>
          <w:noProof/>
        </w:rPr>
        <w:t xml:space="preserve"> </w:t>
      </w:r>
      <w:r w:rsidR="000961FD">
        <w:rPr>
          <w:rFonts w:cs="Times New Roman"/>
          <w:noProof/>
        </w:rPr>
        <w:t>In addition, i</w:t>
      </w:r>
      <w:r w:rsidR="00C93A4B" w:rsidRPr="00C93A4B">
        <w:rPr>
          <w:rFonts w:cs="Times New Roman"/>
          <w:noProof/>
        </w:rPr>
        <w:t xml:space="preserve">nherited </w:t>
      </w:r>
      <w:r w:rsidR="00C93A4B">
        <w:rPr>
          <w:rFonts w:cs="Times New Roman"/>
          <w:noProof/>
        </w:rPr>
        <w:t xml:space="preserve">risk factors </w:t>
      </w:r>
      <w:r w:rsidR="00C93A4B" w:rsidRPr="00C93A4B">
        <w:rPr>
          <w:rFonts w:cs="Times New Roman"/>
          <w:noProof/>
        </w:rPr>
        <w:t xml:space="preserve">such as </w:t>
      </w:r>
      <w:r w:rsidR="00C93A4B">
        <w:rPr>
          <w:rFonts w:cs="Times New Roman"/>
          <w:noProof/>
        </w:rPr>
        <w:t>elevated l</w:t>
      </w:r>
      <w:r w:rsidR="00C93A4B" w:rsidRPr="00C93A4B">
        <w:rPr>
          <w:rFonts w:cs="Times New Roman"/>
          <w:noProof/>
        </w:rPr>
        <w:t>ipoprotein</w:t>
      </w:r>
      <w:r w:rsidR="00C93A4B">
        <w:rPr>
          <w:rFonts w:cs="Times New Roman"/>
          <w:noProof/>
        </w:rPr>
        <w:t xml:space="preserve">-a, </w:t>
      </w:r>
      <w:r w:rsidR="00C93A4B" w:rsidRPr="00C93A4B">
        <w:rPr>
          <w:rFonts w:cs="Times New Roman"/>
          <w:noProof/>
        </w:rPr>
        <w:t>familial hypercholesterolemia</w:t>
      </w:r>
      <w:r w:rsidR="00C93A4B">
        <w:rPr>
          <w:rFonts w:cs="Times New Roman"/>
          <w:noProof/>
        </w:rPr>
        <w:t xml:space="preserve"> </w:t>
      </w:r>
      <w:r w:rsidR="000961FD">
        <w:rPr>
          <w:rFonts w:cs="Times New Roman"/>
          <w:noProof/>
        </w:rPr>
        <w:t>or cardiomyopathy also contribute to cardiovascular disease burden</w:t>
      </w:r>
      <w:r w:rsidR="00C93A4B" w:rsidRPr="00C93A4B">
        <w:rPr>
          <w:rFonts w:cs="Times New Roman"/>
          <w:noProof/>
        </w:rPr>
        <w:t>.</w:t>
      </w:r>
      <w:r w:rsidR="0061042F" w:rsidRPr="0061042F">
        <w:rPr>
          <w:rFonts w:cs="Times New Roman"/>
          <w:noProof/>
        </w:rPr>
        <w:t xml:space="preserve"> </w:t>
      </w:r>
      <w:r w:rsidR="0061042F" w:rsidRPr="000961FD">
        <w:rPr>
          <w:rFonts w:cs="Times New Roman"/>
          <w:noProof/>
        </w:rPr>
        <w:t>In addition, evidence shows that sleep disorders also represent cardiovascular risk factors</w:t>
      </w:r>
      <w:r w:rsidR="0061042F">
        <w:rPr>
          <w:rStyle w:val="FootnoteReference"/>
          <w:rFonts w:cs="Times New Roman"/>
          <w:noProof/>
        </w:rPr>
        <w:footnoteReference w:id="31"/>
      </w:r>
      <w:r w:rsidR="006C4648">
        <w:rPr>
          <w:rFonts w:cs="Times New Roman"/>
          <w:noProof/>
        </w:rPr>
        <w:t>.</w:t>
      </w:r>
    </w:p>
    <w:p w14:paraId="207B83CB" w14:textId="70E9089B" w:rsidR="00DE54C7" w:rsidRPr="000961FD" w:rsidRDefault="00DE54C7" w:rsidP="000961FD">
      <w:pPr>
        <w:pStyle w:val="ListParagraph"/>
        <w:numPr>
          <w:ilvl w:val="0"/>
          <w:numId w:val="4"/>
        </w:numPr>
        <w:spacing w:before="60" w:after="60" w:line="276" w:lineRule="auto"/>
        <w:ind w:left="714" w:hanging="357"/>
        <w:contextualSpacing w:val="0"/>
        <w:jc w:val="both"/>
        <w:rPr>
          <w:rFonts w:cs="Times New Roman"/>
          <w:noProof/>
        </w:rPr>
      </w:pPr>
      <w:r w:rsidRPr="000961FD">
        <w:rPr>
          <w:rFonts w:cs="Times New Roman"/>
          <w:noProof/>
        </w:rPr>
        <w:t>Prevalence of lifestyle risk factors shows mixed progress</w:t>
      </w:r>
      <w:r>
        <w:rPr>
          <w:rStyle w:val="FootnoteReference"/>
          <w:rFonts w:cs="Times New Roman"/>
          <w:noProof/>
        </w:rPr>
        <w:footnoteReference w:id="32"/>
      </w:r>
      <w:r w:rsidRPr="000961FD">
        <w:rPr>
          <w:rFonts w:cs="Times New Roman"/>
          <w:noProof/>
        </w:rPr>
        <w:t xml:space="preserve">. Tobacco use has declined in the last decade, but the 45% increase in </w:t>
      </w:r>
      <w:r w:rsidRPr="000E1D82">
        <w:rPr>
          <w:noProof/>
        </w:rPr>
        <w:t xml:space="preserve">vaping </w:t>
      </w:r>
      <w:r w:rsidRPr="000961FD">
        <w:rPr>
          <w:rFonts w:cs="Times New Roman"/>
          <w:noProof/>
        </w:rPr>
        <w:t>raises concerns about emerging nicotine habits. Over 25% of the population has an insufficient level of physical activity, and only about 60% of adults consume fresh fruit and vegetables daily</w:t>
      </w:r>
      <w:r>
        <w:rPr>
          <w:rStyle w:val="FootnoteReference"/>
          <w:rFonts w:cs="Times New Roman"/>
          <w:noProof/>
        </w:rPr>
        <w:footnoteReference w:id="33"/>
      </w:r>
      <w:r w:rsidRPr="000961FD">
        <w:rPr>
          <w:rFonts w:cs="Times New Roman"/>
          <w:noProof/>
        </w:rPr>
        <w:t>. Alcohol consumption has slightly decreased</w:t>
      </w:r>
      <w:r w:rsidRPr="00C41A5F">
        <w:rPr>
          <w:rStyle w:val="FootnoteReference"/>
          <w:rFonts w:cs="Times New Roman"/>
          <w:noProof/>
        </w:rPr>
        <w:footnoteReference w:id="34"/>
      </w:r>
      <w:r w:rsidRPr="000961FD">
        <w:rPr>
          <w:rFonts w:cs="Times New Roman"/>
          <w:noProof/>
        </w:rPr>
        <w:t>, however harmful use of alcohol remains a key risk factor for cardiovascular diseases and other NCDs, especially among young people</w:t>
      </w:r>
      <w:r w:rsidRPr="000E1D82">
        <w:rPr>
          <w:rStyle w:val="FootnoteReference"/>
          <w:rFonts w:cs="Times New Roman"/>
          <w:noProof/>
        </w:rPr>
        <w:footnoteReference w:id="35"/>
      </w:r>
      <w:r w:rsidRPr="000961FD">
        <w:rPr>
          <w:rFonts w:cs="Times New Roman"/>
          <w:noProof/>
        </w:rPr>
        <w:t>;</w:t>
      </w:r>
      <w:r w:rsidR="000961FD" w:rsidRPr="000961FD">
        <w:rPr>
          <w:rFonts w:cs="Times New Roman"/>
          <w:noProof/>
        </w:rPr>
        <w:t xml:space="preserve"> </w:t>
      </w:r>
    </w:p>
    <w:p w14:paraId="534E9DB9" w14:textId="197805A5"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sidRPr="000E1D82">
        <w:rPr>
          <w:rFonts w:cs="Times New Roman"/>
          <w:noProof/>
        </w:rPr>
        <w:t>Vaccination coverage among risk groups in many Member States remains suboptimal for vaccines that can reduce cardiovascular complications</w:t>
      </w:r>
      <w:r>
        <w:rPr>
          <w:rFonts w:cs="Times New Roman"/>
          <w:noProof/>
        </w:rPr>
        <w:t xml:space="preserve"> (e.g. </w:t>
      </w:r>
      <w:r w:rsidRPr="000E1D82">
        <w:rPr>
          <w:rFonts w:cs="Times New Roman"/>
          <w:noProof/>
        </w:rPr>
        <w:t>influenza</w:t>
      </w:r>
      <w:r w:rsidRPr="000E1D82">
        <w:rPr>
          <w:rStyle w:val="FootnoteReference"/>
          <w:rFonts w:cs="Times New Roman"/>
          <w:noProof/>
        </w:rPr>
        <w:footnoteReference w:id="36"/>
      </w:r>
      <w:r w:rsidRPr="000E1D82">
        <w:rPr>
          <w:rFonts w:cs="Times New Roman"/>
          <w:noProof/>
        </w:rPr>
        <w:t xml:space="preserve"> and COVID-19</w:t>
      </w:r>
      <w:r w:rsidRPr="000E1D82">
        <w:rPr>
          <w:rStyle w:val="FootnoteReference"/>
          <w:rFonts w:cs="Times New Roman"/>
          <w:noProof/>
        </w:rPr>
        <w:footnoteReference w:id="37"/>
      </w:r>
      <w:r w:rsidRPr="000E1D82">
        <w:rPr>
          <w:rFonts w:cs="Times New Roman"/>
          <w:noProof/>
        </w:rPr>
        <w:t xml:space="preserve"> vaccines</w:t>
      </w:r>
      <w:r w:rsidR="006C4648">
        <w:rPr>
          <w:rFonts w:cs="Times New Roman"/>
          <w:noProof/>
        </w:rPr>
        <w:t>)</w:t>
      </w:r>
      <w:r>
        <w:rPr>
          <w:rFonts w:cs="Times New Roman"/>
          <w:noProof/>
        </w:rPr>
        <w:t>;</w:t>
      </w:r>
    </w:p>
    <w:p w14:paraId="0A05B35A" w14:textId="77777777"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rPr>
      </w:pPr>
      <w:r w:rsidRPr="00C41A5F">
        <w:rPr>
          <w:rFonts w:cs="Times New Roman"/>
          <w:noProof/>
        </w:rPr>
        <w:t>Environmental factors</w:t>
      </w:r>
      <w:r>
        <w:rPr>
          <w:rFonts w:cs="Times New Roman"/>
          <w:noProof/>
        </w:rPr>
        <w:t>, such as pollution,</w:t>
      </w:r>
      <w:r w:rsidRPr="00C41A5F">
        <w:rPr>
          <w:rFonts w:cs="Times New Roman"/>
          <w:noProof/>
        </w:rPr>
        <w:t xml:space="preserve"> account </w:t>
      </w:r>
      <w:r>
        <w:rPr>
          <w:rFonts w:cs="Times New Roman"/>
          <w:noProof/>
        </w:rPr>
        <w:t xml:space="preserve">for </w:t>
      </w:r>
      <w:r w:rsidRPr="007C24C4">
        <w:rPr>
          <w:rFonts w:cs="Times New Roman"/>
          <w:noProof/>
        </w:rPr>
        <w:t>18% of</w:t>
      </w:r>
      <w:r w:rsidRPr="00C41A5F">
        <w:rPr>
          <w:rFonts w:cs="Times New Roman"/>
          <w:noProof/>
        </w:rPr>
        <w:t xml:space="preserve"> cardiovascular deaths in the EU</w:t>
      </w:r>
      <w:r w:rsidRPr="00C41A5F">
        <w:rPr>
          <w:rStyle w:val="FootnoteReference"/>
          <w:rFonts w:cs="Times New Roman"/>
          <w:noProof/>
        </w:rPr>
        <w:footnoteReference w:id="38"/>
      </w:r>
      <w:r w:rsidRPr="000E1D82">
        <w:rPr>
          <w:rFonts w:cs="Times New Roman"/>
          <w:noProof/>
        </w:rPr>
        <w:t xml:space="preserve">. </w:t>
      </w:r>
    </w:p>
    <w:p w14:paraId="17BE41D0" w14:textId="79738224" w:rsidR="00DE54C7" w:rsidRPr="000E1D82" w:rsidRDefault="00DE54C7" w:rsidP="00DE54C7">
      <w:pPr>
        <w:spacing w:before="60" w:after="60" w:line="276" w:lineRule="auto"/>
        <w:jc w:val="both"/>
        <w:rPr>
          <w:rFonts w:cs="Times New Roman"/>
          <w:noProof/>
        </w:rPr>
      </w:pPr>
      <w:r w:rsidRPr="000E1D82">
        <w:rPr>
          <w:rFonts w:cs="Times New Roman"/>
          <w:b/>
          <w:bCs/>
          <w:noProof/>
        </w:rPr>
        <w:t>Tackling cardiovascular diseases requires efforts across all age</w:t>
      </w:r>
      <w:r>
        <w:rPr>
          <w:rFonts w:cs="Times New Roman"/>
          <w:b/>
          <w:bCs/>
          <w:noProof/>
        </w:rPr>
        <w:t xml:space="preserve"> </w:t>
      </w:r>
      <w:r w:rsidRPr="000E1D82">
        <w:rPr>
          <w:rFonts w:cs="Times New Roman"/>
          <w:b/>
          <w:bCs/>
          <w:noProof/>
        </w:rPr>
        <w:t>groups. However</w:t>
      </w:r>
      <w:r>
        <w:rPr>
          <w:rFonts w:cs="Times New Roman"/>
          <w:b/>
          <w:bCs/>
          <w:noProof/>
        </w:rPr>
        <w:t>,</w:t>
      </w:r>
      <w:r w:rsidRPr="000E1D82">
        <w:rPr>
          <w:rFonts w:cs="Times New Roman"/>
          <w:b/>
          <w:bCs/>
          <w:noProof/>
        </w:rPr>
        <w:t xml:space="preserve"> specific challenges and trends among children and adolescents are of particular concern</w:t>
      </w:r>
      <w:r w:rsidRPr="000E1D82">
        <w:rPr>
          <w:rFonts w:cs="Times New Roman"/>
          <w:noProof/>
        </w:rPr>
        <w:t xml:space="preserve">: </w:t>
      </w:r>
    </w:p>
    <w:p w14:paraId="78EF924A" w14:textId="6F8EABFB" w:rsidR="00DE54C7" w:rsidRPr="000E1D82" w:rsidRDefault="00DE54C7" w:rsidP="00DE54C7">
      <w:pPr>
        <w:pStyle w:val="ListParagraph"/>
        <w:numPr>
          <w:ilvl w:val="0"/>
          <w:numId w:val="70"/>
        </w:numPr>
        <w:spacing w:before="60" w:after="60" w:line="276" w:lineRule="auto"/>
        <w:jc w:val="both"/>
        <w:rPr>
          <w:rFonts w:cs="Times New Roman"/>
          <w:noProof/>
        </w:rPr>
      </w:pPr>
      <w:r>
        <w:rPr>
          <w:rFonts w:cs="Times New Roman"/>
          <w:noProof/>
        </w:rPr>
        <w:t>t</w:t>
      </w:r>
      <w:r w:rsidRPr="000E1D82">
        <w:rPr>
          <w:rFonts w:cs="Times New Roman"/>
          <w:noProof/>
        </w:rPr>
        <w:t>ype 1 diabetes typical</w:t>
      </w:r>
      <w:r>
        <w:rPr>
          <w:rFonts w:cs="Times New Roman"/>
          <w:noProof/>
        </w:rPr>
        <w:t>ly</w:t>
      </w:r>
      <w:r w:rsidRPr="000E1D82">
        <w:rPr>
          <w:rFonts w:cs="Times New Roman"/>
          <w:noProof/>
        </w:rPr>
        <w:t xml:space="preserve"> starts early in life and</w:t>
      </w:r>
      <w:r>
        <w:rPr>
          <w:rFonts w:cs="Times New Roman"/>
          <w:noProof/>
        </w:rPr>
        <w:t xml:space="preserve"> at the same time </w:t>
      </w:r>
      <w:r w:rsidRPr="000E1D82">
        <w:rPr>
          <w:rFonts w:cs="Times New Roman"/>
          <w:noProof/>
        </w:rPr>
        <w:t xml:space="preserve">type 2 diabetes is </w:t>
      </w:r>
      <w:r>
        <w:rPr>
          <w:rFonts w:cs="Times New Roman"/>
          <w:noProof/>
        </w:rPr>
        <w:t xml:space="preserve">also </w:t>
      </w:r>
      <w:r w:rsidRPr="000E1D82">
        <w:rPr>
          <w:rFonts w:cs="Times New Roman"/>
          <w:noProof/>
        </w:rPr>
        <w:t xml:space="preserve">increasingly affecting </w:t>
      </w:r>
      <w:r>
        <w:rPr>
          <w:rFonts w:cs="Times New Roman"/>
          <w:noProof/>
        </w:rPr>
        <w:t xml:space="preserve">children and </w:t>
      </w:r>
      <w:r w:rsidRPr="000E1D82">
        <w:rPr>
          <w:rFonts w:cs="Times New Roman"/>
          <w:noProof/>
        </w:rPr>
        <w:t>young people due to rising obesity rates and unhealthy lifestyle factors</w:t>
      </w:r>
      <w:r>
        <w:rPr>
          <w:rFonts w:cs="Times New Roman"/>
          <w:noProof/>
        </w:rPr>
        <w:t>;</w:t>
      </w:r>
    </w:p>
    <w:p w14:paraId="19CC16E6" w14:textId="623FD64D" w:rsidR="00DE54C7" w:rsidRPr="000E1D82" w:rsidRDefault="00DE54C7" w:rsidP="00DE54C7">
      <w:pPr>
        <w:pStyle w:val="ListParagraph"/>
        <w:numPr>
          <w:ilvl w:val="0"/>
          <w:numId w:val="70"/>
        </w:numPr>
        <w:spacing w:before="60" w:after="60" w:line="276" w:lineRule="auto"/>
        <w:jc w:val="both"/>
        <w:rPr>
          <w:rFonts w:cs="Times New Roman"/>
          <w:noProof/>
        </w:rPr>
      </w:pPr>
      <w:r>
        <w:rPr>
          <w:rFonts w:cs="Times New Roman"/>
          <w:noProof/>
        </w:rPr>
        <w:t>v</w:t>
      </w:r>
      <w:r w:rsidRPr="000E1D82">
        <w:rPr>
          <w:rFonts w:cs="Times New Roman"/>
          <w:noProof/>
        </w:rPr>
        <w:t xml:space="preserve">aping among young people </w:t>
      </w:r>
      <w:r>
        <w:rPr>
          <w:rFonts w:cs="Times New Roman"/>
          <w:noProof/>
        </w:rPr>
        <w:t xml:space="preserve">is a particular concern, </w:t>
      </w:r>
      <w:r w:rsidRPr="000E1D82">
        <w:rPr>
          <w:rFonts w:cs="Times New Roman"/>
          <w:noProof/>
        </w:rPr>
        <w:t>raising alarms about emerging nicotine habits</w:t>
      </w:r>
      <w:r>
        <w:rPr>
          <w:rFonts w:cs="Times New Roman"/>
          <w:noProof/>
        </w:rPr>
        <w:t>;</w:t>
      </w:r>
      <w:r w:rsidRPr="000E1D82">
        <w:rPr>
          <w:rFonts w:cs="Times New Roman"/>
          <w:noProof/>
        </w:rPr>
        <w:t xml:space="preserve"> </w:t>
      </w:r>
    </w:p>
    <w:p w14:paraId="45972C54" w14:textId="04355371" w:rsidR="00DE54C7" w:rsidRPr="00646EE8" w:rsidRDefault="00DE54C7" w:rsidP="00DE54C7">
      <w:pPr>
        <w:pStyle w:val="ListParagraph"/>
        <w:numPr>
          <w:ilvl w:val="0"/>
          <w:numId w:val="70"/>
        </w:numPr>
        <w:spacing w:before="60" w:after="60" w:line="276" w:lineRule="auto"/>
        <w:jc w:val="both"/>
        <w:rPr>
          <w:rFonts w:cs="Times New Roman"/>
          <w:noProof/>
        </w:rPr>
      </w:pPr>
      <w:r w:rsidRPr="00914153">
        <w:rPr>
          <w:rFonts w:cs="Times New Roman"/>
          <w:noProof/>
        </w:rPr>
        <w:t xml:space="preserve">increased screen time and lack of physical activity are </w:t>
      </w:r>
      <w:r>
        <w:rPr>
          <w:rFonts w:cs="Times New Roman"/>
          <w:noProof/>
        </w:rPr>
        <w:t>affecting</w:t>
      </w:r>
      <w:r w:rsidRPr="00914153">
        <w:rPr>
          <w:rFonts w:cs="Times New Roman"/>
          <w:noProof/>
        </w:rPr>
        <w:t xml:space="preserve"> young people’s health</w:t>
      </w:r>
      <w:r w:rsidRPr="00914153">
        <w:rPr>
          <w:rStyle w:val="FootnoteReference"/>
          <w:rFonts w:cs="Times New Roman"/>
          <w:noProof/>
        </w:rPr>
        <w:footnoteReference w:id="39"/>
      </w:r>
      <w:r w:rsidRPr="00914153">
        <w:rPr>
          <w:rFonts w:cs="Times New Roman"/>
          <w:noProof/>
        </w:rPr>
        <w:t>;</w:t>
      </w:r>
    </w:p>
    <w:p w14:paraId="4BE0DF58" w14:textId="721791CF" w:rsidR="00DE54C7" w:rsidRDefault="00DE54C7" w:rsidP="00DE54C7">
      <w:pPr>
        <w:pStyle w:val="ListParagraph"/>
        <w:numPr>
          <w:ilvl w:val="0"/>
          <w:numId w:val="70"/>
        </w:numPr>
        <w:spacing w:before="60" w:after="60" w:line="276" w:lineRule="auto"/>
        <w:jc w:val="both"/>
        <w:rPr>
          <w:rFonts w:cs="Times New Roman"/>
          <w:noProof/>
        </w:rPr>
      </w:pPr>
      <w:r>
        <w:rPr>
          <w:noProof/>
        </w:rPr>
        <w:t xml:space="preserve">20% of </w:t>
      </w:r>
      <w:r w:rsidRPr="000E1D82">
        <w:rPr>
          <w:rFonts w:cs="Times New Roman"/>
          <w:noProof/>
        </w:rPr>
        <w:t>young people are overweight or obese</w:t>
      </w:r>
      <w:r>
        <w:rPr>
          <w:rStyle w:val="FootnoteReference"/>
          <w:rFonts w:cs="Times New Roman"/>
          <w:noProof/>
        </w:rPr>
        <w:footnoteReference w:id="40"/>
      </w:r>
      <w:r>
        <w:rPr>
          <w:rFonts w:cs="Times New Roman"/>
          <w:noProof/>
        </w:rPr>
        <w:t>;</w:t>
      </w:r>
    </w:p>
    <w:p w14:paraId="4AE40A77" w14:textId="0FF5CBFD" w:rsidR="00DE54C7" w:rsidRPr="005C261A" w:rsidRDefault="00DE54C7" w:rsidP="00DE54C7">
      <w:pPr>
        <w:pStyle w:val="ListParagraph"/>
        <w:numPr>
          <w:ilvl w:val="0"/>
          <w:numId w:val="70"/>
        </w:numPr>
        <w:spacing w:before="60" w:after="60" w:line="276" w:lineRule="auto"/>
        <w:jc w:val="both"/>
        <w:rPr>
          <w:rFonts w:cs="Times New Roman"/>
          <w:noProof/>
        </w:rPr>
      </w:pPr>
      <w:r w:rsidRPr="005C261A">
        <w:rPr>
          <w:rFonts w:cs="Times New Roman"/>
          <w:noProof/>
        </w:rPr>
        <w:t>sugar consumption in children and young people is higher than the recommended levels, in particular</w:t>
      </w:r>
      <w:r w:rsidR="00914153">
        <w:rPr>
          <w:rFonts w:cs="Times New Roman"/>
          <w:noProof/>
        </w:rPr>
        <w:t>,</w:t>
      </w:r>
      <w:r w:rsidRPr="005C261A">
        <w:rPr>
          <w:rFonts w:cs="Times New Roman"/>
          <w:noProof/>
        </w:rPr>
        <w:t xml:space="preserve"> through sugar-sweetened beverages</w:t>
      </w:r>
      <w:r w:rsidRPr="000E1D82">
        <w:rPr>
          <w:noProof/>
          <w:vertAlign w:val="superscript"/>
        </w:rPr>
        <w:footnoteReference w:id="41"/>
      </w:r>
      <w:r w:rsidRPr="005C261A">
        <w:rPr>
          <w:rFonts w:cs="Times New Roman"/>
          <w:noProof/>
        </w:rPr>
        <w:t>;</w:t>
      </w:r>
    </w:p>
    <w:p w14:paraId="2972514C" w14:textId="322F6A55" w:rsidR="00DE54C7" w:rsidRPr="000E1D82" w:rsidRDefault="00DE54C7" w:rsidP="00DE54C7">
      <w:pPr>
        <w:pStyle w:val="ListParagraph"/>
        <w:numPr>
          <w:ilvl w:val="0"/>
          <w:numId w:val="70"/>
        </w:numPr>
        <w:spacing w:before="60" w:after="60" w:line="276" w:lineRule="auto"/>
        <w:jc w:val="both"/>
        <w:rPr>
          <w:rFonts w:cs="Times New Roman"/>
          <w:noProof/>
        </w:rPr>
      </w:pPr>
      <w:r>
        <w:rPr>
          <w:rFonts w:cs="Times New Roman"/>
          <w:noProof/>
        </w:rPr>
        <w:t>o</w:t>
      </w:r>
      <w:r w:rsidRPr="000E1D82">
        <w:rPr>
          <w:rFonts w:cs="Times New Roman"/>
          <w:noProof/>
        </w:rPr>
        <w:t xml:space="preserve">nly 12% of adolescents </w:t>
      </w:r>
      <w:r>
        <w:rPr>
          <w:rFonts w:cs="Times New Roman"/>
          <w:noProof/>
        </w:rPr>
        <w:t xml:space="preserve">achieve </w:t>
      </w:r>
      <w:r w:rsidRPr="000E1D82">
        <w:rPr>
          <w:rFonts w:cs="Times New Roman"/>
          <w:noProof/>
        </w:rPr>
        <w:t>the recommended minimum intake of five portions of fruit and vegetables daily, whereas 42% consume no portions of fruit or vegetables daily</w:t>
      </w:r>
      <w:r w:rsidRPr="000E1D82">
        <w:rPr>
          <w:noProof/>
          <w:vertAlign w:val="superscript"/>
        </w:rPr>
        <w:footnoteReference w:id="42"/>
      </w:r>
      <w:r>
        <w:rPr>
          <w:rFonts w:cs="Times New Roman"/>
          <w:noProof/>
        </w:rPr>
        <w:t>;</w:t>
      </w:r>
    </w:p>
    <w:p w14:paraId="21A590D3" w14:textId="2A0C135E" w:rsidR="00DE54C7" w:rsidRPr="000E1D82" w:rsidRDefault="00DE54C7" w:rsidP="00DE54C7">
      <w:pPr>
        <w:pStyle w:val="ListParagraph"/>
        <w:numPr>
          <w:ilvl w:val="0"/>
          <w:numId w:val="70"/>
        </w:numPr>
        <w:spacing w:before="60" w:after="60" w:line="276" w:lineRule="auto"/>
        <w:jc w:val="both"/>
        <w:rPr>
          <w:rFonts w:cs="Times New Roman"/>
          <w:noProof/>
        </w:rPr>
      </w:pPr>
      <w:r w:rsidRPr="00914153">
        <w:rPr>
          <w:rFonts w:cs="Times New Roman"/>
          <w:noProof/>
        </w:rPr>
        <w:t>t</w:t>
      </w:r>
      <w:r w:rsidRPr="00073784" w:rsidDel="00292B32">
        <w:rPr>
          <w:rFonts w:cs="Times New Roman"/>
          <w:noProof/>
        </w:rPr>
        <w:t xml:space="preserve">he </w:t>
      </w:r>
      <w:r w:rsidRPr="00073784">
        <w:rPr>
          <w:rFonts w:cs="Times New Roman"/>
          <w:noProof/>
        </w:rPr>
        <w:t xml:space="preserve">harmful </w:t>
      </w:r>
      <w:r w:rsidRPr="00073784" w:rsidDel="00292B32">
        <w:rPr>
          <w:rFonts w:cs="Times New Roman"/>
          <w:noProof/>
        </w:rPr>
        <w:t>use of alcohol</w:t>
      </w:r>
      <w:r w:rsidRPr="00073784">
        <w:rPr>
          <w:rFonts w:cs="Times New Roman"/>
          <w:noProof/>
        </w:rPr>
        <w:t xml:space="preserve"> including binge drinking,</w:t>
      </w:r>
      <w:r w:rsidRPr="000E1D82">
        <w:rPr>
          <w:rFonts w:cs="Times New Roman"/>
          <w:noProof/>
        </w:rPr>
        <w:t xml:space="preserve"> </w:t>
      </w:r>
      <w:r>
        <w:rPr>
          <w:rFonts w:cs="Times New Roman"/>
          <w:noProof/>
        </w:rPr>
        <w:t xml:space="preserve">is </w:t>
      </w:r>
      <w:r w:rsidRPr="000E1D82" w:rsidDel="008F57F6">
        <w:rPr>
          <w:rFonts w:cs="Times New Roman"/>
          <w:noProof/>
        </w:rPr>
        <w:t>a</w:t>
      </w:r>
      <w:r w:rsidRPr="000E1D82">
        <w:rPr>
          <w:rFonts w:cs="Times New Roman"/>
          <w:noProof/>
        </w:rPr>
        <w:t xml:space="preserve"> significant concern</w:t>
      </w:r>
      <w:r w:rsidRPr="000E1D82" w:rsidDel="008F57F6">
        <w:rPr>
          <w:rFonts w:cs="Times New Roman"/>
          <w:noProof/>
        </w:rPr>
        <w:t xml:space="preserve"> among young people</w:t>
      </w:r>
      <w:r w:rsidRPr="000E1D82">
        <w:rPr>
          <w:noProof/>
          <w:vertAlign w:val="superscript"/>
        </w:rPr>
        <w:footnoteReference w:id="43"/>
      </w:r>
      <w:r w:rsidRPr="000E1D82">
        <w:rPr>
          <w:rFonts w:cs="Times New Roman"/>
          <w:noProof/>
        </w:rPr>
        <w:t>. Alcoholic beverages, such as ‘alcopops’</w:t>
      </w:r>
      <w:r w:rsidRPr="000E1D82">
        <w:rPr>
          <w:noProof/>
          <w:vertAlign w:val="superscript"/>
        </w:rPr>
        <w:footnoteReference w:id="44"/>
      </w:r>
      <w:r w:rsidRPr="000E1D82">
        <w:rPr>
          <w:rFonts w:cs="Times New Roman"/>
          <w:noProof/>
        </w:rPr>
        <w:t xml:space="preserve">, </w:t>
      </w:r>
      <w:r w:rsidRPr="00434A3B">
        <w:rPr>
          <w:rFonts w:cs="Times New Roman"/>
          <w:noProof/>
        </w:rPr>
        <w:t>seem to be particularly</w:t>
      </w:r>
      <w:r w:rsidRPr="000E1D82">
        <w:rPr>
          <w:rFonts w:cs="Times New Roman"/>
          <w:noProof/>
        </w:rPr>
        <w:t xml:space="preserve"> appealing to young people</w:t>
      </w:r>
      <w:r>
        <w:rPr>
          <w:rFonts w:cs="Times New Roman"/>
          <w:noProof/>
        </w:rPr>
        <w:t>;</w:t>
      </w:r>
      <w:r w:rsidRPr="000E1D82">
        <w:rPr>
          <w:rFonts w:cs="Times New Roman"/>
          <w:noProof/>
        </w:rPr>
        <w:t xml:space="preserve"> </w:t>
      </w:r>
    </w:p>
    <w:p w14:paraId="67B1BBAD" w14:textId="0CC3E76C" w:rsidR="00DE54C7" w:rsidRPr="00DE54C7" w:rsidRDefault="00DE54C7" w:rsidP="00DE54C7">
      <w:pPr>
        <w:pStyle w:val="ListParagraph"/>
        <w:numPr>
          <w:ilvl w:val="0"/>
          <w:numId w:val="70"/>
        </w:numPr>
        <w:spacing w:before="60" w:after="60" w:line="276" w:lineRule="auto"/>
        <w:jc w:val="both"/>
        <w:rPr>
          <w:rFonts w:cs="Times New Roman"/>
          <w:noProof/>
        </w:rPr>
      </w:pPr>
      <w:r>
        <w:rPr>
          <w:rFonts w:cs="Times New Roman"/>
          <w:noProof/>
        </w:rPr>
        <w:t>a</w:t>
      </w:r>
      <w:r w:rsidRPr="00914153">
        <w:rPr>
          <w:rFonts w:cs="Times New Roman"/>
          <w:noProof/>
        </w:rPr>
        <w:t>nxiety and mental health issues amongst adolescents can contribute to poor lifestyle choices and cardiovascular risk</w:t>
      </w:r>
      <w:r w:rsidRPr="00914153">
        <w:rPr>
          <w:rStyle w:val="FootnoteReference"/>
          <w:rFonts w:cs="Times New Roman"/>
          <w:noProof/>
        </w:rPr>
        <w:footnoteReference w:id="45"/>
      </w:r>
      <w:r w:rsidRPr="00914153">
        <w:rPr>
          <w:rFonts w:cs="Times New Roman"/>
          <w:noProof/>
        </w:rPr>
        <w:t>.</w:t>
      </w:r>
    </w:p>
    <w:p w14:paraId="2879D190" w14:textId="580D5C9E" w:rsidR="00DE54C7" w:rsidRPr="000E1D82" w:rsidRDefault="00DE54C7" w:rsidP="00DE54C7">
      <w:pPr>
        <w:spacing w:before="120" w:after="60" w:line="276" w:lineRule="auto"/>
        <w:jc w:val="both"/>
        <w:rPr>
          <w:rFonts w:cs="Times New Roman"/>
          <w:noProof/>
          <w:lang w:eastAsia="en-IE"/>
        </w:rPr>
      </w:pPr>
      <w:r w:rsidRPr="000E1D82">
        <w:rPr>
          <w:rFonts w:cs="Times New Roman"/>
          <w:b/>
          <w:bCs/>
          <w:noProof/>
          <w:lang w:eastAsia="en-IE"/>
        </w:rPr>
        <w:t>Limited access to early detection and diagnosis</w:t>
      </w:r>
      <w:r w:rsidRPr="00914153">
        <w:rPr>
          <w:rFonts w:cs="Times New Roman"/>
          <w:noProof/>
          <w:lang w:eastAsia="en-IE"/>
        </w:rPr>
        <w:t>:</w:t>
      </w:r>
      <w:r w:rsidRPr="000E1D82">
        <w:rPr>
          <w:rFonts w:cs="Times New Roman"/>
          <w:noProof/>
          <w:lang w:eastAsia="en-IE"/>
        </w:rPr>
        <w:t xml:space="preserve"> </w:t>
      </w:r>
      <w:r>
        <w:rPr>
          <w:rFonts w:cs="Times New Roman"/>
          <w:noProof/>
          <w:lang w:eastAsia="en-IE"/>
        </w:rPr>
        <w:t>e</w:t>
      </w:r>
      <w:r w:rsidRPr="000E1D82">
        <w:rPr>
          <w:rFonts w:cs="Times New Roman"/>
          <w:noProof/>
          <w:lang w:eastAsia="en-IE"/>
        </w:rPr>
        <w:t xml:space="preserve">arly detection is essential </w:t>
      </w:r>
      <w:r>
        <w:rPr>
          <w:rFonts w:cs="Times New Roman"/>
          <w:noProof/>
          <w:lang w:eastAsia="en-IE"/>
        </w:rPr>
        <w:t xml:space="preserve">because </w:t>
      </w:r>
      <w:r w:rsidRPr="000E1D82">
        <w:rPr>
          <w:rFonts w:cs="Times New Roman"/>
          <w:noProof/>
          <w:lang w:eastAsia="en-IE"/>
        </w:rPr>
        <w:t>risk factors</w:t>
      </w:r>
      <w:r>
        <w:rPr>
          <w:rFonts w:cs="Times New Roman"/>
          <w:noProof/>
          <w:lang w:eastAsia="en-IE"/>
        </w:rPr>
        <w:t xml:space="preserve"> (e.g. </w:t>
      </w:r>
      <w:r w:rsidRPr="000E1D82">
        <w:rPr>
          <w:rFonts w:cs="Times New Roman"/>
          <w:noProof/>
          <w:lang w:eastAsia="en-IE"/>
        </w:rPr>
        <w:t xml:space="preserve">high blood pressure, high cholesterol </w:t>
      </w:r>
      <w:r>
        <w:rPr>
          <w:rFonts w:cs="Times New Roman"/>
          <w:noProof/>
          <w:lang w:eastAsia="en-IE"/>
        </w:rPr>
        <w:t>and</w:t>
      </w:r>
      <w:r w:rsidRPr="000E1D82">
        <w:rPr>
          <w:rFonts w:cs="Times New Roman"/>
          <w:noProof/>
          <w:lang w:eastAsia="en-IE"/>
        </w:rPr>
        <w:t xml:space="preserve"> diabetes</w:t>
      </w:r>
      <w:r w:rsidR="00504544">
        <w:rPr>
          <w:rStyle w:val="FootnoteReference"/>
          <w:rFonts w:cs="Times New Roman"/>
          <w:noProof/>
          <w:lang w:eastAsia="en-IE"/>
        </w:rPr>
        <w:footnoteReference w:id="46"/>
      </w:r>
      <w:r w:rsidR="00A9559B">
        <w:rPr>
          <w:rFonts w:cs="Times New Roman"/>
          <w:noProof/>
          <w:lang w:eastAsia="en-IE"/>
        </w:rPr>
        <w:t>)</w:t>
      </w:r>
      <w:r w:rsidRPr="000E1D82">
        <w:rPr>
          <w:rFonts w:cs="Times New Roman"/>
          <w:noProof/>
          <w:lang w:eastAsia="en-IE"/>
        </w:rPr>
        <w:t xml:space="preserve"> can go unnoticed, </w:t>
      </w:r>
      <w:r>
        <w:rPr>
          <w:rFonts w:cs="Times New Roman"/>
          <w:noProof/>
          <w:lang w:eastAsia="en-IE"/>
        </w:rPr>
        <w:t xml:space="preserve">thus </w:t>
      </w:r>
      <w:r w:rsidRPr="000E1D82">
        <w:rPr>
          <w:rFonts w:cs="Times New Roman"/>
          <w:noProof/>
          <w:lang w:eastAsia="en-IE"/>
        </w:rPr>
        <w:t xml:space="preserve">increasing the risk of a heart attack or stroke. </w:t>
      </w:r>
    </w:p>
    <w:p w14:paraId="35290364" w14:textId="08ACEF7A" w:rsidR="00DE54C7" w:rsidRPr="00D15C5D" w:rsidRDefault="00DE54C7" w:rsidP="00DE54C7">
      <w:pPr>
        <w:pStyle w:val="ListParagraph"/>
        <w:numPr>
          <w:ilvl w:val="0"/>
          <w:numId w:val="4"/>
        </w:numPr>
        <w:spacing w:before="60" w:after="60" w:line="276" w:lineRule="auto"/>
        <w:ind w:left="714" w:hanging="357"/>
        <w:contextualSpacing w:val="0"/>
        <w:jc w:val="both"/>
        <w:rPr>
          <w:noProof/>
          <w:lang w:eastAsia="en-IE"/>
        </w:rPr>
      </w:pPr>
      <w:r w:rsidRPr="00D15C5D">
        <w:rPr>
          <w:rFonts w:cs="Times New Roman"/>
          <w:noProof/>
          <w:lang w:eastAsia="en-IE"/>
        </w:rPr>
        <w:t>Despite the accessibility of blood pressure checks, 14.3% of citizens aged 65 and older, reported not having had a recent measurement</w:t>
      </w:r>
      <w:r>
        <w:rPr>
          <w:rStyle w:val="FootnoteReference"/>
          <w:rFonts w:cs="Times New Roman"/>
          <w:noProof/>
          <w:lang w:eastAsia="en-IE"/>
        </w:rPr>
        <w:footnoteReference w:id="47"/>
      </w:r>
      <w:r w:rsidRPr="00D15C5D">
        <w:rPr>
          <w:rFonts w:cs="Times New Roman"/>
          <w:noProof/>
          <w:lang w:eastAsia="en-IE"/>
        </w:rPr>
        <w:t xml:space="preserve">, even though hypertension is </w:t>
      </w:r>
      <w:r>
        <w:rPr>
          <w:rFonts w:cs="Times New Roman"/>
          <w:noProof/>
          <w:lang w:eastAsia="en-IE"/>
        </w:rPr>
        <w:t xml:space="preserve">a key </w:t>
      </w:r>
      <w:r w:rsidRPr="00D15C5D">
        <w:rPr>
          <w:rFonts w:cs="Times New Roman"/>
          <w:noProof/>
          <w:lang w:eastAsia="en-IE"/>
        </w:rPr>
        <w:t>risk factor for cardiovascular diseases.</w:t>
      </w:r>
    </w:p>
    <w:p w14:paraId="0173D379" w14:textId="5D284B6D" w:rsidR="00DE54C7" w:rsidRPr="000E1D82" w:rsidRDefault="00DE54C7" w:rsidP="00DE54C7">
      <w:pPr>
        <w:pStyle w:val="ListParagraph"/>
        <w:numPr>
          <w:ilvl w:val="0"/>
          <w:numId w:val="4"/>
        </w:numPr>
        <w:spacing w:before="60" w:after="60" w:line="276" w:lineRule="auto"/>
        <w:ind w:left="714" w:hanging="357"/>
        <w:contextualSpacing w:val="0"/>
        <w:jc w:val="both"/>
        <w:rPr>
          <w:noProof/>
          <w:lang w:eastAsia="en-IE"/>
        </w:rPr>
      </w:pPr>
      <w:r w:rsidRPr="00D15C5D">
        <w:rPr>
          <w:rFonts w:cs="Times New Roman"/>
          <w:noProof/>
          <w:lang w:eastAsia="en-IE"/>
        </w:rPr>
        <w:t>Structural heart disorders remain underdiagnosed, leaving patients at risk of sudden, severe events</w:t>
      </w:r>
      <w:r>
        <w:rPr>
          <w:rFonts w:cs="Times New Roman"/>
          <w:noProof/>
          <w:lang w:eastAsia="en-IE"/>
        </w:rPr>
        <w:t>.</w:t>
      </w:r>
    </w:p>
    <w:p w14:paraId="538468A7" w14:textId="5D0ECEBB" w:rsidR="00DE54C7" w:rsidRDefault="00DE54C7" w:rsidP="00DE54C7">
      <w:pPr>
        <w:pStyle w:val="ListParagraph"/>
        <w:numPr>
          <w:ilvl w:val="0"/>
          <w:numId w:val="4"/>
        </w:numPr>
        <w:ind w:left="720"/>
        <w:jc w:val="both"/>
        <w:rPr>
          <w:rFonts w:cs="Times New Roman"/>
          <w:noProof/>
          <w:kern w:val="2"/>
          <w14:ligatures w14:val="standardContextual"/>
        </w:rPr>
      </w:pPr>
      <w:r>
        <w:rPr>
          <w:rFonts w:cs="Times New Roman"/>
          <w:noProof/>
          <w:kern w:val="2"/>
          <w14:ligatures w14:val="standardContextual"/>
        </w:rPr>
        <w:t xml:space="preserve">There is no protocol or guidance at EU level which would help Member States to develop </w:t>
      </w:r>
      <w:r w:rsidRPr="000E1D82">
        <w:rPr>
          <w:rFonts w:cs="Times New Roman"/>
          <w:noProof/>
          <w:kern w:val="2"/>
          <w14:ligatures w14:val="standardContextual"/>
        </w:rPr>
        <w:t>early detection and diagnosis</w:t>
      </w:r>
      <w:r>
        <w:rPr>
          <w:rFonts w:cs="Times New Roman"/>
          <w:noProof/>
          <w:kern w:val="2"/>
          <w14:ligatures w14:val="standardContextual"/>
        </w:rPr>
        <w:t xml:space="preserve"> programmes</w:t>
      </w:r>
      <w:r w:rsidRPr="000E1D82">
        <w:rPr>
          <w:rFonts w:cs="Times New Roman"/>
          <w:noProof/>
          <w:kern w:val="2"/>
          <w14:ligatures w14:val="standardContextual"/>
        </w:rPr>
        <w:t xml:space="preserve">, </w:t>
      </w:r>
      <w:r>
        <w:rPr>
          <w:rFonts w:cs="Times New Roman"/>
          <w:noProof/>
          <w:kern w:val="2"/>
          <w14:ligatures w14:val="standardContextual"/>
        </w:rPr>
        <w:t xml:space="preserve">and this has </w:t>
      </w:r>
      <w:r w:rsidRPr="000E1D82">
        <w:rPr>
          <w:rFonts w:cs="Times New Roman"/>
          <w:noProof/>
          <w:kern w:val="2"/>
          <w14:ligatures w14:val="standardContextual"/>
        </w:rPr>
        <w:t>resul</w:t>
      </w:r>
      <w:r>
        <w:rPr>
          <w:rFonts w:cs="Times New Roman"/>
          <w:noProof/>
          <w:kern w:val="2"/>
          <w14:ligatures w14:val="standardContextual"/>
        </w:rPr>
        <w:t xml:space="preserve">ted </w:t>
      </w:r>
      <w:r w:rsidRPr="000E1D82">
        <w:rPr>
          <w:rFonts w:cs="Times New Roman"/>
          <w:noProof/>
          <w:kern w:val="2"/>
          <w14:ligatures w14:val="standardContextual"/>
        </w:rPr>
        <w:t xml:space="preserve">in fragmented approaches across the EU, which hinders data federation and collection of comparable data. </w:t>
      </w:r>
    </w:p>
    <w:p w14:paraId="18500C76" w14:textId="278D5299" w:rsidR="00D5786C" w:rsidRPr="003C642F" w:rsidRDefault="00C76012" w:rsidP="00DE54C7">
      <w:pPr>
        <w:pStyle w:val="ListParagraph"/>
        <w:numPr>
          <w:ilvl w:val="0"/>
          <w:numId w:val="4"/>
        </w:numPr>
        <w:ind w:left="720"/>
        <w:jc w:val="both"/>
        <w:rPr>
          <w:rFonts w:cs="Times New Roman"/>
          <w:noProof/>
          <w:kern w:val="2"/>
          <w14:ligatures w14:val="standardContextual"/>
        </w:rPr>
      </w:pPr>
      <w:bookmarkStart w:id="4" w:name="_Hlk216006665"/>
      <w:r w:rsidRPr="003C642F">
        <w:rPr>
          <w:rFonts w:cs="Times New Roman"/>
          <w:noProof/>
          <w:kern w:val="2"/>
          <w14:ligatures w14:val="standardContextual"/>
        </w:rPr>
        <w:t>Women are more likely to be misdiagnosed and to face delays in emergency care and under-treatment</w:t>
      </w:r>
      <w:r w:rsidR="00B95D6C" w:rsidRPr="003C642F">
        <w:rPr>
          <w:rFonts w:cs="Times New Roman"/>
          <w:noProof/>
          <w:kern w:val="2"/>
          <w14:ligatures w14:val="standardContextual"/>
        </w:rPr>
        <w:t>,</w:t>
      </w:r>
      <w:r w:rsidRPr="003C642F">
        <w:rPr>
          <w:rFonts w:cs="Times New Roman"/>
          <w:noProof/>
          <w:kern w:val="2"/>
          <w14:ligatures w14:val="standardContextual"/>
        </w:rPr>
        <w:t xml:space="preserve"> </w:t>
      </w:r>
      <w:r w:rsidR="00B95D6C" w:rsidRPr="003C642F">
        <w:rPr>
          <w:rFonts w:cs="Times New Roman"/>
          <w:noProof/>
          <w:kern w:val="2"/>
          <w14:ligatures w14:val="standardContextual"/>
        </w:rPr>
        <w:t xml:space="preserve">especially </w:t>
      </w:r>
      <w:r w:rsidRPr="003C642F">
        <w:rPr>
          <w:rFonts w:cs="Times New Roman"/>
          <w:noProof/>
          <w:kern w:val="2"/>
          <w14:ligatures w14:val="standardContextual"/>
        </w:rPr>
        <w:t>after cardiovascular events, partly due to limited awareness among patients and healthcare workers</w:t>
      </w:r>
      <w:bookmarkEnd w:id="4"/>
      <w:r w:rsidRPr="003C642F">
        <w:rPr>
          <w:rFonts w:cs="Times New Roman"/>
          <w:noProof/>
          <w:kern w:val="2"/>
          <w14:ligatures w14:val="standardContextual"/>
        </w:rPr>
        <w:t>.</w:t>
      </w:r>
    </w:p>
    <w:p w14:paraId="19AFA224" w14:textId="1C1DC091" w:rsidR="00DE54C7" w:rsidRPr="000E1D82" w:rsidRDefault="00DE54C7" w:rsidP="00DE54C7">
      <w:pPr>
        <w:spacing w:before="120" w:after="60" w:line="276" w:lineRule="auto"/>
        <w:jc w:val="both"/>
        <w:rPr>
          <w:rFonts w:cs="Times New Roman"/>
          <w:noProof/>
          <w:lang w:eastAsia="en-IE"/>
        </w:rPr>
      </w:pPr>
      <w:r w:rsidRPr="000E1D82">
        <w:rPr>
          <w:rFonts w:cs="Times New Roman"/>
          <w:b/>
          <w:bCs/>
          <w:noProof/>
          <w:lang w:eastAsia="en-IE"/>
        </w:rPr>
        <w:t>Treatment and care</w:t>
      </w:r>
      <w:r w:rsidRPr="000E1D82">
        <w:rPr>
          <w:rFonts w:cs="Times New Roman"/>
          <w:noProof/>
          <w:lang w:eastAsia="en-IE"/>
        </w:rPr>
        <w:t xml:space="preserve">: </w:t>
      </w:r>
      <w:r>
        <w:rPr>
          <w:rFonts w:cs="Times New Roman"/>
          <w:noProof/>
          <w:lang w:eastAsia="en-IE"/>
        </w:rPr>
        <w:t>p</w:t>
      </w:r>
      <w:r w:rsidRPr="000E1D82">
        <w:rPr>
          <w:rFonts w:cs="Times New Roman"/>
          <w:noProof/>
          <w:lang w:eastAsia="en-IE"/>
        </w:rPr>
        <w:t xml:space="preserve">atients with cardiovascular diseases often require long-term management and a multi-faceted approach involving challenges that can impact patient outcomes. </w:t>
      </w:r>
    </w:p>
    <w:p w14:paraId="01EC0B5C" w14:textId="3CE9B6E5" w:rsidR="00DE54C7" w:rsidRPr="00AA2C50" w:rsidRDefault="00DA1A2C" w:rsidP="00DE54C7">
      <w:pPr>
        <w:pStyle w:val="ListParagraph"/>
        <w:numPr>
          <w:ilvl w:val="0"/>
          <w:numId w:val="4"/>
        </w:numPr>
        <w:spacing w:after="60" w:line="276" w:lineRule="auto"/>
        <w:ind w:left="714" w:hanging="357"/>
        <w:contextualSpacing w:val="0"/>
        <w:jc w:val="both"/>
        <w:rPr>
          <w:rFonts w:cs="Times New Roman"/>
          <w:noProof/>
          <w:lang w:eastAsia="en-IE"/>
        </w:rPr>
      </w:pPr>
      <w:r w:rsidRPr="00AA2C50">
        <w:rPr>
          <w:rFonts w:cs="Times New Roman"/>
          <w:noProof/>
          <w:lang w:eastAsia="en-IE"/>
        </w:rPr>
        <w:t xml:space="preserve">The </w:t>
      </w:r>
      <w:r w:rsidR="00DE54C7" w:rsidRPr="00AA2C50">
        <w:rPr>
          <w:rFonts w:cs="Times New Roman"/>
          <w:noProof/>
          <w:lang w:eastAsia="en-IE"/>
        </w:rPr>
        <w:t>suboptimal use of cardiovascular medications (e.g. antihypertensives, lipid lowering agents and</w:t>
      </w:r>
      <w:r w:rsidR="00DE54C7" w:rsidRPr="000E1D82">
        <w:rPr>
          <w:rFonts w:cs="Times New Roman"/>
          <w:noProof/>
          <w:lang w:eastAsia="en-IE"/>
        </w:rPr>
        <w:t xml:space="preserve"> anticoagulants</w:t>
      </w:r>
      <w:r w:rsidR="00DE54C7">
        <w:rPr>
          <w:rFonts w:cs="Times New Roman"/>
          <w:noProof/>
          <w:lang w:eastAsia="en-IE"/>
        </w:rPr>
        <w:t>)</w:t>
      </w:r>
      <w:r w:rsidR="00DE54C7" w:rsidRPr="000E1D82">
        <w:rPr>
          <w:rFonts w:cs="Times New Roman"/>
          <w:noProof/>
          <w:lang w:eastAsia="en-IE"/>
        </w:rPr>
        <w:t xml:space="preserve"> is an important gap in </w:t>
      </w:r>
      <w:r w:rsidR="00DE54C7" w:rsidRPr="00AA2C50">
        <w:rPr>
          <w:rFonts w:cs="Times New Roman"/>
          <w:noProof/>
          <w:lang w:eastAsia="en-IE"/>
        </w:rPr>
        <w:t xml:space="preserve">care across the EU, and </w:t>
      </w:r>
      <w:r w:rsidRPr="00AA2C50">
        <w:rPr>
          <w:rFonts w:cs="Times New Roman"/>
          <w:noProof/>
          <w:lang w:eastAsia="en-IE"/>
        </w:rPr>
        <w:t xml:space="preserve">there is </w:t>
      </w:r>
      <w:r w:rsidR="00DE54C7" w:rsidRPr="00AA2C50">
        <w:rPr>
          <w:rFonts w:cs="Times New Roman"/>
          <w:noProof/>
          <w:lang w:eastAsia="en-IE"/>
        </w:rPr>
        <w:t xml:space="preserve">a wide range of different clinical </w:t>
      </w:r>
      <w:r w:rsidR="00914153" w:rsidRPr="00AA2C50">
        <w:rPr>
          <w:rFonts w:cs="Times New Roman"/>
          <w:noProof/>
          <w:lang w:eastAsia="en-IE"/>
        </w:rPr>
        <w:t>guidelines,</w:t>
      </w:r>
      <w:r w:rsidR="00DE54C7" w:rsidRPr="00AA2C50">
        <w:rPr>
          <w:rFonts w:cs="Times New Roman"/>
          <w:noProof/>
          <w:lang w:eastAsia="en-IE"/>
        </w:rPr>
        <w:t xml:space="preserve"> and an overall EU approach is lacking.  </w:t>
      </w:r>
    </w:p>
    <w:p w14:paraId="577C7873"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AA2C50">
        <w:rPr>
          <w:rFonts w:cs="Times New Roman"/>
          <w:noProof/>
          <w:lang w:eastAsia="en-IE"/>
        </w:rPr>
        <w:t xml:space="preserve">Continuity of care is lacking. </w:t>
      </w:r>
      <w:r w:rsidRPr="00AA2C50">
        <w:rPr>
          <w:noProof/>
          <w:lang w:eastAsia="en-IE"/>
        </w:rPr>
        <w:t>Many patients face fragmented care pathways and unequal</w:t>
      </w:r>
      <w:r w:rsidRPr="000E1D82">
        <w:rPr>
          <w:noProof/>
          <w:lang w:eastAsia="en-IE"/>
        </w:rPr>
        <w:t xml:space="preserve"> access to treatment. </w:t>
      </w:r>
      <w:r w:rsidRPr="000E1D82">
        <w:rPr>
          <w:rFonts w:cs="Times New Roman"/>
          <w:noProof/>
          <w:lang w:eastAsia="en-IE"/>
        </w:rPr>
        <w:t xml:space="preserve">Patients often struggle to navigate between primary care, hospitals, and rehabilitation services, </w:t>
      </w:r>
      <w:r>
        <w:rPr>
          <w:rFonts w:cs="Times New Roman"/>
          <w:noProof/>
          <w:lang w:eastAsia="en-IE"/>
        </w:rPr>
        <w:t xml:space="preserve">thus </w:t>
      </w:r>
      <w:r w:rsidRPr="000E1D82">
        <w:rPr>
          <w:rFonts w:cs="Times New Roman"/>
          <w:noProof/>
          <w:lang w:eastAsia="en-IE"/>
        </w:rPr>
        <w:t>undermining long-term disease management and recovery</w:t>
      </w:r>
      <w:r>
        <w:rPr>
          <w:rFonts w:cs="Times New Roman"/>
          <w:noProof/>
          <w:lang w:eastAsia="en-IE"/>
        </w:rPr>
        <w:t>.</w:t>
      </w:r>
    </w:p>
    <w:p w14:paraId="5D25BE2D" w14:textId="78CB6238"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0E1D82">
        <w:rPr>
          <w:rStyle w:val="Strong"/>
          <w:rFonts w:eastAsia="Times New Roman" w:cs="Times New Roman"/>
          <w:b w:val="0"/>
          <w:bCs w:val="0"/>
          <w:noProof/>
        </w:rPr>
        <w:t xml:space="preserve">The lack of </w:t>
      </w:r>
      <w:r w:rsidRPr="000E1D82">
        <w:rPr>
          <w:rFonts w:eastAsiaTheme="minorEastAsia" w:cs="Times New Roman"/>
          <w:noProof/>
        </w:rPr>
        <w:t xml:space="preserve">common standards for treatment and care across Member States leads to inequalities and inefficiencies, </w:t>
      </w:r>
      <w:r>
        <w:rPr>
          <w:rFonts w:eastAsiaTheme="minorEastAsia" w:cs="Times New Roman"/>
          <w:noProof/>
        </w:rPr>
        <w:t xml:space="preserve">because </w:t>
      </w:r>
      <w:r w:rsidRPr="000E1D82">
        <w:rPr>
          <w:rFonts w:eastAsiaTheme="minorEastAsia" w:cs="Times New Roman"/>
          <w:noProof/>
        </w:rPr>
        <w:t>i</w:t>
      </w:r>
      <w:r w:rsidRPr="000E1D82">
        <w:rPr>
          <w:rFonts w:cs="Times New Roman"/>
          <w:noProof/>
          <w:lang w:eastAsia="en-IE"/>
        </w:rPr>
        <w:t xml:space="preserve">nnovative treatments and technologies are not equally accessible across the EU. </w:t>
      </w:r>
    </w:p>
    <w:p w14:paraId="0BFDB27F" w14:textId="3C72AB0D" w:rsidR="00DE54C7" w:rsidRPr="008A1CAC"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8A1CAC">
        <w:rPr>
          <w:noProof/>
        </w:rPr>
        <w:t xml:space="preserve">Multimorbidity is </w:t>
      </w:r>
      <w:r w:rsidRPr="00914153">
        <w:rPr>
          <w:noProof/>
        </w:rPr>
        <w:t xml:space="preserve">an important issue </w:t>
      </w:r>
      <w:r w:rsidRPr="008A1CAC">
        <w:rPr>
          <w:noProof/>
        </w:rPr>
        <w:t>among cardiovascular patients and is strongly associated with poorer self-rated health and lower quality of life, sometimes even more than the presence of cardiovascular disease</w:t>
      </w:r>
      <w:r w:rsidRPr="008A1CAC">
        <w:rPr>
          <w:rStyle w:val="FootnoteReference"/>
          <w:noProof/>
        </w:rPr>
        <w:footnoteReference w:id="48"/>
      </w:r>
      <w:r w:rsidRPr="008A1CAC">
        <w:rPr>
          <w:rFonts w:cs="Times New Roman"/>
          <w:noProof/>
          <w:lang w:eastAsia="en-IE"/>
        </w:rPr>
        <w:t xml:space="preserve">. </w:t>
      </w:r>
    </w:p>
    <w:p w14:paraId="1EB56610" w14:textId="5525E414" w:rsidR="00DE54C7" w:rsidRPr="000E1D82" w:rsidRDefault="00DE54C7" w:rsidP="00DE54C7">
      <w:pPr>
        <w:spacing w:before="120" w:after="60" w:line="276" w:lineRule="auto"/>
        <w:jc w:val="both"/>
        <w:rPr>
          <w:rFonts w:cs="Times New Roman"/>
          <w:noProof/>
          <w:lang w:eastAsia="en-IE"/>
        </w:rPr>
      </w:pPr>
      <w:r w:rsidRPr="000E1D82">
        <w:rPr>
          <w:rFonts w:cs="Times New Roman"/>
          <w:b/>
          <w:bCs/>
          <w:noProof/>
          <w:lang w:eastAsia="en-IE"/>
        </w:rPr>
        <w:t>Digital and data challenges</w:t>
      </w:r>
      <w:r w:rsidRPr="000E1D82">
        <w:rPr>
          <w:rFonts w:cs="Times New Roman"/>
          <w:noProof/>
          <w:lang w:eastAsia="en-IE"/>
        </w:rPr>
        <w:t xml:space="preserve">: </w:t>
      </w:r>
      <w:r>
        <w:rPr>
          <w:rFonts w:cs="Times New Roman"/>
          <w:noProof/>
          <w:lang w:eastAsia="en-IE"/>
        </w:rPr>
        <w:t>w</w:t>
      </w:r>
      <w:r w:rsidRPr="000E1D82">
        <w:rPr>
          <w:rFonts w:cs="Times New Roman"/>
          <w:noProof/>
          <w:lang w:eastAsia="en-IE"/>
        </w:rPr>
        <w:t xml:space="preserve">ithout EU-level leadership on digital standards and investment, progress will remain fragmented, uneven and non-scalable. </w:t>
      </w:r>
    </w:p>
    <w:p w14:paraId="301948EF" w14:textId="3B7886D5"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Pr>
          <w:rFonts w:cs="Times New Roman"/>
          <w:noProof/>
          <w:lang w:eastAsia="en-IE"/>
        </w:rPr>
        <w:t>O</w:t>
      </w:r>
      <w:r w:rsidRPr="000E1D82">
        <w:rPr>
          <w:rFonts w:cs="Times New Roman"/>
          <w:noProof/>
          <w:lang w:eastAsia="en-IE"/>
        </w:rPr>
        <w:t xml:space="preserve">nly six Member States use electronic health records to systematically monitor </w:t>
      </w:r>
      <w:r w:rsidRPr="00BC5296">
        <w:rPr>
          <w:rFonts w:cs="Times New Roman"/>
          <w:noProof/>
          <w:lang w:eastAsia="en-IE"/>
        </w:rPr>
        <w:t>cardiovascular outcomes</w:t>
      </w:r>
      <w:r w:rsidRPr="00BC5296">
        <w:rPr>
          <w:rStyle w:val="FootnoteReference"/>
          <w:rFonts w:cs="Times New Roman"/>
          <w:noProof/>
          <w:lang w:eastAsia="en-IE"/>
        </w:rPr>
        <w:footnoteReference w:id="49"/>
      </w:r>
      <w:r w:rsidRPr="00BC5296">
        <w:rPr>
          <w:rFonts w:cs="Times New Roman"/>
          <w:noProof/>
          <w:lang w:eastAsia="en-IE"/>
        </w:rPr>
        <w:t>.</w:t>
      </w:r>
    </w:p>
    <w:p w14:paraId="550FB97D" w14:textId="6229F37C" w:rsidR="00DE54C7" w:rsidRPr="00BC5296"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BC5296">
        <w:rPr>
          <w:rFonts w:cs="Times New Roman"/>
          <w:noProof/>
          <w:lang w:eastAsia="en-IE"/>
        </w:rPr>
        <w:t>Most registries</w:t>
      </w:r>
      <w:r w:rsidR="00622289" w:rsidRPr="00E4479F">
        <w:rPr>
          <w:rStyle w:val="FootnoteReference"/>
          <w:rFonts w:cs="Times New Roman"/>
          <w:noProof/>
          <w:lang w:eastAsia="en-IE"/>
        </w:rPr>
        <w:footnoteReference w:id="50"/>
      </w:r>
      <w:r w:rsidRPr="00BC5296">
        <w:rPr>
          <w:rFonts w:cs="Times New Roman"/>
          <w:noProof/>
          <w:lang w:eastAsia="en-IE"/>
        </w:rPr>
        <w:t xml:space="preserve"> lack interoperability, making it difficult to share or compare data across borders.</w:t>
      </w:r>
    </w:p>
    <w:p w14:paraId="574BC0E2" w14:textId="77777777"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BC5296">
        <w:rPr>
          <w:rFonts w:cs="Times New Roman"/>
          <w:noProof/>
          <w:lang w:eastAsia="en-IE"/>
        </w:rPr>
        <w:t>Clinical data collectio</w:t>
      </w:r>
      <w:r>
        <w:rPr>
          <w:rFonts w:cs="Times New Roman"/>
          <w:noProof/>
          <w:lang w:eastAsia="en-IE"/>
        </w:rPr>
        <w:t>n protocols and standards are insufficiently harmonised.</w:t>
      </w:r>
    </w:p>
    <w:p w14:paraId="10337B17" w14:textId="4CDFE26D"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Pr>
          <w:rFonts w:cs="Times New Roman"/>
          <w:noProof/>
          <w:lang w:eastAsia="en-IE"/>
        </w:rPr>
        <w:t>A</w:t>
      </w:r>
      <w:r w:rsidRPr="000E1D82">
        <w:rPr>
          <w:rFonts w:cs="Times New Roman"/>
          <w:noProof/>
          <w:lang w:eastAsia="en-IE"/>
        </w:rPr>
        <w:t xml:space="preserve">rtificial intelligence </w:t>
      </w:r>
      <w:r>
        <w:rPr>
          <w:rFonts w:cs="Times New Roman"/>
          <w:noProof/>
          <w:lang w:eastAsia="en-IE"/>
        </w:rPr>
        <w:t>(AI)</w:t>
      </w:r>
      <w:r w:rsidRPr="000E1D82">
        <w:rPr>
          <w:rFonts w:cs="Times New Roman"/>
          <w:noProof/>
          <w:lang w:eastAsia="en-IE"/>
        </w:rPr>
        <w:t xml:space="preserve"> and digital tools in cardiology exist, but few are deployed at scale in national health systems. This limits opportunities for earlier detection, personalised treatment, and system-wide improvements.</w:t>
      </w:r>
      <w:r w:rsidR="001469B3">
        <w:rPr>
          <w:rFonts w:cs="Times New Roman"/>
          <w:noProof/>
          <w:lang w:eastAsia="en-IE"/>
        </w:rPr>
        <w:t xml:space="preserve"> When applying AI tools, it is key to ensure that gender, disability and other biases are avoided.</w:t>
      </w:r>
    </w:p>
    <w:p w14:paraId="2205E4CB" w14:textId="5A12B292" w:rsidR="00DE54C7" w:rsidRPr="000E1D82" w:rsidRDefault="00DE54C7" w:rsidP="00DE54C7">
      <w:pPr>
        <w:spacing w:before="120" w:after="60" w:line="276" w:lineRule="auto"/>
        <w:jc w:val="both"/>
        <w:rPr>
          <w:rFonts w:cs="Times New Roman"/>
          <w:b/>
          <w:bCs/>
          <w:noProof/>
          <w:lang w:eastAsia="en-IE"/>
        </w:rPr>
      </w:pPr>
      <w:r w:rsidRPr="000E1D82">
        <w:rPr>
          <w:rFonts w:cs="Times New Roman"/>
          <w:b/>
          <w:bCs/>
          <w:noProof/>
          <w:lang w:eastAsia="en-IE"/>
        </w:rPr>
        <w:t xml:space="preserve">Gaps in research and innovation: </w:t>
      </w:r>
      <w:r>
        <w:rPr>
          <w:rFonts w:cs="Times New Roman"/>
          <w:noProof/>
          <w:lang w:eastAsia="en-IE"/>
        </w:rPr>
        <w:t>important challenges remain d</w:t>
      </w:r>
      <w:r w:rsidRPr="000E1D82">
        <w:rPr>
          <w:rFonts w:cs="Times New Roman"/>
          <w:noProof/>
          <w:lang w:eastAsia="en-IE"/>
        </w:rPr>
        <w:t>espite substantial investment in research</w:t>
      </w:r>
      <w:r>
        <w:rPr>
          <w:rFonts w:cs="Times New Roman"/>
          <w:noProof/>
          <w:lang w:eastAsia="en-IE"/>
        </w:rPr>
        <w:t xml:space="preserve"> and innovation. </w:t>
      </w:r>
    </w:p>
    <w:p w14:paraId="57270581" w14:textId="745D07F0" w:rsidR="00DE54C7"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Pr>
          <w:rFonts w:cs="Times New Roman"/>
          <w:noProof/>
          <w:lang w:eastAsia="en-IE"/>
        </w:rPr>
        <w:t>K</w:t>
      </w:r>
      <w:r w:rsidRPr="000E1D82">
        <w:rPr>
          <w:rFonts w:cs="Times New Roman"/>
          <w:noProof/>
          <w:lang w:eastAsia="en-IE"/>
        </w:rPr>
        <w:t xml:space="preserve">nowledge gaps persist, </w:t>
      </w:r>
      <w:r w:rsidRPr="00914153">
        <w:rPr>
          <w:rFonts w:cs="Times New Roman"/>
          <w:noProof/>
          <w:lang w:eastAsia="en-IE"/>
        </w:rPr>
        <w:t>in particular in the understanding of disease onset and progression mechanisms</w:t>
      </w:r>
      <w:r>
        <w:rPr>
          <w:rFonts w:cs="Times New Roman"/>
          <w:noProof/>
          <w:lang w:eastAsia="en-IE"/>
        </w:rPr>
        <w:t>.</w:t>
      </w:r>
    </w:p>
    <w:p w14:paraId="0F0B03D4" w14:textId="34AF3BCA" w:rsidR="00DE54C7" w:rsidRPr="000E1D82"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Pr>
          <w:rFonts w:cs="Times New Roman"/>
          <w:noProof/>
          <w:lang w:eastAsia="en-IE"/>
        </w:rPr>
        <w:t xml:space="preserve">Gaps exist in understanding of biological </w:t>
      </w:r>
      <w:r w:rsidR="00B865D8">
        <w:rPr>
          <w:rFonts w:cs="Times New Roman"/>
          <w:noProof/>
          <w:lang w:eastAsia="en-IE"/>
        </w:rPr>
        <w:t>mechanism</w:t>
      </w:r>
      <w:r w:rsidR="00D95D7D">
        <w:rPr>
          <w:rFonts w:cs="Times New Roman"/>
          <w:noProof/>
          <w:lang w:eastAsia="en-IE"/>
        </w:rPr>
        <w:t>s underpinning different</w:t>
      </w:r>
      <w:r w:rsidR="00B865D8">
        <w:rPr>
          <w:rFonts w:cs="Times New Roman"/>
          <w:noProof/>
          <w:lang w:eastAsia="en-IE"/>
        </w:rPr>
        <w:t xml:space="preserve"> </w:t>
      </w:r>
      <w:r>
        <w:rPr>
          <w:rFonts w:cs="Times New Roman"/>
          <w:noProof/>
          <w:lang w:eastAsia="en-IE"/>
        </w:rPr>
        <w:t xml:space="preserve"> cardiovascular diseases.</w:t>
      </w:r>
    </w:p>
    <w:p w14:paraId="349E86F3" w14:textId="38BBBEA9" w:rsidR="00DE54C7" w:rsidRDefault="0032525B" w:rsidP="00DE54C7">
      <w:pPr>
        <w:pStyle w:val="ListParagraph"/>
        <w:numPr>
          <w:ilvl w:val="0"/>
          <w:numId w:val="4"/>
        </w:numPr>
        <w:spacing w:before="60" w:after="60" w:line="276" w:lineRule="auto"/>
        <w:ind w:left="714" w:hanging="357"/>
        <w:contextualSpacing w:val="0"/>
        <w:jc w:val="both"/>
        <w:rPr>
          <w:rFonts w:cs="Times New Roman"/>
          <w:noProof/>
          <w:lang w:eastAsia="en-IE"/>
        </w:rPr>
      </w:pPr>
      <w:r>
        <w:rPr>
          <w:rFonts w:cs="Times New Roman"/>
          <w:noProof/>
          <w:lang w:eastAsia="en-IE"/>
        </w:rPr>
        <w:t>Research translation should be fostered as</w:t>
      </w:r>
      <w:r w:rsidR="00DE54C7" w:rsidRPr="000E1D82">
        <w:rPr>
          <w:rFonts w:cs="Times New Roman"/>
          <w:noProof/>
          <w:lang w:eastAsia="en-IE"/>
        </w:rPr>
        <w:t xml:space="preserve"> innovations are slow to reach patients</w:t>
      </w:r>
      <w:r w:rsidR="00DE54C7">
        <w:rPr>
          <w:rFonts w:cs="Times New Roman"/>
          <w:noProof/>
          <w:lang w:eastAsia="en-IE"/>
        </w:rPr>
        <w:t>.</w:t>
      </w:r>
    </w:p>
    <w:p w14:paraId="46FF1A14" w14:textId="77777777" w:rsidR="0032525B" w:rsidRPr="00E4479F" w:rsidRDefault="00DE54C7" w:rsidP="00914153">
      <w:pPr>
        <w:pStyle w:val="ListParagraph"/>
        <w:numPr>
          <w:ilvl w:val="0"/>
          <w:numId w:val="4"/>
        </w:numPr>
        <w:spacing w:before="60" w:after="60" w:line="276" w:lineRule="auto"/>
        <w:ind w:left="714" w:hanging="357"/>
        <w:contextualSpacing w:val="0"/>
        <w:jc w:val="both"/>
        <w:rPr>
          <w:rFonts w:cs="Times New Roman"/>
          <w:noProof/>
          <w:lang w:val="en-GB" w:eastAsia="en-IE"/>
        </w:rPr>
      </w:pPr>
      <w:r w:rsidRPr="00914153">
        <w:rPr>
          <w:rFonts w:cs="Times New Roman"/>
          <w:noProof/>
          <w:lang w:val="en-GB" w:eastAsia="en-IE"/>
        </w:rPr>
        <w:t>Important gaps remain in understanding how to apply effective preventive measures consistently and how to support early intervention across diverse populations</w:t>
      </w:r>
      <w:r w:rsidRPr="004F1772">
        <w:rPr>
          <w:rFonts w:cs="Times New Roman"/>
          <w:noProof/>
          <w:lang w:eastAsia="en-IE"/>
        </w:rPr>
        <w:t>.</w:t>
      </w:r>
    </w:p>
    <w:p w14:paraId="40ABF530" w14:textId="1934C912" w:rsidR="00DE54C7" w:rsidRPr="00914153" w:rsidRDefault="0032525B" w:rsidP="00914153">
      <w:pPr>
        <w:pStyle w:val="ListParagraph"/>
        <w:numPr>
          <w:ilvl w:val="0"/>
          <w:numId w:val="4"/>
        </w:numPr>
        <w:spacing w:before="60" w:after="60" w:line="276" w:lineRule="auto"/>
        <w:ind w:left="714" w:hanging="357"/>
        <w:contextualSpacing w:val="0"/>
        <w:jc w:val="both"/>
        <w:rPr>
          <w:rFonts w:cs="Times New Roman"/>
          <w:noProof/>
          <w:lang w:val="en-GB" w:eastAsia="en-IE"/>
        </w:rPr>
      </w:pPr>
      <w:r>
        <w:rPr>
          <w:rFonts w:cs="Times New Roman"/>
          <w:noProof/>
          <w:lang w:eastAsia="en-IE"/>
        </w:rPr>
        <w:t>Demand-driven innovation is not sufficiently supported.</w:t>
      </w:r>
      <w:r w:rsidR="00DE54C7" w:rsidRPr="00914153">
        <w:rPr>
          <w:rFonts w:cs="Times New Roman"/>
          <w:noProof/>
          <w:lang w:val="en-GB" w:eastAsia="en-IE"/>
        </w:rPr>
        <w:t xml:space="preserve"> </w:t>
      </w:r>
    </w:p>
    <w:p w14:paraId="1FEA1545" w14:textId="158E2E5E" w:rsidR="00DE54C7" w:rsidRPr="006E2F2A" w:rsidRDefault="00DE54C7" w:rsidP="00DE54C7">
      <w:pPr>
        <w:pStyle w:val="ListParagraph"/>
        <w:numPr>
          <w:ilvl w:val="0"/>
          <w:numId w:val="4"/>
        </w:numPr>
        <w:spacing w:before="60" w:after="60" w:line="276" w:lineRule="auto"/>
        <w:ind w:left="714" w:hanging="357"/>
        <w:contextualSpacing w:val="0"/>
        <w:jc w:val="both"/>
        <w:rPr>
          <w:rFonts w:cs="Times New Roman"/>
          <w:noProof/>
          <w:lang w:eastAsia="en-IE"/>
        </w:rPr>
      </w:pPr>
      <w:r w:rsidRPr="00914153">
        <w:rPr>
          <w:rFonts w:cs="Times New Roman"/>
          <w:noProof/>
          <w:lang w:eastAsia="en-IE"/>
        </w:rPr>
        <w:t xml:space="preserve">Cross-border collaboration, and AI innovation in cardiovascular diseases are hindered by limited availability of </w:t>
      </w:r>
      <w:r w:rsidR="00914153" w:rsidRPr="00914153">
        <w:rPr>
          <w:rFonts w:cs="Times New Roman"/>
          <w:noProof/>
          <w:lang w:eastAsia="en-IE"/>
        </w:rPr>
        <w:t>high-quality</w:t>
      </w:r>
      <w:r w:rsidRPr="00914153">
        <w:rPr>
          <w:rFonts w:cs="Times New Roman"/>
          <w:noProof/>
          <w:lang w:eastAsia="en-IE"/>
        </w:rPr>
        <w:t xml:space="preserve"> data.</w:t>
      </w:r>
      <w:r w:rsidR="007C17FF">
        <w:rPr>
          <w:rFonts w:cs="Times New Roman"/>
          <w:noProof/>
          <w:lang w:eastAsia="en-IE"/>
        </w:rPr>
        <w:t xml:space="preserve"> </w:t>
      </w:r>
      <w:r w:rsidR="007C17FF" w:rsidRPr="00E4479F">
        <w:rPr>
          <w:rFonts w:cs="Times New Roman"/>
          <w:noProof/>
          <w:lang w:eastAsia="en-IE"/>
        </w:rPr>
        <w:t>Sex- and gender-disaggregated data and data on other protected characteristics, including on persons with disabilities, is essential</w:t>
      </w:r>
      <w:r w:rsidR="007C17FF" w:rsidRPr="006E2F2A">
        <w:rPr>
          <w:rFonts w:cs="Times New Roman"/>
          <w:noProof/>
          <w:lang w:eastAsia="en-IE"/>
        </w:rPr>
        <w:t>.</w:t>
      </w:r>
    </w:p>
    <w:p w14:paraId="723EC1F1" w14:textId="30068863" w:rsidR="00DE54C7" w:rsidRPr="000E1D82" w:rsidRDefault="00DE54C7" w:rsidP="00914153">
      <w:pPr>
        <w:spacing w:before="60" w:after="60" w:line="276" w:lineRule="auto"/>
        <w:jc w:val="both"/>
        <w:rPr>
          <w:rFonts w:cs="Times New Roman"/>
          <w:noProof/>
          <w:lang w:eastAsia="en-IE"/>
        </w:rPr>
      </w:pPr>
      <w:r w:rsidRPr="000E1D82">
        <w:rPr>
          <w:rFonts w:cs="Times New Roman"/>
          <w:b/>
          <w:bCs/>
          <w:noProof/>
          <w:lang w:eastAsia="en-IE"/>
        </w:rPr>
        <w:t>Persistent health inequalities</w:t>
      </w:r>
      <w:r w:rsidRPr="000E1D82">
        <w:rPr>
          <w:rFonts w:cs="Times New Roman"/>
          <w:noProof/>
          <w:lang w:eastAsia="en-IE"/>
        </w:rPr>
        <w:t xml:space="preserve">: There are striking differences and inequalities across Member States and regions, gender and socioeconomic groups. </w:t>
      </w:r>
    </w:p>
    <w:p w14:paraId="6CA33E7F" w14:textId="24313018" w:rsidR="00DE54C7" w:rsidRPr="003C642F" w:rsidRDefault="00DE54C7" w:rsidP="00DE54C7">
      <w:pPr>
        <w:pStyle w:val="ListParagraph"/>
        <w:numPr>
          <w:ilvl w:val="0"/>
          <w:numId w:val="4"/>
        </w:numPr>
        <w:spacing w:after="60" w:line="276" w:lineRule="auto"/>
        <w:ind w:left="714" w:hanging="357"/>
        <w:contextualSpacing w:val="0"/>
        <w:jc w:val="both"/>
        <w:rPr>
          <w:rFonts w:cs="Times New Roman"/>
          <w:noProof/>
          <w:lang w:eastAsia="en-IE"/>
        </w:rPr>
      </w:pPr>
      <w:r w:rsidRPr="003C642F">
        <w:rPr>
          <w:rFonts w:cs="Times New Roman"/>
          <w:noProof/>
          <w:lang w:eastAsia="en-IE"/>
        </w:rPr>
        <w:t xml:space="preserve">Conditions unique to women </w:t>
      </w:r>
      <w:r w:rsidR="00374A91">
        <w:rPr>
          <w:rFonts w:cs="Times New Roman"/>
          <w:noProof/>
          <w:lang w:eastAsia="en-IE"/>
        </w:rPr>
        <w:t>across the life course, including early and late menarche, polycystic ovary syndrome, infertility, assisted reproductive technology, adverse pregnancy outcomes, hormonal contraceptives and transitions to menopause, all of which increase their risk for cardiovascular diseases</w:t>
      </w:r>
      <w:r w:rsidR="00374A91">
        <w:rPr>
          <w:rStyle w:val="FootnoteReference"/>
          <w:rFonts w:cs="Times New Roman"/>
          <w:noProof/>
          <w:lang w:eastAsia="en-IE"/>
        </w:rPr>
        <w:footnoteReference w:id="51"/>
      </w:r>
      <w:r w:rsidR="00374A91">
        <w:rPr>
          <w:rFonts w:cs="Times New Roman"/>
          <w:noProof/>
          <w:lang w:eastAsia="en-IE"/>
        </w:rPr>
        <w:t>.</w:t>
      </w:r>
    </w:p>
    <w:p w14:paraId="4DA18965" w14:textId="7902A210"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lang w:eastAsia="en-IE"/>
        </w:rPr>
      </w:pPr>
      <w:r w:rsidRPr="000E1D82">
        <w:rPr>
          <w:rFonts w:cs="Times New Roman"/>
          <w:noProof/>
          <w:lang w:eastAsia="en-IE"/>
        </w:rPr>
        <w:t>Access to high-quality cardiac care varies significantly between Member States, leading to differences in survival rates and quality of life. Mortality from cardiovascular diseases is significantly higher in some regions</w:t>
      </w:r>
      <w:r>
        <w:rPr>
          <w:rFonts w:cs="Times New Roman"/>
          <w:noProof/>
          <w:lang w:eastAsia="en-IE"/>
        </w:rPr>
        <w:t xml:space="preserve"> than in </w:t>
      </w:r>
      <w:r w:rsidRPr="000E1D82">
        <w:rPr>
          <w:rFonts w:cs="Times New Roman"/>
          <w:noProof/>
          <w:lang w:eastAsia="en-IE"/>
        </w:rPr>
        <w:t xml:space="preserve">others, </w:t>
      </w:r>
      <w:r>
        <w:rPr>
          <w:rFonts w:cs="Times New Roman"/>
          <w:noProof/>
          <w:lang w:eastAsia="en-IE"/>
        </w:rPr>
        <w:t xml:space="preserve">due to </w:t>
      </w:r>
      <w:r w:rsidRPr="000E1D82">
        <w:rPr>
          <w:rFonts w:cs="Times New Roman"/>
          <w:noProof/>
          <w:lang w:eastAsia="en-IE"/>
        </w:rPr>
        <w:t>differences in prevention, access to care, and health system resources</w:t>
      </w:r>
      <w:r w:rsidRPr="000E1D82">
        <w:rPr>
          <w:rFonts w:cs="Times New Roman"/>
          <w:noProof/>
          <w:vertAlign w:val="superscript"/>
          <w:lang w:eastAsia="en-IE"/>
        </w:rPr>
        <w:footnoteReference w:id="52"/>
      </w:r>
      <w:r>
        <w:rPr>
          <w:rFonts w:cs="Times New Roman"/>
          <w:noProof/>
          <w:lang w:eastAsia="en-IE"/>
        </w:rPr>
        <w:t>.</w:t>
      </w:r>
      <w:r w:rsidRPr="000E1D82">
        <w:rPr>
          <w:rFonts w:cs="Times New Roman"/>
          <w:noProof/>
          <w:lang w:eastAsia="en-IE"/>
        </w:rPr>
        <w:t xml:space="preserve"> </w:t>
      </w:r>
    </w:p>
    <w:p w14:paraId="4920B9E3" w14:textId="5D287848" w:rsidR="00DE54C7" w:rsidRPr="000E1D82" w:rsidRDefault="00DE54C7" w:rsidP="00DE54C7">
      <w:pPr>
        <w:pStyle w:val="ListParagraph"/>
        <w:numPr>
          <w:ilvl w:val="0"/>
          <w:numId w:val="4"/>
        </w:numPr>
        <w:spacing w:after="60" w:line="276" w:lineRule="auto"/>
        <w:ind w:left="714" w:hanging="357"/>
        <w:contextualSpacing w:val="0"/>
        <w:jc w:val="both"/>
        <w:rPr>
          <w:rFonts w:cs="Times New Roman"/>
          <w:noProof/>
          <w:lang w:eastAsia="en-IE"/>
        </w:rPr>
      </w:pPr>
      <w:r w:rsidRPr="000E1D82">
        <w:rPr>
          <w:rFonts w:cs="Times New Roman"/>
          <w:noProof/>
          <w:lang w:eastAsia="en-IE"/>
        </w:rPr>
        <w:t>Socio-economically disadvantaged population groups are disproportionately affected by risk factors like unhealthy diets</w:t>
      </w:r>
      <w:r>
        <w:rPr>
          <w:rFonts w:cs="Times New Roman"/>
          <w:noProof/>
          <w:lang w:eastAsia="en-IE"/>
        </w:rPr>
        <w:t>,</w:t>
      </w:r>
      <w:r w:rsidRPr="000E1D82">
        <w:rPr>
          <w:rFonts w:cs="Times New Roman"/>
          <w:noProof/>
          <w:lang w:eastAsia="en-IE"/>
        </w:rPr>
        <w:t xml:space="preserve"> smoking</w:t>
      </w:r>
      <w:r>
        <w:rPr>
          <w:rFonts w:cs="Times New Roman"/>
          <w:noProof/>
          <w:lang w:eastAsia="en-IE"/>
        </w:rPr>
        <w:t xml:space="preserve">, </w:t>
      </w:r>
      <w:r w:rsidRPr="007C27BD">
        <w:rPr>
          <w:rFonts w:cs="Times New Roman"/>
          <w:noProof/>
          <w:lang w:eastAsia="en-IE"/>
        </w:rPr>
        <w:t>air</w:t>
      </w:r>
      <w:r w:rsidRPr="007C27BD">
        <w:rPr>
          <w:rStyle w:val="FootnoteReference"/>
          <w:rFonts w:cs="Times New Roman"/>
          <w:noProof/>
          <w:lang w:eastAsia="en-IE"/>
        </w:rPr>
        <w:footnoteReference w:id="53"/>
      </w:r>
      <w:r w:rsidRPr="007C27BD">
        <w:rPr>
          <w:rFonts w:cs="Times New Roman"/>
          <w:noProof/>
          <w:lang w:eastAsia="en-IE"/>
        </w:rPr>
        <w:t xml:space="preserve"> and noise pollution</w:t>
      </w:r>
      <w:r w:rsidRPr="007C27BD">
        <w:rPr>
          <w:rStyle w:val="FootnoteReference"/>
          <w:rFonts w:cs="Times New Roman"/>
          <w:noProof/>
          <w:lang w:eastAsia="en-IE"/>
        </w:rPr>
        <w:footnoteReference w:id="54"/>
      </w:r>
      <w:r w:rsidRPr="007C27BD">
        <w:rPr>
          <w:rFonts w:cs="Times New Roman"/>
          <w:noProof/>
          <w:lang w:eastAsia="en-IE"/>
        </w:rPr>
        <w:t>.</w:t>
      </w:r>
      <w:r>
        <w:rPr>
          <w:rFonts w:cs="Times New Roman"/>
          <w:noProof/>
          <w:lang w:eastAsia="en-IE"/>
        </w:rPr>
        <w:t xml:space="preserve"> They also </w:t>
      </w:r>
      <w:r w:rsidRPr="000E1D82">
        <w:rPr>
          <w:rFonts w:cs="Times New Roman"/>
          <w:noProof/>
          <w:lang w:eastAsia="en-IE"/>
        </w:rPr>
        <w:t xml:space="preserve">often have limited access to prevention and treatment. This results in worse health outcomes, with more chronic conditions, </w:t>
      </w:r>
      <w:r>
        <w:rPr>
          <w:rFonts w:cs="Times New Roman"/>
          <w:noProof/>
          <w:lang w:eastAsia="en-IE"/>
        </w:rPr>
        <w:t xml:space="preserve">that cause </w:t>
      </w:r>
      <w:r w:rsidRPr="000E1D82">
        <w:rPr>
          <w:rFonts w:cs="Times New Roman"/>
          <w:noProof/>
          <w:lang w:eastAsia="en-IE"/>
        </w:rPr>
        <w:t>further inequalities in prevention, treatment, and management.</w:t>
      </w:r>
    </w:p>
    <w:p w14:paraId="07881D46" w14:textId="749B3E04"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 xml:space="preserve">Action at EU level on cardiovascular health: </w:t>
      </w:r>
      <w:r>
        <w:rPr>
          <w:rFonts w:ascii="Times New Roman" w:hAnsi="Times New Roman" w:cs="Times New Roman"/>
          <w:b/>
          <w:smallCaps/>
          <w:noProof/>
          <w:color w:val="auto"/>
          <w:sz w:val="24"/>
          <w:szCs w:val="24"/>
        </w:rPr>
        <w:t xml:space="preserve">a </w:t>
      </w:r>
      <w:r w:rsidRPr="000E1D82">
        <w:rPr>
          <w:rFonts w:ascii="Times New Roman" w:hAnsi="Times New Roman" w:cs="Times New Roman"/>
          <w:b/>
          <w:smallCaps/>
          <w:noProof/>
          <w:color w:val="auto"/>
          <w:sz w:val="24"/>
          <w:szCs w:val="24"/>
        </w:rPr>
        <w:t>targeted approach</w:t>
      </w:r>
    </w:p>
    <w:p w14:paraId="0BD7B7D0" w14:textId="02A713D2" w:rsidR="00DE54C7" w:rsidRPr="000E1D82" w:rsidRDefault="00DE54C7" w:rsidP="00DE54C7">
      <w:pPr>
        <w:spacing w:after="200" w:line="276" w:lineRule="auto"/>
        <w:jc w:val="both"/>
        <w:rPr>
          <w:rFonts w:cs="Times New Roman"/>
          <w:noProof/>
          <w:lang w:eastAsia="en-IE"/>
        </w:rPr>
      </w:pPr>
      <w:r w:rsidRPr="000E1D82">
        <w:rPr>
          <w:rFonts w:cs="Times New Roman"/>
          <w:b/>
          <w:bCs/>
          <w:noProof/>
          <w:lang w:eastAsia="en-IE"/>
        </w:rPr>
        <w:t xml:space="preserve">The </w:t>
      </w:r>
      <w:r>
        <w:rPr>
          <w:rFonts w:cs="Times New Roman"/>
          <w:b/>
          <w:bCs/>
          <w:noProof/>
          <w:lang w:eastAsia="en-IE"/>
        </w:rPr>
        <w:t>Safe Hearts Plan</w:t>
      </w:r>
      <w:r w:rsidRPr="000E1D82">
        <w:rPr>
          <w:rFonts w:cs="Times New Roman"/>
          <w:b/>
          <w:bCs/>
          <w:noProof/>
          <w:lang w:eastAsia="en-IE"/>
        </w:rPr>
        <w:t xml:space="preserve"> is a strategic response to the challenges </w:t>
      </w:r>
      <w:r w:rsidRPr="000E1D82">
        <w:rPr>
          <w:rFonts w:cs="Times New Roman"/>
          <w:noProof/>
          <w:lang w:eastAsia="en-IE"/>
        </w:rPr>
        <w:t xml:space="preserve">described above. </w:t>
      </w:r>
      <w:r w:rsidRPr="000E1D82">
        <w:rPr>
          <w:noProof/>
          <w:lang w:eastAsia="en-IE"/>
        </w:rPr>
        <w:t xml:space="preserve">It </w:t>
      </w:r>
      <w:r w:rsidRPr="000E1D82">
        <w:rPr>
          <w:rFonts w:cs="Times New Roman"/>
          <w:noProof/>
          <w:lang w:eastAsia="en-IE"/>
        </w:rPr>
        <w:t>focuses on delivering a select</w:t>
      </w:r>
      <w:r>
        <w:rPr>
          <w:rFonts w:cs="Times New Roman"/>
          <w:noProof/>
          <w:lang w:eastAsia="en-IE"/>
        </w:rPr>
        <w:t xml:space="preserve">ed </w:t>
      </w:r>
      <w:r w:rsidRPr="000E1D82">
        <w:rPr>
          <w:rFonts w:cs="Times New Roman"/>
          <w:noProof/>
          <w:lang w:eastAsia="en-IE"/>
        </w:rPr>
        <w:t xml:space="preserve">number of ambitious and targeted actions that can deliver clear EU added value for citizens, governments, and stakeholders, </w:t>
      </w:r>
      <w:r w:rsidRPr="001427AF">
        <w:rPr>
          <w:rFonts w:cs="Times New Roman"/>
          <w:noProof/>
          <w:lang w:eastAsia="en-IE"/>
        </w:rPr>
        <w:t>in line with the EU’s competitiveness agenda and the rapid development of digital innovation.</w:t>
      </w:r>
      <w:r>
        <w:rPr>
          <w:rFonts w:cs="Times New Roman"/>
          <w:noProof/>
          <w:lang w:eastAsia="en-IE"/>
        </w:rPr>
        <w:t xml:space="preserve"> </w:t>
      </w:r>
      <w:r w:rsidRPr="000E1D82">
        <w:rPr>
          <w:rFonts w:cs="Times New Roman"/>
          <w:noProof/>
          <w:lang w:eastAsia="en-IE"/>
        </w:rPr>
        <w:t xml:space="preserve">It is designed to </w:t>
      </w:r>
      <w:r w:rsidRPr="000E1D82">
        <w:rPr>
          <w:noProof/>
        </w:rPr>
        <w:t xml:space="preserve">improve </w:t>
      </w:r>
      <w:r>
        <w:rPr>
          <w:noProof/>
        </w:rPr>
        <w:t xml:space="preserve">people’s lives and </w:t>
      </w:r>
      <w:r w:rsidRPr="000E1D82">
        <w:rPr>
          <w:noProof/>
        </w:rPr>
        <w:t>public health at societal level, boost competitiveness, promote innovation and invest in sustainable healthcare systems</w:t>
      </w:r>
      <w:r w:rsidRPr="000E1D82">
        <w:rPr>
          <w:rFonts w:eastAsia="Times New Roman" w:cs="Times New Roman"/>
          <w:noProof/>
        </w:rPr>
        <w:t>.</w:t>
      </w:r>
      <w:r w:rsidRPr="000E1D82">
        <w:rPr>
          <w:noProof/>
        </w:rPr>
        <w:t xml:space="preserve"> </w:t>
      </w:r>
    </w:p>
    <w:p w14:paraId="6DB34E92" w14:textId="2450F4EE" w:rsidR="00DE54C7" w:rsidRPr="000E1D82" w:rsidRDefault="00DE54C7" w:rsidP="00DE54C7">
      <w:pPr>
        <w:spacing w:after="200" w:line="276" w:lineRule="auto"/>
        <w:jc w:val="both"/>
        <w:rPr>
          <w:rFonts w:cs="Times New Roman"/>
          <w:noProof/>
          <w:lang w:eastAsia="en-IE"/>
        </w:rPr>
      </w:pPr>
      <w:r w:rsidRPr="000E1D82">
        <w:rPr>
          <w:rFonts w:cs="Times New Roman"/>
          <w:noProof/>
          <w:lang w:eastAsia="en-IE"/>
        </w:rPr>
        <w:t xml:space="preserve">Tackling cardiovascular diseases requires a </w:t>
      </w:r>
      <w:r>
        <w:rPr>
          <w:rFonts w:cs="Times New Roman"/>
          <w:noProof/>
          <w:lang w:eastAsia="en-IE"/>
        </w:rPr>
        <w:t xml:space="preserve">preventive, </w:t>
      </w:r>
      <w:r w:rsidRPr="000E1D82">
        <w:rPr>
          <w:rFonts w:cs="Times New Roman"/>
          <w:noProof/>
          <w:lang w:eastAsia="en-IE"/>
        </w:rPr>
        <w:t>cross-sectoral</w:t>
      </w:r>
      <w:r w:rsidRPr="000E1D82">
        <w:rPr>
          <w:rFonts w:cs="Times New Roman"/>
          <w:b/>
          <w:bCs/>
          <w:noProof/>
          <w:lang w:eastAsia="en-IE"/>
        </w:rPr>
        <w:t xml:space="preserve"> </w:t>
      </w:r>
      <w:r w:rsidRPr="000E1D82">
        <w:rPr>
          <w:rFonts w:cs="Times New Roman"/>
          <w:noProof/>
          <w:lang w:eastAsia="en-IE"/>
        </w:rPr>
        <w:t>and multi-stakeholder approach, in line with the One Health</w:t>
      </w:r>
      <w:r w:rsidRPr="000E1D82">
        <w:rPr>
          <w:rStyle w:val="FootnoteReference"/>
          <w:rFonts w:cs="Times New Roman"/>
          <w:noProof/>
          <w:lang w:eastAsia="en-IE"/>
        </w:rPr>
        <w:footnoteReference w:id="55"/>
      </w:r>
      <w:r w:rsidRPr="000E1D82">
        <w:rPr>
          <w:rFonts w:cs="Times New Roman"/>
          <w:noProof/>
          <w:lang w:eastAsia="en-IE"/>
        </w:rPr>
        <w:t xml:space="preserve"> approach</w:t>
      </w:r>
      <w:r>
        <w:rPr>
          <w:rFonts w:cs="Times New Roman"/>
          <w:noProof/>
          <w:lang w:eastAsia="en-IE"/>
        </w:rPr>
        <w:t xml:space="preserve">, </w:t>
      </w:r>
      <w:r w:rsidRPr="001427AF">
        <w:rPr>
          <w:rFonts w:cs="Times New Roman"/>
          <w:noProof/>
          <w:lang w:eastAsia="en-IE"/>
        </w:rPr>
        <w:t>which is based on the interconnection and interdependence between the health of humans, animals, plants and the wider environment.</w:t>
      </w:r>
      <w:r w:rsidRPr="000E1D82">
        <w:rPr>
          <w:rFonts w:cs="Times New Roman"/>
          <w:noProof/>
          <w:lang w:eastAsia="en-IE"/>
        </w:rPr>
        <w:t xml:space="preserve"> The plan puts patients and citizens at its centre and </w:t>
      </w:r>
      <w:r w:rsidRPr="000E1D82">
        <w:rPr>
          <w:rFonts w:eastAsia="Times New Roman" w:cs="Times New Roman"/>
          <w:noProof/>
          <w:lang w:eastAsia="en-IE"/>
        </w:rPr>
        <w:t xml:space="preserve">aims to complement national policies and promote efficiency and competitiveness through </w:t>
      </w:r>
      <w:r>
        <w:rPr>
          <w:rFonts w:eastAsia="Times New Roman" w:cs="Times New Roman"/>
          <w:noProof/>
          <w:lang w:eastAsia="en-IE"/>
        </w:rPr>
        <w:t>collaborative</w:t>
      </w:r>
      <w:r w:rsidRPr="00F90615">
        <w:rPr>
          <w:rFonts w:eastAsia="Times New Roman" w:cs="Times New Roman"/>
          <w:noProof/>
          <w:lang w:eastAsia="en-IE"/>
        </w:rPr>
        <w:t xml:space="preserve"> research and innovation</w:t>
      </w:r>
      <w:r>
        <w:rPr>
          <w:rFonts w:eastAsia="Times New Roman" w:cs="Times New Roman"/>
          <w:noProof/>
          <w:lang w:eastAsia="en-IE"/>
        </w:rPr>
        <w:t>.</w:t>
      </w:r>
    </w:p>
    <w:p w14:paraId="12DA3718" w14:textId="7AB4F63C" w:rsidR="00DE54C7" w:rsidRDefault="00DE54C7" w:rsidP="00DE54C7">
      <w:pPr>
        <w:spacing w:after="200" w:line="276" w:lineRule="auto"/>
        <w:jc w:val="both"/>
        <w:rPr>
          <w:rFonts w:cs="Times New Roman"/>
          <w:noProof/>
          <w:lang w:eastAsia="en-IE"/>
        </w:rPr>
      </w:pPr>
      <w:r w:rsidRPr="000E1D82">
        <w:rPr>
          <w:rFonts w:cs="Times New Roman"/>
          <w:noProof/>
          <w:lang w:eastAsia="en-IE"/>
        </w:rPr>
        <w:t xml:space="preserve">The </w:t>
      </w:r>
      <w:r>
        <w:rPr>
          <w:rFonts w:cs="Times New Roman"/>
          <w:noProof/>
          <w:lang w:eastAsia="en-IE"/>
        </w:rPr>
        <w:t>Safe Hearts Plan</w:t>
      </w:r>
      <w:r w:rsidRPr="000E1D82">
        <w:rPr>
          <w:rFonts w:cs="Times New Roman"/>
          <w:noProof/>
          <w:lang w:eastAsia="en-IE"/>
        </w:rPr>
        <w:t xml:space="preserve"> is built on </w:t>
      </w:r>
      <w:r>
        <w:rPr>
          <w:rFonts w:cs="Times New Roman"/>
          <w:b/>
          <w:bCs/>
          <w:noProof/>
          <w:lang w:eastAsia="en-IE"/>
        </w:rPr>
        <w:t xml:space="preserve">three </w:t>
      </w:r>
      <w:r w:rsidRPr="000E1D82">
        <w:rPr>
          <w:rFonts w:cs="Times New Roman"/>
          <w:b/>
          <w:bCs/>
          <w:noProof/>
          <w:lang w:eastAsia="en-IE"/>
        </w:rPr>
        <w:t>key pillars</w:t>
      </w:r>
      <w:r>
        <w:rPr>
          <w:rFonts w:cs="Times New Roman"/>
          <w:b/>
          <w:bCs/>
          <w:noProof/>
          <w:lang w:eastAsia="en-IE"/>
        </w:rPr>
        <w:t xml:space="preserve"> across the entire cardiovascular patient pathway</w:t>
      </w:r>
      <w:r w:rsidRPr="000E1D82">
        <w:rPr>
          <w:rFonts w:cs="Times New Roman"/>
          <w:noProof/>
          <w:lang w:eastAsia="en-IE"/>
        </w:rPr>
        <w:t xml:space="preserve">: (1) prevention; (2) early detection and screening; and (3) treatment and care, including rehabilitation. </w:t>
      </w:r>
    </w:p>
    <w:p w14:paraId="58805787" w14:textId="0B574E71" w:rsidR="00DE54C7" w:rsidRDefault="00DE54C7" w:rsidP="00914153">
      <w:pPr>
        <w:spacing w:after="60" w:line="276" w:lineRule="auto"/>
        <w:jc w:val="both"/>
        <w:rPr>
          <w:rFonts w:cs="Times New Roman"/>
          <w:noProof/>
          <w:lang w:eastAsia="en-IE"/>
        </w:rPr>
      </w:pPr>
      <w:r w:rsidRPr="000E1D82">
        <w:rPr>
          <w:rFonts w:cs="Times New Roman"/>
          <w:noProof/>
          <w:lang w:eastAsia="en-IE"/>
        </w:rPr>
        <w:t xml:space="preserve">These are supported by </w:t>
      </w:r>
      <w:r>
        <w:rPr>
          <w:rFonts w:cs="Times New Roman"/>
          <w:noProof/>
          <w:lang w:eastAsia="en-IE"/>
        </w:rPr>
        <w:t xml:space="preserve">three </w:t>
      </w:r>
      <w:r w:rsidRPr="000E1D82">
        <w:rPr>
          <w:rFonts w:cs="Times New Roman"/>
          <w:b/>
          <w:bCs/>
          <w:noProof/>
          <w:lang w:eastAsia="en-IE"/>
        </w:rPr>
        <w:t>cross-cutting themes:</w:t>
      </w:r>
      <w:r w:rsidRPr="000E1D82">
        <w:rPr>
          <w:rFonts w:cs="Times New Roman"/>
          <w:noProof/>
          <w:lang w:eastAsia="en-IE"/>
        </w:rPr>
        <w:t xml:space="preserve"> </w:t>
      </w:r>
    </w:p>
    <w:p w14:paraId="4EAABEA4" w14:textId="2A5A26AF" w:rsidR="00DE54C7" w:rsidRDefault="00DE54C7" w:rsidP="00914153">
      <w:pPr>
        <w:spacing w:after="60" w:line="276" w:lineRule="auto"/>
        <w:jc w:val="both"/>
        <w:rPr>
          <w:rFonts w:cs="Times New Roman"/>
          <w:noProof/>
        </w:rPr>
      </w:pPr>
      <w:r w:rsidRPr="000E1D82">
        <w:rPr>
          <w:rFonts w:cs="Times New Roman"/>
          <w:noProof/>
          <w:lang w:eastAsia="en-IE"/>
        </w:rPr>
        <w:t xml:space="preserve">(1) </w:t>
      </w:r>
      <w:r w:rsidRPr="000E1D82">
        <w:rPr>
          <w:rFonts w:cs="Times New Roman"/>
          <w:noProof/>
        </w:rPr>
        <w:t xml:space="preserve">the promising opportunities offered by digital solutions, including AI technologies and personalised </w:t>
      </w:r>
      <w:r>
        <w:rPr>
          <w:rFonts w:cs="Times New Roman"/>
          <w:noProof/>
        </w:rPr>
        <w:t>medicine approaches</w:t>
      </w:r>
      <w:r w:rsidRPr="000E1D82">
        <w:rPr>
          <w:rFonts w:cs="Times New Roman"/>
          <w:noProof/>
        </w:rPr>
        <w:t xml:space="preserve">; </w:t>
      </w:r>
    </w:p>
    <w:p w14:paraId="0760894D" w14:textId="193BAE1B" w:rsidR="00DE54C7" w:rsidRDefault="00DE54C7" w:rsidP="00914153">
      <w:pPr>
        <w:spacing w:after="60" w:line="276" w:lineRule="auto"/>
        <w:jc w:val="both"/>
        <w:rPr>
          <w:rFonts w:cs="Times New Roman"/>
          <w:noProof/>
        </w:rPr>
      </w:pPr>
      <w:r w:rsidRPr="000E1D82">
        <w:rPr>
          <w:rFonts w:cs="Times New Roman"/>
          <w:noProof/>
        </w:rPr>
        <w:t>(2) addressing the research and innovation gap</w:t>
      </w:r>
      <w:r>
        <w:rPr>
          <w:rFonts w:cs="Times New Roman"/>
          <w:noProof/>
        </w:rPr>
        <w:t>s</w:t>
      </w:r>
      <w:r w:rsidRPr="000E1D82">
        <w:rPr>
          <w:rFonts w:cs="Times New Roman"/>
          <w:noProof/>
        </w:rPr>
        <w:t xml:space="preserve"> across the entire </w:t>
      </w:r>
      <w:r>
        <w:rPr>
          <w:rFonts w:cs="Times New Roman"/>
          <w:noProof/>
        </w:rPr>
        <w:t xml:space="preserve">cardiovascular health </w:t>
      </w:r>
      <w:r w:rsidRPr="000E1D82">
        <w:rPr>
          <w:rFonts w:cs="Times New Roman"/>
          <w:noProof/>
        </w:rPr>
        <w:t xml:space="preserve">pathway as a key driver for high quality knowledge, information and </w:t>
      </w:r>
      <w:r w:rsidRPr="00FC758E">
        <w:rPr>
          <w:rFonts w:cs="Times New Roman"/>
          <w:noProof/>
        </w:rPr>
        <w:t xml:space="preserve">healthcare solutions as well as </w:t>
      </w:r>
      <w:r w:rsidRPr="000E1D82">
        <w:rPr>
          <w:rFonts w:cs="Times New Roman"/>
          <w:noProof/>
        </w:rPr>
        <w:t xml:space="preserve">digital </w:t>
      </w:r>
      <w:r w:rsidRPr="00FC758E">
        <w:rPr>
          <w:rFonts w:cs="Times New Roman"/>
          <w:noProof/>
        </w:rPr>
        <w:t>tools</w:t>
      </w:r>
      <w:r w:rsidRPr="000E1D82">
        <w:rPr>
          <w:rFonts w:cs="Times New Roman"/>
          <w:noProof/>
        </w:rPr>
        <w:t xml:space="preserve">; and </w:t>
      </w:r>
    </w:p>
    <w:p w14:paraId="1D7FFBC8" w14:textId="2192F6A3" w:rsidR="00DE54C7" w:rsidRDefault="00DE54C7" w:rsidP="00DE54C7">
      <w:pPr>
        <w:spacing w:after="200" w:line="276" w:lineRule="auto"/>
        <w:jc w:val="both"/>
        <w:rPr>
          <w:rFonts w:cs="Times New Roman"/>
          <w:noProof/>
          <w:lang w:eastAsia="en-IE"/>
        </w:rPr>
      </w:pPr>
      <w:r w:rsidRPr="000E1D82">
        <w:rPr>
          <w:rFonts w:cs="Times New Roman"/>
          <w:noProof/>
        </w:rPr>
        <w:t xml:space="preserve">(3) reaching every citizen </w:t>
      </w:r>
      <w:r>
        <w:rPr>
          <w:rFonts w:cs="Times New Roman"/>
          <w:noProof/>
        </w:rPr>
        <w:t>because</w:t>
      </w:r>
      <w:r w:rsidRPr="000E1D82">
        <w:rPr>
          <w:rFonts w:cs="Times New Roman"/>
          <w:noProof/>
        </w:rPr>
        <w:t xml:space="preserve"> inequalities exist between countries and regions, population groups and genders.</w:t>
      </w:r>
      <w:r w:rsidRPr="000E1D82">
        <w:rPr>
          <w:rFonts w:cs="Times New Roman"/>
          <w:noProof/>
          <w:lang w:eastAsia="en-IE"/>
        </w:rPr>
        <w:t xml:space="preserve"> </w:t>
      </w:r>
    </w:p>
    <w:p w14:paraId="51EAF2F5" w14:textId="1E0C80DE" w:rsidR="00DE54C7" w:rsidRPr="000E1D82" w:rsidRDefault="00DE54C7" w:rsidP="00DE54C7">
      <w:pPr>
        <w:spacing w:after="200" w:line="276" w:lineRule="auto"/>
        <w:jc w:val="both"/>
        <w:rPr>
          <w:rFonts w:cs="Times New Roman"/>
          <w:noProof/>
          <w:szCs w:val="24"/>
        </w:rPr>
      </w:pPr>
      <w:r w:rsidRPr="000E1D82">
        <w:rPr>
          <w:rFonts w:cs="Times New Roman"/>
          <w:noProof/>
        </w:rPr>
        <w:t xml:space="preserve">Each pillar includes </w:t>
      </w:r>
      <w:r w:rsidRPr="000E1D82">
        <w:rPr>
          <w:rFonts w:cs="Times New Roman"/>
          <w:b/>
          <w:bCs/>
          <w:noProof/>
          <w:lang w:eastAsia="en-IE"/>
        </w:rPr>
        <w:t>flagship initiatives</w:t>
      </w:r>
      <w:r w:rsidRPr="000E1D82">
        <w:rPr>
          <w:rFonts w:cs="Times New Roman"/>
          <w:noProof/>
        </w:rPr>
        <w:t xml:space="preserve"> and other actions, where EU-level action can bring added value, while </w:t>
      </w:r>
      <w:r>
        <w:rPr>
          <w:rFonts w:cs="Times New Roman"/>
          <w:noProof/>
        </w:rPr>
        <w:t xml:space="preserve">also </w:t>
      </w:r>
      <w:r w:rsidRPr="000E1D82">
        <w:rPr>
          <w:rFonts w:cs="Times New Roman"/>
          <w:noProof/>
        </w:rPr>
        <w:t xml:space="preserve">respecting national competences in health policy.  </w:t>
      </w:r>
    </w:p>
    <w:p w14:paraId="2D91E647" w14:textId="0BDB36F0" w:rsidR="00370C7B" w:rsidRDefault="00DE54C7" w:rsidP="004D514A">
      <w:pPr>
        <w:spacing w:before="60" w:after="60" w:line="276" w:lineRule="auto"/>
        <w:jc w:val="both"/>
        <w:rPr>
          <w:rFonts w:eastAsia="Times New Roman" w:cs="Times New Roman"/>
          <w:noProof/>
        </w:rPr>
      </w:pPr>
      <w:bookmarkStart w:id="5" w:name="_Hlk216168950"/>
      <w:r w:rsidRPr="00370C7B">
        <w:rPr>
          <w:rFonts w:eastAsia="Times New Roman" w:cs="Times New Roman"/>
          <w:noProof/>
        </w:rPr>
        <w:t>With these initiatives the EU will aim to reach the following target</w:t>
      </w:r>
      <w:r w:rsidR="00370C7B">
        <w:rPr>
          <w:rFonts w:eastAsia="Times New Roman" w:cs="Times New Roman"/>
          <w:noProof/>
        </w:rPr>
        <w:t>s</w:t>
      </w:r>
      <w:r w:rsidR="00F0709D">
        <w:rPr>
          <w:rFonts w:eastAsia="Times New Roman" w:cs="Times New Roman"/>
          <w:noProof/>
        </w:rPr>
        <w:t>,</w:t>
      </w:r>
      <w:r w:rsidRPr="00370C7B">
        <w:rPr>
          <w:rStyle w:val="FootnoteReference"/>
          <w:rFonts w:eastAsia="Times New Roman" w:cs="Times New Roman"/>
          <w:noProof/>
        </w:rPr>
        <w:footnoteReference w:id="56"/>
      </w:r>
      <w:r w:rsidRPr="00370C7B">
        <w:rPr>
          <w:rFonts w:eastAsia="Times New Roman" w:cs="Times New Roman"/>
          <w:noProof/>
        </w:rPr>
        <w:t xml:space="preserve"> by 2035</w:t>
      </w:r>
      <w:r w:rsidR="000A0914">
        <w:rPr>
          <w:rFonts w:eastAsia="Times New Roman" w:cs="Times New Roman"/>
          <w:noProof/>
        </w:rPr>
        <w:t>:</w:t>
      </w:r>
      <w:r w:rsidR="004D514A" w:rsidRPr="00370C7B">
        <w:rPr>
          <w:rFonts w:eastAsia="Times New Roman" w:cs="Times New Roman"/>
          <w:noProof/>
        </w:rPr>
        <w:t xml:space="preserve"> </w:t>
      </w:r>
    </w:p>
    <w:p w14:paraId="60476ACB" w14:textId="30DBE237" w:rsidR="00DE54C7" w:rsidRDefault="00DE54C7" w:rsidP="00096A0A">
      <w:pPr>
        <w:pStyle w:val="ListParagraph"/>
        <w:numPr>
          <w:ilvl w:val="0"/>
          <w:numId w:val="126"/>
        </w:numPr>
        <w:spacing w:before="60" w:after="60" w:line="276" w:lineRule="auto"/>
        <w:jc w:val="both"/>
        <w:rPr>
          <w:rFonts w:eastAsia="Times New Roman" w:cs="Times New Roman"/>
          <w:noProof/>
        </w:rPr>
      </w:pPr>
      <w:r w:rsidRPr="00096A0A">
        <w:rPr>
          <w:rFonts w:eastAsia="Times New Roman" w:cs="Times New Roman"/>
          <w:noProof/>
        </w:rPr>
        <w:t xml:space="preserve">cardiovascular premature mortality to decrease by </w:t>
      </w:r>
      <w:r w:rsidR="004D514A" w:rsidRPr="00096A0A">
        <w:rPr>
          <w:rFonts w:eastAsia="Times New Roman" w:cs="Times New Roman"/>
          <w:noProof/>
        </w:rPr>
        <w:t>25</w:t>
      </w:r>
      <w:r w:rsidRPr="00096A0A">
        <w:rPr>
          <w:rFonts w:eastAsia="Times New Roman" w:cs="Times New Roman"/>
          <w:noProof/>
        </w:rPr>
        <w:t>% with 2022 as the baseline year</w:t>
      </w:r>
      <w:r w:rsidRPr="00370C7B">
        <w:rPr>
          <w:rStyle w:val="FootnoteReference"/>
          <w:rFonts w:eastAsia="Times New Roman" w:cs="Times New Roman"/>
          <w:noProof/>
        </w:rPr>
        <w:footnoteReference w:id="57"/>
      </w:r>
      <w:r w:rsidR="00096A0A">
        <w:rPr>
          <w:rFonts w:eastAsia="Times New Roman" w:cs="Times New Roman"/>
          <w:noProof/>
        </w:rPr>
        <w:t>;</w:t>
      </w:r>
    </w:p>
    <w:p w14:paraId="397FE3DE" w14:textId="7D7B08BF" w:rsidR="005804EF" w:rsidRPr="00E55438" w:rsidRDefault="005804EF">
      <w:pPr>
        <w:pStyle w:val="ListParagraph"/>
        <w:numPr>
          <w:ilvl w:val="0"/>
          <w:numId w:val="126"/>
        </w:numPr>
        <w:spacing w:before="60" w:after="60" w:line="276" w:lineRule="auto"/>
        <w:jc w:val="both"/>
        <w:rPr>
          <w:rFonts w:eastAsia="Times New Roman" w:cs="Times New Roman"/>
          <w:noProof/>
        </w:rPr>
      </w:pPr>
      <w:r w:rsidRPr="00E4479F">
        <w:rPr>
          <w:rFonts w:eastAsia="Times New Roman" w:cs="Times New Roman"/>
          <w:noProof/>
        </w:rPr>
        <w:t>at least 75% of people aged 25 to 64</w:t>
      </w:r>
      <w:r w:rsidRPr="00AD4EC2">
        <w:rPr>
          <w:rFonts w:eastAsia="Times New Roman" w:cs="Times New Roman"/>
          <w:noProof/>
        </w:rPr>
        <w:t>,</w:t>
      </w:r>
      <w:r w:rsidRPr="00E4479F">
        <w:rPr>
          <w:rFonts w:eastAsia="Times New Roman" w:cs="Times New Roman"/>
          <w:noProof/>
        </w:rPr>
        <w:t xml:space="preserve"> and at least 90% of people aged 65 and older</w:t>
      </w:r>
      <w:r w:rsidRPr="00AD4EC2">
        <w:rPr>
          <w:rFonts w:eastAsia="Times New Roman" w:cs="Times New Roman"/>
          <w:noProof/>
        </w:rPr>
        <w:t>,</w:t>
      </w:r>
      <w:r w:rsidRPr="00E4479F">
        <w:rPr>
          <w:rFonts w:eastAsia="Times New Roman" w:cs="Times New Roman"/>
          <w:noProof/>
        </w:rPr>
        <w:t xml:space="preserve"> have their blood pressure measured once a year by a health professional</w:t>
      </w:r>
      <w:r w:rsidR="00E55438">
        <w:rPr>
          <w:rStyle w:val="FootnoteReference"/>
          <w:rFonts w:eastAsia="Times New Roman" w:cs="Times New Roman"/>
          <w:noProof/>
        </w:rPr>
        <w:footnoteReference w:id="58"/>
      </w:r>
      <w:r w:rsidRPr="00E55438">
        <w:rPr>
          <w:rFonts w:eastAsia="Times New Roman" w:cs="Times New Roman"/>
          <w:noProof/>
        </w:rPr>
        <w:t>;</w:t>
      </w:r>
    </w:p>
    <w:p w14:paraId="4F582088" w14:textId="3725AE5B" w:rsidR="005804EF" w:rsidRPr="00AD4EC2" w:rsidRDefault="005804EF">
      <w:pPr>
        <w:pStyle w:val="ListParagraph"/>
        <w:numPr>
          <w:ilvl w:val="0"/>
          <w:numId w:val="126"/>
        </w:numPr>
        <w:spacing w:before="60" w:after="60" w:line="276" w:lineRule="auto"/>
        <w:jc w:val="both"/>
        <w:rPr>
          <w:rFonts w:eastAsia="Times New Roman" w:cs="Times New Roman"/>
          <w:noProof/>
        </w:rPr>
      </w:pPr>
      <w:r w:rsidRPr="00E4479F">
        <w:rPr>
          <w:rFonts w:eastAsia="Times New Roman" w:cs="Times New Roman"/>
          <w:noProof/>
        </w:rPr>
        <w:t xml:space="preserve">at least 65% </w:t>
      </w:r>
      <w:r w:rsidR="00B06062" w:rsidRPr="00AD4EC2">
        <w:rPr>
          <w:rFonts w:eastAsia="Times New Roman" w:cs="Times New Roman"/>
          <w:noProof/>
        </w:rPr>
        <w:t xml:space="preserve">of </w:t>
      </w:r>
      <w:r w:rsidRPr="00E4479F">
        <w:rPr>
          <w:rFonts w:eastAsia="Times New Roman" w:cs="Times New Roman"/>
          <w:noProof/>
        </w:rPr>
        <w:t>people aged 25 to 64</w:t>
      </w:r>
      <w:r w:rsidRPr="00AD4EC2">
        <w:rPr>
          <w:rFonts w:eastAsia="Times New Roman" w:cs="Times New Roman"/>
          <w:noProof/>
        </w:rPr>
        <w:t>,</w:t>
      </w:r>
      <w:r w:rsidRPr="00E4479F">
        <w:rPr>
          <w:rFonts w:eastAsia="Times New Roman" w:cs="Times New Roman"/>
          <w:noProof/>
        </w:rPr>
        <w:t xml:space="preserve"> and at least 80% of people aged 65 and older</w:t>
      </w:r>
      <w:r w:rsidRPr="00AD4EC2">
        <w:rPr>
          <w:rFonts w:eastAsia="Times New Roman" w:cs="Times New Roman"/>
          <w:noProof/>
        </w:rPr>
        <w:t>,</w:t>
      </w:r>
      <w:r w:rsidRPr="00E4479F">
        <w:rPr>
          <w:rFonts w:eastAsia="Times New Roman" w:cs="Times New Roman"/>
          <w:noProof/>
        </w:rPr>
        <w:t xml:space="preserve"> have their cholesterol measured once a year by a health professional</w:t>
      </w:r>
      <w:r w:rsidRPr="00AD4EC2">
        <w:rPr>
          <w:rStyle w:val="FootnoteReference"/>
          <w:rFonts w:eastAsia="Times New Roman" w:cs="Times New Roman"/>
          <w:noProof/>
        </w:rPr>
        <w:footnoteReference w:id="59"/>
      </w:r>
      <w:r w:rsidRPr="00AD4EC2">
        <w:rPr>
          <w:rFonts w:eastAsia="Times New Roman" w:cs="Times New Roman"/>
          <w:noProof/>
        </w:rPr>
        <w:t>;</w:t>
      </w:r>
    </w:p>
    <w:p w14:paraId="2ED8E7BB" w14:textId="04DFB0FD" w:rsidR="00DE54C7" w:rsidRPr="001202CB" w:rsidRDefault="005804EF">
      <w:pPr>
        <w:pStyle w:val="ListParagraph"/>
        <w:numPr>
          <w:ilvl w:val="0"/>
          <w:numId w:val="126"/>
        </w:numPr>
        <w:spacing w:before="60" w:after="60" w:line="276" w:lineRule="auto"/>
        <w:ind w:left="714" w:hanging="357"/>
        <w:contextualSpacing w:val="0"/>
        <w:jc w:val="both"/>
        <w:rPr>
          <w:rFonts w:eastAsia="Times New Roman" w:cs="Times New Roman"/>
          <w:strike/>
          <w:noProof/>
          <w:szCs w:val="24"/>
        </w:rPr>
      </w:pPr>
      <w:r w:rsidRPr="00E4479F">
        <w:rPr>
          <w:rFonts w:eastAsia="Times New Roman" w:cs="Times New Roman"/>
          <w:noProof/>
        </w:rPr>
        <w:t>at least 65% of people aged 25 to 64</w:t>
      </w:r>
      <w:r w:rsidRPr="00AD4EC2">
        <w:rPr>
          <w:rFonts w:eastAsia="Times New Roman" w:cs="Times New Roman"/>
          <w:noProof/>
        </w:rPr>
        <w:t>,</w:t>
      </w:r>
      <w:r w:rsidRPr="00E4479F">
        <w:rPr>
          <w:rFonts w:eastAsia="Times New Roman" w:cs="Times New Roman"/>
          <w:noProof/>
        </w:rPr>
        <w:t xml:space="preserve"> and at least 80% of people aged 65 and older</w:t>
      </w:r>
      <w:r w:rsidRPr="00AD4EC2">
        <w:rPr>
          <w:rFonts w:eastAsia="Times New Roman" w:cs="Times New Roman"/>
          <w:noProof/>
        </w:rPr>
        <w:t>,</w:t>
      </w:r>
      <w:r w:rsidRPr="00E4479F">
        <w:rPr>
          <w:rFonts w:eastAsia="Times New Roman" w:cs="Times New Roman"/>
          <w:noProof/>
        </w:rPr>
        <w:t xml:space="preserve"> have their blood sugar measured once a year by a health professional</w:t>
      </w:r>
      <w:r w:rsidRPr="00AD4EC2">
        <w:rPr>
          <w:rStyle w:val="FootnoteReference"/>
          <w:rFonts w:eastAsia="Times New Roman" w:cs="Times New Roman"/>
          <w:noProof/>
        </w:rPr>
        <w:footnoteReference w:id="60"/>
      </w:r>
      <w:r w:rsidRPr="00AD4EC2">
        <w:rPr>
          <w:rFonts w:eastAsia="Times New Roman" w:cs="Times New Roman"/>
          <w:noProof/>
        </w:rPr>
        <w:t>.</w:t>
      </w:r>
      <w:r w:rsidRPr="00E4479F">
        <w:rPr>
          <w:rFonts w:eastAsia="Times New Roman" w:cs="Times New Roman"/>
          <w:noProof/>
        </w:rPr>
        <w:t xml:space="preserve"> </w:t>
      </w:r>
    </w:p>
    <w:bookmarkEnd w:id="5"/>
    <w:p w14:paraId="523EBFA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Pillar 1: Prevention - a life course and personalised approach</w:t>
      </w:r>
    </w:p>
    <w:p w14:paraId="4C4C72BE" w14:textId="77777777" w:rsidR="00DE54C7" w:rsidRPr="000E1D82" w:rsidRDefault="00DE54C7" w:rsidP="00DE54C7">
      <w:pPr>
        <w:jc w:val="both"/>
        <w:rPr>
          <w:rFonts w:cs="Times New Roman"/>
          <w:noProof/>
        </w:rPr>
      </w:pPr>
      <w:r w:rsidRPr="000E1D82">
        <w:rPr>
          <w:rFonts w:cs="Times New Roman"/>
          <w:b/>
          <w:bCs/>
          <w:noProof/>
        </w:rPr>
        <w:t xml:space="preserve">Prevention is the most cost-effective way </w:t>
      </w:r>
      <w:r w:rsidRPr="000E1D82">
        <w:rPr>
          <w:rFonts w:cs="Times New Roman"/>
          <w:noProof/>
        </w:rPr>
        <w:t xml:space="preserve">of addressing the significant burden of </w:t>
      </w:r>
      <w:r w:rsidRPr="000E1D82">
        <w:rPr>
          <w:rFonts w:cs="Times New Roman"/>
          <w:b/>
          <w:bCs/>
          <w:noProof/>
        </w:rPr>
        <w:t>cardiovascular diseases</w:t>
      </w:r>
      <w:r w:rsidRPr="000E1D82">
        <w:rPr>
          <w:rFonts w:cs="Times New Roman"/>
          <w:noProof/>
        </w:rPr>
        <w:t xml:space="preserve"> and the major risk factors, such as </w:t>
      </w:r>
      <w:r w:rsidRPr="000E1D82">
        <w:rPr>
          <w:rFonts w:cs="Times New Roman"/>
          <w:b/>
          <w:bCs/>
          <w:noProof/>
        </w:rPr>
        <w:t>diabetes</w:t>
      </w:r>
      <w:r w:rsidRPr="000E1D82">
        <w:rPr>
          <w:rFonts w:cs="Times New Roman"/>
          <w:noProof/>
        </w:rPr>
        <w:t xml:space="preserve"> and </w:t>
      </w:r>
      <w:r w:rsidRPr="000E1D82">
        <w:rPr>
          <w:rFonts w:cs="Times New Roman"/>
          <w:b/>
          <w:bCs/>
          <w:noProof/>
        </w:rPr>
        <w:t>obesity.</w:t>
      </w:r>
      <w:r w:rsidRPr="000E1D82">
        <w:rPr>
          <w:rFonts w:cs="Times New Roman"/>
          <w:noProof/>
        </w:rPr>
        <w:t xml:space="preserve"> </w:t>
      </w:r>
    </w:p>
    <w:p w14:paraId="2BDAB885" w14:textId="29E33B76" w:rsidR="00DE54C7" w:rsidRDefault="00DE54C7" w:rsidP="00DE54C7">
      <w:pPr>
        <w:jc w:val="both"/>
        <w:rPr>
          <w:rFonts w:cs="Times New Roman"/>
          <w:noProof/>
        </w:rPr>
      </w:pPr>
      <w:r w:rsidRPr="000E1D82">
        <w:rPr>
          <w:rFonts w:cs="Times New Roman"/>
          <w:noProof/>
        </w:rPr>
        <w:t xml:space="preserve">Cardiovascular diseases are largely preventable through targeted action on key modifiable </w:t>
      </w:r>
      <w:r>
        <w:rPr>
          <w:rFonts w:cs="Times New Roman"/>
          <w:noProof/>
        </w:rPr>
        <w:t xml:space="preserve">risk </w:t>
      </w:r>
      <w:r w:rsidRPr="000E1D82">
        <w:rPr>
          <w:rFonts w:cs="Times New Roman"/>
          <w:noProof/>
        </w:rPr>
        <w:t>factors</w:t>
      </w:r>
      <w:r>
        <w:rPr>
          <w:rFonts w:cs="Times New Roman"/>
          <w:noProof/>
        </w:rPr>
        <w:t xml:space="preserve"> (e.g. </w:t>
      </w:r>
      <w:r w:rsidRPr="000E1D82">
        <w:rPr>
          <w:rFonts w:cs="Times New Roman"/>
          <w:noProof/>
        </w:rPr>
        <w:t xml:space="preserve">diet, physical activity, tobacco and </w:t>
      </w:r>
      <w:r w:rsidRPr="004533E4">
        <w:rPr>
          <w:rFonts w:cs="Times New Roman"/>
          <w:noProof/>
        </w:rPr>
        <w:t xml:space="preserve">harmful </w:t>
      </w:r>
      <w:r w:rsidRPr="00914153">
        <w:rPr>
          <w:rFonts w:cs="Times New Roman"/>
          <w:noProof/>
        </w:rPr>
        <w:t xml:space="preserve">use of </w:t>
      </w:r>
      <w:r w:rsidRPr="004533E4">
        <w:rPr>
          <w:rFonts w:cs="Times New Roman"/>
          <w:noProof/>
        </w:rPr>
        <w:t>alcohol</w:t>
      </w:r>
      <w:r>
        <w:rPr>
          <w:rFonts w:cs="Times New Roman"/>
          <w:noProof/>
        </w:rPr>
        <w:t>)</w:t>
      </w:r>
      <w:r w:rsidRPr="000E1D82">
        <w:rPr>
          <w:rFonts w:cs="Times New Roman"/>
          <w:noProof/>
        </w:rPr>
        <w:t>.</w:t>
      </w:r>
      <w:r>
        <w:rPr>
          <w:rFonts w:cs="Times New Roman"/>
          <w:noProof/>
        </w:rPr>
        <w:t xml:space="preserve"> </w:t>
      </w:r>
      <w:r w:rsidRPr="000E1D82">
        <w:rPr>
          <w:rFonts w:cs="Times New Roman"/>
          <w:noProof/>
        </w:rPr>
        <w:t xml:space="preserve">Environmental and public health measures, </w:t>
      </w:r>
      <w:r w:rsidRPr="004533E4">
        <w:rPr>
          <w:rFonts w:cs="Times New Roman"/>
          <w:noProof/>
        </w:rPr>
        <w:t xml:space="preserve">such as reducing exposure to pollution and climatic stressors </w:t>
      </w:r>
      <w:r w:rsidRPr="000E1D82">
        <w:rPr>
          <w:rFonts w:cs="Times New Roman"/>
          <w:noProof/>
        </w:rPr>
        <w:t xml:space="preserve">also play a crucial role in lowering cardiovascular risk especially in vulnerable populations. </w:t>
      </w:r>
    </w:p>
    <w:p w14:paraId="00E58376" w14:textId="0D37476C" w:rsidR="00DE54C7" w:rsidRDefault="00DE54C7" w:rsidP="00DE54C7">
      <w:pPr>
        <w:jc w:val="both"/>
        <w:rPr>
          <w:rStyle w:val="Strong"/>
          <w:b w:val="0"/>
          <w:bCs w:val="0"/>
          <w:noProof/>
        </w:rPr>
      </w:pPr>
      <w:r w:rsidRPr="000E1D82">
        <w:rPr>
          <w:rFonts w:eastAsia="Times New Roman" w:cs="Times New Roman"/>
          <w:noProof/>
        </w:rPr>
        <w:t xml:space="preserve">To translate the potential of prevention into tangible action, the Commission will launch a new flagship programme on a lifelong, personalised and digitally enabled cardiovascular disease prevention </w:t>
      </w:r>
      <w:r>
        <w:rPr>
          <w:rFonts w:eastAsia="Times New Roman" w:cs="Times New Roman"/>
          <w:noProof/>
        </w:rPr>
        <w:t>–</w:t>
      </w:r>
      <w:r w:rsidRPr="000E1D82">
        <w:rPr>
          <w:rFonts w:eastAsia="Times New Roman" w:cs="Times New Roman"/>
          <w:noProof/>
        </w:rPr>
        <w:t xml:space="preserve"> </w:t>
      </w:r>
      <w:r>
        <w:rPr>
          <w:rFonts w:eastAsia="Times New Roman" w:cs="Times New Roman"/>
          <w:noProof/>
        </w:rPr>
        <w:t xml:space="preserve">the </w:t>
      </w:r>
      <w:r w:rsidRPr="000E1D82">
        <w:rPr>
          <w:rFonts w:eastAsia="Calibri" w:cs="Times New Roman"/>
          <w:noProof/>
        </w:rPr>
        <w:t>‘</w:t>
      </w:r>
      <w:r w:rsidRPr="000E1D82">
        <w:rPr>
          <w:rStyle w:val="Strong"/>
          <w:rFonts w:cs="Times New Roman"/>
          <w:noProof/>
        </w:rPr>
        <w:t xml:space="preserve">EU </w:t>
      </w:r>
      <w:r w:rsidRPr="000E1D82">
        <w:rPr>
          <w:rStyle w:val="Strong"/>
          <w:noProof/>
        </w:rPr>
        <w:t xml:space="preserve">cares for your heart’. </w:t>
      </w:r>
      <w:r w:rsidRPr="00914153">
        <w:rPr>
          <w:rStyle w:val="Strong"/>
          <w:b w:val="0"/>
          <w:bCs w:val="0"/>
          <w:noProof/>
        </w:rPr>
        <w:t>Th</w:t>
      </w:r>
      <w:r>
        <w:rPr>
          <w:rStyle w:val="Strong"/>
          <w:b w:val="0"/>
          <w:bCs w:val="0"/>
          <w:noProof/>
        </w:rPr>
        <w:t xml:space="preserve">e </w:t>
      </w:r>
      <w:r w:rsidRPr="00914153">
        <w:rPr>
          <w:rStyle w:val="Strong"/>
          <w:b w:val="0"/>
          <w:bCs w:val="0"/>
          <w:noProof/>
        </w:rPr>
        <w:t>flagship</w:t>
      </w:r>
      <w:r>
        <w:rPr>
          <w:rStyle w:val="Strong"/>
          <w:b w:val="0"/>
          <w:bCs w:val="0"/>
          <w:noProof/>
        </w:rPr>
        <w:t xml:space="preserve"> initiative will support Member States in capacity-building to develop or strengthen national cardiovascular health plans, and it will support Member States in their efforts to step up prevention, including </w:t>
      </w:r>
      <w:r w:rsidR="007E7755">
        <w:rPr>
          <w:rStyle w:val="Strong"/>
          <w:b w:val="0"/>
          <w:bCs w:val="0"/>
          <w:noProof/>
        </w:rPr>
        <w:t>using</w:t>
      </w:r>
      <w:r>
        <w:rPr>
          <w:rStyle w:val="Strong"/>
          <w:b w:val="0"/>
          <w:bCs w:val="0"/>
          <w:noProof/>
        </w:rPr>
        <w:t xml:space="preserve"> personalised approaches and digital tools. </w:t>
      </w:r>
    </w:p>
    <w:p w14:paraId="7FF101BB" w14:textId="46DC1699" w:rsidR="00DE54C7" w:rsidRDefault="00DE54C7" w:rsidP="00DE54C7">
      <w:pPr>
        <w:jc w:val="both"/>
        <w:rPr>
          <w:rFonts w:cs="Times New Roman"/>
          <w:noProof/>
        </w:rPr>
      </w:pPr>
      <w:r w:rsidRPr="00C20F34">
        <w:rPr>
          <w:noProof/>
        </w:rPr>
        <w:t xml:space="preserve">13 </w:t>
      </w:r>
      <w:r w:rsidRPr="002636E9">
        <w:rPr>
          <w:noProof/>
        </w:rPr>
        <w:t>Member States</w:t>
      </w:r>
      <w:r w:rsidRPr="002636E9">
        <w:rPr>
          <w:rFonts w:eastAsia="Times New Roman" w:cs="Times New Roman"/>
          <w:noProof/>
        </w:rPr>
        <w:t xml:space="preserve"> already have national cardiovascular health plans or strategies</w:t>
      </w:r>
      <w:r w:rsidRPr="002636E9">
        <w:rPr>
          <w:rStyle w:val="FootnoteReference"/>
          <w:rFonts w:eastAsia="Times New Roman" w:cs="Times New Roman"/>
          <w:noProof/>
        </w:rPr>
        <w:footnoteReference w:id="61"/>
      </w:r>
      <w:r w:rsidRPr="002636E9">
        <w:rPr>
          <w:rFonts w:eastAsia="Times New Roman" w:cs="Times New Roman"/>
          <w:noProof/>
        </w:rPr>
        <w:t xml:space="preserve">, </w:t>
      </w:r>
      <w:r>
        <w:rPr>
          <w:rFonts w:eastAsia="Times New Roman" w:cs="Times New Roman"/>
          <w:noProof/>
        </w:rPr>
        <w:t xml:space="preserve">and </w:t>
      </w:r>
      <w:r w:rsidRPr="002636E9">
        <w:rPr>
          <w:rFonts w:eastAsia="Times New Roman" w:cs="Times New Roman"/>
          <w:noProof/>
        </w:rPr>
        <w:t>this flagship programme</w:t>
      </w:r>
      <w:r>
        <w:rPr>
          <w:rFonts w:eastAsia="Times New Roman" w:cs="Times New Roman"/>
          <w:noProof/>
        </w:rPr>
        <w:t xml:space="preserve"> </w:t>
      </w:r>
      <w:r w:rsidRPr="000E1D82">
        <w:rPr>
          <w:rFonts w:eastAsia="Times New Roman" w:cs="Times New Roman"/>
          <w:noProof/>
        </w:rPr>
        <w:t xml:space="preserve">will support all </w:t>
      </w:r>
      <w:r>
        <w:rPr>
          <w:rFonts w:eastAsia="Times New Roman" w:cs="Times New Roman"/>
          <w:noProof/>
        </w:rPr>
        <w:t xml:space="preserve">27 </w:t>
      </w:r>
      <w:r w:rsidRPr="000E1D82">
        <w:rPr>
          <w:rFonts w:eastAsia="Times New Roman" w:cs="Times New Roman"/>
          <w:noProof/>
        </w:rPr>
        <w:t>Member States</w:t>
      </w:r>
      <w:r w:rsidRPr="000E1D82">
        <w:rPr>
          <w:rStyle w:val="FootnoteReference"/>
          <w:rFonts w:eastAsia="Times New Roman" w:cs="Times New Roman"/>
          <w:noProof/>
        </w:rPr>
        <w:footnoteReference w:id="62"/>
      </w:r>
      <w:r w:rsidRPr="000E1D82">
        <w:rPr>
          <w:rFonts w:eastAsia="Times New Roman" w:cs="Times New Roman"/>
          <w:noProof/>
        </w:rPr>
        <w:t xml:space="preserve"> in developing and implementing policies to reduce </w:t>
      </w:r>
      <w:r>
        <w:rPr>
          <w:rFonts w:eastAsia="Times New Roman" w:cs="Times New Roman"/>
          <w:noProof/>
        </w:rPr>
        <w:t xml:space="preserve">the </w:t>
      </w:r>
      <w:r w:rsidRPr="000E1D82">
        <w:rPr>
          <w:rFonts w:eastAsia="Times New Roman" w:cs="Times New Roman"/>
          <w:noProof/>
        </w:rPr>
        <w:t>cardiovascular disease</w:t>
      </w:r>
      <w:r>
        <w:rPr>
          <w:rFonts w:eastAsia="Times New Roman" w:cs="Times New Roman"/>
          <w:noProof/>
        </w:rPr>
        <w:t xml:space="preserve"> burden</w:t>
      </w:r>
      <w:r w:rsidRPr="000E1D82">
        <w:rPr>
          <w:rFonts w:eastAsia="Times New Roman" w:cs="Times New Roman"/>
          <w:noProof/>
        </w:rPr>
        <w:t>. Updated estimates on national spending on preventive cardiovascular health</w:t>
      </w:r>
      <w:r>
        <w:rPr>
          <w:rFonts w:eastAsia="Times New Roman" w:cs="Times New Roman"/>
          <w:noProof/>
        </w:rPr>
        <w:t xml:space="preserve"> will</w:t>
      </w:r>
      <w:r w:rsidRPr="000E1D82">
        <w:rPr>
          <w:rFonts w:eastAsia="Times New Roman" w:cs="Times New Roman"/>
          <w:noProof/>
        </w:rPr>
        <w:t xml:space="preserve">, through an EU-funded </w:t>
      </w:r>
      <w:r w:rsidRPr="00D34E22">
        <w:rPr>
          <w:rFonts w:eastAsia="Times New Roman" w:cs="Times New Roman"/>
          <w:noProof/>
        </w:rPr>
        <w:t>OECD project</w:t>
      </w:r>
      <w:r w:rsidRPr="00D34E22">
        <w:rPr>
          <w:rStyle w:val="FootnoteReference"/>
          <w:rFonts w:cs="Times New Roman"/>
          <w:noProof/>
        </w:rPr>
        <w:footnoteReference w:id="63"/>
      </w:r>
      <w:r w:rsidRPr="00D34E22">
        <w:rPr>
          <w:rFonts w:cs="Times New Roman"/>
          <w:noProof/>
        </w:rPr>
        <w:t>,</w:t>
      </w:r>
      <w:r w:rsidRPr="000E1D82">
        <w:rPr>
          <w:rFonts w:cs="Times New Roman"/>
          <w:noProof/>
        </w:rPr>
        <w:t xml:space="preserve"> allow </w:t>
      </w:r>
      <w:r>
        <w:rPr>
          <w:rFonts w:cs="Times New Roman"/>
          <w:noProof/>
        </w:rPr>
        <w:t xml:space="preserve">the </w:t>
      </w:r>
      <w:r w:rsidRPr="000E1D82">
        <w:rPr>
          <w:rFonts w:cs="Times New Roman"/>
          <w:noProof/>
        </w:rPr>
        <w:t xml:space="preserve">Member States to benchmark their investments, identify gaps and receive strategic guidance on how to allocate resources more efficiently. </w:t>
      </w:r>
    </w:p>
    <w:p w14:paraId="5BDC6828" w14:textId="4C73C51E" w:rsidR="00DE54C7" w:rsidRPr="000E1D82" w:rsidRDefault="00DE54C7" w:rsidP="00DE54C7">
      <w:pPr>
        <w:jc w:val="both"/>
        <w:rPr>
          <w:rFonts w:eastAsia="Times New Roman" w:cs="Times New Roman"/>
          <w:noProof/>
        </w:rPr>
      </w:pPr>
      <w:r w:rsidRPr="000E1D82">
        <w:rPr>
          <w:rFonts w:eastAsia="Times New Roman" w:cs="Times New Roman"/>
          <w:noProof/>
        </w:rPr>
        <w:t xml:space="preserve">The flagship </w:t>
      </w:r>
      <w:r>
        <w:rPr>
          <w:rFonts w:eastAsia="Times New Roman" w:cs="Times New Roman"/>
          <w:noProof/>
        </w:rPr>
        <w:t xml:space="preserve">programme </w:t>
      </w:r>
      <w:r w:rsidRPr="000E1D82">
        <w:rPr>
          <w:rFonts w:eastAsia="Times New Roman" w:cs="Times New Roman"/>
          <w:noProof/>
        </w:rPr>
        <w:t xml:space="preserve">will invest in supporting Member States </w:t>
      </w:r>
      <w:r>
        <w:rPr>
          <w:rFonts w:eastAsia="Times New Roman" w:cs="Times New Roman"/>
          <w:noProof/>
        </w:rPr>
        <w:t>in</w:t>
      </w:r>
      <w:r w:rsidRPr="000E1D82">
        <w:rPr>
          <w:rFonts w:eastAsia="Times New Roman" w:cs="Times New Roman"/>
          <w:noProof/>
        </w:rPr>
        <w:t xml:space="preserve"> improv</w:t>
      </w:r>
      <w:r>
        <w:rPr>
          <w:rFonts w:eastAsia="Times New Roman" w:cs="Times New Roman"/>
          <w:noProof/>
        </w:rPr>
        <w:t>ing</w:t>
      </w:r>
      <w:r w:rsidRPr="000E1D82">
        <w:rPr>
          <w:rFonts w:eastAsia="Times New Roman" w:cs="Times New Roman"/>
          <w:noProof/>
        </w:rPr>
        <w:t xml:space="preserve"> prevention, early detection and care</w:t>
      </w:r>
      <w:r>
        <w:rPr>
          <w:rFonts w:eastAsia="Times New Roman" w:cs="Times New Roman"/>
          <w:noProof/>
        </w:rPr>
        <w:t>. It</w:t>
      </w:r>
      <w:r w:rsidRPr="000E1D82">
        <w:rPr>
          <w:rFonts w:eastAsia="Times New Roman" w:cs="Times New Roman"/>
          <w:noProof/>
        </w:rPr>
        <w:t xml:space="preserve"> </w:t>
      </w:r>
      <w:r>
        <w:rPr>
          <w:rFonts w:eastAsia="Times New Roman" w:cs="Times New Roman"/>
          <w:noProof/>
        </w:rPr>
        <w:t xml:space="preserve">will </w:t>
      </w:r>
      <w:r w:rsidRPr="000E1D82">
        <w:rPr>
          <w:rFonts w:eastAsia="Times New Roman" w:cs="Times New Roman"/>
          <w:noProof/>
        </w:rPr>
        <w:t>us</w:t>
      </w:r>
      <w:r>
        <w:rPr>
          <w:rFonts w:eastAsia="Times New Roman" w:cs="Times New Roman"/>
          <w:noProof/>
        </w:rPr>
        <w:t>e</w:t>
      </w:r>
      <w:r w:rsidRPr="000E1D82">
        <w:rPr>
          <w:rFonts w:eastAsia="Times New Roman" w:cs="Times New Roman"/>
          <w:noProof/>
        </w:rPr>
        <w:t xml:space="preserve"> digital </w:t>
      </w:r>
      <w:r>
        <w:rPr>
          <w:rFonts w:eastAsia="Times New Roman" w:cs="Times New Roman"/>
          <w:noProof/>
        </w:rPr>
        <w:t xml:space="preserve">tools </w:t>
      </w:r>
      <w:r w:rsidRPr="000E1D82">
        <w:rPr>
          <w:rFonts w:eastAsia="Times New Roman" w:cs="Times New Roman"/>
          <w:noProof/>
        </w:rPr>
        <w:t xml:space="preserve">and personalised </w:t>
      </w:r>
      <w:r>
        <w:rPr>
          <w:rFonts w:eastAsia="Times New Roman" w:cs="Times New Roman"/>
          <w:noProof/>
        </w:rPr>
        <w:t>medicine approaches</w:t>
      </w:r>
      <w:r w:rsidRPr="000E1D82">
        <w:rPr>
          <w:rFonts w:eastAsia="Times New Roman" w:cs="Times New Roman"/>
          <w:noProof/>
        </w:rPr>
        <w:t xml:space="preserve">, especially for vulnerable groups. It will aim to empower patients and </w:t>
      </w:r>
      <w:r>
        <w:rPr>
          <w:rFonts w:eastAsia="Times New Roman" w:cs="Times New Roman"/>
          <w:noProof/>
        </w:rPr>
        <w:t xml:space="preserve">healthcare </w:t>
      </w:r>
      <w:r w:rsidRPr="000E1D82">
        <w:rPr>
          <w:rFonts w:eastAsia="Times New Roman" w:cs="Times New Roman"/>
          <w:noProof/>
        </w:rPr>
        <w:t xml:space="preserve">professionals with digital tools for improved prevention </w:t>
      </w:r>
      <w:r w:rsidRPr="000E1D82">
        <w:rPr>
          <w:rFonts w:cs="Times New Roman"/>
          <w:noProof/>
        </w:rPr>
        <w:t>and will invest in stakeholder-led targeted prevention and early detection actions</w:t>
      </w:r>
      <w:r w:rsidRPr="000E1D82">
        <w:rPr>
          <w:rStyle w:val="FootnoteReference"/>
          <w:rFonts w:eastAsia="Times New Roman" w:cs="Times New Roman"/>
          <w:noProof/>
        </w:rPr>
        <w:footnoteReference w:id="64"/>
      </w:r>
      <w:r w:rsidRPr="000E1D82">
        <w:rPr>
          <w:rFonts w:eastAsia="Times New Roman" w:cs="Times New Roman"/>
          <w:noProof/>
        </w:rPr>
        <w:t xml:space="preserve"> that </w:t>
      </w:r>
      <w:r>
        <w:rPr>
          <w:rFonts w:eastAsia="Times New Roman" w:cs="Times New Roman"/>
          <w:noProof/>
        </w:rPr>
        <w:t>include a focus</w:t>
      </w:r>
      <w:r w:rsidRPr="000E1D82">
        <w:rPr>
          <w:rFonts w:eastAsia="Times New Roman" w:cs="Times New Roman"/>
          <w:noProof/>
        </w:rPr>
        <w:t xml:space="preserve"> on vulnerable groups</w:t>
      </w:r>
      <w:r w:rsidRPr="00BD38A7">
        <w:rPr>
          <w:rFonts w:eastAsia="Times New Roman" w:cs="Times New Roman"/>
          <w:noProof/>
        </w:rPr>
        <w:t>.</w:t>
      </w:r>
    </w:p>
    <w:p w14:paraId="62552F66" w14:textId="0D2A4072" w:rsidR="003C642F" w:rsidRDefault="00DE54C7" w:rsidP="00DE54C7">
      <w:pPr>
        <w:jc w:val="both"/>
        <w:rPr>
          <w:rFonts w:eastAsia="Times New Roman" w:cs="Times New Roman"/>
          <w:noProof/>
          <w:szCs w:val="24"/>
        </w:rPr>
      </w:pPr>
      <w:r w:rsidRPr="4FD287B9">
        <w:rPr>
          <w:rFonts w:eastAsia="Times New Roman" w:cs="Times New Roman"/>
          <w:noProof/>
        </w:rPr>
        <w:t>Some Member States</w:t>
      </w:r>
      <w:r w:rsidRPr="4FD287B9">
        <w:rPr>
          <w:rStyle w:val="FootnoteReference"/>
          <w:rFonts w:eastAsia="Times New Roman" w:cs="Times New Roman"/>
          <w:noProof/>
        </w:rPr>
        <w:footnoteReference w:id="65"/>
      </w:r>
      <w:r w:rsidRPr="4FD287B9">
        <w:rPr>
          <w:rFonts w:eastAsia="Times New Roman" w:cs="Times New Roman"/>
          <w:noProof/>
        </w:rPr>
        <w:t xml:space="preserve"> have developed their own integrated national or regional digital health platforms. These Member States now have the capacity to implement data-driven and AI-enabled systems as part of routine health service delivery. Their experience demonstrates what is already possible, from predictive analytics and diagnostic automation to system optimisation and personalised care pathways. Building on the experience of these Member States, targeted EU investment could support the scaling-up of interoperable, data-driven and AI-enabled care solutions across the EU. Several EU co-funded projects, such as JADECARE</w:t>
      </w:r>
      <w:r w:rsidRPr="4FD287B9">
        <w:rPr>
          <w:rStyle w:val="FootnoteReference"/>
          <w:rFonts w:eastAsia="Times New Roman" w:cs="Times New Roman"/>
          <w:noProof/>
        </w:rPr>
        <w:footnoteReference w:id="66"/>
      </w:r>
      <w:r w:rsidRPr="4FD287B9">
        <w:rPr>
          <w:rFonts w:eastAsia="Times New Roman" w:cs="Times New Roman"/>
          <w:noProof/>
        </w:rPr>
        <w:t xml:space="preserve">, have laid the foundations for </w:t>
      </w:r>
      <w:r w:rsidR="00914153" w:rsidRPr="4FD287B9">
        <w:rPr>
          <w:rFonts w:eastAsia="Times New Roman" w:cs="Times New Roman"/>
          <w:noProof/>
        </w:rPr>
        <w:t>digitally assisted</w:t>
      </w:r>
      <w:r w:rsidRPr="4FD287B9">
        <w:rPr>
          <w:rFonts w:eastAsia="Times New Roman" w:cs="Times New Roman"/>
          <w:noProof/>
        </w:rPr>
        <w:t xml:space="preserve"> care models. The Commission intends to mobilise the communities developed within these projects, scale up their best practices, and extend their innovations across the EU. Now is the time to put these achievements into practice, linking the EU’s digital assets, promoting interoperability, and accelerating the deployment of AI-enabled solutions that make health systems more resilient, equitable and efficient.</w:t>
      </w:r>
    </w:p>
    <w:tbl>
      <w:tblPr>
        <w:tblStyle w:val="TableGrid"/>
        <w:tblW w:w="8921" w:type="dxa"/>
        <w:tblLayout w:type="fixed"/>
        <w:tblLook w:val="04A0" w:firstRow="1" w:lastRow="0" w:firstColumn="1" w:lastColumn="0" w:noHBand="0" w:noVBand="1"/>
      </w:tblPr>
      <w:tblGrid>
        <w:gridCol w:w="8921"/>
      </w:tblGrid>
      <w:tr w:rsidR="00DE54C7" w:rsidRPr="000E1D82" w14:paraId="63398FCA"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8C1277" w14:textId="662CDD2D" w:rsidR="00D8171C" w:rsidRPr="00DA7334" w:rsidRDefault="00DE54C7" w:rsidP="00337309">
            <w:pPr>
              <w:spacing w:before="120" w:after="160" w:line="259" w:lineRule="auto"/>
              <w:jc w:val="both"/>
              <w:rPr>
                <w:rFonts w:eastAsia="Times New Roman" w:cs="Times New Roman"/>
                <w:b/>
                <w:noProof/>
                <w:szCs w:val="24"/>
              </w:rPr>
            </w:pPr>
            <w:r w:rsidRPr="000E1D82">
              <w:rPr>
                <w:rFonts w:eastAsia="Calibri" w:cs="Times New Roman"/>
                <w:b/>
                <w:noProof/>
                <w:szCs w:val="24"/>
              </w:rPr>
              <w:t>Flagship</w:t>
            </w:r>
            <w:r>
              <w:rPr>
                <w:rFonts w:eastAsia="Calibri" w:cs="Times New Roman"/>
                <w:b/>
                <w:noProof/>
                <w:szCs w:val="24"/>
              </w:rPr>
              <w:t xml:space="preserve"> initiative</w:t>
            </w:r>
            <w:r w:rsidRPr="000E1D82">
              <w:rPr>
                <w:rFonts w:eastAsia="Calibri" w:cs="Times New Roman"/>
                <w:b/>
                <w:noProof/>
                <w:szCs w:val="24"/>
              </w:rPr>
              <w:t xml:space="preserve">: </w:t>
            </w:r>
            <w:r>
              <w:rPr>
                <w:rFonts w:eastAsia="Calibri" w:cs="Times New Roman"/>
                <w:b/>
                <w:noProof/>
                <w:szCs w:val="24"/>
              </w:rPr>
              <w:t>a</w:t>
            </w:r>
            <w:r w:rsidRPr="000E1D82">
              <w:rPr>
                <w:rFonts w:eastAsia="Calibri" w:cs="Times New Roman"/>
                <w:b/>
                <w:noProof/>
                <w:szCs w:val="24"/>
              </w:rPr>
              <w:t xml:space="preserve"> lifelong, personalised and digitally enabled prevention </w:t>
            </w:r>
            <w:r w:rsidRPr="00DA7334">
              <w:rPr>
                <w:rFonts w:eastAsia="Calibri" w:cs="Times New Roman"/>
                <w:b/>
                <w:noProof/>
                <w:szCs w:val="24"/>
              </w:rPr>
              <w:t>– the ‘</w:t>
            </w:r>
            <w:r w:rsidRPr="00DA7334">
              <w:rPr>
                <w:rFonts w:eastAsia="Times New Roman"/>
                <w:b/>
                <w:noProof/>
              </w:rPr>
              <w:t xml:space="preserve">EU </w:t>
            </w:r>
            <w:r w:rsidRPr="00DA7334">
              <w:rPr>
                <w:rFonts w:eastAsia="Times New Roman" w:cs="Times New Roman"/>
                <w:b/>
                <w:noProof/>
                <w:szCs w:val="24"/>
              </w:rPr>
              <w:t xml:space="preserve">cares for your heart’ programme </w:t>
            </w:r>
          </w:p>
          <w:p w14:paraId="758081F6" w14:textId="01D9265E" w:rsidR="00DE54C7" w:rsidRPr="000E1D82" w:rsidRDefault="00DE54C7" w:rsidP="00337309">
            <w:pPr>
              <w:spacing w:before="120" w:after="160" w:line="259" w:lineRule="auto"/>
              <w:jc w:val="both"/>
              <w:rPr>
                <w:noProof/>
                <w:color w:val="000000" w:themeColor="text1"/>
                <w:lang w:eastAsia="en-IE"/>
              </w:rPr>
            </w:pPr>
            <w:r w:rsidRPr="00337309">
              <w:rPr>
                <w:rFonts w:eastAsia="Times New Roman" w:cs="Times New Roman"/>
                <w:noProof/>
                <w:szCs w:val="24"/>
              </w:rPr>
              <w:t>The</w:t>
            </w:r>
            <w:r w:rsidRPr="00337309">
              <w:rPr>
                <w:noProof/>
                <w:color w:val="000000" w:themeColor="text1"/>
                <w:lang w:eastAsia="en-IE"/>
              </w:rPr>
              <w:t xml:space="preserve"> </w:t>
            </w:r>
            <w:r>
              <w:rPr>
                <w:noProof/>
                <w:color w:val="000000" w:themeColor="text1"/>
                <w:lang w:eastAsia="en-IE"/>
              </w:rPr>
              <w:t>Safe Hearts Plan</w:t>
            </w:r>
            <w:r w:rsidRPr="000E1D82">
              <w:rPr>
                <w:noProof/>
                <w:color w:val="000000" w:themeColor="text1"/>
                <w:lang w:eastAsia="en-IE"/>
              </w:rPr>
              <w:t xml:space="preserve"> </w:t>
            </w:r>
            <w:r>
              <w:rPr>
                <w:noProof/>
                <w:color w:val="000000" w:themeColor="text1"/>
                <w:lang w:eastAsia="en-IE"/>
              </w:rPr>
              <w:t xml:space="preserve">encourages </w:t>
            </w:r>
            <w:r w:rsidRPr="000E1D82">
              <w:rPr>
                <w:noProof/>
                <w:color w:val="000000" w:themeColor="text1"/>
                <w:lang w:eastAsia="en-IE"/>
              </w:rPr>
              <w:t xml:space="preserve">Member States to develop or implement </w:t>
            </w:r>
            <w:r w:rsidR="00954B00">
              <w:rPr>
                <w:noProof/>
                <w:color w:val="000000" w:themeColor="text1"/>
                <w:lang w:eastAsia="en-IE"/>
              </w:rPr>
              <w:t xml:space="preserve">standalone or integrated </w:t>
            </w:r>
            <w:r w:rsidRPr="000E1D82">
              <w:rPr>
                <w:b/>
                <w:bCs/>
                <w:noProof/>
                <w:color w:val="000000" w:themeColor="text1"/>
                <w:lang w:eastAsia="en-IE"/>
              </w:rPr>
              <w:t>national cardiovascular health plans by 2027</w:t>
            </w:r>
            <w:r w:rsidR="00954B00" w:rsidRPr="00E4479F">
              <w:rPr>
                <w:noProof/>
                <w:color w:val="000000" w:themeColor="text1"/>
                <w:lang w:eastAsia="en-IE"/>
              </w:rPr>
              <w:t>, taking into account existing initiatives,</w:t>
            </w:r>
            <w:r w:rsidRPr="00954B00">
              <w:rPr>
                <w:noProof/>
                <w:color w:val="000000" w:themeColor="text1"/>
                <w:lang w:eastAsia="en-IE"/>
              </w:rPr>
              <w:t xml:space="preserve"> an</w:t>
            </w:r>
            <w:r w:rsidRPr="000E1D82">
              <w:rPr>
                <w:noProof/>
                <w:color w:val="000000" w:themeColor="text1"/>
                <w:lang w:eastAsia="en-IE"/>
              </w:rPr>
              <w:t xml:space="preserve">d will </w:t>
            </w:r>
            <w:r>
              <w:rPr>
                <w:noProof/>
                <w:color w:val="000000" w:themeColor="text1"/>
                <w:lang w:eastAsia="en-IE"/>
              </w:rPr>
              <w:t>propose</w:t>
            </w:r>
            <w:r w:rsidRPr="000E1D82">
              <w:rPr>
                <w:noProof/>
                <w:color w:val="000000" w:themeColor="text1"/>
                <w:lang w:eastAsia="en-IE"/>
              </w:rPr>
              <w:t xml:space="preserve"> actions to help Member States to </w:t>
            </w:r>
            <w:r w:rsidRPr="00337309">
              <w:rPr>
                <w:rFonts w:eastAsia="Times New Roman" w:cs="Times New Roman"/>
                <w:noProof/>
                <w:szCs w:val="24"/>
              </w:rPr>
              <w:t>do</w:t>
            </w:r>
            <w:r w:rsidRPr="00337309">
              <w:rPr>
                <w:noProof/>
                <w:color w:val="000000" w:themeColor="text1"/>
                <w:lang w:eastAsia="en-IE"/>
              </w:rPr>
              <w:t xml:space="preserve"> so</w:t>
            </w:r>
            <w:r w:rsidRPr="000E1D82">
              <w:rPr>
                <w:noProof/>
                <w:color w:val="000000" w:themeColor="text1"/>
                <w:lang w:eastAsia="en-IE"/>
              </w:rPr>
              <w:t xml:space="preserve">. </w:t>
            </w:r>
          </w:p>
          <w:p w14:paraId="41B1F610" w14:textId="492CBB0C" w:rsidR="00DE54C7" w:rsidRPr="000E1D82" w:rsidRDefault="00DE54C7" w:rsidP="00DE54C7">
            <w:pPr>
              <w:spacing w:after="240"/>
              <w:jc w:val="both"/>
              <w:rPr>
                <w:rFonts w:eastAsia="Calibri"/>
                <w:noProof/>
              </w:rPr>
            </w:pPr>
            <w:r w:rsidRPr="000E1D82">
              <w:rPr>
                <w:rFonts w:eastAsia="Times New Roman" w:cs="Times New Roman"/>
                <w:noProof/>
              </w:rPr>
              <w:t xml:space="preserve">The Commission </w:t>
            </w:r>
            <w:r>
              <w:rPr>
                <w:rFonts w:eastAsia="Times New Roman" w:cs="Times New Roman"/>
                <w:noProof/>
              </w:rPr>
              <w:t xml:space="preserve">intends to </w:t>
            </w:r>
            <w:r w:rsidRPr="000E1D82">
              <w:rPr>
                <w:rFonts w:eastAsia="Times New Roman" w:cs="Times New Roman"/>
                <w:noProof/>
              </w:rPr>
              <w:t>co-create this flagship programme together with Member States, stakeholders, such as hospitals, the public health community, industry, academia and citizens, particular</w:t>
            </w:r>
            <w:r>
              <w:rPr>
                <w:rFonts w:eastAsia="Times New Roman" w:cs="Times New Roman"/>
                <w:noProof/>
              </w:rPr>
              <w:t>ly</w:t>
            </w:r>
            <w:r w:rsidRPr="000E1D82">
              <w:rPr>
                <w:rFonts w:eastAsia="Times New Roman" w:cs="Times New Roman"/>
                <w:noProof/>
              </w:rPr>
              <w:t xml:space="preserve"> young people, to ensure that it supports national health systems and puts citizens at its core for better future health. </w:t>
            </w:r>
          </w:p>
        </w:tc>
      </w:tr>
    </w:tbl>
    <w:p w14:paraId="5D1B042F" w14:textId="4097ADB5" w:rsidR="003F03F6" w:rsidRDefault="003F03F6" w:rsidP="00DE54C7">
      <w:pPr>
        <w:tabs>
          <w:tab w:val="left" w:pos="5780"/>
          <w:tab w:val="left" w:pos="8180"/>
        </w:tabs>
        <w:spacing w:before="120" w:after="240"/>
        <w:jc w:val="both"/>
        <w:rPr>
          <w:b/>
          <w:bCs/>
          <w:noProof/>
          <w:color w:val="000000"/>
          <w:shd w:val="clear" w:color="auto" w:fill="FFFFFF"/>
        </w:rPr>
      </w:pPr>
    </w:p>
    <w:p w14:paraId="324E1944" w14:textId="4656A8E1" w:rsidR="00DE54C7" w:rsidRPr="000E1D82" w:rsidRDefault="00DE54C7" w:rsidP="00DE54C7">
      <w:pPr>
        <w:tabs>
          <w:tab w:val="left" w:pos="5780"/>
          <w:tab w:val="left" w:pos="8180"/>
        </w:tabs>
        <w:spacing w:before="120" w:after="240"/>
        <w:jc w:val="both"/>
        <w:rPr>
          <w:rFonts w:cs="Times New Roman"/>
          <w:noProof/>
        </w:rPr>
      </w:pPr>
      <w:r w:rsidRPr="000E1D82">
        <w:rPr>
          <w:b/>
          <w:bCs/>
          <w:noProof/>
          <w:color w:val="000000"/>
          <w:shd w:val="clear" w:color="auto" w:fill="FFFFFF"/>
        </w:rPr>
        <w:t>Healthy dietary habits</w:t>
      </w:r>
      <w:r>
        <w:rPr>
          <w:b/>
          <w:bCs/>
          <w:noProof/>
          <w:color w:val="000000"/>
          <w:shd w:val="clear" w:color="auto" w:fill="FFFFFF"/>
        </w:rPr>
        <w:t xml:space="preserve"> </w:t>
      </w:r>
      <w:r w:rsidRPr="00914153">
        <w:rPr>
          <w:noProof/>
          <w:color w:val="000000"/>
          <w:shd w:val="clear" w:color="auto" w:fill="FFFFFF"/>
        </w:rPr>
        <w:t>(e.g.</w:t>
      </w:r>
      <w:r>
        <w:rPr>
          <w:b/>
          <w:bCs/>
          <w:noProof/>
          <w:color w:val="000000"/>
          <w:shd w:val="clear" w:color="auto" w:fill="FFFFFF"/>
        </w:rPr>
        <w:t xml:space="preserve"> </w:t>
      </w:r>
      <w:r w:rsidRPr="000E1D82">
        <w:rPr>
          <w:noProof/>
          <w:color w:val="000000"/>
          <w:shd w:val="clear" w:color="auto" w:fill="FFFFFF"/>
        </w:rPr>
        <w:t>daily fruit and vegetable intake, and consuming</w:t>
      </w:r>
      <w:r w:rsidRPr="45C2C420">
        <w:rPr>
          <w:noProof/>
          <w:color w:val="000000" w:themeColor="text1"/>
        </w:rPr>
        <w:t xml:space="preserve"> </w:t>
      </w:r>
      <w:r w:rsidRPr="000E1D82">
        <w:rPr>
          <w:noProof/>
          <w:color w:val="000000"/>
          <w:shd w:val="clear" w:color="auto" w:fill="FFFFFF"/>
        </w:rPr>
        <w:t>less sugar, saturated fats and salt</w:t>
      </w:r>
      <w:r w:rsidR="0076057D" w:rsidRPr="4FD287B9">
        <w:rPr>
          <w:noProof/>
          <w:color w:val="000000" w:themeColor="text1"/>
        </w:rPr>
        <w:t xml:space="preserve"> when they have a negative impact on health </w:t>
      </w:r>
      <w:r w:rsidR="0097786F" w:rsidRPr="4FD287B9">
        <w:rPr>
          <w:noProof/>
          <w:color w:val="000000" w:themeColor="text1"/>
        </w:rPr>
        <w:t xml:space="preserve">and </w:t>
      </w:r>
      <w:r w:rsidR="0076057D" w:rsidRPr="4FD287B9">
        <w:rPr>
          <w:noProof/>
          <w:color w:val="000000" w:themeColor="text1"/>
        </w:rPr>
        <w:t>when consumed disproportionately within a daily or weekly diet</w:t>
      </w:r>
      <w:r w:rsidR="006C4648">
        <w:rPr>
          <w:noProof/>
          <w:color w:val="000000" w:themeColor="text1"/>
        </w:rPr>
        <w:t>)</w:t>
      </w:r>
      <w:r w:rsidR="0087203E" w:rsidRPr="4FD287B9">
        <w:rPr>
          <w:noProof/>
          <w:color w:val="000000" w:themeColor="text1"/>
        </w:rPr>
        <w:t>,</w:t>
      </w:r>
      <w:r w:rsidRPr="000E1D82">
        <w:rPr>
          <w:noProof/>
          <w:color w:val="000000"/>
          <w:shd w:val="clear" w:color="auto" w:fill="FFFFFF"/>
        </w:rPr>
        <w:t xml:space="preserve"> reduce the risk of cardiovascular diseases. </w:t>
      </w:r>
      <w:r w:rsidRPr="000E1D82">
        <w:rPr>
          <w:rFonts w:cs="Times New Roman"/>
          <w:noProof/>
        </w:rPr>
        <w:t>Emerging research</w:t>
      </w:r>
      <w:r>
        <w:rPr>
          <w:rStyle w:val="FootnoteReference"/>
          <w:rFonts w:cs="Times New Roman"/>
          <w:noProof/>
        </w:rPr>
        <w:footnoteReference w:id="67"/>
      </w:r>
      <w:r w:rsidRPr="000E1D82">
        <w:rPr>
          <w:rFonts w:cs="Times New Roman"/>
          <w:noProof/>
        </w:rPr>
        <w:t xml:space="preserve"> also highlights the role of diet in shaping the gut microbiome</w:t>
      </w:r>
      <w:r>
        <w:rPr>
          <w:rFonts w:cs="Times New Roman"/>
          <w:noProof/>
        </w:rPr>
        <w:t xml:space="preserve">, thus </w:t>
      </w:r>
      <w:r w:rsidR="00D8171C" w:rsidRPr="000E1D82">
        <w:rPr>
          <w:rFonts w:cs="Times New Roman"/>
          <w:noProof/>
        </w:rPr>
        <w:t>open</w:t>
      </w:r>
      <w:r w:rsidR="00D8171C">
        <w:rPr>
          <w:rFonts w:cs="Times New Roman"/>
          <w:noProof/>
        </w:rPr>
        <w:t>ing</w:t>
      </w:r>
      <w:r w:rsidRPr="000E1D82">
        <w:rPr>
          <w:rFonts w:cs="Times New Roman"/>
          <w:noProof/>
        </w:rPr>
        <w:t xml:space="preserve"> new avenues for </w:t>
      </w:r>
      <w:r>
        <w:rPr>
          <w:rFonts w:cs="Times New Roman"/>
          <w:noProof/>
        </w:rPr>
        <w:t>personalised</w:t>
      </w:r>
      <w:r w:rsidRPr="000E1D82">
        <w:rPr>
          <w:rFonts w:cs="Times New Roman"/>
          <w:noProof/>
        </w:rPr>
        <w:t xml:space="preserve"> medicine to address risk factors. Dietary habits also influence oral health which </w:t>
      </w:r>
      <w:r>
        <w:rPr>
          <w:rFonts w:cs="Times New Roman"/>
          <w:noProof/>
        </w:rPr>
        <w:t xml:space="preserve">is </w:t>
      </w:r>
      <w:r w:rsidRPr="000E1D82">
        <w:rPr>
          <w:rFonts w:cs="Times New Roman"/>
          <w:noProof/>
        </w:rPr>
        <w:t xml:space="preserve">in turn vital </w:t>
      </w:r>
      <w:r>
        <w:rPr>
          <w:rFonts w:cs="Times New Roman"/>
          <w:noProof/>
        </w:rPr>
        <w:t>element of cardiovascular health</w:t>
      </w:r>
      <w:r w:rsidRPr="009F6B6F">
        <w:rPr>
          <w:rStyle w:val="FootnoteReference"/>
          <w:rFonts w:cs="Times New Roman"/>
          <w:noProof/>
        </w:rPr>
        <w:footnoteReference w:id="68"/>
      </w:r>
      <w:r w:rsidRPr="009F6B6F">
        <w:rPr>
          <w:rFonts w:cs="Times New Roman"/>
          <w:noProof/>
        </w:rPr>
        <w:t>.</w:t>
      </w:r>
      <w:r w:rsidRPr="000E1D82">
        <w:rPr>
          <w:rFonts w:cs="Times New Roman"/>
          <w:noProof/>
        </w:rPr>
        <w:t xml:space="preserve"> </w:t>
      </w:r>
    </w:p>
    <w:p w14:paraId="792C1A38" w14:textId="69BAABDF" w:rsidR="00DE54C7" w:rsidRDefault="00DE54C7" w:rsidP="00DE54C7">
      <w:pPr>
        <w:jc w:val="both"/>
        <w:rPr>
          <w:rFonts w:eastAsiaTheme="minorEastAsia" w:cs="Times New Roman"/>
          <w:noProof/>
        </w:rPr>
      </w:pPr>
      <w:r w:rsidRPr="000E1D82">
        <w:rPr>
          <w:noProof/>
          <w:color w:val="000000" w:themeColor="text1"/>
        </w:rPr>
        <w:t>The Commission supports actions to improve dietary habits, including through</w:t>
      </w:r>
      <w:r>
        <w:rPr>
          <w:noProof/>
          <w:color w:val="000000" w:themeColor="text1"/>
        </w:rPr>
        <w:t xml:space="preserve"> </w:t>
      </w:r>
      <w:r w:rsidRPr="000E1D82">
        <w:rPr>
          <w:noProof/>
          <w:color w:val="000000" w:themeColor="text1"/>
        </w:rPr>
        <w:t xml:space="preserve">the </w:t>
      </w:r>
      <w:r>
        <w:rPr>
          <w:noProof/>
          <w:color w:val="000000" w:themeColor="text1"/>
        </w:rPr>
        <w:t>food industry-led</w:t>
      </w:r>
      <w:r w:rsidRPr="000E1D82">
        <w:rPr>
          <w:noProof/>
          <w:color w:val="000000" w:themeColor="text1"/>
        </w:rPr>
        <w:t xml:space="preserve"> EU Code of Conduct on Responsible Food Business and Marketing Practices</w:t>
      </w:r>
      <w:r w:rsidRPr="000E1D82">
        <w:rPr>
          <w:rStyle w:val="FootnoteReference"/>
          <w:noProof/>
          <w:color w:val="000000" w:themeColor="text1"/>
        </w:rPr>
        <w:footnoteReference w:id="69"/>
      </w:r>
      <w:r>
        <w:rPr>
          <w:noProof/>
          <w:color w:val="000000" w:themeColor="text1"/>
        </w:rPr>
        <w:t xml:space="preserve"> (also called the Agri-food Code), as well as </w:t>
      </w:r>
      <w:r w:rsidRPr="00914153">
        <w:rPr>
          <w:noProof/>
          <w:color w:val="000000" w:themeColor="text1"/>
        </w:rPr>
        <w:t>Food 2030</w:t>
      </w:r>
      <w:r>
        <w:rPr>
          <w:rStyle w:val="FootnoteReference"/>
          <w:noProof/>
          <w:color w:val="000000" w:themeColor="text1"/>
        </w:rPr>
        <w:footnoteReference w:id="70"/>
      </w:r>
      <w:r w:rsidRPr="00914153">
        <w:rPr>
          <w:noProof/>
          <w:color w:val="000000" w:themeColor="text1"/>
        </w:rPr>
        <w:t>, the research and innovation policy framework deployed under the Horizon Europe programme</w:t>
      </w:r>
      <w:r>
        <w:rPr>
          <w:noProof/>
          <w:color w:val="000000" w:themeColor="text1"/>
        </w:rPr>
        <w:t xml:space="preserve">. In addition, the Commission </w:t>
      </w:r>
      <w:r w:rsidRPr="0001254A">
        <w:rPr>
          <w:noProof/>
          <w:color w:val="000000"/>
          <w:shd w:val="clear" w:color="auto" w:fill="FFFFFF"/>
        </w:rPr>
        <w:t>support</w:t>
      </w:r>
      <w:r>
        <w:rPr>
          <w:noProof/>
          <w:color w:val="000000"/>
          <w:shd w:val="clear" w:color="auto" w:fill="FFFFFF"/>
        </w:rPr>
        <w:t>s</w:t>
      </w:r>
      <w:r w:rsidRPr="0001254A">
        <w:rPr>
          <w:noProof/>
          <w:color w:val="000000"/>
          <w:shd w:val="clear" w:color="auto" w:fill="FFFFFF"/>
        </w:rPr>
        <w:t xml:space="preserve"> national reformulation initiatives to reduce the levels of saturated fats, sugar and salt</w:t>
      </w:r>
      <w:r>
        <w:rPr>
          <w:noProof/>
          <w:color w:val="000000"/>
          <w:shd w:val="clear" w:color="auto" w:fill="FFFFFF"/>
        </w:rPr>
        <w:t xml:space="preserve"> </w:t>
      </w:r>
      <w:r w:rsidR="0076057D" w:rsidRPr="4FD287B9">
        <w:rPr>
          <w:noProof/>
          <w:color w:val="000000" w:themeColor="text1"/>
        </w:rPr>
        <w:t>in the context of the overall daily</w:t>
      </w:r>
      <w:r w:rsidR="00F32157" w:rsidRPr="4FD287B9">
        <w:rPr>
          <w:noProof/>
          <w:color w:val="000000" w:themeColor="text1"/>
        </w:rPr>
        <w:t xml:space="preserve"> or </w:t>
      </w:r>
      <w:r w:rsidR="0076057D" w:rsidRPr="4FD287B9">
        <w:rPr>
          <w:noProof/>
          <w:color w:val="000000" w:themeColor="text1"/>
        </w:rPr>
        <w:t xml:space="preserve">weekly diet </w:t>
      </w:r>
      <w:r>
        <w:rPr>
          <w:noProof/>
          <w:color w:val="000000"/>
          <w:shd w:val="clear" w:color="auto" w:fill="FFFFFF"/>
        </w:rPr>
        <w:t>and promotes the consumption o</w:t>
      </w:r>
      <w:r w:rsidRPr="5CA025E4">
        <w:rPr>
          <w:noProof/>
          <w:color w:val="000000" w:themeColor="text1"/>
        </w:rPr>
        <w:t>f fruit and vegetables</w:t>
      </w:r>
      <w:r>
        <w:rPr>
          <w:noProof/>
          <w:color w:val="000000" w:themeColor="text1"/>
        </w:rPr>
        <w:t xml:space="preserve">. </w:t>
      </w:r>
      <w:r>
        <w:rPr>
          <w:noProof/>
        </w:rPr>
        <w:t xml:space="preserve">The Commission has completed a </w:t>
      </w:r>
      <w:r w:rsidRPr="000E1D82">
        <w:rPr>
          <w:noProof/>
        </w:rPr>
        <w:t>review of the successful EU school scheme on fruits, vegetables</w:t>
      </w:r>
      <w:r>
        <w:rPr>
          <w:noProof/>
        </w:rPr>
        <w:t xml:space="preserve"> and</w:t>
      </w:r>
      <w:r w:rsidRPr="000E1D82">
        <w:rPr>
          <w:noProof/>
        </w:rPr>
        <w:t xml:space="preserve"> milk and </w:t>
      </w:r>
      <w:r w:rsidRPr="00B86939">
        <w:rPr>
          <w:noProof/>
        </w:rPr>
        <w:t>milk products, and proposed its continuation beyond 2027</w:t>
      </w:r>
      <w:r w:rsidRPr="00B86939">
        <w:rPr>
          <w:rStyle w:val="FootnoteReference"/>
          <w:noProof/>
        </w:rPr>
        <w:footnoteReference w:id="71"/>
      </w:r>
      <w:r w:rsidRPr="00B86939">
        <w:rPr>
          <w:noProof/>
        </w:rPr>
        <w:t>.</w:t>
      </w:r>
      <w:r>
        <w:rPr>
          <w:noProof/>
        </w:rPr>
        <w:t xml:space="preserve"> </w:t>
      </w:r>
      <w:r w:rsidRPr="05BB83F0">
        <w:rPr>
          <w:rFonts w:eastAsiaTheme="minorEastAsia" w:cs="Times New Roman"/>
          <w:noProof/>
        </w:rPr>
        <w:t xml:space="preserve">Local governments </w:t>
      </w:r>
      <w:r>
        <w:rPr>
          <w:rFonts w:eastAsiaTheme="minorEastAsia" w:cs="Times New Roman"/>
          <w:noProof/>
        </w:rPr>
        <w:t xml:space="preserve">could be supported and motivated to </w:t>
      </w:r>
      <w:r w:rsidRPr="05BB83F0">
        <w:rPr>
          <w:rFonts w:eastAsiaTheme="minorEastAsia" w:cs="Times New Roman"/>
          <w:noProof/>
        </w:rPr>
        <w:t xml:space="preserve">ensure that healthy foods </w:t>
      </w:r>
      <w:r w:rsidRPr="5CA025E4">
        <w:rPr>
          <w:rFonts w:eastAsiaTheme="minorEastAsia" w:cs="Times New Roman"/>
          <w:noProof/>
        </w:rPr>
        <w:t xml:space="preserve">are </w:t>
      </w:r>
      <w:r w:rsidRPr="05BB83F0">
        <w:rPr>
          <w:rFonts w:eastAsiaTheme="minorEastAsia" w:cs="Times New Roman"/>
          <w:noProof/>
        </w:rPr>
        <w:t>served in public institutions such as schools, hospitals, and government facilities</w:t>
      </w:r>
      <w:r>
        <w:rPr>
          <w:rFonts w:eastAsiaTheme="minorEastAsia" w:cs="Times New Roman"/>
          <w:noProof/>
        </w:rPr>
        <w:t xml:space="preserve">. A </w:t>
      </w:r>
      <w:r w:rsidRPr="00914153">
        <w:rPr>
          <w:rFonts w:eastAsiaTheme="minorEastAsia" w:cs="Times New Roman"/>
          <w:noProof/>
          <w:lang w:val="en-GB"/>
        </w:rPr>
        <w:t xml:space="preserve">recently published </w:t>
      </w:r>
      <w:r w:rsidR="004C0791" w:rsidRPr="00914153">
        <w:rPr>
          <w:noProof/>
        </w:rPr>
        <w:t>report</w:t>
      </w:r>
      <w:r w:rsidR="004C0791">
        <w:rPr>
          <w:noProof/>
        </w:rPr>
        <w:t xml:space="preserve"> by the Joint Research Centre</w:t>
      </w:r>
      <w:r w:rsidR="004C0791" w:rsidRPr="00914153">
        <w:rPr>
          <w:noProof/>
        </w:rPr>
        <w:t xml:space="preserve"> on </w:t>
      </w:r>
      <w:r w:rsidR="004C0791">
        <w:rPr>
          <w:noProof/>
        </w:rPr>
        <w:t>c</w:t>
      </w:r>
      <w:r w:rsidR="004C0791" w:rsidRPr="00914153">
        <w:rPr>
          <w:noProof/>
        </w:rPr>
        <w:t>riteria for sustainable public procurement for food, catering services and vending machines</w:t>
      </w:r>
      <w:r>
        <w:rPr>
          <w:rFonts w:eastAsiaTheme="minorEastAsia" w:cs="Times New Roman"/>
          <w:noProof/>
        </w:rPr>
        <w:t xml:space="preserve"> can be used by</w:t>
      </w:r>
      <w:r w:rsidRPr="00914153">
        <w:rPr>
          <w:rFonts w:eastAsiaTheme="minorEastAsia" w:cs="Times New Roman"/>
          <w:noProof/>
          <w:lang w:val="en-GB"/>
        </w:rPr>
        <w:t xml:space="preserve"> local governments to ensure that healthy foods are served in public institution</w:t>
      </w:r>
      <w:r>
        <w:rPr>
          <w:rFonts w:eastAsiaTheme="minorEastAsia" w:cs="Times New Roman"/>
          <w:noProof/>
        </w:rPr>
        <w:t>s</w:t>
      </w:r>
      <w:r>
        <w:rPr>
          <w:rStyle w:val="FootnoteReference"/>
          <w:rFonts w:eastAsiaTheme="minorEastAsia" w:cs="Times New Roman"/>
          <w:noProof/>
        </w:rPr>
        <w:footnoteReference w:id="72"/>
      </w:r>
      <w:r>
        <w:rPr>
          <w:rFonts w:eastAsiaTheme="minorEastAsia" w:cs="Times New Roman"/>
          <w:noProof/>
        </w:rPr>
        <w:t xml:space="preserve">. </w:t>
      </w:r>
    </w:p>
    <w:p w14:paraId="36F091D9" w14:textId="5AF9189E" w:rsidR="00DE54C7" w:rsidRPr="00914153" w:rsidRDefault="00DE54C7" w:rsidP="00DE54C7">
      <w:pPr>
        <w:jc w:val="both"/>
        <w:rPr>
          <w:rFonts w:eastAsiaTheme="minorEastAsia"/>
          <w:noProof/>
        </w:rPr>
      </w:pPr>
      <w:r w:rsidRPr="00CF4FDF">
        <w:rPr>
          <w:rFonts w:eastAsiaTheme="minorEastAsia"/>
          <w:noProof/>
        </w:rPr>
        <w:t xml:space="preserve">The </w:t>
      </w:r>
      <w:r w:rsidRPr="00914153">
        <w:rPr>
          <w:rFonts w:eastAsiaTheme="minorEastAsia"/>
          <w:noProof/>
        </w:rPr>
        <w:t>increase in NCDs</w:t>
      </w:r>
      <w:r w:rsidRPr="00CF4FDF">
        <w:rPr>
          <w:rFonts w:eastAsiaTheme="minorEastAsia"/>
          <w:noProof/>
        </w:rPr>
        <w:t xml:space="preserve"> linked to unhealthy diets and so-called </w:t>
      </w:r>
      <w:r w:rsidR="00CF4FDF">
        <w:rPr>
          <w:rFonts w:eastAsiaTheme="minorEastAsia"/>
          <w:noProof/>
        </w:rPr>
        <w:t>‘</w:t>
      </w:r>
      <w:r w:rsidRPr="00CF4FDF">
        <w:rPr>
          <w:rFonts w:eastAsiaTheme="minorEastAsia"/>
          <w:noProof/>
        </w:rPr>
        <w:t>ultra-processed food</w:t>
      </w:r>
      <w:r w:rsidR="00283F0F">
        <w:rPr>
          <w:rFonts w:eastAsiaTheme="minorEastAsia"/>
          <w:noProof/>
        </w:rPr>
        <w:t>s</w:t>
      </w:r>
      <w:r w:rsidR="00CF4FDF">
        <w:rPr>
          <w:rFonts w:eastAsiaTheme="minorEastAsia"/>
          <w:noProof/>
        </w:rPr>
        <w:t>’</w:t>
      </w:r>
      <w:r w:rsidRPr="00914153">
        <w:rPr>
          <w:rFonts w:eastAsiaTheme="minorEastAsia"/>
          <w:noProof/>
        </w:rPr>
        <w:t>,</w:t>
      </w:r>
      <w:r w:rsidRPr="00CF4FDF">
        <w:rPr>
          <w:rFonts w:eastAsiaTheme="minorEastAsia"/>
          <w:noProof/>
        </w:rPr>
        <w:t xml:space="preserve"> makes it necessary to provide clear information to empower citizens to be aware of the nutrition choices </w:t>
      </w:r>
      <w:r w:rsidR="00CF4FDF">
        <w:rPr>
          <w:rFonts w:eastAsiaTheme="minorEastAsia"/>
          <w:noProof/>
        </w:rPr>
        <w:t>at their disposal</w:t>
      </w:r>
      <w:r w:rsidRPr="00CF4FDF">
        <w:rPr>
          <w:rFonts w:eastAsiaTheme="minorEastAsia"/>
          <w:noProof/>
        </w:rPr>
        <w:t xml:space="preserve">, and </w:t>
      </w:r>
      <w:r w:rsidR="00914153" w:rsidRPr="00CF4FDF">
        <w:rPr>
          <w:rFonts w:eastAsiaTheme="minorEastAsia"/>
          <w:noProof/>
        </w:rPr>
        <w:t>preferably choose</w:t>
      </w:r>
      <w:r w:rsidRPr="00CF4FDF">
        <w:rPr>
          <w:rFonts w:eastAsiaTheme="minorEastAsia"/>
          <w:noProof/>
        </w:rPr>
        <w:t xml:space="preserve"> healthier food options. </w:t>
      </w:r>
      <w:r w:rsidR="00CF4FDF">
        <w:rPr>
          <w:rFonts w:eastAsiaTheme="minorEastAsia"/>
          <w:noProof/>
        </w:rPr>
        <w:t>E</w:t>
      </w:r>
      <w:r w:rsidRPr="00CF4FDF">
        <w:rPr>
          <w:rFonts w:eastAsiaTheme="minorEastAsia"/>
          <w:noProof/>
        </w:rPr>
        <w:t xml:space="preserve">vidence-based information </w:t>
      </w:r>
      <w:r w:rsidR="00CF4FDF">
        <w:rPr>
          <w:rFonts w:eastAsiaTheme="minorEastAsia"/>
          <w:noProof/>
        </w:rPr>
        <w:t xml:space="preserve">on food </w:t>
      </w:r>
      <w:r w:rsidRPr="00CF4FDF">
        <w:rPr>
          <w:rFonts w:eastAsiaTheme="minorEastAsia"/>
          <w:noProof/>
        </w:rPr>
        <w:t xml:space="preserve">can also serve as a basis for EU or national level interventions addressing unhealthy </w:t>
      </w:r>
      <w:r w:rsidR="00914153" w:rsidRPr="00CF4FDF">
        <w:rPr>
          <w:rFonts w:eastAsiaTheme="minorEastAsia"/>
          <w:noProof/>
        </w:rPr>
        <w:t>foodstuffs and</w:t>
      </w:r>
      <w:r w:rsidRPr="00CF4FDF">
        <w:rPr>
          <w:rFonts w:eastAsiaTheme="minorEastAsia"/>
          <w:noProof/>
        </w:rPr>
        <w:t xml:space="preserve"> incentivis</w:t>
      </w:r>
      <w:r w:rsidR="00557428">
        <w:rPr>
          <w:rFonts w:eastAsiaTheme="minorEastAsia"/>
          <w:noProof/>
        </w:rPr>
        <w:t>ing</w:t>
      </w:r>
      <w:r w:rsidRPr="00CF4FDF">
        <w:rPr>
          <w:rFonts w:eastAsiaTheme="minorEastAsia"/>
          <w:noProof/>
        </w:rPr>
        <w:t xml:space="preserve"> food reformulation.</w:t>
      </w:r>
    </w:p>
    <w:p w14:paraId="1CC8FE89" w14:textId="19C21E2D" w:rsidR="00DE54C7" w:rsidRDefault="00DE54C7" w:rsidP="00914153">
      <w:pPr>
        <w:jc w:val="both"/>
        <w:rPr>
          <w:rFonts w:eastAsiaTheme="minorEastAsia" w:cs="Times New Roman"/>
          <w:noProof/>
        </w:rPr>
      </w:pPr>
      <w:r w:rsidRPr="000E1D82">
        <w:rPr>
          <w:rFonts w:eastAsiaTheme="minorEastAsia"/>
          <w:noProof/>
        </w:rPr>
        <w:t xml:space="preserve">The Commission </w:t>
      </w:r>
      <w:r>
        <w:rPr>
          <w:rFonts w:eastAsiaTheme="minorEastAsia"/>
          <w:noProof/>
        </w:rPr>
        <w:t xml:space="preserve">has </w:t>
      </w:r>
      <w:r w:rsidRPr="000E1D82">
        <w:rPr>
          <w:rFonts w:eastAsiaTheme="minorEastAsia" w:cs="Times New Roman"/>
          <w:noProof/>
        </w:rPr>
        <w:t>launch</w:t>
      </w:r>
      <w:r>
        <w:rPr>
          <w:rFonts w:eastAsiaTheme="minorEastAsia" w:cs="Times New Roman"/>
          <w:noProof/>
        </w:rPr>
        <w:t>ed</w:t>
      </w:r>
      <w:r w:rsidRPr="000E1D82">
        <w:rPr>
          <w:rFonts w:eastAsiaTheme="minorEastAsia" w:cs="Times New Roman"/>
          <w:noProof/>
        </w:rPr>
        <w:t xml:space="preserve"> a study</w:t>
      </w:r>
      <w:r w:rsidRPr="000E1D82">
        <w:rPr>
          <w:rStyle w:val="FootnoteReference"/>
          <w:rFonts w:eastAsiaTheme="minorEastAsia" w:cs="Times New Roman"/>
          <w:noProof/>
        </w:rPr>
        <w:footnoteReference w:id="73"/>
      </w:r>
      <w:r w:rsidRPr="000E1D82">
        <w:rPr>
          <w:rFonts w:eastAsiaTheme="minorEastAsia" w:cs="Times New Roman"/>
          <w:noProof/>
        </w:rPr>
        <w:t xml:space="preserve"> on the impact of the consumption of so-called ‘</w:t>
      </w:r>
      <w:r w:rsidR="00282A58">
        <w:rPr>
          <w:rFonts w:eastAsiaTheme="minorEastAsia" w:cs="Times New Roman"/>
          <w:noProof/>
        </w:rPr>
        <w:t>ultra-processed</w:t>
      </w:r>
      <w:r w:rsidRPr="000E1D82">
        <w:rPr>
          <w:rFonts w:eastAsiaTheme="minorEastAsia" w:cs="Times New Roman"/>
          <w:noProof/>
        </w:rPr>
        <w:t xml:space="preserve"> food</w:t>
      </w:r>
      <w:r w:rsidR="009613E4">
        <w:rPr>
          <w:rFonts w:eastAsiaTheme="minorEastAsia" w:cs="Times New Roman"/>
          <w:noProof/>
        </w:rPr>
        <w:t>s</w:t>
      </w:r>
      <w:r w:rsidRPr="000E1D82">
        <w:rPr>
          <w:rFonts w:eastAsiaTheme="minorEastAsia" w:cs="Times New Roman"/>
          <w:noProof/>
        </w:rPr>
        <w:t>’</w:t>
      </w:r>
      <w:r>
        <w:rPr>
          <w:rFonts w:eastAsiaTheme="minorEastAsia" w:cs="Times New Roman"/>
          <w:noProof/>
        </w:rPr>
        <w:t xml:space="preserve">, based on the opinions of the Scientific Advisory Mechanism (SAM) and of the European Group of Ethics (EGE). These opinions will support the annual food dialogue created under the Vision for </w:t>
      </w:r>
      <w:r w:rsidRPr="00676801">
        <w:rPr>
          <w:rFonts w:eastAsiaTheme="minorEastAsia" w:cs="Times New Roman"/>
          <w:noProof/>
        </w:rPr>
        <w:t>Food and Agriculture</w:t>
      </w:r>
      <w:r>
        <w:rPr>
          <w:rStyle w:val="FootnoteReference"/>
          <w:rFonts w:eastAsiaTheme="minorEastAsia" w:cs="Times New Roman"/>
          <w:noProof/>
        </w:rPr>
        <w:footnoteReference w:id="74"/>
      </w:r>
      <w:r w:rsidRPr="00676801">
        <w:rPr>
          <w:rFonts w:eastAsiaTheme="minorEastAsia" w:cs="Times New Roman"/>
          <w:noProof/>
        </w:rPr>
        <w:t xml:space="preserve">. </w:t>
      </w:r>
    </w:p>
    <w:tbl>
      <w:tblPr>
        <w:tblStyle w:val="TableGrid"/>
        <w:tblW w:w="8921" w:type="dxa"/>
        <w:tblLayout w:type="fixed"/>
        <w:tblLook w:val="04A0" w:firstRow="1" w:lastRow="0" w:firstColumn="1" w:lastColumn="0" w:noHBand="0" w:noVBand="1"/>
      </w:tblPr>
      <w:tblGrid>
        <w:gridCol w:w="8921"/>
      </w:tblGrid>
      <w:tr w:rsidR="008111F6" w:rsidRPr="000E1D82" w14:paraId="519302F3"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21B8C1B" w14:textId="6150E4CF" w:rsidR="008111F6" w:rsidRPr="00DA7334" w:rsidRDefault="008111F6">
            <w:pPr>
              <w:spacing w:before="120" w:after="160" w:line="259" w:lineRule="auto"/>
              <w:jc w:val="both"/>
              <w:rPr>
                <w:rFonts w:eastAsia="Times New Roman" w:cs="Times New Roman"/>
                <w:b/>
                <w:noProof/>
                <w:szCs w:val="24"/>
              </w:rPr>
            </w:pPr>
            <w:r w:rsidRPr="000E1D82">
              <w:rPr>
                <w:rFonts w:eastAsia="Calibri" w:cs="Times New Roman"/>
                <w:b/>
                <w:noProof/>
                <w:szCs w:val="24"/>
              </w:rPr>
              <w:t>Flagship</w:t>
            </w:r>
            <w:r>
              <w:rPr>
                <w:rFonts w:eastAsia="Calibri" w:cs="Times New Roman"/>
                <w:b/>
                <w:noProof/>
                <w:szCs w:val="24"/>
              </w:rPr>
              <w:t xml:space="preserve"> initiative</w:t>
            </w:r>
            <w:r w:rsidRPr="000E1D82">
              <w:rPr>
                <w:rFonts w:eastAsia="Calibri" w:cs="Times New Roman"/>
                <w:b/>
                <w:noProof/>
                <w:szCs w:val="24"/>
              </w:rPr>
              <w:t xml:space="preserve">: </w:t>
            </w:r>
            <w:r>
              <w:rPr>
                <w:rFonts w:eastAsia="Calibri" w:cs="Times New Roman"/>
                <w:b/>
                <w:noProof/>
                <w:szCs w:val="24"/>
              </w:rPr>
              <w:t>empowering consumers through information on food processing in the EU</w:t>
            </w:r>
            <w:r w:rsidRPr="00DA7334">
              <w:rPr>
                <w:rFonts w:eastAsia="Times New Roman" w:cs="Times New Roman"/>
                <w:b/>
                <w:noProof/>
                <w:szCs w:val="24"/>
              </w:rPr>
              <w:t xml:space="preserve"> </w:t>
            </w:r>
          </w:p>
          <w:p w14:paraId="5879BEA1" w14:textId="3F4ECA63" w:rsidR="008111F6" w:rsidRPr="000E1D82" w:rsidRDefault="008111F6" w:rsidP="008111F6">
            <w:pPr>
              <w:spacing w:before="120" w:after="160" w:line="259" w:lineRule="auto"/>
              <w:jc w:val="both"/>
              <w:rPr>
                <w:rFonts w:eastAsia="Calibri"/>
                <w:noProof/>
              </w:rPr>
            </w:pPr>
            <w:r w:rsidRPr="00E4479F">
              <w:rPr>
                <w:noProof/>
                <w:color w:val="000000" w:themeColor="text1"/>
                <w:lang w:eastAsia="en-IE"/>
              </w:rPr>
              <w:t>The</w:t>
            </w:r>
            <w:r w:rsidRPr="00337309">
              <w:rPr>
                <w:noProof/>
                <w:color w:val="000000" w:themeColor="text1"/>
                <w:lang w:eastAsia="en-IE"/>
              </w:rPr>
              <w:t xml:space="preserve"> </w:t>
            </w:r>
            <w:r>
              <w:rPr>
                <w:noProof/>
                <w:color w:val="000000" w:themeColor="text1"/>
                <w:lang w:eastAsia="en-IE"/>
              </w:rPr>
              <w:t xml:space="preserve">Commission will work towards a new </w:t>
            </w:r>
            <w:r w:rsidRPr="00E4479F">
              <w:rPr>
                <w:noProof/>
                <w:color w:val="000000" w:themeColor="text1"/>
                <w:lang w:eastAsia="en-IE"/>
              </w:rPr>
              <w:t>comprehensive food processing assessment system</w:t>
            </w:r>
            <w:r w:rsidR="0076057D" w:rsidRPr="00E4479F">
              <w:rPr>
                <w:noProof/>
                <w:color w:val="000000" w:themeColor="text1"/>
                <w:lang w:eastAsia="en-IE"/>
              </w:rPr>
              <w:t>, looking into portions, frequenc</w:t>
            </w:r>
            <w:r w:rsidR="0050497D" w:rsidRPr="00E4479F">
              <w:rPr>
                <w:noProof/>
                <w:color w:val="000000" w:themeColor="text1"/>
                <w:lang w:eastAsia="en-IE"/>
              </w:rPr>
              <w:t>y of intake</w:t>
            </w:r>
            <w:r w:rsidR="0076057D" w:rsidRPr="00E4479F">
              <w:rPr>
                <w:noProof/>
                <w:color w:val="000000" w:themeColor="text1"/>
                <w:lang w:eastAsia="en-IE"/>
              </w:rPr>
              <w:t xml:space="preserve"> and role in the diet, </w:t>
            </w:r>
            <w:r w:rsidRPr="00E4479F">
              <w:rPr>
                <w:noProof/>
                <w:color w:val="000000" w:themeColor="text1"/>
                <w:lang w:eastAsia="en-IE"/>
              </w:rPr>
              <w:t xml:space="preserve">to empower consumers with transparent, </w:t>
            </w:r>
            <w:r w:rsidR="00F66E70" w:rsidRPr="00E4479F">
              <w:rPr>
                <w:noProof/>
                <w:color w:val="000000" w:themeColor="text1"/>
                <w:lang w:eastAsia="en-IE"/>
              </w:rPr>
              <w:t>accessible,</w:t>
            </w:r>
            <w:r w:rsidRPr="00E4479F">
              <w:rPr>
                <w:noProof/>
                <w:color w:val="000000" w:themeColor="text1"/>
                <w:lang w:eastAsia="en-IE"/>
              </w:rPr>
              <w:t xml:space="preserve"> science-based digital information on food processing, with the</w:t>
            </w:r>
            <w:r>
              <w:rPr>
                <w:rFonts w:eastAsia="Times New Roman" w:cs="Times New Roman"/>
                <w:noProof/>
              </w:rPr>
              <w:t xml:space="preserve"> aim to</w:t>
            </w:r>
            <w:r w:rsidRPr="00A51484">
              <w:rPr>
                <w:rFonts w:eastAsia="Times New Roman" w:cs="Times New Roman"/>
                <w:noProof/>
              </w:rPr>
              <w:t xml:space="preserve"> ultimately </w:t>
            </w:r>
            <w:r>
              <w:rPr>
                <w:rFonts w:eastAsia="Times New Roman" w:cs="Times New Roman"/>
                <w:noProof/>
              </w:rPr>
              <w:t xml:space="preserve">encourage </w:t>
            </w:r>
            <w:r w:rsidRPr="00A51484">
              <w:rPr>
                <w:rFonts w:eastAsia="Times New Roman" w:cs="Times New Roman"/>
                <w:noProof/>
              </w:rPr>
              <w:t>shifts toward</w:t>
            </w:r>
            <w:r>
              <w:rPr>
                <w:rFonts w:eastAsia="Times New Roman" w:cs="Times New Roman"/>
                <w:noProof/>
              </w:rPr>
              <w:t>s</w:t>
            </w:r>
            <w:r w:rsidRPr="00A51484">
              <w:rPr>
                <w:rFonts w:eastAsia="Times New Roman" w:cs="Times New Roman"/>
                <w:noProof/>
              </w:rPr>
              <w:t xml:space="preserve"> healthier </w:t>
            </w:r>
            <w:r>
              <w:rPr>
                <w:rFonts w:eastAsia="Times New Roman" w:cs="Times New Roman"/>
                <w:noProof/>
              </w:rPr>
              <w:t>diets.</w:t>
            </w:r>
          </w:p>
        </w:tc>
      </w:tr>
    </w:tbl>
    <w:p w14:paraId="630BE759" w14:textId="27E95B39" w:rsidR="00DE54C7" w:rsidRPr="000E1D82" w:rsidRDefault="00DE54C7" w:rsidP="00DE54C7">
      <w:pPr>
        <w:spacing w:before="120"/>
        <w:jc w:val="both"/>
        <w:rPr>
          <w:noProof/>
        </w:rPr>
      </w:pPr>
      <w:r w:rsidRPr="000E1D82">
        <w:rPr>
          <w:b/>
          <w:bCs/>
          <w:noProof/>
        </w:rPr>
        <w:t>Smoking</w:t>
      </w:r>
      <w:r w:rsidRPr="000E1D82">
        <w:rPr>
          <w:noProof/>
        </w:rPr>
        <w:t xml:space="preserve"> is a major cause of cardiovascular diseases</w:t>
      </w:r>
      <w:r w:rsidR="000E7419">
        <w:rPr>
          <w:noProof/>
        </w:rPr>
        <w:t xml:space="preserve"> a</w:t>
      </w:r>
      <w:r w:rsidR="008E65CD">
        <w:rPr>
          <w:noProof/>
        </w:rPr>
        <w:t>s well as</w:t>
      </w:r>
      <w:r w:rsidR="000E7419">
        <w:rPr>
          <w:noProof/>
        </w:rPr>
        <w:t xml:space="preserve"> other NCDs</w:t>
      </w:r>
      <w:r w:rsidR="008E65CD">
        <w:rPr>
          <w:noProof/>
        </w:rPr>
        <w:t>.</w:t>
      </w:r>
      <w:r w:rsidRPr="000E1D82">
        <w:rPr>
          <w:noProof/>
        </w:rPr>
        <w:t xml:space="preserve"> Active smoking and second-hand smoke exposure cause around 20% of coronary heart diseases. </w:t>
      </w:r>
      <w:r>
        <w:rPr>
          <w:noProof/>
        </w:rPr>
        <w:t xml:space="preserve">Significant </w:t>
      </w:r>
      <w:r w:rsidRPr="000E1D82">
        <w:rPr>
          <w:noProof/>
        </w:rPr>
        <w:t>progress</w:t>
      </w:r>
      <w:r>
        <w:rPr>
          <w:noProof/>
        </w:rPr>
        <w:t xml:space="preserve"> has already been made</w:t>
      </w:r>
      <w:r w:rsidRPr="000E1D82">
        <w:rPr>
          <w:noProof/>
        </w:rPr>
        <w:t xml:space="preserve">, </w:t>
      </w:r>
      <w:r>
        <w:rPr>
          <w:noProof/>
        </w:rPr>
        <w:t xml:space="preserve">but </w:t>
      </w:r>
      <w:r w:rsidRPr="000E1D82">
        <w:rPr>
          <w:noProof/>
        </w:rPr>
        <w:t>smoking rates in the EU remain high, particularly among young people. In 2022</w:t>
      </w:r>
      <w:r w:rsidRPr="000E1D82">
        <w:rPr>
          <w:rStyle w:val="FootnoteReference"/>
          <w:noProof/>
        </w:rPr>
        <w:footnoteReference w:id="75"/>
      </w:r>
      <w:r w:rsidRPr="000E1D82">
        <w:rPr>
          <w:noProof/>
        </w:rPr>
        <w:t xml:space="preserve">, more than one in six 15-year-olds </w:t>
      </w:r>
      <w:r>
        <w:rPr>
          <w:noProof/>
        </w:rPr>
        <w:t xml:space="preserve">that were surveyed stated that they had </w:t>
      </w:r>
      <w:r w:rsidRPr="000E1D82">
        <w:rPr>
          <w:noProof/>
        </w:rPr>
        <w:t xml:space="preserve">smoked cigarettes at least once </w:t>
      </w:r>
      <w:r>
        <w:rPr>
          <w:noProof/>
        </w:rPr>
        <w:t>during</w:t>
      </w:r>
      <w:r w:rsidRPr="000E1D82">
        <w:rPr>
          <w:noProof/>
        </w:rPr>
        <w:t xml:space="preserve"> the </w:t>
      </w:r>
      <w:r w:rsidR="00914153" w:rsidRPr="000E1D82">
        <w:rPr>
          <w:noProof/>
        </w:rPr>
        <w:t>p</w:t>
      </w:r>
      <w:r w:rsidR="00914153">
        <w:rPr>
          <w:noProof/>
        </w:rPr>
        <w:t>receding</w:t>
      </w:r>
      <w:r w:rsidRPr="000E1D82">
        <w:rPr>
          <w:noProof/>
        </w:rPr>
        <w:t xml:space="preserve"> month. </w:t>
      </w:r>
    </w:p>
    <w:p w14:paraId="5AB73AB7" w14:textId="32A25F74" w:rsidR="00DE54C7" w:rsidRDefault="00DE54C7" w:rsidP="00DE54C7">
      <w:pPr>
        <w:jc w:val="both"/>
        <w:rPr>
          <w:noProof/>
        </w:rPr>
      </w:pPr>
      <w:r w:rsidRPr="000E1D82">
        <w:rPr>
          <w:rFonts w:eastAsiaTheme="minorEastAsia"/>
          <w:noProof/>
        </w:rPr>
        <w:t>The EU’s legislative framework on tobacco control</w:t>
      </w:r>
      <w:r w:rsidRPr="000E1D82">
        <w:rPr>
          <w:rStyle w:val="FootnoteReference"/>
          <w:rFonts w:eastAsiaTheme="minorEastAsia" w:cs="Times New Roman"/>
          <w:noProof/>
        </w:rPr>
        <w:footnoteReference w:id="76"/>
      </w:r>
      <w:r w:rsidRPr="000E1D82">
        <w:rPr>
          <w:rFonts w:eastAsiaTheme="minorEastAsia"/>
          <w:noProof/>
        </w:rPr>
        <w:t xml:space="preserve"> </w:t>
      </w:r>
      <w:r w:rsidRPr="000E1D82">
        <w:rPr>
          <w:noProof/>
        </w:rPr>
        <w:t>has successfully contributed to the significant decline in smoking rates, including among young people</w:t>
      </w:r>
      <w:r w:rsidRPr="000E1D82">
        <w:rPr>
          <w:rStyle w:val="FootnoteReference"/>
          <w:rFonts w:cs="Times New Roman"/>
          <w:noProof/>
        </w:rPr>
        <w:footnoteReference w:id="77"/>
      </w:r>
      <w:r w:rsidRPr="000E1D82">
        <w:rPr>
          <w:noProof/>
        </w:rPr>
        <w:t xml:space="preserve">. </w:t>
      </w:r>
      <w:r>
        <w:rPr>
          <w:noProof/>
        </w:rPr>
        <w:t>However, n</w:t>
      </w:r>
      <w:r w:rsidRPr="000E1D82">
        <w:rPr>
          <w:noProof/>
        </w:rPr>
        <w:t xml:space="preserve">ovel tobacco and nicotine products, such as heated tobacco products, e-cigarettes and nicotine pouches, have become </w:t>
      </w:r>
      <w:r>
        <w:rPr>
          <w:noProof/>
        </w:rPr>
        <w:t xml:space="preserve">increasingly </w:t>
      </w:r>
      <w:r w:rsidRPr="000E1D82">
        <w:rPr>
          <w:noProof/>
        </w:rPr>
        <w:t xml:space="preserve">popular in recent years, especially among young people. Emerging evidence highlights the health risks associated with these products and suggests that they may serve as a gateway to nicotine addiction and traditional tobacco consumption. With a view to protecting young people </w:t>
      </w:r>
      <w:r>
        <w:rPr>
          <w:noProof/>
        </w:rPr>
        <w:t xml:space="preserve">in particular </w:t>
      </w:r>
      <w:r w:rsidRPr="000E1D82">
        <w:rPr>
          <w:noProof/>
        </w:rPr>
        <w:t xml:space="preserve">from the harmful effects of tobacco and related products, the Commission is </w:t>
      </w:r>
      <w:r w:rsidR="00D8171C" w:rsidRPr="000E1D82">
        <w:rPr>
          <w:noProof/>
        </w:rPr>
        <w:t>considering</w:t>
      </w:r>
      <w:r w:rsidRPr="000E1D82">
        <w:rPr>
          <w:noProof/>
        </w:rPr>
        <w:t xml:space="preserve"> these new developments and market trends in its on-going evaluation of the legislative framework on tobacco control. </w:t>
      </w:r>
    </w:p>
    <w:p w14:paraId="3A488264" w14:textId="4CB6FE9F" w:rsidR="00DE54C7" w:rsidRDefault="00DE54C7" w:rsidP="00DE54C7">
      <w:pPr>
        <w:jc w:val="both"/>
        <w:rPr>
          <w:noProof/>
          <w:lang w:val="en-US"/>
        </w:rPr>
      </w:pPr>
      <w:r w:rsidRPr="000E1D82">
        <w:rPr>
          <w:noProof/>
        </w:rPr>
        <w:t xml:space="preserve">Taxation at EU level has played a pivotal role in reducing risk factors linked to our lifestyles. </w:t>
      </w:r>
      <w:r w:rsidRPr="00646B1E">
        <w:rPr>
          <w:noProof/>
        </w:rPr>
        <w:t>Around 40% of the decline in smoking in the EU in the past decade can be attributed to taxation</w:t>
      </w:r>
      <w:r>
        <w:rPr>
          <w:rStyle w:val="FootnoteReference"/>
          <w:noProof/>
        </w:rPr>
        <w:footnoteReference w:id="78"/>
      </w:r>
      <w:r w:rsidRPr="00646B1E">
        <w:rPr>
          <w:noProof/>
        </w:rPr>
        <w:t>.</w:t>
      </w:r>
      <w:r>
        <w:rPr>
          <w:noProof/>
        </w:rPr>
        <w:t xml:space="preserve"> </w:t>
      </w:r>
      <w:r w:rsidRPr="00F85948">
        <w:rPr>
          <w:noProof/>
        </w:rPr>
        <w:t>According to the World Health</w:t>
      </w:r>
      <w:r>
        <w:rPr>
          <w:noProof/>
        </w:rPr>
        <w:t xml:space="preserve"> </w:t>
      </w:r>
      <w:r w:rsidRPr="00F85948">
        <w:rPr>
          <w:noProof/>
        </w:rPr>
        <w:t>Organi</w:t>
      </w:r>
      <w:r w:rsidR="006937D4">
        <w:rPr>
          <w:noProof/>
        </w:rPr>
        <w:t>z</w:t>
      </w:r>
      <w:r w:rsidRPr="00F85948">
        <w:rPr>
          <w:noProof/>
        </w:rPr>
        <w:t>ation</w:t>
      </w:r>
      <w:r w:rsidR="006937D4">
        <w:rPr>
          <w:noProof/>
        </w:rPr>
        <w:t xml:space="preserve"> (WHO)</w:t>
      </w:r>
      <w:r w:rsidRPr="00F85948">
        <w:rPr>
          <w:noProof/>
        </w:rPr>
        <w:t>, taxation is one of the most effective instruments in curbing tobacco consumption</w:t>
      </w:r>
      <w:r>
        <w:rPr>
          <w:rStyle w:val="FootnoteReference"/>
          <w:noProof/>
        </w:rPr>
        <w:footnoteReference w:id="79"/>
      </w:r>
      <w:r w:rsidRPr="00F85948">
        <w:rPr>
          <w:noProof/>
        </w:rPr>
        <w:t>.</w:t>
      </w:r>
      <w:r>
        <w:rPr>
          <w:noProof/>
        </w:rPr>
        <w:t xml:space="preserve"> </w:t>
      </w:r>
      <w:r w:rsidRPr="000E1D82">
        <w:rPr>
          <w:noProof/>
        </w:rPr>
        <w:t>On 16 July 2025, the Commission adopted a proposal for a</w:t>
      </w:r>
      <w:r>
        <w:rPr>
          <w:noProof/>
        </w:rPr>
        <w:t>n amendment</w:t>
      </w:r>
      <w:r w:rsidRPr="000E1D82">
        <w:rPr>
          <w:noProof/>
        </w:rPr>
        <w:t xml:space="preserve"> of the Tobacco Taxation Directive</w:t>
      </w:r>
      <w:r>
        <w:rPr>
          <w:rStyle w:val="FootnoteReference"/>
          <w:noProof/>
        </w:rPr>
        <w:footnoteReference w:id="80"/>
      </w:r>
      <w:r w:rsidRPr="000E1D82">
        <w:rPr>
          <w:noProof/>
        </w:rPr>
        <w:t xml:space="preserve"> to raise excise duty rates on traditional tobacco products and to harmonise taxation </w:t>
      </w:r>
      <w:r w:rsidR="00914153" w:rsidRPr="000E1D82">
        <w:rPr>
          <w:noProof/>
        </w:rPr>
        <w:t xml:space="preserve">on </w:t>
      </w:r>
      <w:r w:rsidR="00914153">
        <w:rPr>
          <w:noProof/>
        </w:rPr>
        <w:t>novel</w:t>
      </w:r>
      <w:r w:rsidRPr="000E1D82">
        <w:rPr>
          <w:noProof/>
        </w:rPr>
        <w:t xml:space="preserve"> tobacco and nicotine products, such as e-cigarettes, heated tobacco products, nicotine pouches and other nicotine products. </w:t>
      </w:r>
      <w:r w:rsidRPr="677E8087">
        <w:rPr>
          <w:noProof/>
          <w:lang w:val="en-US"/>
        </w:rPr>
        <w:t xml:space="preserve">In </w:t>
      </w:r>
      <w:r>
        <w:rPr>
          <w:noProof/>
          <w:lang w:val="en-US"/>
        </w:rPr>
        <w:t>the</w:t>
      </w:r>
      <w:r w:rsidRPr="677E8087">
        <w:rPr>
          <w:noProof/>
          <w:lang w:val="en-US"/>
        </w:rPr>
        <w:t xml:space="preserve"> light of</w:t>
      </w:r>
      <w:r>
        <w:rPr>
          <w:noProof/>
          <w:lang w:val="en-US"/>
        </w:rPr>
        <w:t xml:space="preserve"> </w:t>
      </w:r>
      <w:r w:rsidRPr="677E8087">
        <w:rPr>
          <w:noProof/>
          <w:lang w:val="en-US"/>
        </w:rPr>
        <w:t>evolving public health challenges and significant shifts in the market, the reform</w:t>
      </w:r>
      <w:r>
        <w:rPr>
          <w:noProof/>
          <w:lang w:val="en-US"/>
        </w:rPr>
        <w:t xml:space="preserve"> </w:t>
      </w:r>
      <w:r w:rsidRPr="00502656">
        <w:rPr>
          <w:noProof/>
          <w:lang w:val="en-US"/>
        </w:rPr>
        <w:t>aims to</w:t>
      </w:r>
      <w:r w:rsidRPr="677E8087">
        <w:rPr>
          <w:noProof/>
          <w:lang w:val="en-US"/>
        </w:rPr>
        <w:t xml:space="preserve"> modernise</w:t>
      </w:r>
      <w:r>
        <w:rPr>
          <w:noProof/>
          <w:lang w:val="en-US"/>
        </w:rPr>
        <w:t xml:space="preserve"> </w:t>
      </w:r>
      <w:r w:rsidRPr="677E8087">
        <w:rPr>
          <w:noProof/>
          <w:lang w:val="en-US"/>
        </w:rPr>
        <w:t xml:space="preserve">the </w:t>
      </w:r>
      <w:r>
        <w:rPr>
          <w:noProof/>
          <w:lang w:val="en-US"/>
        </w:rPr>
        <w:t>d</w:t>
      </w:r>
      <w:r w:rsidRPr="677E8087">
        <w:rPr>
          <w:noProof/>
          <w:lang w:val="en-US"/>
        </w:rPr>
        <w:t>irective in line with the EU’s health and economic priorities</w:t>
      </w:r>
      <w:r>
        <w:rPr>
          <w:noProof/>
          <w:lang w:val="en-US"/>
        </w:rPr>
        <w:t xml:space="preserve"> </w:t>
      </w:r>
      <w:r w:rsidRPr="00502656">
        <w:rPr>
          <w:noProof/>
          <w:lang w:val="en-US"/>
        </w:rPr>
        <w:t>and to</w:t>
      </w:r>
      <w:r w:rsidRPr="677E8087">
        <w:rPr>
          <w:noProof/>
          <w:lang w:val="en-US"/>
        </w:rPr>
        <w:t xml:space="preserve"> strengthen the </w:t>
      </w:r>
      <w:r>
        <w:rPr>
          <w:noProof/>
          <w:lang w:val="en-US"/>
        </w:rPr>
        <w:t>s</w:t>
      </w:r>
      <w:r w:rsidRPr="677E8087">
        <w:rPr>
          <w:noProof/>
          <w:lang w:val="en-US"/>
        </w:rPr>
        <w:t xml:space="preserve">ingle </w:t>
      </w:r>
      <w:r>
        <w:rPr>
          <w:noProof/>
          <w:lang w:val="en-US"/>
        </w:rPr>
        <w:t>m</w:t>
      </w:r>
      <w:r w:rsidRPr="677E8087">
        <w:rPr>
          <w:noProof/>
          <w:lang w:val="en-US"/>
        </w:rPr>
        <w:t>arket.</w:t>
      </w:r>
      <w:r>
        <w:rPr>
          <w:noProof/>
          <w:lang w:val="en-US"/>
        </w:rPr>
        <w:t xml:space="preserve"> </w:t>
      </w:r>
      <w:r w:rsidRPr="677E8087">
        <w:rPr>
          <w:noProof/>
          <w:lang w:val="en-US"/>
        </w:rPr>
        <w:t xml:space="preserve">The revision of the </w:t>
      </w:r>
      <w:r>
        <w:rPr>
          <w:noProof/>
          <w:lang w:val="en-US"/>
        </w:rPr>
        <w:t>d</w:t>
      </w:r>
      <w:r w:rsidRPr="677E8087">
        <w:rPr>
          <w:noProof/>
          <w:lang w:val="en-US"/>
        </w:rPr>
        <w:t>irective will make a key contribution to achieving the</w:t>
      </w:r>
      <w:r>
        <w:rPr>
          <w:noProof/>
          <w:lang w:val="en-US"/>
        </w:rPr>
        <w:t xml:space="preserve"> </w:t>
      </w:r>
      <w:r w:rsidRPr="677E8087">
        <w:rPr>
          <w:noProof/>
          <w:lang w:val="en-US"/>
        </w:rPr>
        <w:t>objective</w:t>
      </w:r>
      <w:r>
        <w:rPr>
          <w:noProof/>
          <w:lang w:val="en-US"/>
        </w:rPr>
        <w:t xml:space="preserve"> </w:t>
      </w:r>
      <w:r w:rsidRPr="677E8087">
        <w:rPr>
          <w:noProof/>
          <w:lang w:val="en-US"/>
        </w:rPr>
        <w:t>of Europe’s Beating Cancer Plan for a tobacco-free generation, where less than 5% of the population uses tobacco by 2040.</w:t>
      </w:r>
    </w:p>
    <w:tbl>
      <w:tblPr>
        <w:tblStyle w:val="TableGrid"/>
        <w:tblW w:w="9015" w:type="dxa"/>
        <w:tblLayout w:type="fixed"/>
        <w:tblLook w:val="04A0" w:firstRow="1" w:lastRow="0" w:firstColumn="1" w:lastColumn="0" w:noHBand="0" w:noVBand="1"/>
      </w:tblPr>
      <w:tblGrid>
        <w:gridCol w:w="9015"/>
      </w:tblGrid>
      <w:tr w:rsidR="00DE54C7" w:rsidRPr="000E1D82" w14:paraId="64C4709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BF08D4" w14:textId="5D98563A" w:rsidR="00DE54C7" w:rsidRPr="00DA7334" w:rsidRDefault="00DE54C7" w:rsidP="00DA7334">
            <w:pPr>
              <w:spacing w:before="120" w:after="160" w:line="259" w:lineRule="auto"/>
              <w:jc w:val="both"/>
              <w:rPr>
                <w:rFonts w:eastAsia="Times New Roman" w:cs="Times New Roman"/>
                <w:b/>
                <w:noProof/>
                <w:szCs w:val="24"/>
              </w:rPr>
            </w:pPr>
            <w:r w:rsidRPr="00DA7334">
              <w:rPr>
                <w:rFonts w:eastAsia="Times New Roman" w:cs="Times New Roman"/>
                <w:b/>
                <w:noProof/>
                <w:szCs w:val="24"/>
              </w:rPr>
              <w:t xml:space="preserve">Flagship initiative: modernising tobacco control legislation </w:t>
            </w:r>
          </w:p>
          <w:p w14:paraId="5DC25FF7" w14:textId="0A395C66" w:rsidR="00DE54C7" w:rsidRPr="00E4479F" w:rsidRDefault="00DE54C7" w:rsidP="007371CA">
            <w:pPr>
              <w:spacing w:before="120" w:after="160" w:line="259" w:lineRule="auto"/>
              <w:jc w:val="both"/>
              <w:rPr>
                <w:noProof/>
                <w:color w:val="000000" w:themeColor="text1"/>
                <w:lang w:eastAsia="en-IE"/>
              </w:rPr>
            </w:pPr>
            <w:r w:rsidRPr="00E4479F">
              <w:rPr>
                <w:noProof/>
                <w:color w:val="000000" w:themeColor="text1"/>
                <w:lang w:eastAsia="en-IE"/>
              </w:rPr>
              <w:t xml:space="preserve">The Commission intends to propose, </w:t>
            </w:r>
            <w:r w:rsidR="003E1314" w:rsidRPr="00E4479F">
              <w:rPr>
                <w:noProof/>
                <w:color w:val="000000" w:themeColor="text1"/>
                <w:lang w:eastAsia="en-IE"/>
              </w:rPr>
              <w:t>in</w:t>
            </w:r>
            <w:r w:rsidRPr="00E4479F">
              <w:rPr>
                <w:noProof/>
                <w:color w:val="000000" w:themeColor="text1"/>
                <w:lang w:eastAsia="en-IE"/>
              </w:rPr>
              <w:t xml:space="preserve"> 202</w:t>
            </w:r>
            <w:r w:rsidR="00640AC5" w:rsidRPr="00E4479F">
              <w:rPr>
                <w:noProof/>
                <w:color w:val="000000" w:themeColor="text1"/>
                <w:lang w:eastAsia="en-IE"/>
              </w:rPr>
              <w:t>6</w:t>
            </w:r>
            <w:r w:rsidRPr="00E4479F">
              <w:rPr>
                <w:noProof/>
                <w:color w:val="000000" w:themeColor="text1"/>
                <w:lang w:eastAsia="en-IE"/>
              </w:rPr>
              <w:t>, a revision of the legislative framework on tobacco</w:t>
            </w:r>
            <w:r w:rsidR="0061042F" w:rsidRPr="00E4479F">
              <w:rPr>
                <w:noProof/>
                <w:color w:val="000000" w:themeColor="text1"/>
                <w:lang w:eastAsia="en-IE"/>
              </w:rPr>
              <w:t xml:space="preserve"> </w:t>
            </w:r>
            <w:r w:rsidRPr="00E4479F">
              <w:rPr>
                <w:noProof/>
                <w:color w:val="000000" w:themeColor="text1"/>
                <w:lang w:eastAsia="en-IE"/>
              </w:rPr>
              <w:t xml:space="preserve">control.  </w:t>
            </w:r>
          </w:p>
          <w:p w14:paraId="04E8745B" w14:textId="18A048AD" w:rsidR="00DE54C7" w:rsidRPr="000E1D82" w:rsidRDefault="00DE54C7" w:rsidP="00E4479F">
            <w:pPr>
              <w:spacing w:before="120" w:after="160" w:line="259" w:lineRule="auto"/>
              <w:jc w:val="both"/>
              <w:rPr>
                <w:rFonts w:eastAsia="Calibri" w:cs="Times New Roman"/>
                <w:noProof/>
              </w:rPr>
            </w:pPr>
            <w:r w:rsidRPr="00E4479F">
              <w:rPr>
                <w:noProof/>
                <w:color w:val="000000" w:themeColor="text1"/>
                <w:lang w:eastAsia="en-IE"/>
              </w:rPr>
              <w:t>The long-term goal is for fewer than 5% of adults to be using tobacco</w:t>
            </w:r>
            <w:r w:rsidRPr="000E1D82">
              <w:rPr>
                <w:rFonts w:eastAsia="Times New Roman" w:cs="Times New Roman"/>
                <w:noProof/>
              </w:rPr>
              <w:t xml:space="preserve"> by 2040</w:t>
            </w:r>
            <w:r w:rsidRPr="000E1D82">
              <w:rPr>
                <w:rStyle w:val="FootnoteReference"/>
                <w:rFonts w:eastAsia="Times New Roman" w:cs="Times New Roman"/>
                <w:noProof/>
              </w:rPr>
              <w:footnoteReference w:id="81"/>
            </w:r>
            <w:r w:rsidRPr="000E1D82">
              <w:rPr>
                <w:rFonts w:eastAsia="Times New Roman" w:cs="Times New Roman"/>
                <w:noProof/>
              </w:rPr>
              <w:t xml:space="preserve">. </w:t>
            </w:r>
          </w:p>
        </w:tc>
      </w:tr>
    </w:tbl>
    <w:p w14:paraId="5F1F5CA4" w14:textId="06716027" w:rsidR="00DE54C7" w:rsidRPr="000E1D82" w:rsidRDefault="00DE54C7" w:rsidP="00DE54C7">
      <w:pPr>
        <w:spacing w:before="120" w:after="60"/>
        <w:jc w:val="both"/>
        <w:rPr>
          <w:noProof/>
        </w:rPr>
      </w:pPr>
      <w:r w:rsidRPr="000E1D82">
        <w:rPr>
          <w:b/>
          <w:bCs/>
          <w:noProof/>
          <w:color w:val="000000"/>
          <w:shd w:val="clear" w:color="auto" w:fill="FFFFFF"/>
        </w:rPr>
        <w:t>Harmful use of alcohol</w:t>
      </w:r>
      <w:r w:rsidRPr="000E1D82">
        <w:rPr>
          <w:b/>
          <w:bCs/>
          <w:noProof/>
        </w:rPr>
        <w:t xml:space="preserve"> </w:t>
      </w:r>
      <w:r w:rsidRPr="000E1D82">
        <w:rPr>
          <w:noProof/>
        </w:rPr>
        <w:t xml:space="preserve">is a risk factor for cardiovascular diseases Alcohol consumption levels </w:t>
      </w:r>
      <w:r>
        <w:rPr>
          <w:noProof/>
        </w:rPr>
        <w:t xml:space="preserve">and patterns </w:t>
      </w:r>
      <w:r w:rsidRPr="000E1D82">
        <w:rPr>
          <w:noProof/>
        </w:rPr>
        <w:t>vary considerably across the EU</w:t>
      </w:r>
      <w:r>
        <w:rPr>
          <w:noProof/>
        </w:rPr>
        <w:t>.</w:t>
      </w:r>
      <w:r w:rsidRPr="000E1D82">
        <w:rPr>
          <w:noProof/>
        </w:rPr>
        <w:t xml:space="preserve"> </w:t>
      </w:r>
    </w:p>
    <w:p w14:paraId="5131E3FB" w14:textId="4D6613D3" w:rsidR="00DE54C7" w:rsidRPr="000E1D82" w:rsidRDefault="00DE54C7" w:rsidP="00DE54C7">
      <w:pPr>
        <w:spacing w:before="120" w:after="60"/>
        <w:jc w:val="both"/>
        <w:rPr>
          <w:noProof/>
        </w:rPr>
      </w:pPr>
      <w:r w:rsidRPr="000E1D82">
        <w:rPr>
          <w:noProof/>
        </w:rPr>
        <w:t xml:space="preserve">The </w:t>
      </w:r>
      <w:r>
        <w:rPr>
          <w:noProof/>
        </w:rPr>
        <w:t xml:space="preserve">harmful </w:t>
      </w:r>
      <w:r w:rsidRPr="000E1D82">
        <w:rPr>
          <w:noProof/>
        </w:rPr>
        <w:t>use of alcohol</w:t>
      </w:r>
      <w:r>
        <w:rPr>
          <w:noProof/>
        </w:rPr>
        <w:t>, including underage and binge drinking</w:t>
      </w:r>
      <w:r w:rsidRPr="000E1D82">
        <w:rPr>
          <w:noProof/>
        </w:rPr>
        <w:t xml:space="preserve"> from an early age is a significant concern</w:t>
      </w:r>
      <w:r w:rsidRPr="000E1D82">
        <w:rPr>
          <w:rStyle w:val="FootnoteReference"/>
          <w:noProof/>
        </w:rPr>
        <w:footnoteReference w:id="82"/>
      </w:r>
      <w:r w:rsidRPr="000E1D82">
        <w:rPr>
          <w:noProof/>
        </w:rPr>
        <w:t>. Alcoholic beverages, such as ‘alcopops’</w:t>
      </w:r>
      <w:r w:rsidRPr="000E1D82">
        <w:rPr>
          <w:rStyle w:val="FootnoteReference"/>
          <w:noProof/>
        </w:rPr>
        <w:footnoteReference w:id="83"/>
      </w:r>
      <w:r w:rsidRPr="000E1D82">
        <w:rPr>
          <w:noProof/>
        </w:rPr>
        <w:t xml:space="preserve">, </w:t>
      </w:r>
      <w:r>
        <w:rPr>
          <w:noProof/>
        </w:rPr>
        <w:t>seem to be</w:t>
      </w:r>
      <w:r w:rsidRPr="000E1D82">
        <w:rPr>
          <w:noProof/>
        </w:rPr>
        <w:t xml:space="preserve"> particularly appealing to young people.</w:t>
      </w:r>
      <w:r>
        <w:rPr>
          <w:noProof/>
        </w:rPr>
        <w:t xml:space="preserve"> This calls for targeted approaches, focusing on harmful consumption, particularly regarding underage and binge drinking</w:t>
      </w:r>
      <w:r>
        <w:rPr>
          <w:rStyle w:val="FootnoteReference"/>
          <w:noProof/>
        </w:rPr>
        <w:footnoteReference w:id="84"/>
      </w:r>
      <w:r>
        <w:rPr>
          <w:noProof/>
        </w:rPr>
        <w:t>.</w:t>
      </w:r>
    </w:p>
    <w:p w14:paraId="0203FD50" w14:textId="35FF63CD" w:rsidR="00DE54C7" w:rsidRDefault="00DE54C7" w:rsidP="00DE54C7">
      <w:pPr>
        <w:spacing w:before="120" w:after="240"/>
        <w:jc w:val="both"/>
        <w:rPr>
          <w:noProof/>
        </w:rPr>
      </w:pPr>
      <w:r w:rsidRPr="00E4479F">
        <w:rPr>
          <w:noProof/>
        </w:rPr>
        <w:t>Levies, taxes and duties</w:t>
      </w:r>
      <w:r w:rsidRPr="000E1D82">
        <w:rPr>
          <w:noProof/>
        </w:rPr>
        <w:t xml:space="preserve"> can serve as incentives to influence consumer behaviour, encouraging healthier food choices, </w:t>
      </w:r>
      <w:r w:rsidRPr="00064028">
        <w:rPr>
          <w:noProof/>
        </w:rPr>
        <w:t xml:space="preserve">including </w:t>
      </w:r>
      <w:r w:rsidR="00AA14A7" w:rsidRPr="00E4479F">
        <w:rPr>
          <w:noProof/>
        </w:rPr>
        <w:t xml:space="preserve">by limiting the consumption of </w:t>
      </w:r>
      <w:r w:rsidRPr="00064028">
        <w:rPr>
          <w:noProof/>
        </w:rPr>
        <w:t>sugar-sweetened beverages and alcoholic beverages</w:t>
      </w:r>
      <w:r w:rsidRPr="00064028">
        <w:rPr>
          <w:noProof/>
          <w:vertAlign w:val="superscript"/>
        </w:rPr>
        <w:footnoteReference w:id="85"/>
      </w:r>
      <w:r w:rsidRPr="00064028">
        <w:rPr>
          <w:noProof/>
        </w:rPr>
        <w:t>. Since 2015, 13 Member States have introduced taxes on unhealthy food products, the majority o</w:t>
      </w:r>
      <w:r w:rsidRPr="000E1D82">
        <w:rPr>
          <w:noProof/>
        </w:rPr>
        <w:t>n sugar-sweetened beverages and some on foods high in fat, sugar and salt</w:t>
      </w:r>
      <w:r w:rsidRPr="000E1D82">
        <w:rPr>
          <w:noProof/>
          <w:vertAlign w:val="superscript"/>
        </w:rPr>
        <w:footnoteReference w:id="86"/>
      </w:r>
      <w:r w:rsidRPr="000E1D82">
        <w:rPr>
          <w:noProof/>
        </w:rPr>
        <w:t xml:space="preserve">. The Commission will continue to support Member States in advancing taxation by discussing the design and practical implementation of </w:t>
      </w:r>
      <w:r w:rsidR="00A51484">
        <w:rPr>
          <w:noProof/>
        </w:rPr>
        <w:t xml:space="preserve">such measures </w:t>
      </w:r>
      <w:r w:rsidRPr="00A51484">
        <w:rPr>
          <w:noProof/>
        </w:rPr>
        <w:t>applie</w:t>
      </w:r>
      <w:r w:rsidRPr="000E1D82">
        <w:rPr>
          <w:noProof/>
        </w:rPr>
        <w:t xml:space="preserve">d to non-alcoholic beverages with Member States. </w:t>
      </w:r>
    </w:p>
    <w:p w14:paraId="00DAA5BD" w14:textId="76A1DCA1" w:rsidR="00E82A17" w:rsidRDefault="00E82A17" w:rsidP="00DF4938">
      <w:pPr>
        <w:jc w:val="both"/>
        <w:rPr>
          <w:noProof/>
        </w:rPr>
      </w:pPr>
      <w:r>
        <w:rPr>
          <w:b/>
          <w:noProof/>
        </w:rPr>
        <w:t>Sustainable support to</w:t>
      </w:r>
      <w:r w:rsidRPr="00BF7D64">
        <w:rPr>
          <w:b/>
          <w:noProof/>
        </w:rPr>
        <w:t xml:space="preserve"> prevention at EU level</w:t>
      </w:r>
      <w:r w:rsidR="004F16CB">
        <w:rPr>
          <w:b/>
          <w:noProof/>
        </w:rPr>
        <w:t>:</w:t>
      </w:r>
      <w:r>
        <w:rPr>
          <w:noProof/>
        </w:rPr>
        <w:t xml:space="preserve"> </w:t>
      </w:r>
      <w:r w:rsidR="00210CA9">
        <w:rPr>
          <w:noProof/>
        </w:rPr>
        <w:t>a</w:t>
      </w:r>
      <w:r>
        <w:rPr>
          <w:noProof/>
        </w:rPr>
        <w:t>ccording to the 2025 Eurobarometer survey</w:t>
      </w:r>
      <w:r w:rsidR="004F16CB">
        <w:rPr>
          <w:noProof/>
        </w:rPr>
        <w:t>,</w:t>
      </w:r>
      <w:r>
        <w:rPr>
          <w:noProof/>
        </w:rPr>
        <w:t xml:space="preserve"> citizens believe that public health </w:t>
      </w:r>
      <w:r w:rsidRPr="00AD4EC2">
        <w:rPr>
          <w:noProof/>
        </w:rPr>
        <w:t xml:space="preserve">is </w:t>
      </w:r>
      <w:r w:rsidR="00490485" w:rsidRPr="00AD4EC2">
        <w:rPr>
          <w:noProof/>
        </w:rPr>
        <w:t xml:space="preserve">one of </w:t>
      </w:r>
      <w:r w:rsidRPr="00AD4EC2">
        <w:rPr>
          <w:noProof/>
        </w:rPr>
        <w:t xml:space="preserve">the </w:t>
      </w:r>
      <w:r w:rsidR="00490485" w:rsidRPr="00AD4EC2">
        <w:rPr>
          <w:noProof/>
        </w:rPr>
        <w:t xml:space="preserve">top </w:t>
      </w:r>
      <w:r w:rsidR="00AD4EC2">
        <w:rPr>
          <w:noProof/>
        </w:rPr>
        <w:t>f</w:t>
      </w:r>
      <w:r w:rsidR="00490485" w:rsidRPr="00AD4EC2">
        <w:rPr>
          <w:noProof/>
        </w:rPr>
        <w:t xml:space="preserve">ive </w:t>
      </w:r>
      <w:r w:rsidRPr="00AD4EC2">
        <w:rPr>
          <w:noProof/>
        </w:rPr>
        <w:t>most important area</w:t>
      </w:r>
      <w:r w:rsidR="00BD17B5" w:rsidRPr="00AD4EC2">
        <w:rPr>
          <w:noProof/>
        </w:rPr>
        <w:t>s</w:t>
      </w:r>
      <w:r w:rsidRPr="00AD4EC2">
        <w:rPr>
          <w:noProof/>
        </w:rPr>
        <w:t xml:space="preserve"> that </w:t>
      </w:r>
      <w:r w:rsidR="004F16CB" w:rsidRPr="00AD4EC2">
        <w:rPr>
          <w:noProof/>
        </w:rPr>
        <w:t>the</w:t>
      </w:r>
      <w:r w:rsidRPr="00AD4EC2">
        <w:rPr>
          <w:noProof/>
        </w:rPr>
        <w:t xml:space="preserve"> EU should prioritise</w:t>
      </w:r>
      <w:r w:rsidRPr="00AD4EC2">
        <w:rPr>
          <w:rStyle w:val="FootnoteReference"/>
          <w:noProof/>
        </w:rPr>
        <w:footnoteReference w:id="87"/>
      </w:r>
      <w:r w:rsidR="00210CA9" w:rsidRPr="00AD4EC2">
        <w:rPr>
          <w:noProof/>
        </w:rPr>
        <w:t>.</w:t>
      </w:r>
      <w:r w:rsidRPr="00AD4EC2">
        <w:rPr>
          <w:noProof/>
        </w:rPr>
        <w:t xml:space="preserve"> In 2022, preventive services accounted for 5.5</w:t>
      </w:r>
      <w:r w:rsidRPr="00236C38">
        <w:rPr>
          <w:noProof/>
        </w:rPr>
        <w:t xml:space="preserve">% of the EU’s total healthcare expenditure. The largest share went to curative and rehabilitative care (51.9%), followed by medical goods like pharmaceuticals (17.8%) and long-term care (16.2%). </w:t>
      </w:r>
      <w:r>
        <w:rPr>
          <w:noProof/>
        </w:rPr>
        <w:t>S</w:t>
      </w:r>
      <w:r w:rsidRPr="00236C38">
        <w:rPr>
          <w:noProof/>
        </w:rPr>
        <w:t xml:space="preserve">pending on prevention </w:t>
      </w:r>
      <w:r>
        <w:rPr>
          <w:noProof/>
        </w:rPr>
        <w:t xml:space="preserve">does not reach 5% in </w:t>
      </w:r>
      <w:r w:rsidR="004F16CB">
        <w:rPr>
          <w:noProof/>
        </w:rPr>
        <w:t xml:space="preserve">the </w:t>
      </w:r>
      <w:r>
        <w:rPr>
          <w:noProof/>
        </w:rPr>
        <w:t>case of most of the national healthcare budgets</w:t>
      </w:r>
      <w:r>
        <w:rPr>
          <w:rStyle w:val="FootnoteReference"/>
          <w:noProof/>
        </w:rPr>
        <w:footnoteReference w:id="88"/>
      </w:r>
      <w:r w:rsidR="00DB7B97">
        <w:rPr>
          <w:noProof/>
        </w:rPr>
        <w:t>.</w:t>
      </w:r>
      <w:r>
        <w:rPr>
          <w:noProof/>
        </w:rPr>
        <w:t xml:space="preserve"> In this context it is suggested to support Member States</w:t>
      </w:r>
      <w:r w:rsidR="004F16CB">
        <w:rPr>
          <w:noProof/>
        </w:rPr>
        <w:t>’</w:t>
      </w:r>
      <w:r>
        <w:rPr>
          <w:noProof/>
        </w:rPr>
        <w:t xml:space="preserve"> efforts in primary prevention. </w:t>
      </w:r>
    </w:p>
    <w:p w14:paraId="770C2181" w14:textId="254B969E" w:rsidR="00DF4938" w:rsidRDefault="00DE54C7" w:rsidP="00DF4938">
      <w:pPr>
        <w:jc w:val="both"/>
        <w:rPr>
          <w:noProof/>
        </w:rPr>
      </w:pPr>
      <w:r w:rsidRPr="000E1D82">
        <w:rPr>
          <w:noProof/>
        </w:rPr>
        <w:t xml:space="preserve">There is evidence linking a high intake of </w:t>
      </w:r>
      <w:r w:rsidR="00250D29">
        <w:rPr>
          <w:noProof/>
        </w:rPr>
        <w:t>so</w:t>
      </w:r>
      <w:r w:rsidR="004945ED">
        <w:rPr>
          <w:noProof/>
        </w:rPr>
        <w:t>-</w:t>
      </w:r>
      <w:r w:rsidR="00250D29">
        <w:rPr>
          <w:noProof/>
        </w:rPr>
        <w:t>called</w:t>
      </w:r>
      <w:r w:rsidR="00914153">
        <w:rPr>
          <w:noProof/>
        </w:rPr>
        <w:t xml:space="preserve"> </w:t>
      </w:r>
      <w:r w:rsidR="007E7755">
        <w:rPr>
          <w:noProof/>
        </w:rPr>
        <w:t>‘</w:t>
      </w:r>
      <w:r w:rsidR="00250D29">
        <w:rPr>
          <w:noProof/>
        </w:rPr>
        <w:t>ultra</w:t>
      </w:r>
      <w:r w:rsidR="00DA7334">
        <w:rPr>
          <w:noProof/>
        </w:rPr>
        <w:t>-</w:t>
      </w:r>
      <w:r w:rsidR="00914153">
        <w:rPr>
          <w:noProof/>
        </w:rPr>
        <w:t xml:space="preserve">processed </w:t>
      </w:r>
      <w:r w:rsidR="00914153" w:rsidRPr="000E1D82">
        <w:rPr>
          <w:noProof/>
        </w:rPr>
        <w:t>food</w:t>
      </w:r>
      <w:r w:rsidR="00283F0F">
        <w:rPr>
          <w:noProof/>
        </w:rPr>
        <w:t>s</w:t>
      </w:r>
      <w:r w:rsidR="007E7755">
        <w:rPr>
          <w:noProof/>
        </w:rPr>
        <w:t xml:space="preserve">’ </w:t>
      </w:r>
      <w:r w:rsidRPr="000E1D82">
        <w:rPr>
          <w:noProof/>
        </w:rPr>
        <w:t>with high sugar, fat and salt content with the risk of developing obesity, diabetes and a range of metabolic diseases, which are risk factors for cardiovascular diseases</w:t>
      </w:r>
      <w:r w:rsidR="00F71FEB">
        <w:rPr>
          <w:rStyle w:val="FootnoteReference"/>
          <w:noProof/>
        </w:rPr>
        <w:footnoteReference w:id="89"/>
      </w:r>
      <w:r w:rsidR="00F36939">
        <w:rPr>
          <w:noProof/>
        </w:rPr>
        <w:t xml:space="preserve">. </w:t>
      </w:r>
      <w:r w:rsidRPr="000E1D82">
        <w:rPr>
          <w:noProof/>
        </w:rPr>
        <w:t xml:space="preserve">Such diseases are thus having a serious impact not only on EU citizens but also on health systems and the EU’s overall competitiveness. In this respect, an initiative on </w:t>
      </w:r>
      <w:r w:rsidR="007E7755">
        <w:rPr>
          <w:noProof/>
        </w:rPr>
        <w:t>so</w:t>
      </w:r>
      <w:r w:rsidR="004945ED">
        <w:rPr>
          <w:noProof/>
        </w:rPr>
        <w:t>-</w:t>
      </w:r>
      <w:r w:rsidR="00250D29">
        <w:rPr>
          <w:noProof/>
        </w:rPr>
        <w:t xml:space="preserve">called </w:t>
      </w:r>
      <w:r w:rsidR="007E7755">
        <w:rPr>
          <w:noProof/>
        </w:rPr>
        <w:t>‘</w:t>
      </w:r>
      <w:r w:rsidR="00250D29">
        <w:rPr>
          <w:noProof/>
        </w:rPr>
        <w:t>ultra</w:t>
      </w:r>
      <w:r w:rsidR="00DA7334">
        <w:rPr>
          <w:noProof/>
        </w:rPr>
        <w:t>-</w:t>
      </w:r>
      <w:r w:rsidR="00250D29">
        <w:rPr>
          <w:noProof/>
        </w:rPr>
        <w:t xml:space="preserve">processed </w:t>
      </w:r>
      <w:r w:rsidRPr="000E1D82">
        <w:rPr>
          <w:noProof/>
        </w:rPr>
        <w:t>food</w:t>
      </w:r>
      <w:r w:rsidR="007E7755">
        <w:rPr>
          <w:noProof/>
        </w:rPr>
        <w:t>’</w:t>
      </w:r>
      <w:r w:rsidRPr="000E1D82">
        <w:rPr>
          <w:noProof/>
        </w:rPr>
        <w:t xml:space="preserve"> related to these morbidities </w:t>
      </w:r>
      <w:r w:rsidR="004B6E54">
        <w:rPr>
          <w:noProof/>
        </w:rPr>
        <w:t>should be considered</w:t>
      </w:r>
      <w:r w:rsidR="00914153">
        <w:rPr>
          <w:noProof/>
        </w:rPr>
        <w:t xml:space="preserve">. </w:t>
      </w:r>
    </w:p>
    <w:p w14:paraId="333C7101" w14:textId="5B18FB31" w:rsidR="003F03F6" w:rsidRDefault="00885AAF" w:rsidP="0038640F">
      <w:pPr>
        <w:jc w:val="both"/>
        <w:rPr>
          <w:noProof/>
        </w:rPr>
      </w:pPr>
      <w:r w:rsidRPr="000E1D82">
        <w:rPr>
          <w:noProof/>
        </w:rPr>
        <w:t xml:space="preserve">The Commission </w:t>
      </w:r>
      <w:r>
        <w:rPr>
          <w:noProof/>
        </w:rPr>
        <w:t>intends to</w:t>
      </w:r>
      <w:r w:rsidRPr="000E1D82">
        <w:rPr>
          <w:noProof/>
        </w:rPr>
        <w:t>:</w:t>
      </w:r>
    </w:p>
    <w:p w14:paraId="5BCE05E8" w14:textId="15383E31" w:rsidR="003F03F6" w:rsidRDefault="00DE54C7" w:rsidP="001A0F9F">
      <w:pPr>
        <w:numPr>
          <w:ilvl w:val="0"/>
          <w:numId w:val="3"/>
        </w:numPr>
        <w:spacing w:before="120"/>
        <w:jc w:val="both"/>
        <w:rPr>
          <w:rFonts w:eastAsia="Times New Roman" w:cs="Times New Roman"/>
          <w:noProof/>
        </w:rPr>
      </w:pPr>
      <w:r w:rsidRPr="00A93909">
        <w:rPr>
          <w:rFonts w:eastAsia="Times New Roman" w:cs="Times New Roman"/>
          <w:noProof/>
          <w:szCs w:val="24"/>
        </w:rPr>
        <w:t xml:space="preserve">establish a network of competent authorities to provide a forum for cooperation and coordination in the taxation of unhealthy food products to support the exchange of </w:t>
      </w:r>
      <w:r w:rsidRPr="00A93909">
        <w:rPr>
          <w:rFonts w:eastAsia="Times New Roman" w:cs="Times New Roman"/>
          <w:noProof/>
        </w:rPr>
        <w:t>information and best practices among Member States</w:t>
      </w:r>
      <w:r w:rsidR="00345865" w:rsidRPr="00A93909">
        <w:rPr>
          <w:rFonts w:eastAsia="Times New Roman" w:cs="Times New Roman"/>
          <w:noProof/>
        </w:rPr>
        <w:t>;</w:t>
      </w:r>
      <w:r w:rsidRPr="00A93909">
        <w:rPr>
          <w:rFonts w:eastAsia="Times New Roman" w:cs="Times New Roman"/>
          <w:noProof/>
        </w:rPr>
        <w:t xml:space="preserve">  </w:t>
      </w:r>
    </w:p>
    <w:p w14:paraId="415CE3C0" w14:textId="7B925AF4" w:rsidR="003F03F6" w:rsidRDefault="00DE54C7">
      <w:pPr>
        <w:numPr>
          <w:ilvl w:val="0"/>
          <w:numId w:val="3"/>
        </w:numPr>
        <w:spacing w:before="120"/>
        <w:jc w:val="both"/>
        <w:rPr>
          <w:noProof/>
        </w:rPr>
      </w:pPr>
      <w:r>
        <w:rPr>
          <w:rFonts w:eastAsia="Times New Roman" w:cs="Times New Roman"/>
          <w:noProof/>
        </w:rPr>
        <w:t>set up a database</w:t>
      </w:r>
      <w:r>
        <w:rPr>
          <w:rFonts w:eastAsia="Times New Roman" w:cs="Times New Roman"/>
          <w:noProof/>
          <w:szCs w:val="24"/>
        </w:rPr>
        <w:t xml:space="preserve"> of such taxes</w:t>
      </w:r>
      <w:r w:rsidR="00B83DB0">
        <w:rPr>
          <w:rFonts w:eastAsia="Times New Roman" w:cs="Times New Roman"/>
          <w:noProof/>
          <w:szCs w:val="24"/>
        </w:rPr>
        <w:t xml:space="preserve"> or levies</w:t>
      </w:r>
      <w:r>
        <w:rPr>
          <w:rFonts w:eastAsia="Times New Roman" w:cs="Times New Roman"/>
          <w:noProof/>
          <w:szCs w:val="24"/>
        </w:rPr>
        <w:t xml:space="preserve"> in force in Member States.</w:t>
      </w:r>
    </w:p>
    <w:tbl>
      <w:tblPr>
        <w:tblStyle w:val="TableGrid"/>
        <w:tblW w:w="9015" w:type="dxa"/>
        <w:tblLayout w:type="fixed"/>
        <w:tblLook w:val="04A0" w:firstRow="1" w:lastRow="0" w:firstColumn="1" w:lastColumn="0" w:noHBand="0" w:noVBand="1"/>
      </w:tblPr>
      <w:tblGrid>
        <w:gridCol w:w="9015"/>
      </w:tblGrid>
      <w:tr w:rsidR="00DC1CFE" w:rsidRPr="000E1D82" w14:paraId="0B1626C4"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7C5673C" w14:textId="69D77C01" w:rsidR="00DC1CFE" w:rsidRPr="000E1D82" w:rsidRDefault="00DC1CFE" w:rsidP="00755B39">
            <w:pPr>
              <w:spacing w:before="120" w:after="160" w:line="259" w:lineRule="auto"/>
              <w:jc w:val="both"/>
              <w:rPr>
                <w:rFonts w:eastAsia="Calibri" w:cs="Times New Roman"/>
                <w:noProof/>
              </w:rPr>
            </w:pPr>
            <w:r w:rsidRPr="00DA7334">
              <w:rPr>
                <w:rFonts w:eastAsia="Times New Roman" w:cs="Times New Roman"/>
                <w:b/>
                <w:noProof/>
                <w:szCs w:val="24"/>
              </w:rPr>
              <w:t xml:space="preserve">Flagship initiative: </w:t>
            </w:r>
            <w:r>
              <w:rPr>
                <w:rFonts w:eastAsia="Times New Roman" w:cs="Times New Roman"/>
                <w:bCs/>
                <w:noProof/>
                <w:szCs w:val="24"/>
              </w:rPr>
              <w:t xml:space="preserve">based on the outcome of the study on so-called ‘ultra-processed foods’, the </w:t>
            </w:r>
            <w:r>
              <w:rPr>
                <w:rFonts w:eastAsia="Times New Roman" w:cs="Times New Roman"/>
                <w:b/>
                <w:noProof/>
                <w:szCs w:val="24"/>
              </w:rPr>
              <w:t>Commission will examine which appropriate tools, including possible financial actions</w:t>
            </w:r>
            <w:r>
              <w:rPr>
                <w:rFonts w:eastAsia="Times New Roman" w:cs="Times New Roman"/>
                <w:bCs/>
                <w:noProof/>
                <w:szCs w:val="24"/>
              </w:rPr>
              <w:t>, could be deployed to support/fund public health actions in the field of primary prevention and stimulate food reformulation and healthier consumer choices.</w:t>
            </w:r>
          </w:p>
        </w:tc>
      </w:tr>
    </w:tbl>
    <w:p w14:paraId="28A659AC" w14:textId="16DB87C9" w:rsidR="00DE54C7" w:rsidRDefault="00DE54C7" w:rsidP="00DE54C7">
      <w:pPr>
        <w:spacing w:before="120" w:after="240"/>
        <w:jc w:val="both"/>
        <w:rPr>
          <w:noProof/>
        </w:rPr>
      </w:pPr>
      <w:r w:rsidRPr="000E1D82">
        <w:rPr>
          <w:b/>
          <w:bCs/>
          <w:noProof/>
        </w:rPr>
        <w:t>Sports and regular physical activity</w:t>
      </w:r>
      <w:r w:rsidRPr="000E1D82">
        <w:rPr>
          <w:noProof/>
        </w:rPr>
        <w:t xml:space="preserve"> offer significant benefits for cardiovascular health by strengthening the heart muscle, improving blood circulation, and helping to regulate blood pressure and cholesterol levels. </w:t>
      </w:r>
      <w:r w:rsidR="00D04FA3" w:rsidRPr="00D04FA3">
        <w:rPr>
          <w:noProof/>
        </w:rPr>
        <w:t>Promoting regular physical activity remains essential for healthier communities, disease prevention and overall well-being across the EU.</w:t>
      </w:r>
    </w:p>
    <w:p w14:paraId="10CAEDE9" w14:textId="3788BCCC" w:rsidR="00DE54C7" w:rsidRPr="000E1D82" w:rsidRDefault="00DE54C7" w:rsidP="00DE54C7">
      <w:pPr>
        <w:jc w:val="both"/>
        <w:rPr>
          <w:rFonts w:eastAsia="Calibri" w:cs="Times New Roman"/>
          <w:bCs/>
          <w:noProof/>
        </w:rPr>
      </w:pPr>
      <w:r w:rsidRPr="000E1D82">
        <w:rPr>
          <w:rFonts w:eastAsia="Calibri" w:cs="Times New Roman"/>
          <w:bCs/>
          <w:noProof/>
        </w:rPr>
        <w:t xml:space="preserve">The Commission </w:t>
      </w:r>
      <w:r>
        <w:rPr>
          <w:rFonts w:eastAsia="Calibri" w:cs="Times New Roman"/>
          <w:bCs/>
          <w:noProof/>
        </w:rPr>
        <w:t>intends to</w:t>
      </w:r>
      <w:r w:rsidRPr="000E1D82">
        <w:rPr>
          <w:rFonts w:eastAsia="Calibri" w:cs="Times New Roman"/>
          <w:bCs/>
          <w:noProof/>
        </w:rPr>
        <w:t xml:space="preserve">: </w:t>
      </w:r>
    </w:p>
    <w:p w14:paraId="5415AFA0" w14:textId="73CB7C6B" w:rsidR="00DE54C7" w:rsidRPr="000E1D82" w:rsidRDefault="00DE54C7" w:rsidP="00DE54C7">
      <w:pPr>
        <w:numPr>
          <w:ilvl w:val="0"/>
          <w:numId w:val="3"/>
        </w:numPr>
        <w:spacing w:before="120"/>
        <w:jc w:val="both"/>
        <w:rPr>
          <w:rFonts w:eastAsia="Times New Roman" w:cs="Times New Roman"/>
          <w:noProof/>
        </w:rPr>
      </w:pPr>
      <w:r w:rsidRPr="000E1D82">
        <w:rPr>
          <w:rFonts w:eastAsiaTheme="minorEastAsia" w:cs="Times New Roman"/>
          <w:noProof/>
        </w:rPr>
        <w:t>propose</w:t>
      </w:r>
      <w:r w:rsidR="00914153">
        <w:rPr>
          <w:rFonts w:eastAsiaTheme="minorEastAsia" w:cs="Times New Roman"/>
          <w:noProof/>
        </w:rPr>
        <w:t xml:space="preserve"> an</w:t>
      </w:r>
      <w:r w:rsidRPr="000E1D82">
        <w:rPr>
          <w:rFonts w:eastAsiaTheme="minorEastAsia" w:cs="Times New Roman"/>
          <w:noProof/>
        </w:rPr>
        <w:t xml:space="preserve"> update of</w:t>
      </w:r>
      <w:r w:rsidRPr="000E1D82">
        <w:rPr>
          <w:rFonts w:eastAsia="Times New Roman" w:cs="Times New Roman"/>
          <w:noProof/>
        </w:rPr>
        <w:t xml:space="preserve"> the Council Recommendation on promoting health-enhancing physical activity across </w:t>
      </w:r>
      <w:r w:rsidR="00D8171C" w:rsidRPr="000E1D82">
        <w:rPr>
          <w:rFonts w:eastAsia="Times New Roman" w:cs="Times New Roman"/>
          <w:noProof/>
        </w:rPr>
        <w:t>sectors</w:t>
      </w:r>
      <w:r w:rsidR="00C5062B">
        <w:rPr>
          <w:rFonts w:eastAsia="Times New Roman" w:cs="Times New Roman"/>
          <w:noProof/>
        </w:rPr>
        <w:t>;</w:t>
      </w:r>
      <w:r w:rsidRPr="000E1D82">
        <w:rPr>
          <w:rFonts w:eastAsia="Times New Roman" w:cs="Times New Roman"/>
          <w:noProof/>
        </w:rPr>
        <w:t xml:space="preserve"> </w:t>
      </w:r>
    </w:p>
    <w:p w14:paraId="5EFF7EDD" w14:textId="6D92C807" w:rsidR="00DE54C7" w:rsidRDefault="00DE54C7" w:rsidP="00DE54C7">
      <w:pPr>
        <w:numPr>
          <w:ilvl w:val="0"/>
          <w:numId w:val="3"/>
        </w:numPr>
        <w:spacing w:before="120"/>
        <w:jc w:val="both"/>
        <w:rPr>
          <w:noProof/>
        </w:rPr>
      </w:pPr>
      <w:r w:rsidRPr="000E1D82">
        <w:rPr>
          <w:rFonts w:eastAsia="Times New Roman" w:cs="Times New Roman"/>
          <w:noProof/>
        </w:rPr>
        <w:t>strengthen awareness o</w:t>
      </w:r>
      <w:r>
        <w:rPr>
          <w:rFonts w:eastAsia="Times New Roman" w:cs="Times New Roman"/>
          <w:noProof/>
        </w:rPr>
        <w:t>f</w:t>
      </w:r>
      <w:r w:rsidRPr="000E1D82">
        <w:rPr>
          <w:rFonts w:eastAsia="Times New Roman" w:cs="Times New Roman"/>
          <w:noProof/>
        </w:rPr>
        <w:t xml:space="preserve"> the link between regular physical activity and cardiovascular health through annual Europe</w:t>
      </w:r>
      <w:r w:rsidRPr="000E1D82">
        <w:rPr>
          <w:noProof/>
        </w:rPr>
        <w:t>-wide campaigns, including the #BeActive campaign and the European Week of Sport</w:t>
      </w:r>
      <w:r>
        <w:rPr>
          <w:rStyle w:val="FootnoteReference"/>
          <w:noProof/>
        </w:rPr>
        <w:footnoteReference w:id="90"/>
      </w:r>
      <w:r w:rsidR="00C5062B">
        <w:rPr>
          <w:noProof/>
        </w:rPr>
        <w:t>;</w:t>
      </w:r>
    </w:p>
    <w:p w14:paraId="2009DC8C" w14:textId="434BE897" w:rsidR="00D04FA3" w:rsidRDefault="00D04FA3" w:rsidP="007E7755">
      <w:pPr>
        <w:pStyle w:val="ListParagraph"/>
        <w:numPr>
          <w:ilvl w:val="0"/>
          <w:numId w:val="3"/>
        </w:numPr>
        <w:spacing w:before="120" w:after="240"/>
        <w:jc w:val="both"/>
        <w:rPr>
          <w:noProof/>
        </w:rPr>
      </w:pPr>
      <w:r w:rsidRPr="00D04FA3">
        <w:rPr>
          <w:noProof/>
        </w:rPr>
        <w:t xml:space="preserve">continue to </w:t>
      </w:r>
      <w:r w:rsidR="00022F6C">
        <w:rPr>
          <w:noProof/>
        </w:rPr>
        <w:t xml:space="preserve">provide EU funding to </w:t>
      </w:r>
      <w:r w:rsidRPr="00D04FA3">
        <w:rPr>
          <w:noProof/>
        </w:rPr>
        <w:t>support physical activity, including its crucial role in prevention, through programmes such as Erasmus</w:t>
      </w:r>
      <w:r w:rsidRPr="00EF0BA4">
        <w:rPr>
          <w:noProof/>
          <w:vertAlign w:val="superscript"/>
        </w:rPr>
        <w:t>+</w:t>
      </w:r>
      <w:r w:rsidR="00EF0BA4">
        <w:rPr>
          <w:rStyle w:val="FootnoteReference"/>
          <w:noProof/>
        </w:rPr>
        <w:footnoteReference w:id="91"/>
      </w:r>
      <w:r w:rsidRPr="00D04FA3">
        <w:rPr>
          <w:noProof/>
        </w:rPr>
        <w:t xml:space="preserve"> and EU4Health. </w:t>
      </w:r>
    </w:p>
    <w:p w14:paraId="58834F9A" w14:textId="47FFC271" w:rsidR="00CF4FDF" w:rsidRPr="000E1D82" w:rsidRDefault="00DE54C7" w:rsidP="00914153">
      <w:pPr>
        <w:spacing w:before="120"/>
        <w:jc w:val="both"/>
        <w:rPr>
          <w:b/>
          <w:noProof/>
          <w:color w:val="000000" w:themeColor="text1"/>
        </w:rPr>
      </w:pPr>
      <w:r w:rsidRPr="000E1D82">
        <w:rPr>
          <w:b/>
          <w:noProof/>
          <w:color w:val="000000" w:themeColor="text1"/>
        </w:rPr>
        <w:t xml:space="preserve">Focus on children and young people </w:t>
      </w:r>
    </w:p>
    <w:p w14:paraId="0A67B2EF" w14:textId="60D5447E" w:rsidR="00DE54C7" w:rsidRPr="000E1D82" w:rsidRDefault="00DE54C7" w:rsidP="00DE54C7">
      <w:pPr>
        <w:spacing w:before="120"/>
        <w:jc w:val="both"/>
        <w:rPr>
          <w:bCs/>
          <w:noProof/>
          <w:color w:val="000000" w:themeColor="text1"/>
        </w:rPr>
      </w:pPr>
      <w:r>
        <w:rPr>
          <w:bCs/>
          <w:noProof/>
          <w:color w:val="000000" w:themeColor="text1"/>
        </w:rPr>
        <w:t>P</w:t>
      </w:r>
      <w:r w:rsidRPr="000E1D82">
        <w:rPr>
          <w:bCs/>
          <w:noProof/>
          <w:color w:val="000000" w:themeColor="text1"/>
        </w:rPr>
        <w:t xml:space="preserve">revention of cardiovascular diseases, diabetes and obesity must start in childhood. </w:t>
      </w:r>
      <w:r>
        <w:rPr>
          <w:bCs/>
          <w:noProof/>
          <w:color w:val="000000" w:themeColor="text1"/>
        </w:rPr>
        <w:t>P</w:t>
      </w:r>
      <w:r w:rsidRPr="000E1D82">
        <w:rPr>
          <w:bCs/>
          <w:noProof/>
          <w:color w:val="000000" w:themeColor="text1"/>
        </w:rPr>
        <w:t>reventing obesity in children</w:t>
      </w:r>
      <w:r>
        <w:rPr>
          <w:bCs/>
          <w:noProof/>
          <w:color w:val="000000" w:themeColor="text1"/>
        </w:rPr>
        <w:t>, in particular,</w:t>
      </w:r>
      <w:r w:rsidRPr="000E1D82">
        <w:rPr>
          <w:bCs/>
          <w:noProof/>
          <w:color w:val="000000" w:themeColor="text1"/>
        </w:rPr>
        <w:t xml:space="preserve"> is key to reducing the risk of diabetes and cardiovascular diseases in early adulthood. </w:t>
      </w:r>
    </w:p>
    <w:p w14:paraId="4748271B" w14:textId="06DB7CAA" w:rsidR="00DE54C7" w:rsidRDefault="00DE54C7" w:rsidP="00DE54C7">
      <w:pPr>
        <w:spacing w:before="120"/>
        <w:jc w:val="both"/>
        <w:rPr>
          <w:bCs/>
          <w:noProof/>
          <w:color w:val="000000" w:themeColor="text1"/>
        </w:rPr>
      </w:pPr>
      <w:r w:rsidRPr="000E1D82">
        <w:rPr>
          <w:bCs/>
          <w:noProof/>
          <w:color w:val="000000" w:themeColor="text1"/>
        </w:rPr>
        <w:t xml:space="preserve">Early intervention </w:t>
      </w:r>
      <w:r>
        <w:rPr>
          <w:bCs/>
          <w:noProof/>
          <w:color w:val="000000" w:themeColor="text1"/>
        </w:rPr>
        <w:t xml:space="preserve">with </w:t>
      </w:r>
      <w:r w:rsidRPr="000E1D82">
        <w:rPr>
          <w:bCs/>
          <w:noProof/>
          <w:color w:val="000000" w:themeColor="text1"/>
        </w:rPr>
        <w:t xml:space="preserve">children and young people </w:t>
      </w:r>
      <w:r>
        <w:rPr>
          <w:bCs/>
          <w:noProof/>
          <w:color w:val="000000" w:themeColor="text1"/>
        </w:rPr>
        <w:t>creates</w:t>
      </w:r>
      <w:r w:rsidRPr="000E1D82">
        <w:rPr>
          <w:bCs/>
          <w:noProof/>
          <w:color w:val="000000" w:themeColor="text1"/>
        </w:rPr>
        <w:t xml:space="preserve"> a unique opportunity to establish lifelong healthy habits, including healthy diets and physical activity</w:t>
      </w:r>
      <w:r w:rsidR="004D317B">
        <w:rPr>
          <w:rStyle w:val="FootnoteReference"/>
          <w:bCs/>
          <w:noProof/>
          <w:color w:val="000000" w:themeColor="text1"/>
        </w:rPr>
        <w:footnoteReference w:id="92"/>
      </w:r>
      <w:r w:rsidRPr="000E1D82">
        <w:rPr>
          <w:bCs/>
          <w:noProof/>
          <w:color w:val="000000" w:themeColor="text1"/>
        </w:rPr>
        <w:t xml:space="preserve">. </w:t>
      </w:r>
      <w:r>
        <w:rPr>
          <w:bCs/>
          <w:noProof/>
          <w:color w:val="000000" w:themeColor="text1"/>
        </w:rPr>
        <w:t xml:space="preserve">The Commission will continue to promote the consumption of fruit and vegetables. </w:t>
      </w:r>
      <w:r w:rsidRPr="008F6ED4">
        <w:rPr>
          <w:noProof/>
          <w:color w:val="000000" w:themeColor="text1"/>
        </w:rPr>
        <w:t xml:space="preserve">The </w:t>
      </w:r>
      <w:r>
        <w:rPr>
          <w:noProof/>
          <w:color w:val="000000" w:themeColor="text1"/>
        </w:rPr>
        <w:t xml:space="preserve">findings from the </w:t>
      </w:r>
      <w:r w:rsidRPr="008F6ED4">
        <w:rPr>
          <w:noProof/>
          <w:color w:val="000000" w:themeColor="text1"/>
        </w:rPr>
        <w:t xml:space="preserve">WHO </w:t>
      </w:r>
      <w:r>
        <w:rPr>
          <w:noProof/>
          <w:color w:val="000000" w:themeColor="text1"/>
        </w:rPr>
        <w:t>study</w:t>
      </w:r>
      <w:r>
        <w:rPr>
          <w:rStyle w:val="FootnoteReference"/>
          <w:noProof/>
          <w:color w:val="000000" w:themeColor="text1"/>
        </w:rPr>
        <w:footnoteReference w:id="93"/>
      </w:r>
      <w:r>
        <w:rPr>
          <w:noProof/>
          <w:color w:val="000000" w:themeColor="text1"/>
        </w:rPr>
        <w:t xml:space="preserve"> on children’s eating habits </w:t>
      </w:r>
      <w:r w:rsidRPr="008F6ED4">
        <w:rPr>
          <w:noProof/>
          <w:color w:val="000000" w:themeColor="text1"/>
        </w:rPr>
        <w:t>highlight that action is needed to promote healthy eating habits among children</w:t>
      </w:r>
      <w:r>
        <w:rPr>
          <w:noProof/>
          <w:color w:val="000000" w:themeColor="text1"/>
        </w:rPr>
        <w:t>,</w:t>
      </w:r>
      <w:r w:rsidRPr="008F6ED4">
        <w:rPr>
          <w:noProof/>
          <w:color w:val="000000" w:themeColor="text1"/>
        </w:rPr>
        <w:t xml:space="preserve"> </w:t>
      </w:r>
      <w:r w:rsidR="00D8171C">
        <w:rPr>
          <w:noProof/>
          <w:color w:val="000000" w:themeColor="text1"/>
        </w:rPr>
        <w:t>to</w:t>
      </w:r>
      <w:r w:rsidRPr="008F6ED4">
        <w:rPr>
          <w:noProof/>
          <w:color w:val="000000" w:themeColor="text1"/>
        </w:rPr>
        <w:t xml:space="preserve"> increase daily consumption of fresh fruit and vegetables</w:t>
      </w:r>
      <w:r>
        <w:rPr>
          <w:noProof/>
          <w:color w:val="000000" w:themeColor="text1"/>
        </w:rPr>
        <w:t xml:space="preserve">. </w:t>
      </w:r>
      <w:r w:rsidRPr="000E1D82">
        <w:rPr>
          <w:bCs/>
          <w:noProof/>
          <w:color w:val="000000" w:themeColor="text1"/>
        </w:rPr>
        <w:t xml:space="preserve">Excessive consumption of foods and beverages </w:t>
      </w:r>
      <w:r>
        <w:rPr>
          <w:bCs/>
          <w:noProof/>
          <w:color w:val="000000" w:themeColor="text1"/>
        </w:rPr>
        <w:t xml:space="preserve">that are </w:t>
      </w:r>
      <w:r w:rsidRPr="000E1D82">
        <w:rPr>
          <w:bCs/>
          <w:noProof/>
          <w:color w:val="000000" w:themeColor="text1"/>
        </w:rPr>
        <w:t>high in sugar is linked to an increased risk for obesity. Schools and other educational settings can significantly influence children</w:t>
      </w:r>
      <w:r>
        <w:rPr>
          <w:bCs/>
          <w:noProof/>
          <w:color w:val="000000" w:themeColor="text1"/>
        </w:rPr>
        <w:t>’s</w:t>
      </w:r>
      <w:r w:rsidRPr="000E1D82">
        <w:rPr>
          <w:bCs/>
          <w:noProof/>
          <w:color w:val="000000" w:themeColor="text1"/>
        </w:rPr>
        <w:t xml:space="preserve"> and young people’s eating habits through education and the provision of healthy food choices to encourage the intake of health</w:t>
      </w:r>
      <w:r>
        <w:rPr>
          <w:bCs/>
          <w:noProof/>
          <w:color w:val="000000" w:themeColor="text1"/>
        </w:rPr>
        <w:t>ier</w:t>
      </w:r>
      <w:r w:rsidRPr="000E1D82">
        <w:rPr>
          <w:bCs/>
          <w:noProof/>
          <w:color w:val="000000" w:themeColor="text1"/>
        </w:rPr>
        <w:t xml:space="preserve"> foods, such as fruit and vegetables. </w:t>
      </w:r>
    </w:p>
    <w:p w14:paraId="36111E10" w14:textId="28D3FF12" w:rsidR="00DE54C7" w:rsidRPr="000E1D82" w:rsidRDefault="00DE54C7" w:rsidP="00DE54C7">
      <w:pPr>
        <w:spacing w:before="120"/>
        <w:jc w:val="both"/>
        <w:rPr>
          <w:noProof/>
          <w:color w:val="000000" w:themeColor="text1"/>
        </w:rPr>
      </w:pPr>
      <w:r w:rsidRPr="000E1D82">
        <w:rPr>
          <w:noProof/>
          <w:color w:val="000000" w:themeColor="text1"/>
        </w:rPr>
        <w:t>The Commission is funding collaborative actions between Member States and stakeholder-led projects that promote healthy eating and physical activity through education, and policy and community engagement</w:t>
      </w:r>
      <w:r w:rsidRPr="000E1D82">
        <w:rPr>
          <w:noProof/>
          <w:color w:val="000000" w:themeColor="text1"/>
          <w:vertAlign w:val="superscript"/>
        </w:rPr>
        <w:footnoteReference w:id="94"/>
      </w:r>
      <w:r w:rsidRPr="000E1D82">
        <w:rPr>
          <w:noProof/>
          <w:color w:val="000000" w:themeColor="text1"/>
        </w:rPr>
        <w:t>. In addition, research projects</w:t>
      </w:r>
      <w:r w:rsidRPr="000E1D82">
        <w:rPr>
          <w:noProof/>
          <w:color w:val="000000" w:themeColor="text1"/>
          <w:vertAlign w:val="superscript"/>
        </w:rPr>
        <w:footnoteReference w:id="95"/>
      </w:r>
      <w:r w:rsidRPr="000E1D82">
        <w:rPr>
          <w:noProof/>
          <w:color w:val="000000" w:themeColor="text1"/>
        </w:rPr>
        <w:t>,</w:t>
      </w:r>
      <w:r w:rsidRPr="000E1D82">
        <w:rPr>
          <w:noProof/>
          <w:color w:val="000000" w:themeColor="text1"/>
          <w:vertAlign w:val="superscript"/>
        </w:rPr>
        <w:t xml:space="preserve"> </w:t>
      </w:r>
      <w:r>
        <w:rPr>
          <w:noProof/>
          <w:color w:val="000000" w:themeColor="text1"/>
        </w:rPr>
        <w:t>are f</w:t>
      </w:r>
      <w:r w:rsidRPr="000E1D82">
        <w:rPr>
          <w:noProof/>
          <w:color w:val="000000" w:themeColor="text1"/>
        </w:rPr>
        <w:t>ocus</w:t>
      </w:r>
      <w:r>
        <w:rPr>
          <w:noProof/>
          <w:color w:val="000000" w:themeColor="text1"/>
        </w:rPr>
        <w:t>ing</w:t>
      </w:r>
      <w:r w:rsidRPr="000E1D82">
        <w:rPr>
          <w:noProof/>
          <w:color w:val="000000" w:themeColor="text1"/>
        </w:rPr>
        <w:t xml:space="preserve"> on identifying risk factors, </w:t>
      </w:r>
      <w:r>
        <w:rPr>
          <w:noProof/>
          <w:color w:val="000000" w:themeColor="text1"/>
        </w:rPr>
        <w:t>e.g. obesity and on improving healthy diets</w:t>
      </w:r>
      <w:r>
        <w:rPr>
          <w:rStyle w:val="FootnoteReference"/>
          <w:noProof/>
          <w:color w:val="000000" w:themeColor="text1"/>
        </w:rPr>
        <w:footnoteReference w:id="96"/>
      </w:r>
      <w:r>
        <w:rPr>
          <w:noProof/>
          <w:color w:val="000000" w:themeColor="text1"/>
        </w:rPr>
        <w:t xml:space="preserve">, </w:t>
      </w:r>
      <w:r w:rsidRPr="000E1D82">
        <w:rPr>
          <w:noProof/>
          <w:color w:val="000000" w:themeColor="text1"/>
        </w:rPr>
        <w:t xml:space="preserve">promoting prevention, and developing personalised interventions to support lifelong healthy lifestyles specifically for children and young people. Sports and regular physical activity offer significant benefits for cardiovascular health by strengthening the heart muscle, improving blood circulation, and helping to regulate blood pressure and cholesterol levels. However, </w:t>
      </w:r>
      <w:r>
        <w:rPr>
          <w:noProof/>
          <w:color w:val="000000" w:themeColor="text1"/>
        </w:rPr>
        <w:t>fewer</w:t>
      </w:r>
      <w:r w:rsidRPr="000E1D82">
        <w:rPr>
          <w:noProof/>
          <w:color w:val="000000" w:themeColor="text1"/>
        </w:rPr>
        <w:t xml:space="preserve"> than 1 in 5 boys and 1 in 10 girls</w:t>
      </w:r>
      <w:r>
        <w:rPr>
          <w:noProof/>
          <w:color w:val="000000" w:themeColor="text1"/>
        </w:rPr>
        <w:t xml:space="preserve"> (5-17 years)</w:t>
      </w:r>
      <w:r w:rsidRPr="000E1D82">
        <w:rPr>
          <w:noProof/>
          <w:color w:val="000000" w:themeColor="text1"/>
        </w:rPr>
        <w:t xml:space="preserve"> meet the WHO</w:t>
      </w:r>
      <w:r>
        <w:rPr>
          <w:noProof/>
          <w:color w:val="000000" w:themeColor="text1"/>
        </w:rPr>
        <w:t>’s</w:t>
      </w:r>
      <w:r w:rsidRPr="000E1D82">
        <w:rPr>
          <w:noProof/>
          <w:color w:val="000000" w:themeColor="text1"/>
        </w:rPr>
        <w:t xml:space="preserve"> recommended level of physical activity</w:t>
      </w:r>
      <w:r w:rsidRPr="000E1D82">
        <w:rPr>
          <w:noProof/>
          <w:color w:val="000000" w:themeColor="text1"/>
          <w:vertAlign w:val="superscript"/>
        </w:rPr>
        <w:footnoteReference w:id="97"/>
      </w:r>
      <w:r w:rsidRPr="000E1D82">
        <w:rPr>
          <w:noProof/>
          <w:color w:val="000000" w:themeColor="text1"/>
        </w:rPr>
        <w:t xml:space="preserve">. </w:t>
      </w:r>
    </w:p>
    <w:p w14:paraId="49BB0AD4" w14:textId="24EFE815" w:rsidR="00DE54C7" w:rsidRPr="000E1D82" w:rsidRDefault="00DE54C7" w:rsidP="00DE54C7">
      <w:pPr>
        <w:spacing w:before="120"/>
        <w:jc w:val="both"/>
        <w:rPr>
          <w:bCs/>
          <w:noProof/>
          <w:color w:val="000000" w:themeColor="text1"/>
        </w:rPr>
      </w:pPr>
      <w:r w:rsidRPr="000E1D82">
        <w:rPr>
          <w:bCs/>
          <w:noProof/>
          <w:color w:val="000000" w:themeColor="text1"/>
        </w:rPr>
        <w:t>The rapid growth in the consumption and sales of novel tobacco and nicotine products</w:t>
      </w:r>
      <w:r>
        <w:rPr>
          <w:bCs/>
          <w:noProof/>
          <w:color w:val="000000" w:themeColor="text1"/>
        </w:rPr>
        <w:t xml:space="preserve"> e.g.</w:t>
      </w:r>
      <w:r w:rsidRPr="000E1D82">
        <w:rPr>
          <w:bCs/>
          <w:noProof/>
          <w:color w:val="000000" w:themeColor="text1"/>
        </w:rPr>
        <w:t xml:space="preserve"> heated tobacco products, e-cigarettes, and nicotine pouches</w:t>
      </w:r>
      <w:r>
        <w:rPr>
          <w:bCs/>
          <w:noProof/>
          <w:color w:val="000000" w:themeColor="text1"/>
        </w:rPr>
        <w:t>,</w:t>
      </w:r>
      <w:r w:rsidRPr="000E1D82">
        <w:rPr>
          <w:bCs/>
          <w:noProof/>
          <w:color w:val="000000" w:themeColor="text1"/>
        </w:rPr>
        <w:t xml:space="preserve"> among young people is alarming.</w:t>
      </w:r>
      <w:r>
        <w:rPr>
          <w:bCs/>
          <w:noProof/>
          <w:color w:val="000000" w:themeColor="text1"/>
        </w:rPr>
        <w:t xml:space="preserve"> </w:t>
      </w:r>
      <w:r w:rsidRPr="000E1D82">
        <w:rPr>
          <w:bCs/>
          <w:noProof/>
          <w:color w:val="000000" w:themeColor="text1"/>
        </w:rPr>
        <w:t xml:space="preserve">Around one in five of young people (15-19 years) </w:t>
      </w:r>
      <w:r>
        <w:rPr>
          <w:bCs/>
          <w:noProof/>
          <w:color w:val="000000" w:themeColor="text1"/>
        </w:rPr>
        <w:t>that</w:t>
      </w:r>
      <w:r w:rsidRPr="000E1D82">
        <w:rPr>
          <w:bCs/>
          <w:noProof/>
          <w:color w:val="000000" w:themeColor="text1"/>
        </w:rPr>
        <w:t xml:space="preserve"> consume tobacco and nicotine products started </w:t>
      </w:r>
      <w:r>
        <w:rPr>
          <w:bCs/>
          <w:noProof/>
          <w:color w:val="000000" w:themeColor="text1"/>
        </w:rPr>
        <w:t>out</w:t>
      </w:r>
      <w:r w:rsidRPr="000E1D82">
        <w:rPr>
          <w:bCs/>
          <w:noProof/>
          <w:color w:val="000000" w:themeColor="text1"/>
        </w:rPr>
        <w:t xml:space="preserve"> by regularly using e-cigarettes</w:t>
      </w:r>
      <w:r w:rsidRPr="000E1D82">
        <w:rPr>
          <w:rStyle w:val="FootnoteReference"/>
          <w:bCs/>
          <w:noProof/>
          <w:color w:val="000000" w:themeColor="text1"/>
        </w:rPr>
        <w:footnoteReference w:id="98"/>
      </w:r>
      <w:r w:rsidRPr="000E1D82">
        <w:rPr>
          <w:bCs/>
          <w:noProof/>
          <w:color w:val="000000" w:themeColor="text1"/>
        </w:rPr>
        <w:t xml:space="preserve">. This clearly indicates that e-cigarettes act as a gateway to nicotine addiction and tobacco use among young people. </w:t>
      </w:r>
    </w:p>
    <w:p w14:paraId="279B37A4" w14:textId="594B8497" w:rsidR="00DE54C7" w:rsidRDefault="00DE54C7" w:rsidP="00DE54C7">
      <w:pPr>
        <w:spacing w:before="120"/>
        <w:jc w:val="both"/>
        <w:rPr>
          <w:noProof/>
          <w:color w:val="000000" w:themeColor="text1"/>
        </w:rPr>
      </w:pPr>
      <w:r w:rsidRPr="000E1D82">
        <w:rPr>
          <w:noProof/>
          <w:color w:val="000000" w:themeColor="text1"/>
        </w:rPr>
        <w:t xml:space="preserve">Children and young people are particularly vulnerable to marketing </w:t>
      </w:r>
      <w:r w:rsidR="00505FD1">
        <w:rPr>
          <w:noProof/>
          <w:color w:val="000000" w:themeColor="text1"/>
        </w:rPr>
        <w:t>on</w:t>
      </w:r>
      <w:r w:rsidRPr="000E1D82">
        <w:rPr>
          <w:noProof/>
          <w:color w:val="000000" w:themeColor="text1"/>
        </w:rPr>
        <w:t xml:space="preserve"> </w:t>
      </w:r>
      <w:r>
        <w:rPr>
          <w:noProof/>
          <w:color w:val="000000" w:themeColor="text1"/>
        </w:rPr>
        <w:t xml:space="preserve">so-called </w:t>
      </w:r>
      <w:r w:rsidR="00D53EA1">
        <w:rPr>
          <w:noProof/>
          <w:color w:val="000000" w:themeColor="text1"/>
        </w:rPr>
        <w:t>‘</w:t>
      </w:r>
      <w:r>
        <w:rPr>
          <w:noProof/>
          <w:color w:val="000000" w:themeColor="text1"/>
        </w:rPr>
        <w:t>ultra-processed</w:t>
      </w:r>
      <w:r w:rsidR="00D53EA1">
        <w:rPr>
          <w:noProof/>
          <w:color w:val="000000" w:themeColor="text1"/>
        </w:rPr>
        <w:t>’</w:t>
      </w:r>
      <w:r>
        <w:rPr>
          <w:noProof/>
          <w:color w:val="000000" w:themeColor="text1"/>
        </w:rPr>
        <w:t xml:space="preserve"> </w:t>
      </w:r>
      <w:r w:rsidRPr="000E1D82">
        <w:rPr>
          <w:noProof/>
          <w:color w:val="000000" w:themeColor="text1"/>
        </w:rPr>
        <w:t>food</w:t>
      </w:r>
      <w:r w:rsidR="000F59D2">
        <w:rPr>
          <w:noProof/>
          <w:color w:val="000000" w:themeColor="text1"/>
        </w:rPr>
        <w:t>s</w:t>
      </w:r>
      <w:r w:rsidRPr="000E1D82">
        <w:rPr>
          <w:noProof/>
          <w:color w:val="000000" w:themeColor="text1"/>
        </w:rPr>
        <w:t xml:space="preserve"> </w:t>
      </w:r>
      <w:r>
        <w:rPr>
          <w:noProof/>
          <w:color w:val="000000" w:themeColor="text1"/>
        </w:rPr>
        <w:t xml:space="preserve">and foods </w:t>
      </w:r>
      <w:r w:rsidRPr="000E1D82">
        <w:rPr>
          <w:noProof/>
          <w:color w:val="000000" w:themeColor="text1"/>
        </w:rPr>
        <w:t>high in fat, sugar, and salt, as well as tobacco and emerging products. The Audiovisual Media Services Directive</w:t>
      </w:r>
      <w:r w:rsidRPr="000E1D82">
        <w:rPr>
          <w:noProof/>
          <w:color w:val="000000" w:themeColor="text1"/>
          <w:vertAlign w:val="superscript"/>
        </w:rPr>
        <w:footnoteReference w:id="99"/>
      </w:r>
      <w:r w:rsidRPr="000E1D82">
        <w:rPr>
          <w:noProof/>
          <w:color w:val="000000" w:themeColor="text1"/>
        </w:rPr>
        <w:t xml:space="preserve"> aims to protect </w:t>
      </w:r>
      <w:r w:rsidR="006C3E1F">
        <w:rPr>
          <w:noProof/>
          <w:color w:val="000000" w:themeColor="text1"/>
        </w:rPr>
        <w:t>viewers</w:t>
      </w:r>
      <w:r w:rsidR="00935214">
        <w:rPr>
          <w:noProof/>
          <w:color w:val="000000" w:themeColor="text1"/>
        </w:rPr>
        <w:t xml:space="preserve">, including </w:t>
      </w:r>
      <w:r w:rsidRPr="000E1D82">
        <w:rPr>
          <w:noProof/>
          <w:color w:val="000000" w:themeColor="text1"/>
        </w:rPr>
        <w:t xml:space="preserve">children from harmful advertising. It encourages co-regulation and self-regulation to limit children’s exposure to marketing of unhealthy foods and beverages. </w:t>
      </w:r>
    </w:p>
    <w:p w14:paraId="4E8CA372" w14:textId="77777777" w:rsidR="000A24BE" w:rsidRPr="000E1D82" w:rsidRDefault="000A24BE" w:rsidP="000A24BE">
      <w:pPr>
        <w:jc w:val="both"/>
        <w:rPr>
          <w:rFonts w:eastAsia="Calibri" w:cs="Times New Roman"/>
          <w:bCs/>
          <w:noProof/>
        </w:rPr>
      </w:pPr>
      <w:r w:rsidRPr="000E1D82">
        <w:rPr>
          <w:rFonts w:eastAsia="Calibri" w:cs="Times New Roman"/>
          <w:bCs/>
          <w:noProof/>
        </w:rPr>
        <w:t xml:space="preserve">The Commission </w:t>
      </w:r>
      <w:r>
        <w:rPr>
          <w:rFonts w:eastAsia="Calibri" w:cs="Times New Roman"/>
          <w:bCs/>
          <w:noProof/>
        </w:rPr>
        <w:t>intends to</w:t>
      </w:r>
      <w:r w:rsidRPr="000E1D82">
        <w:rPr>
          <w:rFonts w:eastAsia="Calibri" w:cs="Times New Roman"/>
          <w:bCs/>
          <w:noProof/>
        </w:rPr>
        <w:t xml:space="preserve">: </w:t>
      </w:r>
    </w:p>
    <w:p w14:paraId="779F3FF8" w14:textId="51484282" w:rsidR="000A24BE" w:rsidRPr="000A24BE" w:rsidRDefault="000A24BE" w:rsidP="000A24BE">
      <w:pPr>
        <w:numPr>
          <w:ilvl w:val="0"/>
          <w:numId w:val="3"/>
        </w:numPr>
        <w:spacing w:before="120"/>
        <w:jc w:val="both"/>
        <w:rPr>
          <w:rFonts w:eastAsia="Times New Roman" w:cs="Times New Roman"/>
          <w:noProof/>
        </w:rPr>
      </w:pPr>
      <w:r>
        <w:rPr>
          <w:rFonts w:eastAsiaTheme="minorEastAsia" w:cs="Times New Roman"/>
          <w:noProof/>
        </w:rPr>
        <w:t xml:space="preserve">evaluate the </w:t>
      </w:r>
      <w:r w:rsidRPr="000C3C91">
        <w:rPr>
          <w:bCs/>
          <w:noProof/>
          <w:color w:val="000000" w:themeColor="text1"/>
        </w:rPr>
        <w:t>Audiovisual Media Service Directive</w:t>
      </w:r>
      <w:r>
        <w:rPr>
          <w:bCs/>
          <w:noProof/>
          <w:color w:val="000000" w:themeColor="text1"/>
        </w:rPr>
        <w:t xml:space="preserve"> </w:t>
      </w:r>
      <w:r w:rsidRPr="000C3C91">
        <w:rPr>
          <w:bCs/>
          <w:noProof/>
          <w:color w:val="000000" w:themeColor="text1"/>
        </w:rPr>
        <w:t>which includes rules to protect minors from harmful content, by the end of 2026, and consider a proposal for its revision</w:t>
      </w:r>
      <w:r>
        <w:rPr>
          <w:bCs/>
          <w:noProof/>
          <w:color w:val="000000" w:themeColor="text1"/>
        </w:rPr>
        <w:t xml:space="preserve">; </w:t>
      </w:r>
    </w:p>
    <w:p w14:paraId="2141E972" w14:textId="18EA675D" w:rsidR="000A24BE" w:rsidRDefault="000A24BE" w:rsidP="000A24BE">
      <w:pPr>
        <w:numPr>
          <w:ilvl w:val="0"/>
          <w:numId w:val="3"/>
        </w:numPr>
        <w:spacing w:before="120"/>
        <w:jc w:val="both"/>
        <w:rPr>
          <w:rFonts w:eastAsia="Times New Roman" w:cs="Times New Roman"/>
          <w:noProof/>
        </w:rPr>
      </w:pPr>
      <w:r>
        <w:rPr>
          <w:bCs/>
          <w:noProof/>
          <w:color w:val="000000" w:themeColor="text1"/>
        </w:rPr>
        <w:t xml:space="preserve">present a </w:t>
      </w:r>
      <w:r w:rsidRPr="000C3C91">
        <w:rPr>
          <w:noProof/>
          <w:color w:val="000000" w:themeColor="text1"/>
        </w:rPr>
        <w:t>‘Toolkit for Child and Adolescent Health and Mental Wellbeing Promotion’ by the end of 2026</w:t>
      </w:r>
      <w:r>
        <w:rPr>
          <w:noProof/>
          <w:color w:val="000000" w:themeColor="text1"/>
        </w:rPr>
        <w:t>,</w:t>
      </w:r>
      <w:r w:rsidRPr="000C3C91">
        <w:rPr>
          <w:noProof/>
          <w:color w:val="000000" w:themeColor="text1"/>
        </w:rPr>
        <w:t xml:space="preserve"> to support policymakers in improving the physical and mental health of </w:t>
      </w:r>
      <w:r w:rsidRPr="000E1D82">
        <w:rPr>
          <w:noProof/>
        </w:rPr>
        <w:t>children</w:t>
      </w:r>
      <w:r w:rsidRPr="000E1D82">
        <w:rPr>
          <w:noProof/>
          <w:vertAlign w:val="superscript"/>
        </w:rPr>
        <w:footnoteReference w:id="100"/>
      </w:r>
      <w:r w:rsidRPr="000C3C91">
        <w:rPr>
          <w:rFonts w:eastAsia="Times New Roman" w:cs="Times New Roman"/>
          <w:noProof/>
        </w:rPr>
        <w:t>.</w:t>
      </w:r>
    </w:p>
    <w:p w14:paraId="18B780BA" w14:textId="37B16214" w:rsidR="000815C8" w:rsidRDefault="00DE54C7" w:rsidP="000815C8">
      <w:pPr>
        <w:spacing w:before="120"/>
        <w:jc w:val="both"/>
        <w:rPr>
          <w:rFonts w:cs="Times New Roman"/>
          <w:i/>
          <w:iCs/>
          <w:noProof/>
        </w:rPr>
      </w:pPr>
      <w:r w:rsidRPr="000E1D82">
        <w:rPr>
          <w:b/>
          <w:bCs/>
          <w:noProof/>
          <w:color w:val="000000" w:themeColor="text1"/>
        </w:rPr>
        <w:t xml:space="preserve">Climate change and </w:t>
      </w:r>
      <w:r>
        <w:rPr>
          <w:b/>
          <w:bCs/>
          <w:noProof/>
          <w:color w:val="000000" w:themeColor="text1"/>
        </w:rPr>
        <w:t xml:space="preserve">environmental factors, such as </w:t>
      </w:r>
      <w:r w:rsidRPr="000E1D82">
        <w:rPr>
          <w:b/>
          <w:bCs/>
          <w:noProof/>
          <w:color w:val="000000" w:themeColor="text1"/>
        </w:rPr>
        <w:t xml:space="preserve">air </w:t>
      </w:r>
      <w:r w:rsidR="006C6B5F">
        <w:rPr>
          <w:b/>
          <w:bCs/>
          <w:noProof/>
          <w:color w:val="000000" w:themeColor="text1"/>
        </w:rPr>
        <w:t xml:space="preserve">or noise </w:t>
      </w:r>
      <w:r w:rsidRPr="000E1D82">
        <w:rPr>
          <w:b/>
          <w:bCs/>
          <w:noProof/>
          <w:color w:val="000000" w:themeColor="text1"/>
        </w:rPr>
        <w:t>pollution</w:t>
      </w:r>
      <w:r w:rsidRPr="000E1D82">
        <w:rPr>
          <w:noProof/>
          <w:color w:val="000000" w:themeColor="text1"/>
        </w:rPr>
        <w:t xml:space="preserve"> significantly impact cardiovascular diseases, </w:t>
      </w:r>
      <w:r w:rsidRPr="000E1D82">
        <w:rPr>
          <w:rFonts w:eastAsia="Times New Roman" w:cs="Times New Roman"/>
          <w:noProof/>
          <w:color w:val="000000" w:themeColor="text1"/>
        </w:rPr>
        <w:t>especially among vulnerable groups</w:t>
      </w:r>
      <w:r>
        <w:rPr>
          <w:rFonts w:eastAsia="Times New Roman" w:cs="Times New Roman"/>
          <w:noProof/>
          <w:color w:val="000000" w:themeColor="text1"/>
        </w:rPr>
        <w:t xml:space="preserve">. </w:t>
      </w:r>
      <w:r w:rsidR="00BF0569">
        <w:rPr>
          <w:rFonts w:eastAsia="Times New Roman" w:cs="Times New Roman"/>
          <w:noProof/>
          <w:color w:val="000000" w:themeColor="text1"/>
        </w:rPr>
        <w:t xml:space="preserve">Fossil fuel combustion and extreme weather events may cause or worsen cardiovascular diseases. Climate-related cardiovascular risks are already recognised in </w:t>
      </w:r>
      <w:r>
        <w:rPr>
          <w:rFonts w:eastAsia="Times New Roman" w:cs="Times New Roman"/>
          <w:noProof/>
          <w:color w:val="000000" w:themeColor="text1"/>
        </w:rPr>
        <w:t>20 out of 27 national adaptation policies</w:t>
      </w:r>
      <w:r w:rsidRPr="000E1D82">
        <w:rPr>
          <w:rStyle w:val="FootnoteReference"/>
          <w:noProof/>
          <w:color w:val="000000"/>
          <w:shd w:val="clear" w:color="auto" w:fill="FFFFFF"/>
        </w:rPr>
        <w:footnoteReference w:id="101"/>
      </w:r>
      <w:r w:rsidRPr="000E1D82">
        <w:rPr>
          <w:noProof/>
          <w:color w:val="000000"/>
          <w:shd w:val="clear" w:color="auto" w:fill="FFFFFF"/>
        </w:rPr>
        <w:t xml:space="preserve">. </w:t>
      </w:r>
      <w:r w:rsidR="00BF0569" w:rsidRPr="4FD287B9">
        <w:rPr>
          <w:noProof/>
          <w:color w:val="000000" w:themeColor="text1"/>
        </w:rPr>
        <w:t xml:space="preserve">Switching to a clean energy economy, </w:t>
      </w:r>
      <w:r w:rsidR="00BF0569">
        <w:rPr>
          <w:noProof/>
          <w:color w:val="000000" w:themeColor="text1"/>
        </w:rPr>
        <w:t>r</w:t>
      </w:r>
      <w:r w:rsidRPr="000E1D82">
        <w:rPr>
          <w:noProof/>
          <w:color w:val="000000" w:themeColor="text1"/>
        </w:rPr>
        <w:t xml:space="preserve">educing pollution and integrating health into climate adaptation plans, especially at local level, </w:t>
      </w:r>
      <w:r w:rsidR="00BF0569">
        <w:rPr>
          <w:noProof/>
          <w:color w:val="000000" w:themeColor="text1"/>
        </w:rPr>
        <w:t>are</w:t>
      </w:r>
      <w:r w:rsidRPr="000E1D82">
        <w:rPr>
          <w:noProof/>
          <w:color w:val="000000" w:themeColor="text1"/>
        </w:rPr>
        <w:t xml:space="preserve"> essential </w:t>
      </w:r>
      <w:r w:rsidR="00D8171C">
        <w:rPr>
          <w:noProof/>
          <w:color w:val="000000" w:themeColor="text1"/>
        </w:rPr>
        <w:t>to</w:t>
      </w:r>
      <w:r w:rsidRPr="000E1D82">
        <w:rPr>
          <w:noProof/>
          <w:color w:val="000000" w:themeColor="text1"/>
        </w:rPr>
        <w:t xml:space="preserve"> ensure appropriate responses and lower cardiovascular disease rates</w:t>
      </w:r>
      <w:r w:rsidRPr="000E1D82">
        <w:rPr>
          <w:rFonts w:cs="Times New Roman"/>
          <w:b/>
          <w:bCs/>
          <w:noProof/>
        </w:rPr>
        <w:t xml:space="preserve">. </w:t>
      </w:r>
      <w:r w:rsidRPr="00D53EA1">
        <w:rPr>
          <w:noProof/>
        </w:rPr>
        <w:t xml:space="preserve"> </w:t>
      </w:r>
    </w:p>
    <w:p w14:paraId="417CFAA2" w14:textId="45829976" w:rsidR="00DE54C7" w:rsidRPr="000E1D82" w:rsidRDefault="00DE54C7" w:rsidP="00DE54C7">
      <w:pPr>
        <w:jc w:val="both"/>
        <w:rPr>
          <w:rFonts w:cs="Times New Roman"/>
          <w:noProof/>
        </w:rPr>
      </w:pPr>
      <w:r w:rsidRPr="000E1D82">
        <w:rPr>
          <w:rFonts w:cs="Times New Roman"/>
          <w:b/>
          <w:bCs/>
          <w:noProof/>
        </w:rPr>
        <w:t>Vaccination</w:t>
      </w:r>
      <w:r w:rsidR="005A45D1">
        <w:rPr>
          <w:rFonts w:cs="Times New Roman"/>
          <w:b/>
          <w:bCs/>
          <w:noProof/>
        </w:rPr>
        <w:t xml:space="preserve"> </w:t>
      </w:r>
      <w:r w:rsidRPr="000E1D82">
        <w:rPr>
          <w:rFonts w:cs="Times New Roman"/>
          <w:noProof/>
        </w:rPr>
        <w:t xml:space="preserve">against infections, </w:t>
      </w:r>
      <w:r>
        <w:rPr>
          <w:rFonts w:cs="Times New Roman"/>
          <w:noProof/>
        </w:rPr>
        <w:t>e.g</w:t>
      </w:r>
      <w:r w:rsidR="00BA7084">
        <w:rPr>
          <w:rFonts w:cs="Times New Roman"/>
          <w:noProof/>
        </w:rPr>
        <w:t>.</w:t>
      </w:r>
      <w:r>
        <w:rPr>
          <w:rFonts w:cs="Times New Roman"/>
          <w:noProof/>
        </w:rPr>
        <w:t xml:space="preserve"> </w:t>
      </w:r>
      <w:r w:rsidRPr="000E1D82">
        <w:rPr>
          <w:rFonts w:cs="Times New Roman"/>
          <w:noProof/>
        </w:rPr>
        <w:t>influenza, SARS-CoV-2 (COVID-19), respiratory syncytial virus, pneumococcal disease</w:t>
      </w:r>
      <w:r>
        <w:rPr>
          <w:rFonts w:cs="Times New Roman"/>
          <w:noProof/>
        </w:rPr>
        <w:t xml:space="preserve"> and </w:t>
      </w:r>
      <w:r w:rsidRPr="000E1D82">
        <w:rPr>
          <w:rFonts w:cs="Times New Roman"/>
          <w:noProof/>
        </w:rPr>
        <w:t xml:space="preserve">or herpes zoster, is an effective measure </w:t>
      </w:r>
      <w:r>
        <w:rPr>
          <w:rFonts w:cs="Times New Roman"/>
          <w:noProof/>
        </w:rPr>
        <w:t>to prevent</w:t>
      </w:r>
      <w:r w:rsidRPr="000E1D82">
        <w:rPr>
          <w:rFonts w:cs="Times New Roman"/>
          <w:noProof/>
        </w:rPr>
        <w:t xml:space="preserve"> cardiovascular complications in high-risk groups</w:t>
      </w:r>
      <w:r w:rsidRPr="000E1D82">
        <w:rPr>
          <w:rStyle w:val="FootnoteReference"/>
          <w:noProof/>
        </w:rPr>
        <w:footnoteReference w:id="102"/>
      </w:r>
      <w:r w:rsidRPr="000E1D82">
        <w:rPr>
          <w:rFonts w:cs="Times New Roman"/>
          <w:noProof/>
        </w:rPr>
        <w:t xml:space="preserve">. Vaccinating </w:t>
      </w:r>
      <w:r>
        <w:rPr>
          <w:rFonts w:cs="Times New Roman"/>
          <w:noProof/>
        </w:rPr>
        <w:t xml:space="preserve">for all these diseases for </w:t>
      </w:r>
      <w:r w:rsidRPr="000E1D82">
        <w:rPr>
          <w:rFonts w:cs="Times New Roman"/>
          <w:noProof/>
        </w:rPr>
        <w:t>people aged 65 and over,</w:t>
      </w:r>
      <w:r>
        <w:rPr>
          <w:rFonts w:cs="Times New Roman"/>
          <w:noProof/>
        </w:rPr>
        <w:t xml:space="preserve"> as well as </w:t>
      </w:r>
      <w:r w:rsidRPr="000E1D82">
        <w:rPr>
          <w:rFonts w:cs="Times New Roman"/>
          <w:noProof/>
        </w:rPr>
        <w:t xml:space="preserve">those with cardiovascular diseases, reduces the risk of heart attacks, stroke and other acute events. Influenza vaccination </w:t>
      </w:r>
      <w:r>
        <w:rPr>
          <w:rFonts w:cs="Times New Roman"/>
          <w:noProof/>
        </w:rPr>
        <w:t>is</w:t>
      </w:r>
      <w:r w:rsidRPr="000E1D82">
        <w:rPr>
          <w:rFonts w:cs="Times New Roman"/>
          <w:noProof/>
        </w:rPr>
        <w:t xml:space="preserve"> associated with a 34% </w:t>
      </w:r>
      <w:r>
        <w:rPr>
          <w:rFonts w:cs="Times New Roman"/>
          <w:noProof/>
        </w:rPr>
        <w:t>reduction in the</w:t>
      </w:r>
      <w:r w:rsidRPr="000E1D82">
        <w:rPr>
          <w:rFonts w:cs="Times New Roman"/>
          <w:noProof/>
        </w:rPr>
        <w:t xml:space="preserve"> risk of major adverse cardiovascular events</w:t>
      </w:r>
      <w:r w:rsidRPr="000E1D82">
        <w:rPr>
          <w:rStyle w:val="FootnoteReference"/>
          <w:rFonts w:cs="Times New Roman"/>
          <w:noProof/>
        </w:rPr>
        <w:footnoteReference w:id="103"/>
      </w:r>
      <w:r w:rsidRPr="000E1D82">
        <w:rPr>
          <w:rFonts w:cs="Times New Roman"/>
          <w:noProof/>
        </w:rPr>
        <w:t>, highlighting immunisation as an important preventive strategy</w:t>
      </w:r>
      <w:r w:rsidRPr="000E1D82">
        <w:rPr>
          <w:rStyle w:val="FootnoteReference"/>
          <w:rFonts w:cs="Times New Roman"/>
          <w:noProof/>
        </w:rPr>
        <w:footnoteReference w:id="104"/>
      </w:r>
      <w:r w:rsidRPr="000E1D82">
        <w:rPr>
          <w:rFonts w:cs="Times New Roman"/>
          <w:noProof/>
        </w:rPr>
        <w:t xml:space="preserve">. </w:t>
      </w:r>
    </w:p>
    <w:p w14:paraId="72A7FEFA" w14:textId="77777777" w:rsidR="00DE54C7" w:rsidRDefault="00DE54C7" w:rsidP="00DE54C7">
      <w:pPr>
        <w:jc w:val="both"/>
        <w:rPr>
          <w:rFonts w:eastAsiaTheme="minorEastAsia" w:cs="Times New Roman"/>
          <w:noProof/>
        </w:rPr>
      </w:pPr>
      <w:r w:rsidRPr="000E1D82">
        <w:rPr>
          <w:rFonts w:eastAsiaTheme="minorEastAsia" w:cs="Times New Roman"/>
          <w:noProof/>
        </w:rPr>
        <w:t>The Commission supports national efforts to increase vaccination coverage through EU-funded projects</w:t>
      </w:r>
      <w:r w:rsidRPr="000E1D82">
        <w:rPr>
          <w:rStyle w:val="FootnoteReference"/>
          <w:rFonts w:eastAsiaTheme="minorEastAsia" w:cs="Times New Roman"/>
          <w:noProof/>
        </w:rPr>
        <w:footnoteReference w:id="105"/>
      </w:r>
      <w:r w:rsidRPr="000E1D82">
        <w:rPr>
          <w:rFonts w:eastAsiaTheme="minorEastAsia" w:cs="Times New Roman"/>
          <w:noProof/>
        </w:rPr>
        <w:t>, the European Vaccination Information Portal</w:t>
      </w:r>
      <w:r w:rsidRPr="000E1D82">
        <w:rPr>
          <w:rStyle w:val="FootnoteReference"/>
          <w:rFonts w:eastAsiaTheme="minorEastAsia" w:cs="Times New Roman"/>
          <w:noProof/>
        </w:rPr>
        <w:footnoteReference w:id="106"/>
      </w:r>
      <w:r w:rsidRPr="000E1D82">
        <w:rPr>
          <w:rFonts w:eastAsiaTheme="minorEastAsia" w:cs="Times New Roman"/>
          <w:noProof/>
        </w:rPr>
        <w:t xml:space="preserve"> and campaigns like #United in Protection</w:t>
      </w:r>
      <w:r w:rsidRPr="000E1D82">
        <w:rPr>
          <w:rStyle w:val="FootnoteReference"/>
          <w:rFonts w:eastAsiaTheme="minorEastAsia" w:cs="Times New Roman"/>
          <w:noProof/>
        </w:rPr>
        <w:footnoteReference w:id="107"/>
      </w:r>
      <w:r w:rsidRPr="000E1D82">
        <w:rPr>
          <w:rFonts w:eastAsiaTheme="minorEastAsia" w:cs="Times New Roman"/>
          <w:noProof/>
        </w:rPr>
        <w:t xml:space="preserve">. The Commission collaborates with the European Centre for Disease Prevention (ECDC) and </w:t>
      </w:r>
      <w:r>
        <w:rPr>
          <w:rFonts w:eastAsiaTheme="minorEastAsia" w:cs="Times New Roman"/>
          <w:noProof/>
        </w:rPr>
        <w:t xml:space="preserve">the </w:t>
      </w:r>
      <w:r w:rsidRPr="000E1D82">
        <w:rPr>
          <w:rFonts w:eastAsiaTheme="minorEastAsia" w:cs="Times New Roman"/>
          <w:noProof/>
        </w:rPr>
        <w:t>European Medicines Agency</w:t>
      </w:r>
      <w:r>
        <w:rPr>
          <w:rFonts w:eastAsiaTheme="minorEastAsia" w:cs="Times New Roman"/>
          <w:noProof/>
        </w:rPr>
        <w:t xml:space="preserve"> (EMA)</w:t>
      </w:r>
      <w:r w:rsidRPr="000E1D82">
        <w:rPr>
          <w:rFonts w:eastAsiaTheme="minorEastAsia" w:cs="Times New Roman"/>
          <w:noProof/>
        </w:rPr>
        <w:t xml:space="preserve"> to counter disinformation, support national vaccination strategies with scientific evidence, monitor the performance of immunisation programmes ensure transparency in vaccine approval, and maintain independent post-authorisation surveillance. </w:t>
      </w:r>
    </w:p>
    <w:p w14:paraId="31EDACC4" w14:textId="0475342C" w:rsidR="00DE54C7" w:rsidRPr="000E1D82" w:rsidRDefault="00DE54C7" w:rsidP="00DE54C7">
      <w:pPr>
        <w:jc w:val="both"/>
        <w:rPr>
          <w:rFonts w:eastAsiaTheme="minorEastAsia" w:cs="Times New Roman"/>
          <w:noProof/>
        </w:rPr>
      </w:pPr>
      <w:r w:rsidRPr="000E1D82">
        <w:rPr>
          <w:rFonts w:eastAsiaTheme="minorEastAsia" w:cs="Times New Roman"/>
          <w:noProof/>
        </w:rPr>
        <w:t>The ECDC w</w:t>
      </w:r>
      <w:r>
        <w:rPr>
          <w:rFonts w:eastAsiaTheme="minorEastAsia" w:cs="Times New Roman"/>
          <w:noProof/>
        </w:rPr>
        <w:t>ould</w:t>
      </w:r>
      <w:r w:rsidRPr="000E1D82">
        <w:rPr>
          <w:rFonts w:eastAsiaTheme="minorEastAsia" w:cs="Times New Roman"/>
          <w:noProof/>
        </w:rPr>
        <w:t xml:space="preserve"> help Member States </w:t>
      </w:r>
      <w:r>
        <w:rPr>
          <w:rFonts w:eastAsiaTheme="minorEastAsia" w:cs="Times New Roman"/>
          <w:noProof/>
        </w:rPr>
        <w:t>by</w:t>
      </w:r>
      <w:r w:rsidRPr="000E1D82">
        <w:rPr>
          <w:rFonts w:eastAsiaTheme="minorEastAsia" w:cs="Times New Roman"/>
          <w:noProof/>
        </w:rPr>
        <w:t xml:space="preserve">: </w:t>
      </w:r>
    </w:p>
    <w:p w14:paraId="6FE7F7C2" w14:textId="77777777" w:rsidR="000815C8" w:rsidRDefault="00DE54C7" w:rsidP="0086514B">
      <w:pPr>
        <w:pStyle w:val="ListParagraph"/>
        <w:numPr>
          <w:ilvl w:val="0"/>
          <w:numId w:val="3"/>
        </w:numPr>
        <w:spacing w:after="120"/>
        <w:ind w:left="714" w:hanging="357"/>
        <w:contextualSpacing w:val="0"/>
        <w:jc w:val="both"/>
        <w:rPr>
          <w:rFonts w:eastAsiaTheme="minorEastAsia" w:cs="Times New Roman"/>
          <w:noProof/>
        </w:rPr>
      </w:pPr>
      <w:r w:rsidRPr="000E1D82">
        <w:rPr>
          <w:rFonts w:eastAsiaTheme="minorEastAsia" w:cs="Times New Roman"/>
          <w:noProof/>
        </w:rPr>
        <w:t>provid</w:t>
      </w:r>
      <w:r>
        <w:rPr>
          <w:rFonts w:eastAsiaTheme="minorEastAsia" w:cs="Times New Roman"/>
          <w:noProof/>
        </w:rPr>
        <w:t>ing</w:t>
      </w:r>
      <w:r w:rsidRPr="000E1D82">
        <w:rPr>
          <w:rFonts w:eastAsiaTheme="minorEastAsia" w:cs="Times New Roman"/>
          <w:noProof/>
        </w:rPr>
        <w:t xml:space="preserve"> guidance and capacity-building to strengthen national immunisation information systems and registries for cardiovascular disease-risk groups, including interoperability standards and reporting indicators, in </w:t>
      </w:r>
      <w:r>
        <w:rPr>
          <w:rFonts w:eastAsiaTheme="minorEastAsia" w:cs="Times New Roman"/>
          <w:noProof/>
        </w:rPr>
        <w:t>accordance</w:t>
      </w:r>
      <w:r w:rsidRPr="000E1D82">
        <w:rPr>
          <w:rFonts w:eastAsiaTheme="minorEastAsia" w:cs="Times New Roman"/>
          <w:noProof/>
        </w:rPr>
        <w:t xml:space="preserve"> with the </w:t>
      </w:r>
      <w:r>
        <w:rPr>
          <w:rFonts w:eastAsiaTheme="minorEastAsia" w:cs="Times New Roman"/>
          <w:noProof/>
        </w:rPr>
        <w:t xml:space="preserve">legal framework of the </w:t>
      </w:r>
      <w:r w:rsidRPr="000E1D82">
        <w:rPr>
          <w:rFonts w:eastAsiaTheme="minorEastAsia" w:cs="Times New Roman"/>
          <w:noProof/>
        </w:rPr>
        <w:t>European Health Data Space (EHDS)</w:t>
      </w:r>
      <w:r w:rsidR="007371CA">
        <w:rPr>
          <w:rFonts w:eastAsiaTheme="minorEastAsia" w:cs="Times New Roman"/>
          <w:noProof/>
        </w:rPr>
        <w:t>;</w:t>
      </w:r>
      <w:r w:rsidRPr="000E1D82">
        <w:rPr>
          <w:rFonts w:eastAsiaTheme="minorEastAsia" w:cs="Times New Roman"/>
          <w:noProof/>
        </w:rPr>
        <w:t xml:space="preserve"> </w:t>
      </w:r>
    </w:p>
    <w:p w14:paraId="55AF8B4D" w14:textId="208B0D10" w:rsidR="0086514B" w:rsidRDefault="000815C8" w:rsidP="0086514B">
      <w:pPr>
        <w:pStyle w:val="ListParagraph"/>
        <w:numPr>
          <w:ilvl w:val="0"/>
          <w:numId w:val="3"/>
        </w:numPr>
        <w:spacing w:after="120"/>
        <w:ind w:left="714" w:hanging="357"/>
        <w:contextualSpacing w:val="0"/>
        <w:jc w:val="both"/>
        <w:rPr>
          <w:rFonts w:eastAsiaTheme="minorEastAsia" w:cs="Times New Roman"/>
          <w:noProof/>
        </w:rPr>
      </w:pPr>
      <w:r w:rsidRPr="0086514B">
        <w:rPr>
          <w:rFonts w:eastAsiaTheme="minorEastAsia" w:cs="Times New Roman"/>
          <w:noProof/>
        </w:rPr>
        <w:t>providing targeted training to healthcare professionals on the link between key vaccine-preventable diseases and cardiovascular diseases</w:t>
      </w:r>
      <w:r w:rsidR="000C3C91">
        <w:rPr>
          <w:rFonts w:eastAsiaTheme="minorEastAsia" w:cs="Times New Roman"/>
          <w:noProof/>
        </w:rPr>
        <w:t>.</w:t>
      </w:r>
    </w:p>
    <w:tbl>
      <w:tblPr>
        <w:tblStyle w:val="TableGrid"/>
        <w:tblW w:w="9015" w:type="dxa"/>
        <w:tblLayout w:type="fixed"/>
        <w:tblLook w:val="04A0" w:firstRow="1" w:lastRow="0" w:firstColumn="1" w:lastColumn="0" w:noHBand="0" w:noVBand="1"/>
      </w:tblPr>
      <w:tblGrid>
        <w:gridCol w:w="9015"/>
      </w:tblGrid>
      <w:tr w:rsidR="00F86B07" w:rsidRPr="000E1D82" w14:paraId="13078DD7" w14:textId="77777777" w:rsidTr="1A90AEB0">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9594C07" w14:textId="250045B9" w:rsidR="00F86B07" w:rsidRPr="00F86B07" w:rsidRDefault="37674D2E">
            <w:pPr>
              <w:spacing w:before="120" w:after="60"/>
              <w:jc w:val="both"/>
              <w:rPr>
                <w:b/>
                <w:bCs/>
                <w:noProof/>
              </w:rPr>
            </w:pPr>
            <w:r w:rsidRPr="1A90AEB0">
              <w:rPr>
                <w:b/>
                <w:bCs/>
                <w:noProof/>
              </w:rPr>
              <w:t xml:space="preserve">Flagship initiative: proposal for a Council recommendation on vaccination </w:t>
            </w:r>
            <w:r w:rsidR="00F86B07" w:rsidRPr="1A90AEB0">
              <w:rPr>
                <w:b/>
                <w:bCs/>
                <w:noProof/>
              </w:rPr>
              <w:t xml:space="preserve">against respiratory infections </w:t>
            </w:r>
            <w:r w:rsidRPr="1A90AEB0">
              <w:rPr>
                <w:b/>
                <w:bCs/>
                <w:noProof/>
              </w:rPr>
              <w:t xml:space="preserve">as a preventive measure for cardiovascular diseases </w:t>
            </w:r>
          </w:p>
          <w:p w14:paraId="0E53BADB" w14:textId="754005E5" w:rsidR="00F86B07" w:rsidRPr="00E4479F" w:rsidRDefault="00F86B07" w:rsidP="00E4479F">
            <w:pPr>
              <w:spacing w:before="120" w:after="160" w:line="259" w:lineRule="auto"/>
              <w:jc w:val="both"/>
              <w:rPr>
                <w:noProof/>
                <w:color w:val="000000" w:themeColor="text1"/>
                <w:lang w:eastAsia="en-IE"/>
              </w:rPr>
            </w:pPr>
            <w:r>
              <w:rPr>
                <w:noProof/>
              </w:rPr>
              <w:t xml:space="preserve">The </w:t>
            </w:r>
            <w:r w:rsidRPr="00E4479F">
              <w:rPr>
                <w:noProof/>
                <w:color w:val="000000" w:themeColor="text1"/>
                <w:lang w:eastAsia="en-IE"/>
              </w:rPr>
              <w:t>Commission intends to propose a Council recommendation to promote immunisation</w:t>
            </w:r>
            <w:r w:rsidR="006A312F">
              <w:rPr>
                <w:noProof/>
                <w:color w:val="000000" w:themeColor="text1"/>
                <w:vertAlign w:val="superscript"/>
                <w:lang w:eastAsia="en-IE"/>
              </w:rPr>
              <w:footnoteReference w:id="108"/>
            </w:r>
            <w:r w:rsidRPr="00E4479F">
              <w:rPr>
                <w:noProof/>
                <w:color w:val="000000" w:themeColor="text1"/>
                <w:lang w:eastAsia="en-IE"/>
              </w:rPr>
              <w:t xml:space="preserve"> as a measure to prevent cardiovascular diseases, taking a lifelong approach and tackling high-risk vulnerable groups. Member States are envisaged to be offered support in identifying the target population for vaccination, and in monitoring and increasing their vaccination coverage.</w:t>
            </w:r>
          </w:p>
          <w:p w14:paraId="040D7329" w14:textId="3E461E75" w:rsidR="00F86B07" w:rsidRPr="000E1D82" w:rsidRDefault="00F86B07" w:rsidP="00E4479F">
            <w:pPr>
              <w:spacing w:before="120" w:after="160" w:line="259" w:lineRule="auto"/>
              <w:jc w:val="both"/>
              <w:rPr>
                <w:rFonts w:cs="Times New Roman"/>
                <w:noProof/>
              </w:rPr>
            </w:pPr>
            <w:r w:rsidRPr="00E4479F">
              <w:rPr>
                <w:noProof/>
                <w:color w:val="000000" w:themeColor="text1"/>
                <w:lang w:eastAsia="en-IE"/>
              </w:rPr>
              <w:t>The proposal for a Council recommendation would aim to encourage all Member States to report vaccination coverage data for influenza and COVID-19 respiratory syncytial virus and pneumococcal disease</w:t>
            </w:r>
            <w:r w:rsidR="00F90C4C" w:rsidRPr="00E4479F">
              <w:rPr>
                <w:noProof/>
                <w:color w:val="000000" w:themeColor="text1"/>
                <w:lang w:eastAsia="en-IE"/>
              </w:rPr>
              <w:t xml:space="preserve">, and viral infections such as herpes zoster, </w:t>
            </w:r>
            <w:r w:rsidRPr="00E4479F">
              <w:rPr>
                <w:noProof/>
                <w:color w:val="000000" w:themeColor="text1"/>
                <w:lang w:eastAsia="en-IE"/>
              </w:rPr>
              <w:t>in individuals with chronic conditions, including cardiovascular diseases, by</w:t>
            </w:r>
            <w:r w:rsidRPr="000E1D82">
              <w:rPr>
                <w:noProof/>
              </w:rPr>
              <w:t xml:space="preserve"> 2029</w:t>
            </w:r>
            <w:r>
              <w:rPr>
                <w:noProof/>
              </w:rPr>
              <w:t>.</w:t>
            </w:r>
          </w:p>
        </w:tc>
      </w:tr>
    </w:tbl>
    <w:p w14:paraId="658C1E46" w14:textId="230B3922" w:rsidR="002E2C3F" w:rsidRPr="00E4479F" w:rsidRDefault="00DE54C7" w:rsidP="00DE54C7">
      <w:pPr>
        <w:spacing w:before="120"/>
        <w:jc w:val="both"/>
        <w:rPr>
          <w:rFonts w:eastAsia="Times New Roman" w:cs="Times New Roman"/>
          <w:noProof/>
        </w:rPr>
      </w:pPr>
      <w:r w:rsidRPr="000E1D82">
        <w:rPr>
          <w:rFonts w:eastAsia="Times New Roman" w:cs="Times New Roman"/>
          <w:b/>
          <w:bCs/>
          <w:noProof/>
        </w:rPr>
        <w:t>Health literacy</w:t>
      </w:r>
      <w:r w:rsidRPr="000E1D82">
        <w:rPr>
          <w:rFonts w:eastAsia="Times New Roman" w:cs="Times New Roman"/>
          <w:noProof/>
          <w:vertAlign w:val="superscript"/>
        </w:rPr>
        <w:footnoteReference w:id="109"/>
      </w:r>
      <w:r w:rsidRPr="000E1D82">
        <w:rPr>
          <w:rFonts w:eastAsia="Times New Roman" w:cs="Times New Roman"/>
          <w:noProof/>
        </w:rPr>
        <w:t xml:space="preserve"> </w:t>
      </w:r>
      <w:r>
        <w:rPr>
          <w:rFonts w:eastAsia="Times New Roman" w:cs="Times New Roman"/>
          <w:noProof/>
        </w:rPr>
        <w:t>is crucial to</w:t>
      </w:r>
      <w:r w:rsidRPr="000E1D82">
        <w:rPr>
          <w:rFonts w:eastAsia="Times New Roman" w:cs="Times New Roman"/>
          <w:noProof/>
        </w:rPr>
        <w:t xml:space="preserve"> empower citizens to make informed decisions about their lifestyle and habits, to engage in personalised prevention and early detection to manage risk factors like high blood pressure and to seek timely help. The Commission is </w:t>
      </w:r>
      <w:r>
        <w:rPr>
          <w:rFonts w:eastAsia="Times New Roman" w:cs="Times New Roman"/>
          <w:noProof/>
        </w:rPr>
        <w:t>working with</w:t>
      </w:r>
      <w:r w:rsidRPr="000E1D82">
        <w:rPr>
          <w:rFonts w:eastAsia="Times New Roman" w:cs="Times New Roman"/>
          <w:noProof/>
        </w:rPr>
        <w:t xml:space="preserve"> Member States </w:t>
      </w:r>
      <w:r>
        <w:rPr>
          <w:rFonts w:eastAsia="Times New Roman" w:cs="Times New Roman"/>
          <w:noProof/>
        </w:rPr>
        <w:t xml:space="preserve">on </w:t>
      </w:r>
      <w:r w:rsidRPr="000E1D82">
        <w:rPr>
          <w:rFonts w:eastAsia="Times New Roman" w:cs="Times New Roman"/>
          <w:noProof/>
        </w:rPr>
        <w:t>strengthening health literacy</w:t>
      </w:r>
      <w:r>
        <w:rPr>
          <w:rFonts w:eastAsia="Times New Roman" w:cs="Times New Roman"/>
          <w:noProof/>
        </w:rPr>
        <w:t xml:space="preserve">, e.g. </w:t>
      </w:r>
      <w:r w:rsidRPr="000E1D82">
        <w:rPr>
          <w:rFonts w:eastAsia="Times New Roman" w:cs="Times New Roman"/>
          <w:noProof/>
        </w:rPr>
        <w:t>through the development of new tools</w:t>
      </w:r>
      <w:r>
        <w:rPr>
          <w:rFonts w:eastAsia="Times New Roman" w:cs="Times New Roman"/>
          <w:noProof/>
        </w:rPr>
        <w:t xml:space="preserve"> to inform citizens on healthy lifestyles,</w:t>
      </w:r>
      <w:r w:rsidRPr="000E1D82">
        <w:rPr>
          <w:rFonts w:eastAsia="Times New Roman" w:cs="Times New Roman"/>
          <w:noProof/>
        </w:rPr>
        <w:t xml:space="preserve"> and the creation of a European </w:t>
      </w:r>
      <w:r>
        <w:rPr>
          <w:rFonts w:eastAsia="Times New Roman" w:cs="Times New Roman"/>
          <w:noProof/>
        </w:rPr>
        <w:t>h</w:t>
      </w:r>
      <w:r w:rsidRPr="000E1D82">
        <w:rPr>
          <w:rFonts w:eastAsia="Times New Roman" w:cs="Times New Roman"/>
          <w:noProof/>
        </w:rPr>
        <w:t xml:space="preserve">ealth </w:t>
      </w:r>
      <w:r>
        <w:rPr>
          <w:rFonts w:eastAsia="Times New Roman" w:cs="Times New Roman"/>
          <w:noProof/>
        </w:rPr>
        <w:t>l</w:t>
      </w:r>
      <w:r w:rsidRPr="000E1D82">
        <w:rPr>
          <w:rFonts w:eastAsia="Times New Roman" w:cs="Times New Roman"/>
          <w:noProof/>
        </w:rPr>
        <w:t xml:space="preserve">iteracy </w:t>
      </w:r>
      <w:r>
        <w:rPr>
          <w:rFonts w:eastAsia="Times New Roman" w:cs="Times New Roman"/>
          <w:noProof/>
        </w:rPr>
        <w:t>a</w:t>
      </w:r>
      <w:r w:rsidRPr="000E1D82">
        <w:rPr>
          <w:rFonts w:eastAsia="Times New Roman" w:cs="Times New Roman"/>
          <w:noProof/>
        </w:rPr>
        <w:t>rena</w:t>
      </w:r>
      <w:r w:rsidRPr="000E1D82">
        <w:rPr>
          <w:rFonts w:eastAsia="Times New Roman" w:cs="Times New Roman"/>
          <w:noProof/>
          <w:vertAlign w:val="superscript"/>
        </w:rPr>
        <w:footnoteReference w:id="110"/>
      </w:r>
      <w:r w:rsidRPr="000E1D82">
        <w:rPr>
          <w:rFonts w:eastAsia="Times New Roman" w:cs="Times New Roman"/>
          <w:noProof/>
        </w:rPr>
        <w:t xml:space="preserve">. </w:t>
      </w:r>
      <w:r w:rsidR="002E2C3F" w:rsidRPr="00E4479F">
        <w:rPr>
          <w:rFonts w:eastAsia="Times New Roman" w:cs="Times New Roman"/>
          <w:noProof/>
        </w:rPr>
        <w:t>Through e-Twinning, the Commission also promotes teacher training and collaborative school projects on health literacy that deal with health, wellbeing, digital health, inclusion, healthy habits and mental</w:t>
      </w:r>
      <w:r w:rsidR="007E4470" w:rsidRPr="00E4479F">
        <w:rPr>
          <w:rFonts w:eastAsia="Times New Roman" w:cs="Times New Roman"/>
          <w:noProof/>
        </w:rPr>
        <w:t xml:space="preserve"> </w:t>
      </w:r>
      <w:r w:rsidR="002E2C3F" w:rsidRPr="00E4479F">
        <w:rPr>
          <w:rFonts w:eastAsia="Times New Roman" w:cs="Times New Roman"/>
          <w:noProof/>
        </w:rPr>
        <w:t>health education.</w:t>
      </w:r>
    </w:p>
    <w:p w14:paraId="1EA574E5" w14:textId="2FDDA83E" w:rsidR="00DE54C7" w:rsidRPr="000E1D82" w:rsidRDefault="00DE54C7" w:rsidP="00DE54C7">
      <w:pPr>
        <w:spacing w:before="120"/>
        <w:jc w:val="both"/>
        <w:rPr>
          <w:rFonts w:eastAsia="Times New Roman" w:cs="Times New Roman"/>
          <w:noProof/>
        </w:rPr>
      </w:pPr>
      <w:r w:rsidRPr="000E1D82">
        <w:rPr>
          <w:rFonts w:eastAsia="Times New Roman" w:cs="Times New Roman"/>
          <w:noProof/>
        </w:rPr>
        <w:t>To further support these efforts:</w:t>
      </w:r>
    </w:p>
    <w:p w14:paraId="4C8244FD" w14:textId="7FD7677C" w:rsidR="00DE54C7" w:rsidRPr="000E1D82" w:rsidRDefault="00DE54C7" w:rsidP="00DE54C7">
      <w:pPr>
        <w:numPr>
          <w:ilvl w:val="0"/>
          <w:numId w:val="3"/>
        </w:numPr>
        <w:spacing w:before="120"/>
        <w:jc w:val="both"/>
        <w:rPr>
          <w:rFonts w:eastAsia="Times New Roman" w:cs="Times New Roman"/>
          <w:noProof/>
        </w:rPr>
      </w:pPr>
      <w:r w:rsidRPr="000E1D82">
        <w:rPr>
          <w:rFonts w:eastAsia="Times New Roman" w:cs="Times New Roman"/>
          <w:noProof/>
        </w:rPr>
        <w:t>the EU-funded European Code against Cancer</w:t>
      </w:r>
      <w:r w:rsidRPr="000E1D82">
        <w:rPr>
          <w:rFonts w:eastAsia="Times New Roman" w:cs="Times New Roman"/>
          <w:noProof/>
          <w:vertAlign w:val="superscript"/>
        </w:rPr>
        <w:footnoteReference w:id="111"/>
      </w:r>
      <w:r w:rsidRPr="000E1D82">
        <w:rPr>
          <w:rFonts w:eastAsia="Times New Roman" w:cs="Times New Roman"/>
          <w:noProof/>
        </w:rPr>
        <w:t xml:space="preserve"> will be updated </w:t>
      </w:r>
      <w:r>
        <w:rPr>
          <w:rFonts w:eastAsia="Times New Roman" w:cs="Times New Roman"/>
          <w:noProof/>
        </w:rPr>
        <w:t>with</w:t>
      </w:r>
      <w:r w:rsidRPr="000E1D82">
        <w:rPr>
          <w:rFonts w:eastAsia="Times New Roman" w:cs="Times New Roman"/>
          <w:noProof/>
        </w:rPr>
        <w:t xml:space="preserve"> recommendations for the prevention of cancer and other non-communicable diseases such as cardiovascular diseases that share common risk factors. </w:t>
      </w:r>
    </w:p>
    <w:p w14:paraId="3C9D88E9" w14:textId="05AA0BB8"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 xml:space="preserve">Pillar 2: </w:t>
      </w:r>
      <w:r>
        <w:rPr>
          <w:rFonts w:ascii="Times New Roman" w:hAnsi="Times New Roman" w:cs="Times New Roman"/>
          <w:b/>
          <w:smallCaps/>
          <w:noProof/>
          <w:color w:val="auto"/>
          <w:sz w:val="24"/>
          <w:szCs w:val="24"/>
        </w:rPr>
        <w:t xml:space="preserve">Early detection and </w:t>
      </w:r>
      <w:r w:rsidRPr="000E1D82">
        <w:rPr>
          <w:rFonts w:ascii="Times New Roman" w:hAnsi="Times New Roman" w:cs="Times New Roman"/>
          <w:b/>
          <w:smallCaps/>
          <w:noProof/>
          <w:color w:val="auto"/>
          <w:sz w:val="24"/>
          <w:szCs w:val="24"/>
        </w:rPr>
        <w:t>Screening of those at risk</w:t>
      </w:r>
    </w:p>
    <w:p w14:paraId="029A14CF" w14:textId="6C073476" w:rsidR="00DE54C7" w:rsidRPr="00D807AD" w:rsidRDefault="00DE54C7" w:rsidP="00DE54C7">
      <w:pPr>
        <w:jc w:val="both"/>
        <w:rPr>
          <w:rFonts w:cs="Times New Roman"/>
          <w:noProof/>
        </w:rPr>
      </w:pPr>
      <w:bookmarkStart w:id="6" w:name="_Hlk207805279"/>
      <w:r>
        <w:rPr>
          <w:rFonts w:cs="Times New Roman"/>
          <w:noProof/>
          <w:kern w:val="2"/>
          <w14:ligatures w14:val="standardContextual"/>
        </w:rPr>
        <w:t>E</w:t>
      </w:r>
      <w:r w:rsidRPr="000E1D82">
        <w:rPr>
          <w:rFonts w:cs="Times New Roman"/>
          <w:noProof/>
          <w:kern w:val="2"/>
          <w14:ligatures w14:val="standardContextual"/>
        </w:rPr>
        <w:t xml:space="preserve">arly detection </w:t>
      </w:r>
      <w:r>
        <w:rPr>
          <w:rFonts w:cs="Times New Roman"/>
          <w:noProof/>
          <w:kern w:val="2"/>
          <w14:ligatures w14:val="standardContextual"/>
        </w:rPr>
        <w:t>and screening</w:t>
      </w:r>
      <w:r w:rsidRPr="000E1D82">
        <w:rPr>
          <w:rFonts w:cs="Times New Roman"/>
          <w:noProof/>
          <w:kern w:val="2"/>
          <w14:ligatures w14:val="standardContextual"/>
        </w:rPr>
        <w:t xml:space="preserve"> are important public health tools in </w:t>
      </w:r>
      <w:r>
        <w:rPr>
          <w:rFonts w:cs="Times New Roman"/>
          <w:noProof/>
          <w:kern w:val="2"/>
          <w14:ligatures w14:val="standardContextual"/>
        </w:rPr>
        <w:t>disease</w:t>
      </w:r>
      <w:r w:rsidRPr="000E1D82">
        <w:rPr>
          <w:rFonts w:cs="Times New Roman"/>
          <w:noProof/>
          <w:kern w:val="2"/>
          <w14:ligatures w14:val="standardContextual"/>
        </w:rPr>
        <w:t xml:space="preserve"> prevention</w:t>
      </w:r>
      <w:r>
        <w:rPr>
          <w:rFonts w:cs="Times New Roman"/>
          <w:noProof/>
          <w:kern w:val="2"/>
          <w14:ligatures w14:val="standardContextual"/>
        </w:rPr>
        <w:t>, in particular for</w:t>
      </w:r>
      <w:r w:rsidRPr="000E1D82">
        <w:rPr>
          <w:rFonts w:cs="Times New Roman"/>
          <w:noProof/>
          <w:kern w:val="2"/>
          <w14:ligatures w14:val="standardContextual"/>
        </w:rPr>
        <w:t xml:space="preserve"> cardiovascular diseases, given their scale, cost and largely preventable nature. Investing in early detec</w:t>
      </w:r>
      <w:r w:rsidRPr="000E1D82">
        <w:rPr>
          <w:rFonts w:cs="Times New Roman"/>
          <w:noProof/>
        </w:rPr>
        <w:t>tion and screening programmes through health checks</w:t>
      </w:r>
      <w:r w:rsidRPr="000E1D82">
        <w:rPr>
          <w:rFonts w:asciiTheme="minorHAnsi" w:eastAsiaTheme="minorEastAsia" w:hAnsiTheme="minorHAnsi"/>
          <w:noProof/>
        </w:rPr>
        <w:t xml:space="preserve"> </w:t>
      </w:r>
      <w:r w:rsidRPr="000E1D82">
        <w:rPr>
          <w:rFonts w:eastAsia="Times New Roman" w:cs="Times New Roman"/>
          <w:noProof/>
        </w:rPr>
        <w:t>can enable the timely identification of individuals at high risk</w:t>
      </w:r>
      <w:r>
        <w:rPr>
          <w:rFonts w:eastAsia="Times New Roman" w:cs="Times New Roman"/>
          <w:noProof/>
        </w:rPr>
        <w:t xml:space="preserve"> (e.g. </w:t>
      </w:r>
      <w:r w:rsidRPr="000E1D82">
        <w:rPr>
          <w:rFonts w:eastAsia="Times New Roman" w:cs="Times New Roman"/>
          <w:noProof/>
        </w:rPr>
        <w:t>those with high blood pressure,</w:t>
      </w:r>
      <w:r w:rsidRPr="000E1D82">
        <w:rPr>
          <w:rFonts w:cs="Times New Roman"/>
          <w:noProof/>
        </w:rPr>
        <w:t xml:space="preserve"> high cholesterol or obesity</w:t>
      </w:r>
      <w:r>
        <w:rPr>
          <w:rFonts w:cs="Times New Roman"/>
          <w:noProof/>
        </w:rPr>
        <w:t>)</w:t>
      </w:r>
      <w:r w:rsidRPr="000E1D82">
        <w:rPr>
          <w:rFonts w:cs="Times New Roman"/>
          <w:noProof/>
        </w:rPr>
        <w:t xml:space="preserve">, before symptoms emerge. </w:t>
      </w:r>
      <w:r w:rsidRPr="00914153">
        <w:rPr>
          <w:rFonts w:cs="Times New Roman"/>
          <w:noProof/>
        </w:rPr>
        <w:t>Personalised medicine approaches are critical to enable early detection and diagnosis</w:t>
      </w:r>
      <w:r>
        <w:rPr>
          <w:rFonts w:cs="Times New Roman"/>
          <w:noProof/>
        </w:rPr>
        <w:t xml:space="preserve">, </w:t>
      </w:r>
      <w:r w:rsidRPr="00914153">
        <w:rPr>
          <w:rFonts w:cs="Times New Roman"/>
          <w:noProof/>
        </w:rPr>
        <w:t>through the identification of patients at risk</w:t>
      </w:r>
      <w:r w:rsidRPr="00914153">
        <w:rPr>
          <w:rStyle w:val="FootnoteReference"/>
          <w:rFonts w:cs="Times New Roman"/>
          <w:noProof/>
        </w:rPr>
        <w:footnoteReference w:id="112"/>
      </w:r>
      <w:r w:rsidRPr="00914153">
        <w:rPr>
          <w:rFonts w:cs="Times New Roman"/>
          <w:noProof/>
        </w:rPr>
        <w:t xml:space="preserve">. </w:t>
      </w:r>
    </w:p>
    <w:p w14:paraId="6C1D0B95" w14:textId="6AA72E1B" w:rsidR="00DE54C7" w:rsidRDefault="00DE54C7" w:rsidP="00DE54C7">
      <w:pPr>
        <w:jc w:val="both"/>
        <w:rPr>
          <w:rFonts w:cs="Times New Roman"/>
          <w:noProof/>
        </w:rPr>
      </w:pPr>
      <w:r w:rsidRPr="000E1D82">
        <w:rPr>
          <w:rFonts w:eastAsia="Times New Roman" w:cs="Times New Roman"/>
          <w:noProof/>
          <w:szCs w:val="24"/>
        </w:rPr>
        <w:t xml:space="preserve">In addition to traditional screening areas, detection of kidney disease, and </w:t>
      </w:r>
      <w:r>
        <w:rPr>
          <w:rFonts w:eastAsia="Times New Roman" w:cs="Times New Roman"/>
          <w:noProof/>
          <w:szCs w:val="24"/>
        </w:rPr>
        <w:t xml:space="preserve">congenital </w:t>
      </w:r>
      <w:r w:rsidRPr="000E1D82">
        <w:rPr>
          <w:rFonts w:eastAsia="Times New Roman" w:cs="Times New Roman"/>
          <w:noProof/>
          <w:szCs w:val="24"/>
        </w:rPr>
        <w:t>conditions such as elevated</w:t>
      </w:r>
      <w:r w:rsidRPr="00A20FF1">
        <w:rPr>
          <w:rFonts w:eastAsia="Times New Roman" w:cs="Times New Roman"/>
          <w:noProof/>
        </w:rPr>
        <w:t xml:space="preserve"> </w:t>
      </w:r>
      <w:r>
        <w:rPr>
          <w:rFonts w:eastAsia="Times New Roman" w:cs="Times New Roman"/>
          <w:noProof/>
        </w:rPr>
        <w:t>lipoprotein(a)</w:t>
      </w:r>
      <w:r w:rsidRPr="000E1D82">
        <w:rPr>
          <w:rFonts w:eastAsia="Times New Roman" w:cs="Times New Roman"/>
          <w:noProof/>
          <w:szCs w:val="24"/>
        </w:rPr>
        <w:t xml:space="preserve"> (</w:t>
      </w:r>
      <w:r>
        <w:rPr>
          <w:rFonts w:eastAsia="Times New Roman" w:cs="Times New Roman"/>
          <w:noProof/>
          <w:szCs w:val="24"/>
        </w:rPr>
        <w:t xml:space="preserve">which </w:t>
      </w:r>
      <w:r w:rsidRPr="000E1D82">
        <w:rPr>
          <w:rFonts w:eastAsia="Times New Roman" w:cs="Times New Roman"/>
          <w:noProof/>
          <w:szCs w:val="24"/>
        </w:rPr>
        <w:t>affect</w:t>
      </w:r>
      <w:r>
        <w:rPr>
          <w:rFonts w:eastAsia="Times New Roman" w:cs="Times New Roman"/>
          <w:noProof/>
          <w:szCs w:val="24"/>
        </w:rPr>
        <w:t>s</w:t>
      </w:r>
      <w:r w:rsidRPr="000E1D82">
        <w:rPr>
          <w:rFonts w:eastAsia="Times New Roman" w:cs="Times New Roman"/>
          <w:noProof/>
          <w:szCs w:val="24"/>
        </w:rPr>
        <w:t xml:space="preserve"> every fifth person), the presence of familial hypercholesterolemia</w:t>
      </w:r>
      <w:r w:rsidR="00C93A4B">
        <w:rPr>
          <w:rFonts w:eastAsia="Times New Roman" w:cs="Times New Roman"/>
          <w:noProof/>
          <w:szCs w:val="24"/>
        </w:rPr>
        <w:t>, cardiomyopathies</w:t>
      </w:r>
      <w:r w:rsidRPr="000E1D82">
        <w:rPr>
          <w:rFonts w:eastAsia="Times New Roman" w:cs="Times New Roman"/>
          <w:noProof/>
          <w:szCs w:val="24"/>
        </w:rPr>
        <w:t xml:space="preserve"> as well as early detection of heart failure risk</w:t>
      </w:r>
      <w:r w:rsidR="0061042F">
        <w:rPr>
          <w:rFonts w:eastAsia="Times New Roman" w:cs="Times New Roman"/>
          <w:noProof/>
          <w:szCs w:val="24"/>
        </w:rPr>
        <w:t>, or detection</w:t>
      </w:r>
      <w:r w:rsidR="00F71FEB">
        <w:rPr>
          <w:rFonts w:eastAsia="Times New Roman" w:cs="Times New Roman"/>
          <w:noProof/>
          <w:szCs w:val="24"/>
        </w:rPr>
        <w:t xml:space="preserve"> of</w:t>
      </w:r>
      <w:r w:rsidR="0061042F">
        <w:rPr>
          <w:rFonts w:eastAsia="Times New Roman" w:cs="Times New Roman"/>
          <w:noProof/>
          <w:szCs w:val="24"/>
        </w:rPr>
        <w:t xml:space="preserve"> obstructive sleep apnoea,</w:t>
      </w:r>
      <w:r w:rsidRPr="000E1D82">
        <w:rPr>
          <w:rFonts w:eastAsia="Times New Roman" w:cs="Times New Roman"/>
          <w:noProof/>
          <w:szCs w:val="24"/>
        </w:rPr>
        <w:t xml:space="preserve"> should also be included</w:t>
      </w:r>
      <w:r>
        <w:rPr>
          <w:rFonts w:eastAsia="Times New Roman" w:cs="Times New Roman"/>
          <w:noProof/>
          <w:szCs w:val="24"/>
        </w:rPr>
        <w:t xml:space="preserve"> in the scope of the screening</w:t>
      </w:r>
      <w:r w:rsidRPr="000E1D82">
        <w:rPr>
          <w:rFonts w:eastAsia="Times New Roman" w:cs="Times New Roman"/>
          <w:noProof/>
          <w:szCs w:val="24"/>
        </w:rPr>
        <w:t>.</w:t>
      </w:r>
      <w:r w:rsidRPr="000E1D82">
        <w:rPr>
          <w:rFonts w:cs="Times New Roman"/>
          <w:noProof/>
        </w:rPr>
        <w:t xml:space="preserve"> </w:t>
      </w:r>
    </w:p>
    <w:p w14:paraId="315250CA" w14:textId="3F5CB0D4" w:rsidR="00DE54C7" w:rsidRPr="000E1D82" w:rsidRDefault="00DE54C7" w:rsidP="00DE54C7">
      <w:pPr>
        <w:jc w:val="both"/>
        <w:rPr>
          <w:rFonts w:cs="Times New Roman"/>
          <w:noProof/>
        </w:rPr>
      </w:pPr>
      <w:r w:rsidRPr="000E1D82">
        <w:rPr>
          <w:rFonts w:cs="Times New Roman"/>
          <w:noProof/>
        </w:rPr>
        <w:t>It is essential for citizens to know the</w:t>
      </w:r>
      <w:r>
        <w:rPr>
          <w:rFonts w:cs="Times New Roman"/>
          <w:noProof/>
        </w:rPr>
        <w:t xml:space="preserve"> key </w:t>
      </w:r>
      <w:r w:rsidRPr="000E1D82">
        <w:rPr>
          <w:rFonts w:cs="Times New Roman"/>
          <w:noProof/>
        </w:rPr>
        <w:t xml:space="preserve">cardiovascular </w:t>
      </w:r>
      <w:r>
        <w:rPr>
          <w:rFonts w:cs="Times New Roman"/>
          <w:noProof/>
        </w:rPr>
        <w:t xml:space="preserve">risk factors e.g. high blood pressure, cholesterol, blood sugar and body weight, </w:t>
      </w:r>
      <w:r w:rsidR="00650238">
        <w:rPr>
          <w:rFonts w:cs="Times New Roman"/>
          <w:noProof/>
        </w:rPr>
        <w:t>genetic pre</w:t>
      </w:r>
      <w:r w:rsidR="00621990">
        <w:rPr>
          <w:rFonts w:cs="Times New Roman"/>
          <w:noProof/>
        </w:rPr>
        <w:t>disposition</w:t>
      </w:r>
      <w:r>
        <w:rPr>
          <w:rFonts w:cs="Times New Roman"/>
          <w:noProof/>
        </w:rPr>
        <w:t xml:space="preserve"> as this data provides a clear picture of the heart-</w:t>
      </w:r>
      <w:r w:rsidRPr="000E1D82">
        <w:rPr>
          <w:rFonts w:cs="Times New Roman"/>
          <w:noProof/>
        </w:rPr>
        <w:t>health</w:t>
      </w:r>
      <w:r>
        <w:rPr>
          <w:rFonts w:cs="Times New Roman"/>
          <w:noProof/>
        </w:rPr>
        <w:t xml:space="preserve"> risk. People who understand their own risk profile are better equipped to make</w:t>
      </w:r>
      <w:r w:rsidRPr="000E1D82">
        <w:rPr>
          <w:rFonts w:cs="Times New Roman"/>
          <w:noProof/>
        </w:rPr>
        <w:t xml:space="preserve"> lifestyle changes and engage </w:t>
      </w:r>
      <w:r>
        <w:rPr>
          <w:rFonts w:cs="Times New Roman"/>
          <w:noProof/>
        </w:rPr>
        <w:t xml:space="preserve">proactively </w:t>
      </w:r>
      <w:r w:rsidRPr="000E1D82">
        <w:rPr>
          <w:rFonts w:cs="Times New Roman"/>
          <w:noProof/>
        </w:rPr>
        <w:t>with the health system</w:t>
      </w:r>
      <w:r>
        <w:rPr>
          <w:rFonts w:cs="Times New Roman"/>
          <w:noProof/>
        </w:rPr>
        <w:t>, leading to earlier detection, effective management, and significantly lower likelihood of cardiovascular events</w:t>
      </w:r>
      <w:r w:rsidRPr="000E1D82">
        <w:rPr>
          <w:rFonts w:cs="Times New Roman"/>
          <w:noProof/>
        </w:rPr>
        <w:t>. Early detection can prevent disease progression, reduce hospital admissions and avoid costly emergency care. Screening initiatives should be adapted to national and regional situations and</w:t>
      </w:r>
      <w:r>
        <w:rPr>
          <w:rFonts w:cs="Times New Roman"/>
          <w:noProof/>
        </w:rPr>
        <w:t xml:space="preserve"> should</w:t>
      </w:r>
      <w:r w:rsidRPr="000E1D82">
        <w:rPr>
          <w:rFonts w:cs="Times New Roman"/>
          <w:noProof/>
        </w:rPr>
        <w:t xml:space="preserve"> include large-scale screening </w:t>
      </w:r>
      <w:r>
        <w:rPr>
          <w:rFonts w:cs="Times New Roman"/>
          <w:noProof/>
        </w:rPr>
        <w:t>of</w:t>
      </w:r>
      <w:r w:rsidRPr="000E1D82">
        <w:rPr>
          <w:rFonts w:cs="Times New Roman"/>
          <w:noProof/>
        </w:rPr>
        <w:t xml:space="preserve"> a defined population group based on age, </w:t>
      </w:r>
      <w:r>
        <w:rPr>
          <w:rFonts w:cs="Times New Roman"/>
          <w:noProof/>
        </w:rPr>
        <w:t xml:space="preserve">sex, </w:t>
      </w:r>
      <w:r w:rsidRPr="000E1D82">
        <w:rPr>
          <w:rFonts w:cs="Times New Roman"/>
          <w:noProof/>
        </w:rPr>
        <w:t xml:space="preserve">gender </w:t>
      </w:r>
      <w:r w:rsidR="002F034D">
        <w:rPr>
          <w:rFonts w:cs="Times New Roman"/>
          <w:noProof/>
        </w:rPr>
        <w:t>and other protected characteristics</w:t>
      </w:r>
      <w:r w:rsidR="00EF55CD">
        <w:rPr>
          <w:rStyle w:val="FootnoteReference"/>
          <w:rFonts w:cs="Times New Roman"/>
          <w:noProof/>
        </w:rPr>
        <w:footnoteReference w:id="113"/>
      </w:r>
      <w:r w:rsidR="002F034D">
        <w:rPr>
          <w:rFonts w:cs="Times New Roman"/>
          <w:noProof/>
        </w:rPr>
        <w:t xml:space="preserve"> </w:t>
      </w:r>
      <w:r w:rsidRPr="000E1D82">
        <w:rPr>
          <w:rFonts w:cs="Times New Roman"/>
          <w:noProof/>
        </w:rPr>
        <w:t xml:space="preserve">or geographical area. They should also be targeted at specific subgroups of the population that </w:t>
      </w:r>
      <w:r w:rsidR="00D8171C" w:rsidRPr="000E1D82">
        <w:rPr>
          <w:rFonts w:cs="Times New Roman"/>
          <w:noProof/>
        </w:rPr>
        <w:t>are</w:t>
      </w:r>
      <w:r w:rsidRPr="000E1D82">
        <w:rPr>
          <w:rFonts w:cs="Times New Roman"/>
          <w:noProof/>
        </w:rPr>
        <w:t xml:space="preserve"> at </w:t>
      </w:r>
      <w:r>
        <w:rPr>
          <w:rFonts w:cs="Times New Roman"/>
          <w:noProof/>
        </w:rPr>
        <w:t xml:space="preserve">a higher </w:t>
      </w:r>
      <w:r w:rsidRPr="000E1D82">
        <w:rPr>
          <w:rFonts w:cs="Times New Roman"/>
          <w:noProof/>
        </w:rPr>
        <w:t xml:space="preserve">risk because of their family history, medical history or lifestyle </w:t>
      </w:r>
      <w:r>
        <w:rPr>
          <w:rFonts w:cs="Times New Roman"/>
          <w:noProof/>
        </w:rPr>
        <w:t xml:space="preserve">or environmental </w:t>
      </w:r>
      <w:r w:rsidRPr="000E1D82">
        <w:rPr>
          <w:rFonts w:cs="Times New Roman"/>
          <w:noProof/>
        </w:rPr>
        <w:t xml:space="preserve">factors. </w:t>
      </w:r>
    </w:p>
    <w:p w14:paraId="3DF210F4" w14:textId="5CC4880F" w:rsidR="00DE54C7" w:rsidRPr="000E1D82" w:rsidRDefault="00DE54C7" w:rsidP="00DE54C7">
      <w:pPr>
        <w:jc w:val="both"/>
        <w:rPr>
          <w:rFonts w:cs="Times New Roman"/>
          <w:noProof/>
          <w:kern w:val="2"/>
          <w14:ligatures w14:val="standardContextual"/>
        </w:rPr>
      </w:pPr>
      <w:r w:rsidRPr="000E1D82">
        <w:rPr>
          <w:rFonts w:cs="Times New Roman"/>
          <w:noProof/>
        </w:rPr>
        <w:t>Risk prediction tools</w:t>
      </w:r>
      <w:r w:rsidRPr="000E1D82">
        <w:rPr>
          <w:rFonts w:cs="Times New Roman"/>
          <w:noProof/>
          <w:vertAlign w:val="superscript"/>
        </w:rPr>
        <w:footnoteReference w:id="114"/>
      </w:r>
      <w:r w:rsidRPr="000E1D82">
        <w:rPr>
          <w:rFonts w:cs="Times New Roman"/>
          <w:noProof/>
        </w:rPr>
        <w:t xml:space="preserve"> are used to estimate a person’s risk of developing cardiovascular disease</w:t>
      </w:r>
      <w:r>
        <w:rPr>
          <w:rFonts w:cs="Times New Roman"/>
          <w:noProof/>
        </w:rPr>
        <w:t>. They</w:t>
      </w:r>
      <w:r w:rsidRPr="000E1D82">
        <w:rPr>
          <w:rFonts w:cs="Times New Roman"/>
          <w:noProof/>
        </w:rPr>
        <w:t xml:space="preserve"> typically include indicators</w:t>
      </w:r>
      <w:r>
        <w:rPr>
          <w:rFonts w:cs="Times New Roman"/>
          <w:noProof/>
        </w:rPr>
        <w:t xml:space="preserve"> (e.g. </w:t>
      </w:r>
      <w:r w:rsidRPr="000E1D82">
        <w:rPr>
          <w:rFonts w:cs="Times New Roman"/>
          <w:noProof/>
        </w:rPr>
        <w:t>blood sugar and lipid levels, blood pressure measurements</w:t>
      </w:r>
      <w:r>
        <w:rPr>
          <w:rFonts w:cs="Times New Roman"/>
          <w:noProof/>
        </w:rPr>
        <w:t xml:space="preserve"> and </w:t>
      </w:r>
      <w:r w:rsidRPr="000E1D82">
        <w:rPr>
          <w:rFonts w:cs="Times New Roman"/>
          <w:noProof/>
        </w:rPr>
        <w:t>body mass index</w:t>
      </w:r>
      <w:r>
        <w:rPr>
          <w:rFonts w:cs="Times New Roman"/>
          <w:noProof/>
        </w:rPr>
        <w:t>)</w:t>
      </w:r>
      <w:r w:rsidRPr="000E1D82">
        <w:rPr>
          <w:rFonts w:cs="Times New Roman"/>
          <w:noProof/>
        </w:rPr>
        <w:t xml:space="preserve"> and assessment of lifestyle factors</w:t>
      </w:r>
      <w:r>
        <w:rPr>
          <w:rFonts w:cs="Times New Roman"/>
          <w:noProof/>
        </w:rPr>
        <w:t xml:space="preserve"> (e.g. </w:t>
      </w:r>
      <w:r w:rsidRPr="000E1D82">
        <w:rPr>
          <w:rFonts w:cs="Times New Roman"/>
          <w:noProof/>
        </w:rPr>
        <w:t>smoking, physical activity and nutrition</w:t>
      </w:r>
      <w:r>
        <w:rPr>
          <w:rFonts w:cs="Times New Roman"/>
          <w:noProof/>
        </w:rPr>
        <w:t>)</w:t>
      </w:r>
      <w:r w:rsidRPr="000E1D82">
        <w:rPr>
          <w:rFonts w:cs="Times New Roman"/>
          <w:noProof/>
        </w:rPr>
        <w:t xml:space="preserve">. However, blood pressure monitoring </w:t>
      </w:r>
      <w:r>
        <w:rPr>
          <w:rFonts w:cs="Times New Roman"/>
          <w:noProof/>
        </w:rPr>
        <w:t>rates are</w:t>
      </w:r>
      <w:r w:rsidRPr="000E1D82">
        <w:rPr>
          <w:rFonts w:cs="Times New Roman"/>
          <w:noProof/>
        </w:rPr>
        <w:t xml:space="preserve"> still suboptimal</w:t>
      </w:r>
      <w:r>
        <w:rPr>
          <w:rFonts w:cs="Times New Roman"/>
          <w:noProof/>
        </w:rPr>
        <w:t xml:space="preserve"> across the EU</w:t>
      </w:r>
      <w:r w:rsidRPr="000E1D82">
        <w:rPr>
          <w:rFonts w:cs="Times New Roman"/>
          <w:noProof/>
        </w:rPr>
        <w:t xml:space="preserve">, especially among older people. </w:t>
      </w:r>
      <w:r>
        <w:rPr>
          <w:rFonts w:cs="Times New Roman"/>
          <w:noProof/>
        </w:rPr>
        <w:t>R</w:t>
      </w:r>
      <w:r w:rsidRPr="000E1D82">
        <w:rPr>
          <w:rFonts w:cs="Times New Roman"/>
          <w:noProof/>
        </w:rPr>
        <w:t>egular monitoring through health checks w</w:t>
      </w:r>
      <w:r>
        <w:rPr>
          <w:rFonts w:cs="Times New Roman"/>
          <w:noProof/>
        </w:rPr>
        <w:t>ould</w:t>
      </w:r>
      <w:r w:rsidRPr="000E1D82">
        <w:rPr>
          <w:rFonts w:cs="Times New Roman"/>
          <w:noProof/>
        </w:rPr>
        <w:t xml:space="preserve"> enable early detection and </w:t>
      </w:r>
      <w:r w:rsidRPr="000E1D82">
        <w:rPr>
          <w:rFonts w:eastAsia="Times New Roman" w:cs="Times New Roman"/>
          <w:noProof/>
        </w:rPr>
        <w:t xml:space="preserve">timely management of high blood pressure, significantly reducing the risk of heart attacks, strokes, and other cardiovascular complications, while supporting healthier ageing and improved quality of life. </w:t>
      </w:r>
    </w:p>
    <w:p w14:paraId="0A8123A1" w14:textId="03C6CDF5" w:rsidR="00DE54C7" w:rsidRPr="000E1D82" w:rsidRDefault="00DE54C7" w:rsidP="00DE54C7">
      <w:pPr>
        <w:jc w:val="both"/>
        <w:rPr>
          <w:rFonts w:cs="Times New Roman"/>
          <w:i/>
          <w:iCs/>
          <w:noProof/>
        </w:rPr>
      </w:pPr>
      <w:r w:rsidRPr="000E1D82">
        <w:rPr>
          <w:rFonts w:cs="Times New Roman"/>
          <w:noProof/>
        </w:rPr>
        <w:t xml:space="preserve">To ensure wide coverage of the screening programme, the Commission is ready to support Member States </w:t>
      </w:r>
      <w:r>
        <w:rPr>
          <w:rFonts w:cs="Times New Roman"/>
          <w:noProof/>
        </w:rPr>
        <w:t>in</w:t>
      </w:r>
      <w:r w:rsidRPr="000E1D82">
        <w:rPr>
          <w:rFonts w:cs="Times New Roman"/>
          <w:noProof/>
        </w:rPr>
        <w:t xml:space="preserve"> organis</w:t>
      </w:r>
      <w:r>
        <w:rPr>
          <w:rFonts w:cs="Times New Roman"/>
          <w:noProof/>
        </w:rPr>
        <w:t>ing</w:t>
      </w:r>
      <w:r w:rsidRPr="000E1D82">
        <w:rPr>
          <w:rFonts w:cs="Times New Roman"/>
          <w:noProof/>
        </w:rPr>
        <w:t xml:space="preserve"> community-based screening initiatives that bring preventive health services directly to the population. Relevant stakeholders should be invited to participate and contribute their expertise.</w:t>
      </w:r>
    </w:p>
    <w:p w14:paraId="174099CD" w14:textId="6DEB5A29" w:rsidR="00DE54C7" w:rsidRDefault="00DE54C7" w:rsidP="00DE54C7">
      <w:pPr>
        <w:spacing w:after="240"/>
        <w:jc w:val="both"/>
        <w:rPr>
          <w:rFonts w:eastAsia="Times New Roman" w:cs="Times New Roman"/>
          <w:noProof/>
        </w:rPr>
      </w:pPr>
      <w:r w:rsidRPr="000E1D82">
        <w:rPr>
          <w:rFonts w:eastAsia="Times New Roman" w:cs="Times New Roman"/>
          <w:noProof/>
        </w:rPr>
        <w:t xml:space="preserve">The current poor state of cardiovascular health is </w:t>
      </w:r>
      <w:r>
        <w:rPr>
          <w:rFonts w:eastAsia="Times New Roman" w:cs="Times New Roman"/>
          <w:noProof/>
        </w:rPr>
        <w:t xml:space="preserve">also </w:t>
      </w:r>
      <w:r w:rsidRPr="000E1D82">
        <w:rPr>
          <w:rFonts w:eastAsia="Times New Roman" w:cs="Times New Roman"/>
          <w:noProof/>
        </w:rPr>
        <w:t xml:space="preserve">attributable to other risk factors, such as </w:t>
      </w:r>
      <w:r w:rsidR="00B37C3A">
        <w:rPr>
          <w:rFonts w:eastAsia="Times New Roman" w:cs="Times New Roman"/>
          <w:noProof/>
        </w:rPr>
        <w:t xml:space="preserve">genetic </w:t>
      </w:r>
      <w:r w:rsidRPr="000E1D82">
        <w:rPr>
          <w:rFonts w:eastAsia="Times New Roman" w:cs="Times New Roman"/>
          <w:noProof/>
        </w:rPr>
        <w:t xml:space="preserve">conditions including familial hypercholesterolemia (FH) or elevated levels of lipoprotein(a), which </w:t>
      </w:r>
      <w:r>
        <w:rPr>
          <w:rFonts w:eastAsia="Times New Roman" w:cs="Times New Roman"/>
          <w:noProof/>
        </w:rPr>
        <w:t>can</w:t>
      </w:r>
      <w:r w:rsidRPr="000E1D82">
        <w:rPr>
          <w:rFonts w:eastAsia="Times New Roman" w:cs="Times New Roman"/>
          <w:noProof/>
        </w:rPr>
        <w:t xml:space="preserve"> now </w:t>
      </w:r>
      <w:r>
        <w:rPr>
          <w:rFonts w:eastAsia="Times New Roman" w:cs="Times New Roman"/>
          <w:noProof/>
        </w:rPr>
        <w:t xml:space="preserve">be </w:t>
      </w:r>
      <w:r w:rsidRPr="000E1D82">
        <w:rPr>
          <w:rFonts w:eastAsia="Times New Roman" w:cs="Times New Roman"/>
          <w:noProof/>
        </w:rPr>
        <w:t xml:space="preserve">easily </w:t>
      </w:r>
      <w:r>
        <w:rPr>
          <w:rFonts w:eastAsia="Times New Roman" w:cs="Times New Roman"/>
          <w:noProof/>
        </w:rPr>
        <w:t>screened</w:t>
      </w:r>
      <w:r w:rsidRPr="000E1D82">
        <w:rPr>
          <w:rFonts w:eastAsia="Times New Roman" w:cs="Times New Roman"/>
          <w:noProof/>
        </w:rPr>
        <w:t xml:space="preserve">. These inherited conditions remain significantly underdiagnosed across the EU. FH affects around 1 in 250 individuals, </w:t>
      </w:r>
      <w:r>
        <w:rPr>
          <w:rFonts w:eastAsia="Times New Roman" w:cs="Times New Roman"/>
          <w:noProof/>
        </w:rPr>
        <w:t>but fewer</w:t>
      </w:r>
      <w:r w:rsidRPr="000E1D82">
        <w:rPr>
          <w:rFonts w:eastAsia="Times New Roman" w:cs="Times New Roman"/>
          <w:noProof/>
        </w:rPr>
        <w:t xml:space="preserve"> than 10% of cases are detected and diagnosis is often delayed until after a cardiovascular event has occurred. To strengthen cardiovascular disease prevention, particularly among children and young adults, ongoing EU-funded projects</w:t>
      </w:r>
      <w:r>
        <w:rPr>
          <w:rStyle w:val="FootnoteReference"/>
          <w:rFonts w:eastAsia="Times New Roman" w:cs="Times New Roman"/>
          <w:noProof/>
        </w:rPr>
        <w:footnoteReference w:id="115"/>
      </w:r>
      <w:r w:rsidRPr="000E1D82">
        <w:rPr>
          <w:rFonts w:eastAsia="Times New Roman" w:cs="Times New Roman"/>
          <w:noProof/>
        </w:rPr>
        <w:t xml:space="preserve"> are supporting the development of strategies for earlier diagnosis and management of inherited conditions to improve outcomes for patients and their families.  </w:t>
      </w:r>
    </w:p>
    <w:p w14:paraId="24591DCC" w14:textId="34ACE6CB" w:rsidR="00DE54C7" w:rsidRDefault="00DE54C7" w:rsidP="00DE54C7">
      <w:pPr>
        <w:spacing w:after="240"/>
        <w:jc w:val="both"/>
        <w:rPr>
          <w:rFonts w:eastAsia="Calibri" w:cs="Times New Roman"/>
          <w:noProof/>
        </w:rPr>
      </w:pPr>
      <w:r w:rsidRPr="000E1D82">
        <w:rPr>
          <w:rFonts w:eastAsia="Calibri" w:cs="Times New Roman"/>
          <w:noProof/>
        </w:rPr>
        <w:t xml:space="preserve">The Commission </w:t>
      </w:r>
      <w:r>
        <w:rPr>
          <w:rFonts w:eastAsia="Calibri" w:cs="Times New Roman"/>
          <w:noProof/>
        </w:rPr>
        <w:t>intends to:</w:t>
      </w:r>
      <w:r w:rsidRPr="000E1D82">
        <w:rPr>
          <w:rFonts w:eastAsia="Calibri" w:cs="Times New Roman"/>
          <w:noProof/>
        </w:rPr>
        <w:t xml:space="preserve"> </w:t>
      </w:r>
    </w:p>
    <w:p w14:paraId="09D8EA2A" w14:textId="7F059743" w:rsidR="00DE54C7" w:rsidRPr="00005513" w:rsidRDefault="00DE54C7" w:rsidP="00914153">
      <w:pPr>
        <w:pStyle w:val="ListParagraph"/>
        <w:numPr>
          <w:ilvl w:val="0"/>
          <w:numId w:val="3"/>
        </w:numPr>
        <w:spacing w:after="240"/>
        <w:jc w:val="both"/>
        <w:rPr>
          <w:rFonts w:eastAsia="Calibri" w:cs="Times New Roman"/>
          <w:noProof/>
        </w:rPr>
      </w:pPr>
      <w:r w:rsidRPr="00005513">
        <w:rPr>
          <w:rFonts w:eastAsia="Calibri" w:cs="Times New Roman"/>
          <w:noProof/>
        </w:rPr>
        <w:t xml:space="preserve">work closely with the Member States to support the introduction of early detection initiatives or screening programmes for </w:t>
      </w:r>
      <w:r>
        <w:rPr>
          <w:rFonts w:eastAsia="Calibri" w:cs="Times New Roman"/>
          <w:noProof/>
        </w:rPr>
        <w:t xml:space="preserve">FH, </w:t>
      </w:r>
      <w:r w:rsidRPr="00005513">
        <w:rPr>
          <w:rFonts w:eastAsia="Calibri" w:cs="Times New Roman"/>
          <w:noProof/>
        </w:rPr>
        <w:t xml:space="preserve">depending on the population risk. </w:t>
      </w:r>
    </w:p>
    <w:p w14:paraId="36B5B66A" w14:textId="519B03E2" w:rsidR="00DE54C7" w:rsidRPr="000E1D82" w:rsidRDefault="00DE54C7" w:rsidP="00DE54C7">
      <w:pPr>
        <w:jc w:val="both"/>
        <w:rPr>
          <w:noProof/>
        </w:rPr>
      </w:pPr>
      <w:r w:rsidRPr="000E1D82">
        <w:rPr>
          <w:rFonts w:eastAsia="Times New Roman" w:cs="Times New Roman"/>
          <w:noProof/>
        </w:rPr>
        <w:t xml:space="preserve">In addition, Member States could make use of </w:t>
      </w:r>
      <w:r>
        <w:rPr>
          <w:rFonts w:eastAsia="Times New Roman" w:cs="Times New Roman"/>
          <w:noProof/>
        </w:rPr>
        <w:t>c</w:t>
      </w:r>
      <w:r w:rsidRPr="000E1D82">
        <w:rPr>
          <w:rFonts w:eastAsia="Times New Roman" w:cs="Times New Roman"/>
          <w:noProof/>
        </w:rPr>
        <w:t xml:space="preserve">ohesion </w:t>
      </w:r>
      <w:r>
        <w:rPr>
          <w:rFonts w:eastAsia="Times New Roman" w:cs="Times New Roman"/>
          <w:noProof/>
        </w:rPr>
        <w:t>f</w:t>
      </w:r>
      <w:r w:rsidRPr="000E1D82">
        <w:rPr>
          <w:rFonts w:eastAsia="Times New Roman" w:cs="Times New Roman"/>
          <w:noProof/>
        </w:rPr>
        <w:t xml:space="preserve">unds </w:t>
      </w:r>
      <w:r>
        <w:rPr>
          <w:rFonts w:eastAsia="Times New Roman" w:cs="Times New Roman"/>
          <w:noProof/>
        </w:rPr>
        <w:t xml:space="preserve">to </w:t>
      </w:r>
      <w:r w:rsidRPr="000E1D82">
        <w:rPr>
          <w:rFonts w:eastAsia="Times New Roman" w:cs="Times New Roman"/>
          <w:noProof/>
        </w:rPr>
        <w:t>enhance laboratory capacity, genetic testing services, and digital registries.</w:t>
      </w:r>
      <w:r w:rsidR="003C642F">
        <w:rPr>
          <w:rFonts w:eastAsia="Times New Roman" w:cs="Times New Roman"/>
          <w:noProof/>
        </w:rPr>
        <w:t xml:space="preserve"> </w:t>
      </w:r>
      <w:r w:rsidRPr="000E1D82">
        <w:rPr>
          <w:rFonts w:cs="Times New Roman"/>
          <w:noProof/>
        </w:rPr>
        <w:t>Member States may consider incentives to stimulate participation in screening programmes</w:t>
      </w:r>
      <w:r>
        <w:rPr>
          <w:rFonts w:cs="Times New Roman"/>
          <w:noProof/>
        </w:rPr>
        <w:t xml:space="preserve">. This could take the form of </w:t>
      </w:r>
      <w:r w:rsidRPr="000E1D82">
        <w:rPr>
          <w:noProof/>
        </w:rPr>
        <w:t xml:space="preserve">initiatives </w:t>
      </w:r>
      <w:r>
        <w:rPr>
          <w:noProof/>
        </w:rPr>
        <w:t xml:space="preserve">to </w:t>
      </w:r>
      <w:r w:rsidRPr="000E1D82">
        <w:rPr>
          <w:noProof/>
        </w:rPr>
        <w:t xml:space="preserve">facilitate timely follow-up after screening, helping citizens </w:t>
      </w:r>
      <w:r>
        <w:rPr>
          <w:noProof/>
        </w:rPr>
        <w:t xml:space="preserve">to </w:t>
      </w:r>
      <w:r w:rsidRPr="000E1D82">
        <w:rPr>
          <w:noProof/>
        </w:rPr>
        <w:t>benefit from early detection while fully respecting Member States’ responsibility for organising and managing their health systems.</w:t>
      </w:r>
    </w:p>
    <w:p w14:paraId="76F14DB0" w14:textId="34650C7F" w:rsidR="00F6256D" w:rsidRDefault="00DE54C7" w:rsidP="00DE54C7">
      <w:pPr>
        <w:jc w:val="both"/>
        <w:rPr>
          <w:rFonts w:eastAsia="Times New Roman" w:cs="Times New Roman"/>
          <w:noProof/>
        </w:rPr>
      </w:pPr>
      <w:r>
        <w:rPr>
          <w:rFonts w:cs="Times New Roman"/>
          <w:noProof/>
        </w:rPr>
        <w:t>T</w:t>
      </w:r>
      <w:r w:rsidRPr="000E1D82">
        <w:rPr>
          <w:rFonts w:cs="Times New Roman"/>
          <w:noProof/>
        </w:rPr>
        <w:t xml:space="preserve">he integration of risk prediction tools empowers both individuals and healthcare providers to make informed decisions and apply personalised prevention plans. </w:t>
      </w:r>
      <w:r>
        <w:rPr>
          <w:rFonts w:cs="Times New Roman"/>
          <w:noProof/>
        </w:rPr>
        <w:t>For example, polygenic risk scores</w:t>
      </w:r>
      <w:r>
        <w:rPr>
          <w:rStyle w:val="FootnoteReference"/>
          <w:rFonts w:cs="Times New Roman"/>
          <w:noProof/>
        </w:rPr>
        <w:footnoteReference w:id="116"/>
      </w:r>
      <w:r>
        <w:rPr>
          <w:rFonts w:cs="Times New Roman"/>
          <w:noProof/>
        </w:rPr>
        <w:t xml:space="preserve"> </w:t>
      </w:r>
      <w:r w:rsidR="00B37C3A">
        <w:rPr>
          <w:rFonts w:cs="Times New Roman"/>
          <w:noProof/>
        </w:rPr>
        <w:t xml:space="preserve">have </w:t>
      </w:r>
      <w:r w:rsidR="001F282B">
        <w:rPr>
          <w:rFonts w:cs="Times New Roman"/>
          <w:noProof/>
        </w:rPr>
        <w:t xml:space="preserve">the </w:t>
      </w:r>
      <w:r w:rsidR="00B37C3A">
        <w:rPr>
          <w:rFonts w:cs="Times New Roman"/>
          <w:noProof/>
        </w:rPr>
        <w:t>potential to</w:t>
      </w:r>
      <w:r>
        <w:rPr>
          <w:rFonts w:cs="Times New Roman"/>
          <w:noProof/>
        </w:rPr>
        <w:t xml:space="preserve"> assess the personal risk of developing cardiovascular diseases with a genetic background. </w:t>
      </w:r>
      <w:r w:rsidRPr="000E1D82">
        <w:rPr>
          <w:rFonts w:cs="Times New Roman"/>
          <w:noProof/>
        </w:rPr>
        <w:t xml:space="preserve">When </w:t>
      </w:r>
      <w:r w:rsidRPr="000E1D82">
        <w:rPr>
          <w:rFonts w:eastAsia="Times New Roman" w:cs="Times New Roman"/>
          <w:noProof/>
        </w:rPr>
        <w:t>combined with digital tools</w:t>
      </w:r>
      <w:r>
        <w:rPr>
          <w:rFonts w:eastAsia="Times New Roman" w:cs="Times New Roman"/>
          <w:noProof/>
        </w:rPr>
        <w:t>,</w:t>
      </w:r>
      <w:r w:rsidRPr="000E1D82">
        <w:rPr>
          <w:rFonts w:eastAsia="Times New Roman" w:cs="Times New Roman"/>
          <w:noProof/>
        </w:rPr>
        <w:t xml:space="preserve"> AI</w:t>
      </w:r>
      <w:r>
        <w:rPr>
          <w:rFonts w:eastAsia="Times New Roman" w:cs="Times New Roman"/>
          <w:noProof/>
        </w:rPr>
        <w:t xml:space="preserve"> and advanced computational models, including Virtual Human Twins</w:t>
      </w:r>
      <w:r>
        <w:rPr>
          <w:rStyle w:val="FootnoteReference"/>
          <w:rFonts w:eastAsia="Times New Roman" w:cs="Times New Roman"/>
          <w:noProof/>
        </w:rPr>
        <w:footnoteReference w:id="117"/>
      </w:r>
      <w:r w:rsidRPr="000E1D82">
        <w:rPr>
          <w:rFonts w:eastAsia="Times New Roman" w:cs="Times New Roman"/>
          <w:noProof/>
        </w:rPr>
        <w:t xml:space="preserve">, </w:t>
      </w:r>
      <w:r>
        <w:rPr>
          <w:rFonts w:eastAsia="Times New Roman" w:cs="Times New Roman"/>
          <w:noProof/>
        </w:rPr>
        <w:t xml:space="preserve">in </w:t>
      </w:r>
      <w:r w:rsidRPr="000E1D82">
        <w:rPr>
          <w:rFonts w:eastAsia="Times New Roman" w:cs="Times New Roman"/>
          <w:noProof/>
        </w:rPr>
        <w:t xml:space="preserve">early detection </w:t>
      </w:r>
      <w:r>
        <w:rPr>
          <w:rFonts w:eastAsia="Times New Roman" w:cs="Times New Roman"/>
          <w:noProof/>
        </w:rPr>
        <w:t>efforts</w:t>
      </w:r>
      <w:r w:rsidRPr="000E1D82">
        <w:rPr>
          <w:rFonts w:eastAsia="Times New Roman" w:cs="Times New Roman"/>
          <w:noProof/>
        </w:rPr>
        <w:t xml:space="preserve"> </w:t>
      </w:r>
      <w:r w:rsidR="00B37C3A">
        <w:rPr>
          <w:rFonts w:eastAsia="Times New Roman" w:cs="Times New Roman"/>
          <w:noProof/>
        </w:rPr>
        <w:t xml:space="preserve">could </w:t>
      </w:r>
      <w:r>
        <w:rPr>
          <w:rFonts w:eastAsia="Times New Roman" w:cs="Times New Roman"/>
          <w:noProof/>
        </w:rPr>
        <w:t>further</w:t>
      </w:r>
      <w:r w:rsidRPr="000E1D82">
        <w:rPr>
          <w:rFonts w:eastAsia="Times New Roman" w:cs="Times New Roman"/>
          <w:noProof/>
        </w:rPr>
        <w:t xml:space="preserve"> reduce hospitalisations, improve health outcomes, and generate economic benefits by shifting the focus from treatment to prevention. This approach </w:t>
      </w:r>
      <w:r w:rsidR="000E2D1E">
        <w:rPr>
          <w:rFonts w:eastAsia="Times New Roman" w:cs="Times New Roman"/>
          <w:noProof/>
        </w:rPr>
        <w:t>could</w:t>
      </w:r>
      <w:r w:rsidRPr="000E1D82">
        <w:rPr>
          <w:rFonts w:eastAsia="Times New Roman" w:cs="Times New Roman"/>
          <w:noProof/>
        </w:rPr>
        <w:t xml:space="preserve"> save lives and generates long-term economic and societal benefits. </w:t>
      </w:r>
      <w:bookmarkStart w:id="7" w:name="_Hlk210549018"/>
    </w:p>
    <w:p w14:paraId="45BD8B84" w14:textId="42F0D59C" w:rsidR="00DE54C7" w:rsidRPr="000E1D82" w:rsidRDefault="00DE54C7" w:rsidP="00DE54C7">
      <w:pPr>
        <w:jc w:val="both"/>
        <w:rPr>
          <w:rFonts w:cs="Times New Roman"/>
          <w:noProof/>
        </w:rPr>
      </w:pPr>
      <w:r w:rsidRPr="000E1D82">
        <w:rPr>
          <w:rFonts w:cs="Times New Roman"/>
          <w:noProof/>
          <w:kern w:val="2"/>
          <w14:ligatures w14:val="standardContextual"/>
        </w:rPr>
        <w:t>Cardiovascular diseases, unlike cancer, lack a harmonised protocol for early detection and diagnosis</w:t>
      </w:r>
      <w:r>
        <w:rPr>
          <w:rFonts w:cs="Times New Roman"/>
          <w:noProof/>
          <w:kern w:val="2"/>
          <w14:ligatures w14:val="standardContextual"/>
        </w:rPr>
        <w:t>. This</w:t>
      </w:r>
      <w:r w:rsidRPr="000E1D82">
        <w:rPr>
          <w:rFonts w:cs="Times New Roman"/>
          <w:noProof/>
          <w:kern w:val="2"/>
          <w14:ligatures w14:val="standardContextual"/>
        </w:rPr>
        <w:t xml:space="preserve"> result</w:t>
      </w:r>
      <w:r>
        <w:rPr>
          <w:rFonts w:cs="Times New Roman"/>
          <w:noProof/>
          <w:kern w:val="2"/>
          <w14:ligatures w14:val="standardContextual"/>
        </w:rPr>
        <w:t>s</w:t>
      </w:r>
      <w:r w:rsidRPr="000E1D82">
        <w:rPr>
          <w:rFonts w:cs="Times New Roman"/>
          <w:noProof/>
          <w:kern w:val="2"/>
          <w14:ligatures w14:val="standardContextual"/>
        </w:rPr>
        <w:t xml:space="preserve"> in fragmented approaches across the EU, </w:t>
      </w:r>
      <w:r>
        <w:rPr>
          <w:rFonts w:cs="Times New Roman"/>
          <w:noProof/>
          <w:kern w:val="2"/>
          <w14:ligatures w14:val="standardContextual"/>
        </w:rPr>
        <w:t xml:space="preserve">and that in turn </w:t>
      </w:r>
      <w:r w:rsidRPr="000E1D82">
        <w:rPr>
          <w:rFonts w:cs="Times New Roman"/>
          <w:noProof/>
          <w:kern w:val="2"/>
          <w14:ligatures w14:val="standardContextual"/>
        </w:rPr>
        <w:t xml:space="preserve">hinders data federation and collection of comparable data. </w:t>
      </w:r>
      <w:bookmarkEnd w:id="7"/>
      <w:r w:rsidRPr="000E1D82">
        <w:rPr>
          <w:rFonts w:cs="Times New Roman"/>
          <w:noProof/>
        </w:rPr>
        <w:t xml:space="preserve">The </w:t>
      </w:r>
      <w:r>
        <w:rPr>
          <w:rFonts w:cs="Times New Roman"/>
          <w:noProof/>
        </w:rPr>
        <w:t>Safe Hearts Plan</w:t>
      </w:r>
      <w:r w:rsidRPr="000E1D82">
        <w:rPr>
          <w:rFonts w:cs="Times New Roman"/>
          <w:noProof/>
        </w:rPr>
        <w:t xml:space="preserve"> include</w:t>
      </w:r>
      <w:r>
        <w:rPr>
          <w:rFonts w:cs="Times New Roman"/>
          <w:noProof/>
        </w:rPr>
        <w:t>s</w:t>
      </w:r>
      <w:r w:rsidRPr="000E1D82">
        <w:rPr>
          <w:rFonts w:cs="Times New Roman"/>
          <w:noProof/>
        </w:rPr>
        <w:t xml:space="preserve"> the development of an </w:t>
      </w:r>
      <w:r w:rsidRPr="000E1D82">
        <w:rPr>
          <w:rFonts w:cs="Times New Roman"/>
          <w:b/>
          <w:bCs/>
          <w:noProof/>
        </w:rPr>
        <w:t>EU protocol on health checks</w:t>
      </w:r>
      <w:r w:rsidRPr="000E1D82">
        <w:rPr>
          <w:rFonts w:cs="Times New Roman"/>
          <w:noProof/>
        </w:rPr>
        <w:t xml:space="preserve"> to improve timely detection</w:t>
      </w:r>
      <w:r>
        <w:rPr>
          <w:rFonts w:cs="Times New Roman"/>
          <w:noProof/>
        </w:rPr>
        <w:t xml:space="preserve"> and </w:t>
      </w:r>
      <w:r w:rsidRPr="000E1D82">
        <w:rPr>
          <w:rFonts w:cs="Times New Roman"/>
          <w:noProof/>
        </w:rPr>
        <w:t>early diagnosis, reduce health inequalities and lower healthcare costs. The protocol w</w:t>
      </w:r>
      <w:r>
        <w:rPr>
          <w:rFonts w:cs="Times New Roman"/>
          <w:noProof/>
        </w:rPr>
        <w:t>ould</w:t>
      </w:r>
      <w:r w:rsidRPr="000E1D82">
        <w:rPr>
          <w:rFonts w:cs="Times New Roman"/>
          <w:noProof/>
        </w:rPr>
        <w:t xml:space="preserve"> provide </w:t>
      </w:r>
      <w:r>
        <w:rPr>
          <w:rFonts w:cs="Times New Roman"/>
          <w:noProof/>
        </w:rPr>
        <w:t>a</w:t>
      </w:r>
      <w:r w:rsidRPr="000E1D82">
        <w:rPr>
          <w:rFonts w:cs="Times New Roman"/>
          <w:noProof/>
        </w:rPr>
        <w:t xml:space="preserve"> framework for Member States to implement health checks to support the early detection of cardiovascular diseases, diabetes and obesity. By identifying individuals at-risk and helping them to better understand and manage their health proactively, the protocol w</w:t>
      </w:r>
      <w:r>
        <w:rPr>
          <w:rFonts w:cs="Times New Roman"/>
          <w:noProof/>
        </w:rPr>
        <w:t>ould</w:t>
      </w:r>
      <w:r w:rsidRPr="000E1D82">
        <w:rPr>
          <w:rFonts w:cs="Times New Roman"/>
          <w:noProof/>
        </w:rPr>
        <w:t xml:space="preserve"> </w:t>
      </w:r>
      <w:r>
        <w:rPr>
          <w:rFonts w:cs="Times New Roman"/>
          <w:noProof/>
        </w:rPr>
        <w:t xml:space="preserve">facilitate </w:t>
      </w:r>
      <w:r w:rsidRPr="000E1D82">
        <w:rPr>
          <w:rFonts w:cs="Times New Roman"/>
          <w:noProof/>
        </w:rPr>
        <w:t xml:space="preserve">the shift from treatment towards </w:t>
      </w:r>
      <w:r>
        <w:rPr>
          <w:rFonts w:cs="Times New Roman"/>
          <w:noProof/>
        </w:rPr>
        <w:t>prevention</w:t>
      </w:r>
      <w:r w:rsidRPr="000E1D82">
        <w:rPr>
          <w:rFonts w:cs="Times New Roman"/>
          <w:noProof/>
        </w:rPr>
        <w:t xml:space="preserve">. It </w:t>
      </w:r>
      <w:r>
        <w:rPr>
          <w:rFonts w:cs="Times New Roman"/>
          <w:noProof/>
        </w:rPr>
        <w:t xml:space="preserve">also aims to </w:t>
      </w:r>
      <w:r w:rsidRPr="000E1D82">
        <w:rPr>
          <w:rFonts w:cs="Times New Roman"/>
          <w:noProof/>
        </w:rPr>
        <w:t xml:space="preserve">address the challenges related to standardisation across Member States, data management, integration of care pathways and the comprehensiveness of screening programmes. </w:t>
      </w:r>
    </w:p>
    <w:p w14:paraId="139E2D9C" w14:textId="4800FFCF" w:rsidR="00DE54C7" w:rsidRDefault="00DE54C7" w:rsidP="00DE54C7">
      <w:pPr>
        <w:jc w:val="both"/>
        <w:rPr>
          <w:rFonts w:eastAsia="Times New Roman" w:cs="Times New Roman"/>
          <w:noProof/>
          <w:szCs w:val="24"/>
        </w:rPr>
      </w:pPr>
      <w:r w:rsidRPr="4FD287B9">
        <w:rPr>
          <w:rFonts w:eastAsia="Times New Roman" w:cs="Times New Roman"/>
          <w:noProof/>
        </w:rPr>
        <w:t xml:space="preserve">Mobile and community-based health delivery models have already proven their value across Europe. </w:t>
      </w:r>
      <w:r w:rsidR="00057F97" w:rsidRPr="4FD287B9">
        <w:rPr>
          <w:rFonts w:eastAsia="Times New Roman" w:cs="Times New Roman"/>
          <w:noProof/>
        </w:rPr>
        <w:t>Several EU level screening initiatives</w:t>
      </w:r>
      <w:r w:rsidR="00057F97" w:rsidRPr="4FD287B9">
        <w:rPr>
          <w:rStyle w:val="FootnoteReference"/>
          <w:rFonts w:eastAsia="Times New Roman" w:cs="Times New Roman"/>
          <w:noProof/>
        </w:rPr>
        <w:footnoteReference w:id="118"/>
      </w:r>
      <w:r w:rsidR="00057F97" w:rsidRPr="4FD287B9">
        <w:rPr>
          <w:rFonts w:eastAsia="Times New Roman" w:cs="Times New Roman"/>
          <w:noProof/>
        </w:rPr>
        <w:t xml:space="preserve"> demonstrate that</w:t>
      </w:r>
      <w:r w:rsidRPr="4FD287B9">
        <w:rPr>
          <w:rFonts w:eastAsia="Times New Roman" w:cs="Times New Roman"/>
          <w:noProof/>
        </w:rPr>
        <w:t xml:space="preserve"> bringing screening and health services directly to people increases uptake, builds trust and improves early detection rates. Expanding such models in the different Member States can strengthen prevention, early diagnosis and citizen engagement, particularly in rural or underserved areas.</w:t>
      </w:r>
    </w:p>
    <w:tbl>
      <w:tblPr>
        <w:tblStyle w:val="TableGrid"/>
        <w:tblW w:w="9015" w:type="dxa"/>
        <w:tblLayout w:type="fixed"/>
        <w:tblLook w:val="04A0" w:firstRow="1" w:lastRow="0" w:firstColumn="1" w:lastColumn="0" w:noHBand="0" w:noVBand="1"/>
      </w:tblPr>
      <w:tblGrid>
        <w:gridCol w:w="9015"/>
      </w:tblGrid>
      <w:tr w:rsidR="00DE54C7" w:rsidRPr="000E1D82" w14:paraId="581E15F1"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48674E" w14:textId="2A17A215" w:rsidR="00DE54C7" w:rsidRPr="00F86B07" w:rsidRDefault="00DE54C7" w:rsidP="00DE54C7">
            <w:pPr>
              <w:spacing w:before="120" w:after="60"/>
              <w:jc w:val="both"/>
              <w:rPr>
                <w:b/>
                <w:bCs/>
                <w:noProof/>
              </w:rPr>
            </w:pPr>
            <w:bookmarkStart w:id="8" w:name="_Hlk203318613"/>
            <w:bookmarkEnd w:id="6"/>
            <w:r w:rsidRPr="00F86B07">
              <w:rPr>
                <w:b/>
                <w:bCs/>
                <w:noProof/>
              </w:rPr>
              <w:t xml:space="preserve">Flagship initiative: EU protocol on health checks for cardiovascular diseases </w:t>
            </w:r>
          </w:p>
          <w:p w14:paraId="12AFE691" w14:textId="4340A5C8" w:rsidR="00DE54C7" w:rsidRPr="00E4479F" w:rsidRDefault="00DE54C7" w:rsidP="00E4479F">
            <w:pPr>
              <w:spacing w:before="120" w:after="160" w:line="259" w:lineRule="auto"/>
              <w:jc w:val="both"/>
              <w:rPr>
                <w:noProof/>
                <w:color w:val="000000" w:themeColor="text1"/>
                <w:lang w:eastAsia="en-IE"/>
              </w:rPr>
            </w:pPr>
            <w:r w:rsidRPr="00F86B07">
              <w:rPr>
                <w:noProof/>
              </w:rPr>
              <w:t xml:space="preserve">In </w:t>
            </w:r>
            <w:r w:rsidRPr="00E4479F">
              <w:rPr>
                <w:noProof/>
                <w:color w:val="000000" w:themeColor="text1"/>
                <w:lang w:eastAsia="en-IE"/>
              </w:rPr>
              <w:t>2026, the Commission will propose a Council recommendation on health checks for cardiovascular diseases to support a common approach for Member States in developing and implementing national health checks. The Commission intends to support the pilot-testing and launch of the EU protocol on health checks in Member States, as well as launch awareness campaigns (‘Know Your Numbers’) to support this initiative.</w:t>
            </w:r>
          </w:p>
          <w:p w14:paraId="012D0A3E" w14:textId="0BEB58A0" w:rsidR="00DE54C7" w:rsidRPr="00E4479F" w:rsidRDefault="00DE54C7" w:rsidP="00E4479F">
            <w:pPr>
              <w:spacing w:before="120" w:after="160" w:line="259" w:lineRule="auto"/>
              <w:jc w:val="both"/>
              <w:rPr>
                <w:noProof/>
                <w:color w:val="000000" w:themeColor="text1"/>
                <w:lang w:eastAsia="en-IE"/>
              </w:rPr>
            </w:pPr>
            <w:r w:rsidRPr="00E4479F">
              <w:rPr>
                <w:noProof/>
                <w:color w:val="000000" w:themeColor="text1"/>
                <w:lang w:eastAsia="en-IE"/>
              </w:rPr>
              <w:t>The proposal for a Council recommendation is envisaged to recommend screening towards specific targets that support the general and intermediate targets linked with decreasing cardiovascular disease burden. The Council recommendation would also support the identification and implementation of incentives to participate in screening programmes.</w:t>
            </w:r>
          </w:p>
          <w:p w14:paraId="37EE9D87" w14:textId="6691CBDA" w:rsidR="00DE54C7" w:rsidRPr="000E1D82" w:rsidRDefault="00DE54C7" w:rsidP="00E4479F">
            <w:pPr>
              <w:spacing w:before="120" w:after="160" w:line="259" w:lineRule="auto"/>
              <w:jc w:val="both"/>
              <w:rPr>
                <w:rFonts w:cs="Times New Roman"/>
                <w:noProof/>
              </w:rPr>
            </w:pPr>
            <w:r w:rsidRPr="00E4479F">
              <w:rPr>
                <w:noProof/>
                <w:color w:val="000000" w:themeColor="text1"/>
                <w:lang w:eastAsia="en-IE"/>
              </w:rPr>
              <w:t xml:space="preserve">The Commission intends to support Member States in the piloting of mobile screening outreach programmes </w:t>
            </w:r>
            <w:r w:rsidR="00D8171C" w:rsidRPr="00E4479F">
              <w:rPr>
                <w:noProof/>
                <w:color w:val="000000" w:themeColor="text1"/>
                <w:lang w:eastAsia="en-IE"/>
              </w:rPr>
              <w:t>to</w:t>
            </w:r>
            <w:r w:rsidRPr="00E4479F">
              <w:rPr>
                <w:noProof/>
                <w:color w:val="000000" w:themeColor="text1"/>
                <w:lang w:eastAsia="en-IE"/>
              </w:rPr>
              <w:t xml:space="preserve"> attain a high level of screening coverage levels.</w:t>
            </w:r>
          </w:p>
        </w:tc>
      </w:tr>
    </w:tbl>
    <w:bookmarkEnd w:id="8"/>
    <w:p w14:paraId="153C91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bCs/>
          <w:smallCaps/>
          <w:noProof/>
          <w:color w:val="auto"/>
          <w:sz w:val="24"/>
          <w:szCs w:val="24"/>
        </w:rPr>
      </w:pPr>
      <w:r w:rsidRPr="000E1D82">
        <w:rPr>
          <w:rFonts w:ascii="Times New Roman" w:hAnsi="Times New Roman" w:cs="Times New Roman"/>
          <w:b/>
          <w:bCs/>
          <w:smallCaps/>
          <w:noProof/>
          <w:color w:val="auto"/>
          <w:sz w:val="24"/>
          <w:szCs w:val="24"/>
        </w:rPr>
        <w:t>Pillar 3: Living with cardiovascular diseases - improving patient treatment and care</w:t>
      </w:r>
    </w:p>
    <w:p w14:paraId="4FB7D11F" w14:textId="7F497BBC" w:rsidR="00DE54C7" w:rsidRPr="000E1D82" w:rsidRDefault="00DE54C7" w:rsidP="00DE54C7">
      <w:pPr>
        <w:jc w:val="both"/>
        <w:rPr>
          <w:rStyle w:val="Strong"/>
          <w:rFonts w:eastAsia="Times New Roman" w:cs="Times New Roman"/>
          <w:b w:val="0"/>
          <w:bCs w:val="0"/>
          <w:noProof/>
        </w:rPr>
      </w:pPr>
      <w:r>
        <w:rPr>
          <w:rStyle w:val="Strong"/>
          <w:rFonts w:eastAsia="Times New Roman" w:cs="Times New Roman"/>
          <w:b w:val="0"/>
          <w:bCs w:val="0"/>
          <w:noProof/>
        </w:rPr>
        <w:t>P</w:t>
      </w:r>
      <w:r w:rsidRPr="000E1D82">
        <w:rPr>
          <w:rStyle w:val="Strong"/>
          <w:rFonts w:eastAsia="Times New Roman" w:cs="Times New Roman"/>
          <w:b w:val="0"/>
          <w:bCs w:val="0"/>
          <w:noProof/>
        </w:rPr>
        <w:t xml:space="preserve">revention is key to reducing cardiovascular diseases, </w:t>
      </w:r>
      <w:r>
        <w:rPr>
          <w:rStyle w:val="Strong"/>
          <w:rFonts w:eastAsia="Times New Roman" w:cs="Times New Roman"/>
          <w:b w:val="0"/>
          <w:bCs w:val="0"/>
          <w:noProof/>
        </w:rPr>
        <w:t xml:space="preserve">but </w:t>
      </w:r>
      <w:r w:rsidRPr="000E1D82">
        <w:rPr>
          <w:rStyle w:val="Strong"/>
          <w:rFonts w:eastAsia="Times New Roman" w:cs="Times New Roman"/>
          <w:b w:val="0"/>
          <w:bCs w:val="0"/>
          <w:noProof/>
        </w:rPr>
        <w:t>access to high-quality, coordinated and patient-centred care</w:t>
      </w:r>
      <w:r>
        <w:rPr>
          <w:rStyle w:val="Strong"/>
          <w:rFonts w:eastAsia="Times New Roman" w:cs="Times New Roman"/>
          <w:b w:val="0"/>
          <w:bCs w:val="0"/>
          <w:noProof/>
        </w:rPr>
        <w:t xml:space="preserve"> also</w:t>
      </w:r>
      <w:r w:rsidRPr="000E1D82">
        <w:rPr>
          <w:rStyle w:val="Strong"/>
          <w:rFonts w:eastAsia="Times New Roman" w:cs="Times New Roman"/>
          <w:b w:val="0"/>
          <w:bCs w:val="0"/>
          <w:noProof/>
        </w:rPr>
        <w:t xml:space="preserve"> remains essential. Many people live with multiple chronic diseases, </w:t>
      </w:r>
      <w:r>
        <w:rPr>
          <w:rStyle w:val="Strong"/>
          <w:rFonts w:eastAsia="Times New Roman" w:cs="Times New Roman"/>
          <w:b w:val="0"/>
          <w:bCs w:val="0"/>
          <w:noProof/>
        </w:rPr>
        <w:t xml:space="preserve">and therefore </w:t>
      </w:r>
      <w:r w:rsidRPr="000E1D82">
        <w:rPr>
          <w:rStyle w:val="Strong"/>
          <w:rFonts w:eastAsia="Times New Roman" w:cs="Times New Roman"/>
          <w:b w:val="0"/>
          <w:bCs w:val="0"/>
          <w:noProof/>
        </w:rPr>
        <w:t>requir</w:t>
      </w:r>
      <w:r>
        <w:rPr>
          <w:rStyle w:val="Strong"/>
          <w:rFonts w:eastAsia="Times New Roman" w:cs="Times New Roman"/>
          <w:b w:val="0"/>
          <w:bCs w:val="0"/>
          <w:noProof/>
        </w:rPr>
        <w:t xml:space="preserve">e </w:t>
      </w:r>
      <w:r w:rsidRPr="000E1D82">
        <w:rPr>
          <w:rFonts w:eastAsia="Times New Roman" w:cs="Times New Roman"/>
          <w:noProof/>
        </w:rPr>
        <w:t>long-term, multidisciplinary support and care</w:t>
      </w:r>
      <w:r w:rsidRPr="000E1D82">
        <w:rPr>
          <w:rStyle w:val="Strong"/>
          <w:rFonts w:eastAsia="Times New Roman" w:cs="Times New Roman"/>
          <w:b w:val="0"/>
          <w:bCs w:val="0"/>
          <w:noProof/>
        </w:rPr>
        <w:t xml:space="preserve">. Young people living with cardiovascular diseases have different needs </w:t>
      </w:r>
      <w:r>
        <w:rPr>
          <w:rStyle w:val="Strong"/>
          <w:rFonts w:eastAsia="Times New Roman" w:cs="Times New Roman"/>
          <w:b w:val="0"/>
          <w:bCs w:val="0"/>
          <w:noProof/>
        </w:rPr>
        <w:t>from</w:t>
      </w:r>
      <w:r w:rsidRPr="000E1D82">
        <w:rPr>
          <w:rStyle w:val="Strong"/>
          <w:rFonts w:eastAsia="Times New Roman" w:cs="Times New Roman"/>
          <w:b w:val="0"/>
          <w:bCs w:val="0"/>
          <w:noProof/>
        </w:rPr>
        <w:t xml:space="preserve"> older people. Evidence shows that personalised treatments and care can reduce healthcare costs and improve quality of life</w:t>
      </w:r>
      <w:r w:rsidRPr="000E1D82">
        <w:rPr>
          <w:rStyle w:val="FootnoteReference"/>
          <w:rFonts w:eastAsia="Times New Roman" w:cs="Times New Roman"/>
          <w:noProof/>
        </w:rPr>
        <w:footnoteReference w:id="119"/>
      </w:r>
      <w:r w:rsidRPr="000E1D82">
        <w:rPr>
          <w:rStyle w:val="Strong"/>
          <w:rFonts w:eastAsia="Times New Roman" w:cs="Times New Roman"/>
          <w:b w:val="0"/>
          <w:bCs w:val="0"/>
          <w:noProof/>
        </w:rPr>
        <w:t xml:space="preserve">. </w:t>
      </w:r>
      <w:r w:rsidRPr="00C94B25">
        <w:rPr>
          <w:rStyle w:val="Strong"/>
          <w:rFonts w:eastAsia="Times New Roman" w:cs="Times New Roman"/>
          <w:b w:val="0"/>
          <w:bCs w:val="0"/>
          <w:noProof/>
        </w:rPr>
        <w:t>Approaches to stratify patients</w:t>
      </w:r>
      <w:r w:rsidR="00A63B3E">
        <w:rPr>
          <w:rStyle w:val="Strong"/>
          <w:rFonts w:eastAsia="Times New Roman" w:cs="Times New Roman"/>
          <w:b w:val="0"/>
          <w:bCs w:val="0"/>
          <w:noProof/>
        </w:rPr>
        <w:t xml:space="preserve">, such as </w:t>
      </w:r>
      <w:r w:rsidR="00034686">
        <w:rPr>
          <w:rStyle w:val="Strong"/>
          <w:rFonts w:eastAsia="Times New Roman" w:cs="Times New Roman"/>
          <w:b w:val="0"/>
          <w:bCs w:val="0"/>
          <w:noProof/>
        </w:rPr>
        <w:t>pharmacog</w:t>
      </w:r>
      <w:r w:rsidR="00803C3D">
        <w:rPr>
          <w:rStyle w:val="Strong"/>
          <w:rFonts w:eastAsia="Times New Roman" w:cs="Times New Roman"/>
          <w:b w:val="0"/>
          <w:bCs w:val="0"/>
          <w:noProof/>
        </w:rPr>
        <w:t>enomics,</w:t>
      </w:r>
      <w:r w:rsidRPr="00C94B25">
        <w:rPr>
          <w:rStyle w:val="Strong"/>
          <w:rFonts w:eastAsia="Times New Roman" w:cs="Times New Roman"/>
          <w:b w:val="0"/>
          <w:bCs w:val="0"/>
          <w:noProof/>
        </w:rPr>
        <w:t xml:space="preserve"> </w:t>
      </w:r>
      <w:r>
        <w:rPr>
          <w:rStyle w:val="Strong"/>
          <w:rFonts w:eastAsia="Times New Roman" w:cs="Times New Roman"/>
          <w:b w:val="0"/>
          <w:bCs w:val="0"/>
          <w:noProof/>
        </w:rPr>
        <w:t>can</w:t>
      </w:r>
      <w:r w:rsidRPr="00C94B25">
        <w:rPr>
          <w:rStyle w:val="Strong"/>
          <w:rFonts w:eastAsia="Times New Roman" w:cs="Times New Roman"/>
          <w:b w:val="0"/>
          <w:bCs w:val="0"/>
          <w:noProof/>
        </w:rPr>
        <w:t xml:space="preserve"> improve treatment outcomes, notably by predicting treatment response and reducing complications and adverse effects</w:t>
      </w:r>
      <w:r>
        <w:rPr>
          <w:rStyle w:val="FootnoteReference"/>
          <w:rFonts w:eastAsia="Times New Roman" w:cs="Times New Roman"/>
          <w:noProof/>
        </w:rPr>
        <w:footnoteReference w:id="120"/>
      </w:r>
      <w:r w:rsidRPr="00C94B25">
        <w:rPr>
          <w:rStyle w:val="Strong"/>
          <w:rFonts w:eastAsia="Times New Roman" w:cs="Times New Roman"/>
          <w:b w:val="0"/>
          <w:bCs w:val="0"/>
          <w:noProof/>
        </w:rPr>
        <w:t xml:space="preserve">. </w:t>
      </w:r>
    </w:p>
    <w:p w14:paraId="59DE74CB" w14:textId="0888E5D6" w:rsidR="00DE54C7" w:rsidRPr="00AD4EC2" w:rsidRDefault="00DE54C7" w:rsidP="00DE54C7">
      <w:pPr>
        <w:jc w:val="both"/>
        <w:rPr>
          <w:rFonts w:eastAsia="Times New Roman" w:cs="Times New Roman"/>
          <w:noProof/>
        </w:rPr>
      </w:pPr>
      <w:r w:rsidRPr="000E1D82">
        <w:rPr>
          <w:rFonts w:eastAsiaTheme="minorEastAsia" w:cs="Times New Roman"/>
          <w:b/>
          <w:bCs/>
          <w:noProof/>
        </w:rPr>
        <w:t>Clinical guidelines</w:t>
      </w:r>
      <w:r w:rsidRPr="000E1D82">
        <w:rPr>
          <w:rFonts w:eastAsiaTheme="minorEastAsia" w:cs="Times New Roman"/>
          <w:noProof/>
        </w:rPr>
        <w:t xml:space="preserve"> can improve healthcare system efficiency and support better patient outcomes. </w:t>
      </w:r>
      <w:r w:rsidRPr="000E1D82">
        <w:rPr>
          <w:rStyle w:val="Strong"/>
          <w:rFonts w:eastAsia="Times New Roman" w:cs="Times New Roman"/>
          <w:b w:val="0"/>
          <w:bCs w:val="0"/>
          <w:noProof/>
        </w:rPr>
        <w:t xml:space="preserve">However, the lack of </w:t>
      </w:r>
      <w:r w:rsidRPr="000E1D82">
        <w:rPr>
          <w:rFonts w:eastAsiaTheme="minorEastAsia" w:cs="Times New Roman"/>
          <w:noProof/>
        </w:rPr>
        <w:t>common standards for treatment and care across Member States leads to inequalities and inefficiencies. Patients need tools and guidance to monitor their health</w:t>
      </w:r>
      <w:r w:rsidR="003E6AA9">
        <w:rPr>
          <w:rFonts w:eastAsiaTheme="minorEastAsia" w:cs="Times New Roman"/>
          <w:noProof/>
        </w:rPr>
        <w:t xml:space="preserve"> and follow</w:t>
      </w:r>
      <w:r w:rsidR="001F2F67">
        <w:rPr>
          <w:rFonts w:eastAsiaTheme="minorEastAsia" w:cs="Times New Roman"/>
          <w:noProof/>
        </w:rPr>
        <w:t xml:space="preserve"> treatment pathways</w:t>
      </w:r>
      <w:r w:rsidRPr="000E1D82">
        <w:rPr>
          <w:rFonts w:eastAsiaTheme="minorEastAsia" w:cs="Times New Roman"/>
          <w:noProof/>
        </w:rPr>
        <w:t xml:space="preserve">, for example, </w:t>
      </w:r>
      <w:r w:rsidR="006A4B17">
        <w:rPr>
          <w:rFonts w:eastAsiaTheme="minorEastAsia" w:cs="Times New Roman"/>
          <w:noProof/>
        </w:rPr>
        <w:t>on how to monitor</w:t>
      </w:r>
      <w:r w:rsidR="00E778B3">
        <w:rPr>
          <w:rFonts w:eastAsiaTheme="minorEastAsia" w:cs="Times New Roman"/>
          <w:noProof/>
        </w:rPr>
        <w:t xml:space="preserve"> </w:t>
      </w:r>
      <w:r w:rsidRPr="000E1D82">
        <w:rPr>
          <w:rFonts w:eastAsiaTheme="minorEastAsia" w:cs="Times New Roman"/>
          <w:noProof/>
        </w:rPr>
        <w:t xml:space="preserve">their blood pressure, </w:t>
      </w:r>
      <w:r w:rsidR="00500A8C">
        <w:rPr>
          <w:rFonts w:eastAsiaTheme="minorEastAsia" w:cs="Times New Roman"/>
          <w:noProof/>
        </w:rPr>
        <w:t xml:space="preserve">adhere to </w:t>
      </w:r>
      <w:r w:rsidR="00E778B3">
        <w:rPr>
          <w:rFonts w:eastAsiaTheme="minorEastAsia" w:cs="Times New Roman"/>
          <w:noProof/>
        </w:rPr>
        <w:t>medication</w:t>
      </w:r>
      <w:r w:rsidR="00210FA3">
        <w:rPr>
          <w:rFonts w:eastAsiaTheme="minorEastAsia" w:cs="Times New Roman"/>
          <w:noProof/>
        </w:rPr>
        <w:t xml:space="preserve">, </w:t>
      </w:r>
      <w:r w:rsidRPr="000E1D82">
        <w:rPr>
          <w:rFonts w:eastAsiaTheme="minorEastAsia" w:cs="Times New Roman"/>
          <w:noProof/>
        </w:rPr>
        <w:t xml:space="preserve">and to adopt lifestyle changes. </w:t>
      </w:r>
      <w:r w:rsidRPr="000E1D82">
        <w:rPr>
          <w:rFonts w:eastAsia="Times New Roman" w:cs="Times New Roman"/>
          <w:b/>
          <w:bCs/>
          <w:noProof/>
        </w:rPr>
        <w:t>Digital tools</w:t>
      </w:r>
      <w:r w:rsidRPr="000E1D82">
        <w:rPr>
          <w:rFonts w:eastAsia="Times New Roman" w:cs="Times New Roman"/>
          <w:noProof/>
        </w:rPr>
        <w:t xml:space="preserve">, such as telemedicine, electronic health records and connected devices, can support self-management, continuity of care and access to care, especially in rural and underserved regions. These technologies also help prevent avoidable hospitalisations and support integrated and patient-centred care </w:t>
      </w:r>
      <w:r w:rsidRPr="00AD4EC2">
        <w:rPr>
          <w:rFonts w:eastAsia="Times New Roman" w:cs="Times New Roman"/>
          <w:noProof/>
        </w:rPr>
        <w:t xml:space="preserve">models. </w:t>
      </w:r>
      <w:r w:rsidR="004F79E8" w:rsidRPr="00E4479F">
        <w:rPr>
          <w:rFonts w:eastAsia="Times New Roman" w:cs="Times New Roman"/>
          <w:noProof/>
        </w:rPr>
        <w:t xml:space="preserve">It is important that such tools are accessible for older people and persons with disabilities, </w:t>
      </w:r>
      <w:r w:rsidR="00D433E9" w:rsidRPr="00E4479F">
        <w:rPr>
          <w:rFonts w:eastAsia="Times New Roman" w:cs="Times New Roman"/>
          <w:noProof/>
        </w:rPr>
        <w:t>ens</w:t>
      </w:r>
      <w:r w:rsidR="00D72157" w:rsidRPr="00E4479F">
        <w:rPr>
          <w:rFonts w:eastAsia="Times New Roman" w:cs="Times New Roman"/>
          <w:noProof/>
        </w:rPr>
        <w:t xml:space="preserve">uring </w:t>
      </w:r>
      <w:r w:rsidR="004F79E8" w:rsidRPr="00E4479F">
        <w:rPr>
          <w:rFonts w:eastAsia="Times New Roman" w:cs="Times New Roman"/>
          <w:noProof/>
        </w:rPr>
        <w:t>interoperab</w:t>
      </w:r>
      <w:r w:rsidR="00D72157" w:rsidRPr="00E4479F">
        <w:rPr>
          <w:rFonts w:eastAsia="Times New Roman" w:cs="Times New Roman"/>
          <w:noProof/>
        </w:rPr>
        <w:t>ility</w:t>
      </w:r>
      <w:r w:rsidR="004F79E8" w:rsidRPr="00E4479F">
        <w:rPr>
          <w:rFonts w:eastAsia="Times New Roman" w:cs="Times New Roman"/>
          <w:noProof/>
        </w:rPr>
        <w:t xml:space="preserve"> with assistive devices.</w:t>
      </w:r>
    </w:p>
    <w:p w14:paraId="4633641E" w14:textId="557E293B" w:rsidR="00DE54C7" w:rsidRDefault="00DE54C7" w:rsidP="00DE54C7">
      <w:pPr>
        <w:jc w:val="both"/>
        <w:rPr>
          <w:rFonts w:eastAsia="Times New Roman" w:cs="Times New Roman"/>
          <w:noProof/>
        </w:rPr>
      </w:pPr>
      <w:r w:rsidRPr="00914153">
        <w:rPr>
          <w:rFonts w:eastAsia="Times New Roman"/>
          <w:noProof/>
        </w:rPr>
        <w:t xml:space="preserve">Integrated care models in primary care and community settings can, especially for people with multimorbidity, </w:t>
      </w:r>
      <w:r w:rsidRPr="002C491A">
        <w:rPr>
          <w:rFonts w:eastAsia="Times New Roman"/>
          <w:noProof/>
        </w:rPr>
        <w:t xml:space="preserve">such as living with chronic kidney disease, diabetes and cardiovascular disease, </w:t>
      </w:r>
      <w:r w:rsidRPr="00914153">
        <w:rPr>
          <w:rFonts w:eastAsia="Times New Roman"/>
          <w:noProof/>
        </w:rPr>
        <w:t xml:space="preserve">reduce unplanned hospital admissions and improve quality of life while saving costs. </w:t>
      </w:r>
      <w:r w:rsidRPr="00914153">
        <w:rPr>
          <w:rFonts w:eastAsia="Times New Roman" w:cs="Times New Roman"/>
          <w:noProof/>
        </w:rPr>
        <w:t xml:space="preserve">Patient-centred approaches </w:t>
      </w:r>
      <w:r w:rsidRPr="00914153">
        <w:rPr>
          <w:rFonts w:eastAsiaTheme="minorEastAsia" w:cs="Times New Roman"/>
          <w:noProof/>
        </w:rPr>
        <w:t xml:space="preserve">bring </w:t>
      </w:r>
      <w:r w:rsidR="00914153" w:rsidRPr="00914153">
        <w:rPr>
          <w:rFonts w:eastAsiaTheme="minorEastAsia" w:cs="Times New Roman"/>
          <w:noProof/>
        </w:rPr>
        <w:t>benefits,</w:t>
      </w:r>
      <w:r w:rsidRPr="00914153">
        <w:rPr>
          <w:rFonts w:eastAsiaTheme="minorEastAsia" w:cs="Times New Roman"/>
          <w:noProof/>
        </w:rPr>
        <w:t xml:space="preserve"> but </w:t>
      </w:r>
      <w:r w:rsidRPr="00914153">
        <w:rPr>
          <w:rFonts w:eastAsia="Times New Roman" w:cs="Times New Roman"/>
          <w:noProof/>
        </w:rPr>
        <w:t xml:space="preserve">such approaches are less frequently </w:t>
      </w:r>
      <w:r w:rsidRPr="000E1D82">
        <w:rPr>
          <w:rFonts w:eastAsiaTheme="minorEastAsia" w:cs="Times New Roman"/>
          <w:noProof/>
        </w:rPr>
        <w:t>covered in national cardiovascular health plans</w:t>
      </w:r>
      <w:r w:rsidRPr="000E1D82">
        <w:rPr>
          <w:rStyle w:val="FootnoteReference"/>
          <w:rFonts w:eastAsiaTheme="minorEastAsia" w:cs="Times New Roman"/>
          <w:noProof/>
        </w:rPr>
        <w:footnoteReference w:id="121"/>
      </w:r>
      <w:r w:rsidRPr="000E1D82">
        <w:rPr>
          <w:rFonts w:eastAsiaTheme="minorEastAsia" w:cs="Times New Roman"/>
          <w:noProof/>
        </w:rPr>
        <w:t xml:space="preserve">. </w:t>
      </w:r>
      <w:r w:rsidRPr="000E1D82">
        <w:rPr>
          <w:rFonts w:eastAsia="Times New Roman" w:cs="Times New Roman"/>
          <w:noProof/>
        </w:rPr>
        <w:t>The feasibility of adapting person-centred digital cancer care models</w:t>
      </w:r>
      <w:r w:rsidRPr="000E1D82">
        <w:rPr>
          <w:rStyle w:val="FootnoteReference"/>
          <w:rFonts w:eastAsia="Times New Roman" w:cs="Times New Roman"/>
          <w:noProof/>
        </w:rPr>
        <w:footnoteReference w:id="122"/>
      </w:r>
      <w:r w:rsidRPr="000E1D82">
        <w:rPr>
          <w:rFonts w:eastAsia="Times New Roman" w:cs="Times New Roman"/>
          <w:noProof/>
        </w:rPr>
        <w:t xml:space="preserve"> for cardiovascular care </w:t>
      </w:r>
      <w:r>
        <w:rPr>
          <w:rFonts w:eastAsia="Times New Roman" w:cs="Times New Roman"/>
          <w:noProof/>
        </w:rPr>
        <w:t xml:space="preserve">(e.g. </w:t>
      </w:r>
      <w:r w:rsidRPr="000E1D82">
        <w:rPr>
          <w:rFonts w:eastAsia="Times New Roman" w:cs="Times New Roman"/>
          <w:noProof/>
        </w:rPr>
        <w:t>cardiac rehabilitation and the monitoring of symptoms and health metrics</w:t>
      </w:r>
      <w:r>
        <w:rPr>
          <w:rFonts w:eastAsia="Times New Roman" w:cs="Times New Roman"/>
          <w:noProof/>
        </w:rPr>
        <w:t>)</w:t>
      </w:r>
      <w:r w:rsidRPr="000E1D82">
        <w:rPr>
          <w:rFonts w:eastAsia="Times New Roman" w:cs="Times New Roman"/>
          <w:noProof/>
        </w:rPr>
        <w:t>, can be explored through multi-country pilot projects</w:t>
      </w:r>
      <w:r w:rsidRPr="00791321">
        <w:rPr>
          <w:rFonts w:eastAsia="Times New Roman" w:cs="Times New Roman"/>
          <w:noProof/>
        </w:rPr>
        <w:t xml:space="preserve">. </w:t>
      </w:r>
      <w:r w:rsidRPr="00914153">
        <w:rPr>
          <w:rFonts w:eastAsia="Times New Roman" w:cs="Times New Roman"/>
          <w:noProof/>
        </w:rPr>
        <w:t>It is also possible to enhance and roll out innovative ICT-enabled integrated care solutions tailored specifically to advance multi-disciplinary health and care for patients with chronic heart failure</w:t>
      </w:r>
      <w:r w:rsidRPr="00914153">
        <w:rPr>
          <w:rStyle w:val="FootnoteReference"/>
          <w:rFonts w:eastAsia="Times New Roman" w:cs="Times New Roman"/>
          <w:noProof/>
        </w:rPr>
        <w:footnoteReference w:id="123"/>
      </w:r>
      <w:r w:rsidRPr="00914153">
        <w:rPr>
          <w:rFonts w:eastAsia="Times New Roman" w:cs="Times New Roman"/>
          <w:noProof/>
        </w:rPr>
        <w:t>.</w:t>
      </w:r>
    </w:p>
    <w:p w14:paraId="4E497C55" w14:textId="18079F8E" w:rsidR="003F03F6" w:rsidRDefault="007E4B00" w:rsidP="00DE54C7">
      <w:pPr>
        <w:jc w:val="both"/>
        <w:rPr>
          <w:rFonts w:eastAsia="Times New Roman" w:cs="Times New Roman"/>
          <w:noProof/>
        </w:rPr>
      </w:pPr>
      <w:r w:rsidRPr="000E1D82">
        <w:rPr>
          <w:rFonts w:eastAsia="Times New Roman" w:cs="Times New Roman"/>
          <w:noProof/>
        </w:rPr>
        <w:t xml:space="preserve">The Commission </w:t>
      </w:r>
      <w:r>
        <w:rPr>
          <w:rFonts w:eastAsia="Times New Roman" w:cs="Times New Roman"/>
          <w:noProof/>
        </w:rPr>
        <w:t>intends to</w:t>
      </w:r>
      <w:r w:rsidRPr="000E1D82">
        <w:rPr>
          <w:rFonts w:eastAsia="Times New Roman" w:cs="Times New Roman"/>
          <w:noProof/>
        </w:rPr>
        <w:t>:</w:t>
      </w:r>
    </w:p>
    <w:p w14:paraId="2BFBFFA1" w14:textId="5151D845" w:rsidR="00DE54C7" w:rsidRPr="000E1D82" w:rsidRDefault="0086514B" w:rsidP="00DE54C7">
      <w:pPr>
        <w:pStyle w:val="ListParagraph"/>
        <w:numPr>
          <w:ilvl w:val="0"/>
          <w:numId w:val="6"/>
        </w:numPr>
        <w:jc w:val="both"/>
        <w:rPr>
          <w:rFonts w:eastAsia="Times New Roman" w:cs="Times New Roman"/>
          <w:noProof/>
        </w:rPr>
      </w:pPr>
      <w:r>
        <w:rPr>
          <w:rFonts w:eastAsia="Calibri" w:cs="Times New Roman"/>
          <w:noProof/>
        </w:rPr>
        <w:t xml:space="preserve">set up </w:t>
      </w:r>
      <w:r w:rsidR="00DE54C7">
        <w:rPr>
          <w:rFonts w:eastAsia="Calibri" w:cs="Times New Roman"/>
          <w:noProof/>
        </w:rPr>
        <w:t>an EU</w:t>
      </w:r>
      <w:r w:rsidR="00DE54C7" w:rsidRPr="000E1D82">
        <w:rPr>
          <w:rFonts w:eastAsia="Calibri" w:cs="Times New Roman"/>
          <w:noProof/>
        </w:rPr>
        <w:t xml:space="preserve"> network of cardiovascular health centres to bring together expertise and facilitate the uptake of diagnosis and treatment, as well as rehabilitation and long-term care and effective management, including adherence to </w:t>
      </w:r>
      <w:r w:rsidR="00DE54C7">
        <w:rPr>
          <w:rFonts w:eastAsia="Calibri" w:cs="Times New Roman"/>
          <w:noProof/>
        </w:rPr>
        <w:t xml:space="preserve">treatment </w:t>
      </w:r>
      <w:r w:rsidR="00DE54C7" w:rsidRPr="000E1D82">
        <w:rPr>
          <w:rFonts w:eastAsia="Calibri" w:cs="Times New Roman"/>
          <w:noProof/>
        </w:rPr>
        <w:t>and medical advice</w:t>
      </w:r>
      <w:r w:rsidR="00DE54C7" w:rsidRPr="000E1D82">
        <w:rPr>
          <w:rStyle w:val="FootnoteReference"/>
          <w:rFonts w:eastAsia="Calibri" w:cs="Times New Roman"/>
          <w:noProof/>
        </w:rPr>
        <w:footnoteReference w:id="124"/>
      </w:r>
      <w:r w:rsidR="00DE54C7" w:rsidRPr="000E1D82">
        <w:rPr>
          <w:rFonts w:eastAsia="Calibri" w:cs="Times New Roman"/>
          <w:noProof/>
        </w:rPr>
        <w:t>.</w:t>
      </w:r>
    </w:p>
    <w:p w14:paraId="7D8A9CB9" w14:textId="3E9C7A18" w:rsidR="00DE54C7" w:rsidRPr="007E4B00" w:rsidRDefault="00DE54C7" w:rsidP="00DE54C7">
      <w:pPr>
        <w:tabs>
          <w:tab w:val="left" w:pos="5780"/>
          <w:tab w:val="left" w:pos="8180"/>
        </w:tabs>
        <w:spacing w:line="257" w:lineRule="auto"/>
        <w:jc w:val="both"/>
        <w:rPr>
          <w:rFonts w:eastAsia="Times New Roman" w:cs="Times New Roman"/>
          <w:noProof/>
        </w:rPr>
      </w:pPr>
      <w:r w:rsidRPr="000E1D82">
        <w:rPr>
          <w:rFonts w:eastAsia="Times New Roman" w:cs="Times New Roman"/>
          <w:noProof/>
        </w:rPr>
        <w:t>People living with cardiovascular diseases often experience anxiety, fear of recurrence, and difficulty adjusting to lifestyle changes and long-term treatments</w:t>
      </w:r>
      <w:r>
        <w:rPr>
          <w:rFonts w:eastAsia="Times New Roman" w:cs="Times New Roman"/>
          <w:noProof/>
        </w:rPr>
        <w:t xml:space="preserve">. </w:t>
      </w:r>
      <w:r w:rsidR="00914153">
        <w:rPr>
          <w:rFonts w:eastAsia="Times New Roman" w:cs="Times New Roman"/>
          <w:noProof/>
        </w:rPr>
        <w:t>A</w:t>
      </w:r>
      <w:r w:rsidR="00914153" w:rsidRPr="000E1D82">
        <w:rPr>
          <w:rFonts w:eastAsia="Times New Roman" w:cs="Times New Roman"/>
          <w:noProof/>
        </w:rPr>
        <w:t>ll</w:t>
      </w:r>
      <w:r w:rsidRPr="000E1D82">
        <w:rPr>
          <w:rFonts w:eastAsia="Times New Roman" w:cs="Times New Roman"/>
          <w:noProof/>
        </w:rPr>
        <w:t xml:space="preserve"> </w:t>
      </w:r>
      <w:r>
        <w:rPr>
          <w:rFonts w:eastAsia="Times New Roman" w:cs="Times New Roman"/>
          <w:noProof/>
        </w:rPr>
        <w:t>these factors can</w:t>
      </w:r>
      <w:r w:rsidRPr="000E1D82">
        <w:rPr>
          <w:rFonts w:eastAsia="Times New Roman" w:cs="Times New Roman"/>
          <w:noProof/>
        </w:rPr>
        <w:t xml:space="preserve"> negatively impact </w:t>
      </w:r>
      <w:r>
        <w:rPr>
          <w:rFonts w:eastAsia="Times New Roman" w:cs="Times New Roman"/>
          <w:noProof/>
        </w:rPr>
        <w:t xml:space="preserve">quality of life and </w:t>
      </w:r>
      <w:r w:rsidRPr="000E1D82">
        <w:rPr>
          <w:rFonts w:eastAsia="Times New Roman" w:cs="Times New Roman"/>
          <w:noProof/>
        </w:rPr>
        <w:t xml:space="preserve">mental health. </w:t>
      </w:r>
      <w:r>
        <w:rPr>
          <w:rFonts w:eastAsia="Times New Roman" w:cs="Times New Roman"/>
          <w:noProof/>
        </w:rPr>
        <w:t>T</w:t>
      </w:r>
      <w:r w:rsidRPr="000E1D82">
        <w:rPr>
          <w:rFonts w:eastAsia="Times New Roman" w:cs="Times New Roman"/>
          <w:noProof/>
        </w:rPr>
        <w:t>he Commission’s comprehensive approach to mental health</w:t>
      </w:r>
      <w:r w:rsidRPr="000E1D82">
        <w:rPr>
          <w:rStyle w:val="FootnoteReference"/>
          <w:rFonts w:eastAsia="Times New Roman" w:cs="Times New Roman"/>
          <w:noProof/>
        </w:rPr>
        <w:footnoteReference w:id="125"/>
      </w:r>
      <w:r w:rsidRPr="000E1D82">
        <w:rPr>
          <w:rFonts w:eastAsia="Times New Roman" w:cs="Times New Roman"/>
          <w:noProof/>
        </w:rPr>
        <w:t xml:space="preserve"> </w:t>
      </w:r>
      <w:r>
        <w:rPr>
          <w:rFonts w:eastAsia="Times New Roman" w:cs="Times New Roman"/>
          <w:noProof/>
        </w:rPr>
        <w:t>r</w:t>
      </w:r>
      <w:r w:rsidRPr="000E1D82">
        <w:rPr>
          <w:rFonts w:eastAsia="Times New Roman" w:cs="Times New Roman"/>
          <w:noProof/>
        </w:rPr>
        <w:t>ecognis</w:t>
      </w:r>
      <w:r>
        <w:rPr>
          <w:rFonts w:eastAsia="Times New Roman" w:cs="Times New Roman"/>
          <w:noProof/>
        </w:rPr>
        <w:t>es</w:t>
      </w:r>
      <w:r w:rsidRPr="000E1D82">
        <w:rPr>
          <w:rFonts w:eastAsia="Times New Roman" w:cs="Times New Roman"/>
          <w:noProof/>
        </w:rPr>
        <w:t xml:space="preserve"> the link between physical and mental health</w:t>
      </w:r>
      <w:r>
        <w:rPr>
          <w:rFonts w:eastAsia="Times New Roman" w:cs="Times New Roman"/>
          <w:noProof/>
        </w:rPr>
        <w:t xml:space="preserve">, and </w:t>
      </w:r>
      <w:r w:rsidRPr="000E1D82">
        <w:rPr>
          <w:rFonts w:eastAsia="Times New Roman" w:cs="Times New Roman"/>
          <w:noProof/>
        </w:rPr>
        <w:t xml:space="preserve">prioritises support for vulnerable population groups, including those with chronic conditions. </w:t>
      </w:r>
      <w:r>
        <w:rPr>
          <w:rFonts w:eastAsia="Times New Roman" w:cs="Times New Roman"/>
          <w:noProof/>
        </w:rPr>
        <w:t>The Commission will continue, t</w:t>
      </w:r>
      <w:r w:rsidRPr="000E1D82">
        <w:rPr>
          <w:rFonts w:eastAsia="Times New Roman" w:cs="Times New Roman"/>
          <w:noProof/>
        </w:rPr>
        <w:t xml:space="preserve">hrough initiatives, </w:t>
      </w:r>
      <w:r>
        <w:rPr>
          <w:rFonts w:eastAsia="Times New Roman" w:cs="Times New Roman"/>
          <w:noProof/>
        </w:rPr>
        <w:t>such as</w:t>
      </w:r>
      <w:r w:rsidRPr="000E1D82">
        <w:rPr>
          <w:rFonts w:eastAsia="Times New Roman" w:cs="Times New Roman"/>
          <w:noProof/>
        </w:rPr>
        <w:t xml:space="preserve"> the EU PROMENS</w:t>
      </w:r>
      <w:r w:rsidRPr="000E1D82">
        <w:rPr>
          <w:rStyle w:val="FootnoteReference"/>
          <w:rFonts w:eastAsia="Times New Roman" w:cs="Times New Roman"/>
          <w:noProof/>
        </w:rPr>
        <w:footnoteReference w:id="126"/>
      </w:r>
      <w:r w:rsidRPr="000E1D82">
        <w:rPr>
          <w:rFonts w:eastAsia="Times New Roman" w:cs="Times New Roman"/>
          <w:noProof/>
        </w:rPr>
        <w:t xml:space="preserve"> training and exchange programme on mental health, to equip health, social care and education professionals with the skills needed to deliver integrated, multidisciplinary, and person-centred mental health care.</w:t>
      </w:r>
      <w:r w:rsidR="00C81DA2">
        <w:rPr>
          <w:rFonts w:eastAsia="Times New Roman" w:cs="Times New Roman"/>
          <w:noProof/>
        </w:rPr>
        <w:t xml:space="preserve"> </w:t>
      </w:r>
      <w:r w:rsidR="001E7BA4" w:rsidRPr="00E4479F">
        <w:rPr>
          <w:rFonts w:eastAsia="Times New Roman" w:cs="Times New Roman"/>
          <w:noProof/>
        </w:rPr>
        <w:t>It will also continue supporting the education and training of future specialists in cardiovascular diseases, and interdisciplinary training in well-being, including through European Universities alliances</w:t>
      </w:r>
      <w:r w:rsidR="007E4B00">
        <w:rPr>
          <w:rStyle w:val="FootnoteReference"/>
          <w:rFonts w:eastAsia="Times New Roman" w:cs="Times New Roman"/>
          <w:noProof/>
        </w:rPr>
        <w:footnoteReference w:id="127"/>
      </w:r>
      <w:r w:rsidR="001E7BA4" w:rsidRPr="00E4479F">
        <w:rPr>
          <w:rFonts w:eastAsia="Times New Roman" w:cs="Times New Roman"/>
          <w:noProof/>
        </w:rPr>
        <w:t>.</w:t>
      </w:r>
    </w:p>
    <w:p w14:paraId="49AB7239" w14:textId="1C482647" w:rsidR="00DE54C7" w:rsidRDefault="00DE54C7" w:rsidP="00DE54C7">
      <w:pPr>
        <w:jc w:val="both"/>
        <w:rPr>
          <w:noProof/>
          <w:lang w:eastAsia="de-DE"/>
        </w:rPr>
      </w:pPr>
      <w:r w:rsidRPr="000E1D82">
        <w:rPr>
          <w:rFonts w:eastAsia="Times New Roman"/>
          <w:noProof/>
        </w:rPr>
        <w:t>Rehabilitation after acute events, such as a heart attack or stroke, is vital in reducing the risk of death and disabilities</w:t>
      </w:r>
      <w:r>
        <w:rPr>
          <w:rFonts w:eastAsia="Times New Roman"/>
          <w:noProof/>
        </w:rPr>
        <w:t xml:space="preserve"> through the patient pathway</w:t>
      </w:r>
      <w:r w:rsidRPr="000E1D82">
        <w:rPr>
          <w:rFonts w:eastAsia="Times New Roman"/>
          <w:noProof/>
        </w:rPr>
        <w:t xml:space="preserve">. It must be multidisciplinary and comprehensive, </w:t>
      </w:r>
      <w:r>
        <w:rPr>
          <w:rFonts w:eastAsia="Times New Roman"/>
          <w:noProof/>
        </w:rPr>
        <w:t xml:space="preserve">and </w:t>
      </w:r>
      <w:r w:rsidRPr="000E1D82">
        <w:rPr>
          <w:rFonts w:eastAsia="Times New Roman"/>
          <w:noProof/>
        </w:rPr>
        <w:t>address</w:t>
      </w:r>
      <w:r>
        <w:rPr>
          <w:rFonts w:eastAsia="Times New Roman"/>
          <w:noProof/>
        </w:rPr>
        <w:t xml:space="preserve"> </w:t>
      </w:r>
      <w:r w:rsidRPr="000E1D82">
        <w:rPr>
          <w:rFonts w:eastAsia="Times New Roman"/>
          <w:noProof/>
        </w:rPr>
        <w:t xml:space="preserve">physical, psychological and social needs. Rehabilitation and continuity of care must be an integral part of national strategies. </w:t>
      </w:r>
      <w:r w:rsidRPr="000E1D82">
        <w:rPr>
          <w:rFonts w:eastAsia="Times New Roman" w:cs="Times New Roman"/>
          <w:noProof/>
        </w:rPr>
        <w:t xml:space="preserve">To ensure truly personalised care, it is essential to </w:t>
      </w:r>
      <w:r>
        <w:rPr>
          <w:rFonts w:eastAsia="Times New Roman" w:cs="Times New Roman"/>
          <w:noProof/>
        </w:rPr>
        <w:t>apply</w:t>
      </w:r>
      <w:r w:rsidRPr="000E1D82">
        <w:rPr>
          <w:rFonts w:eastAsia="Times New Roman" w:cs="Times New Roman"/>
          <w:noProof/>
        </w:rPr>
        <w:t xml:space="preserve"> lived experience across the cardiovascular disease continuum, especially in management and care approaches</w:t>
      </w:r>
      <w:r w:rsidRPr="000E1D82">
        <w:rPr>
          <w:rFonts w:eastAsia="Calibri" w:cs="Times New Roman"/>
          <w:noProof/>
        </w:rPr>
        <w:t>.</w:t>
      </w:r>
    </w:p>
    <w:p w14:paraId="5149C8DA" w14:textId="26DC6389" w:rsidR="00DE54C7" w:rsidRPr="000E1D82" w:rsidRDefault="00DE54C7" w:rsidP="00DE54C7">
      <w:pPr>
        <w:jc w:val="both"/>
        <w:rPr>
          <w:noProof/>
          <w:lang w:eastAsia="de-DE"/>
        </w:rPr>
      </w:pPr>
      <w:bookmarkStart w:id="9" w:name="_Hlk216189316"/>
      <w:r w:rsidRPr="000E1D82">
        <w:rPr>
          <w:b/>
          <w:bCs/>
          <w:noProof/>
          <w:lang w:eastAsia="de-DE"/>
        </w:rPr>
        <w:t>Medical devices</w:t>
      </w:r>
      <w:r w:rsidRPr="000E1D82">
        <w:rPr>
          <w:noProof/>
          <w:lang w:eastAsia="de-DE"/>
        </w:rPr>
        <w:t xml:space="preserve"> and innovative technologies play an essential role in cardiovascular care. The </w:t>
      </w:r>
      <w:r w:rsidR="00D8171C" w:rsidRPr="000E1D82">
        <w:rPr>
          <w:noProof/>
          <w:lang w:eastAsia="de-DE"/>
        </w:rPr>
        <w:t>Commission</w:t>
      </w:r>
      <w:r w:rsidR="00D8171C">
        <w:rPr>
          <w:noProof/>
          <w:lang w:eastAsia="de-DE"/>
        </w:rPr>
        <w:t xml:space="preserve"> has</w:t>
      </w:r>
      <w:r w:rsidRPr="000E1D82">
        <w:rPr>
          <w:noProof/>
          <w:lang w:eastAsia="de-DE"/>
        </w:rPr>
        <w:t xml:space="preserve"> propos</w:t>
      </w:r>
      <w:r>
        <w:rPr>
          <w:noProof/>
          <w:lang w:eastAsia="de-DE"/>
        </w:rPr>
        <w:t>e</w:t>
      </w:r>
      <w:r w:rsidR="004D317B">
        <w:rPr>
          <w:noProof/>
          <w:lang w:eastAsia="de-DE"/>
        </w:rPr>
        <w:t>d</w:t>
      </w:r>
      <w:r w:rsidRPr="000E1D82">
        <w:rPr>
          <w:noProof/>
          <w:lang w:eastAsia="de-DE"/>
        </w:rPr>
        <w:t xml:space="preserve"> </w:t>
      </w:r>
      <w:r w:rsidR="008B3822">
        <w:rPr>
          <w:noProof/>
          <w:lang w:eastAsia="de-DE"/>
        </w:rPr>
        <w:t>a revision of</w:t>
      </w:r>
      <w:r w:rsidRPr="000E1D82">
        <w:rPr>
          <w:noProof/>
          <w:lang w:eastAsia="de-DE"/>
        </w:rPr>
        <w:t xml:space="preserve"> the EU legislative framework on medical devices</w:t>
      </w:r>
      <w:r w:rsidRPr="000E1D82">
        <w:rPr>
          <w:rFonts w:eastAsiaTheme="minorEastAsia"/>
          <w:noProof/>
          <w:vertAlign w:val="superscript"/>
        </w:rPr>
        <w:footnoteReference w:id="128"/>
      </w:r>
      <w:r w:rsidRPr="000E1D82">
        <w:rPr>
          <w:noProof/>
          <w:lang w:eastAsia="de-DE"/>
        </w:rPr>
        <w:t xml:space="preserve"> and in vitro diagnostic medical devices</w:t>
      </w:r>
      <w:r w:rsidRPr="000E1D82">
        <w:rPr>
          <w:rFonts w:eastAsiaTheme="minorEastAsia"/>
          <w:noProof/>
          <w:vertAlign w:val="superscript"/>
        </w:rPr>
        <w:footnoteReference w:id="129"/>
      </w:r>
      <w:r w:rsidRPr="000E1D82">
        <w:rPr>
          <w:noProof/>
          <w:lang w:eastAsia="de-DE"/>
        </w:rPr>
        <w:t xml:space="preserve">, </w:t>
      </w:r>
      <w:r w:rsidR="00D8171C">
        <w:rPr>
          <w:noProof/>
          <w:lang w:eastAsia="de-DE"/>
        </w:rPr>
        <w:t>to</w:t>
      </w:r>
      <w:r w:rsidRPr="000E1D82">
        <w:rPr>
          <w:noProof/>
          <w:lang w:eastAsia="de-DE"/>
        </w:rPr>
        <w:t xml:space="preserve"> simplify procedures and make requirements more cost eff</w:t>
      </w:r>
      <w:r w:rsidR="008B3822">
        <w:rPr>
          <w:noProof/>
          <w:lang w:eastAsia="de-DE"/>
        </w:rPr>
        <w:t>ective</w:t>
      </w:r>
      <w:r w:rsidRPr="000E1D82">
        <w:rPr>
          <w:noProof/>
          <w:lang w:eastAsia="de-DE"/>
        </w:rPr>
        <w:t xml:space="preserve"> and proportionate, while preserving a high level of protection for patients. </w:t>
      </w:r>
      <w:r w:rsidR="008B3822">
        <w:rPr>
          <w:noProof/>
          <w:lang w:eastAsia="de-DE"/>
        </w:rPr>
        <w:t>This includes an accelerated</w:t>
      </w:r>
      <w:r w:rsidRPr="000E1D82">
        <w:rPr>
          <w:noProof/>
          <w:lang w:eastAsia="de-DE"/>
        </w:rPr>
        <w:t xml:space="preserve"> regulatory pathway for breakthrough medical devices to ensure their </w:t>
      </w:r>
      <w:r w:rsidR="008B3822">
        <w:rPr>
          <w:noProof/>
          <w:lang w:eastAsia="de-DE"/>
        </w:rPr>
        <w:t xml:space="preserve">timely </w:t>
      </w:r>
      <w:r w:rsidRPr="000E1D82">
        <w:rPr>
          <w:noProof/>
          <w:lang w:eastAsia="de-DE"/>
        </w:rPr>
        <w:t>availability for EU</w:t>
      </w:r>
      <w:r w:rsidRPr="000E1D82">
        <w:rPr>
          <w:rFonts w:eastAsiaTheme="minorEastAsia"/>
          <w:noProof/>
        </w:rPr>
        <w:t xml:space="preserve"> </w:t>
      </w:r>
      <w:r w:rsidRPr="000E1D82">
        <w:rPr>
          <w:noProof/>
          <w:lang w:eastAsia="de-DE"/>
        </w:rPr>
        <w:t>citizens.</w:t>
      </w:r>
      <w:r w:rsidR="008B3822">
        <w:rPr>
          <w:noProof/>
          <w:lang w:eastAsia="de-DE"/>
        </w:rPr>
        <w:t xml:space="preserve"> </w:t>
      </w:r>
      <w:r w:rsidR="008B3822" w:rsidRPr="008B3822">
        <w:rPr>
          <w:noProof/>
          <w:lang w:eastAsia="de-DE"/>
        </w:rPr>
        <w:t>A pilot of the pathway is in preparation and will be launched in early 2026. It will place particular focus on cardiovascular and paediatric breakthrough devices.</w:t>
      </w:r>
    </w:p>
    <w:bookmarkEnd w:id="9"/>
    <w:p w14:paraId="16AB2C5D" w14:textId="718D5B5A" w:rsidR="00DE54C7" w:rsidRDefault="00DE54C7" w:rsidP="00DE54C7">
      <w:pPr>
        <w:jc w:val="both"/>
        <w:rPr>
          <w:rFonts w:eastAsia="Calibri"/>
          <w:noProof/>
        </w:rPr>
      </w:pPr>
      <w:r w:rsidRPr="0FF19EE1">
        <w:rPr>
          <w:rFonts w:eastAsiaTheme="minorEastAsia"/>
          <w:b/>
          <w:bCs/>
          <w:noProof/>
        </w:rPr>
        <w:t>Access to affordable</w:t>
      </w:r>
      <w:r>
        <w:rPr>
          <w:rFonts w:eastAsiaTheme="minorEastAsia"/>
          <w:b/>
          <w:bCs/>
          <w:noProof/>
        </w:rPr>
        <w:t>, safe</w:t>
      </w:r>
      <w:r w:rsidRPr="0FF19EE1">
        <w:rPr>
          <w:rFonts w:eastAsiaTheme="minorEastAsia"/>
          <w:b/>
          <w:bCs/>
          <w:noProof/>
        </w:rPr>
        <w:t xml:space="preserve"> and </w:t>
      </w:r>
      <w:r w:rsidRPr="21BFCD65">
        <w:rPr>
          <w:rFonts w:eastAsiaTheme="minorEastAsia"/>
          <w:b/>
          <w:bCs/>
          <w:noProof/>
        </w:rPr>
        <w:t xml:space="preserve">innovative </w:t>
      </w:r>
      <w:r w:rsidRPr="0FF19EE1">
        <w:rPr>
          <w:rFonts w:eastAsiaTheme="minorEastAsia"/>
          <w:b/>
          <w:bCs/>
          <w:noProof/>
        </w:rPr>
        <w:t>medicines</w:t>
      </w:r>
      <w:r w:rsidRPr="0FF19EE1">
        <w:rPr>
          <w:rFonts w:eastAsiaTheme="minorEastAsia"/>
          <w:noProof/>
        </w:rPr>
        <w:t xml:space="preserve"> has been central in the reduction of deaths from cardiovascular diseases. </w:t>
      </w:r>
      <w:r w:rsidRPr="00914153">
        <w:rPr>
          <w:rFonts w:eastAsia="Calibri"/>
          <w:noProof/>
        </w:rPr>
        <w:t>Th</w:t>
      </w:r>
      <w:r>
        <w:rPr>
          <w:rFonts w:eastAsia="Calibri"/>
          <w:noProof/>
        </w:rPr>
        <w:t>e</w:t>
      </w:r>
      <w:r w:rsidRPr="00914153">
        <w:rPr>
          <w:rFonts w:eastAsia="Calibri"/>
          <w:noProof/>
        </w:rPr>
        <w:t xml:space="preserve"> revision </w:t>
      </w:r>
      <w:r>
        <w:rPr>
          <w:rFonts w:eastAsia="Calibri"/>
          <w:noProof/>
        </w:rPr>
        <w:t>of the EU’s pharmaceutical legislation intends to</w:t>
      </w:r>
      <w:r w:rsidRPr="00914153">
        <w:rPr>
          <w:rFonts w:eastAsia="Calibri"/>
          <w:noProof/>
        </w:rPr>
        <w:t xml:space="preserve"> modernise the regulatory framework, incentivise research and innovation, streamline the authorisation process and cut red tape, enabling faster authorisation and patient access to innovative treatments</w:t>
      </w:r>
      <w:r w:rsidRPr="00EF069A">
        <w:rPr>
          <w:rFonts w:eastAsia="Calibri"/>
          <w:noProof/>
        </w:rPr>
        <w:t xml:space="preserve">. It also </w:t>
      </w:r>
      <w:r>
        <w:rPr>
          <w:rFonts w:eastAsia="Calibri"/>
          <w:noProof/>
        </w:rPr>
        <w:t xml:space="preserve">aims to </w:t>
      </w:r>
      <w:r w:rsidRPr="00EF069A">
        <w:rPr>
          <w:rFonts w:eastAsia="Calibri"/>
          <w:noProof/>
        </w:rPr>
        <w:t>make the European Medicines Agency more agile and support access to essential</w:t>
      </w:r>
      <w:r w:rsidRPr="000E1D82">
        <w:rPr>
          <w:rFonts w:eastAsia="Calibri"/>
          <w:noProof/>
        </w:rPr>
        <w:t xml:space="preserve"> cardiovascular-related medications. Moreover, the proposed</w:t>
      </w:r>
      <w:r w:rsidR="00096C93">
        <w:rPr>
          <w:rFonts w:eastAsia="Calibri"/>
          <w:noProof/>
        </w:rPr>
        <w:t xml:space="preserve"> C</w:t>
      </w:r>
      <w:r w:rsidRPr="000E1D82">
        <w:rPr>
          <w:rFonts w:eastAsia="Calibri"/>
          <w:noProof/>
        </w:rPr>
        <w:t xml:space="preserve">ritical </w:t>
      </w:r>
      <w:r w:rsidR="00096C93">
        <w:rPr>
          <w:rFonts w:eastAsia="Calibri"/>
          <w:noProof/>
        </w:rPr>
        <w:t>M</w:t>
      </w:r>
      <w:r w:rsidRPr="000E1D82">
        <w:rPr>
          <w:rFonts w:eastAsia="Calibri"/>
          <w:noProof/>
        </w:rPr>
        <w:t xml:space="preserve">edicines </w:t>
      </w:r>
      <w:r w:rsidR="00096C93">
        <w:rPr>
          <w:rFonts w:eastAsia="Calibri"/>
          <w:noProof/>
        </w:rPr>
        <w:t>A</w:t>
      </w:r>
      <w:r w:rsidRPr="000E1D82">
        <w:rPr>
          <w:rFonts w:eastAsia="Calibri"/>
          <w:noProof/>
        </w:rPr>
        <w:t>ct</w:t>
      </w:r>
      <w:r w:rsidRPr="000E1D82">
        <w:rPr>
          <w:rStyle w:val="FootnoteReference"/>
          <w:rFonts w:eastAsia="Calibri" w:cs="Times New Roman"/>
          <w:noProof/>
        </w:rPr>
        <w:footnoteReference w:id="130"/>
      </w:r>
      <w:r w:rsidRPr="000E1D82">
        <w:rPr>
          <w:rFonts w:eastAsia="Calibri"/>
          <w:noProof/>
        </w:rPr>
        <w:t xml:space="preserve"> aims to improve the availability, supply and production of critical medicines within the EU, including certain medicines used in the treatment of cardiovascular diseases</w:t>
      </w:r>
      <w:r w:rsidRPr="000E1D82">
        <w:rPr>
          <w:rStyle w:val="FootnoteReference"/>
          <w:rFonts w:eastAsia="Calibri" w:cs="Times New Roman"/>
          <w:noProof/>
        </w:rPr>
        <w:footnoteReference w:id="131"/>
      </w:r>
      <w:r w:rsidRPr="000E1D82">
        <w:rPr>
          <w:rFonts w:eastAsia="Calibri"/>
          <w:noProof/>
        </w:rPr>
        <w:t>.</w:t>
      </w:r>
      <w:r>
        <w:rPr>
          <w:rFonts w:eastAsia="Calibri"/>
          <w:noProof/>
        </w:rPr>
        <w:t xml:space="preserve"> </w:t>
      </w:r>
    </w:p>
    <w:p w14:paraId="3CBA412F" w14:textId="0E4DCC36" w:rsidR="00D53EA1" w:rsidRPr="000E1D82" w:rsidRDefault="00DE54C7" w:rsidP="00DE54C7">
      <w:pPr>
        <w:jc w:val="both"/>
        <w:rPr>
          <w:rFonts w:eastAsia="Calibri"/>
          <w:noProof/>
        </w:rPr>
      </w:pPr>
      <w:r w:rsidRPr="000E1D82">
        <w:rPr>
          <w:noProof/>
        </w:rPr>
        <w:t xml:space="preserve">The </w:t>
      </w:r>
      <w:r w:rsidR="00D53EA1" w:rsidRPr="00F43DAB">
        <w:rPr>
          <w:noProof/>
        </w:rPr>
        <w:t>proposal for a</w:t>
      </w:r>
      <w:r w:rsidR="00D53EA1">
        <w:rPr>
          <w:noProof/>
        </w:rPr>
        <w:t xml:space="preserve"> </w:t>
      </w:r>
      <w:r w:rsidR="00FE3F02">
        <w:rPr>
          <w:noProof/>
        </w:rPr>
        <w:t>B</w:t>
      </w:r>
      <w:r w:rsidRPr="00CA3446">
        <w:rPr>
          <w:noProof/>
        </w:rPr>
        <w:t xml:space="preserve">iotech </w:t>
      </w:r>
      <w:r w:rsidR="00FE3F02">
        <w:rPr>
          <w:noProof/>
        </w:rPr>
        <w:t>A</w:t>
      </w:r>
      <w:r w:rsidRPr="00F43DAB">
        <w:rPr>
          <w:noProof/>
        </w:rPr>
        <w:t>ct</w:t>
      </w:r>
      <w:r>
        <w:rPr>
          <w:rStyle w:val="FootnoteReference"/>
          <w:noProof/>
        </w:rPr>
        <w:footnoteReference w:id="132"/>
      </w:r>
      <w:r w:rsidRPr="000E1D82">
        <w:rPr>
          <w:noProof/>
        </w:rPr>
        <w:t xml:space="preserve"> </w:t>
      </w:r>
      <w:r>
        <w:rPr>
          <w:noProof/>
        </w:rPr>
        <w:t xml:space="preserve">aims </w:t>
      </w:r>
      <w:r w:rsidRPr="00AA0838">
        <w:rPr>
          <w:noProof/>
        </w:rPr>
        <w:t>to bring biotech from the laboratory to the factory and then onto the market, with a focus on health, to accelerate the time-to-market for biotech products</w:t>
      </w:r>
      <w:r>
        <w:rPr>
          <w:noProof/>
        </w:rPr>
        <w:t>,</w:t>
      </w:r>
      <w:r w:rsidRPr="00AA0838">
        <w:rPr>
          <w:noProof/>
        </w:rPr>
        <w:t xml:space="preserve"> and to boost the entire ecosystem</w:t>
      </w:r>
      <w:r>
        <w:rPr>
          <w:noProof/>
        </w:rPr>
        <w:t xml:space="preserve"> </w:t>
      </w:r>
      <w:r w:rsidRPr="000E1D82">
        <w:rPr>
          <w:noProof/>
        </w:rPr>
        <w:t>to create a more innovation-friendly environment</w:t>
      </w:r>
      <w:r>
        <w:rPr>
          <w:noProof/>
        </w:rPr>
        <w:t>.</w:t>
      </w:r>
      <w:r w:rsidRPr="000E1D82">
        <w:rPr>
          <w:noProof/>
        </w:rPr>
        <w:t xml:space="preserve"> </w:t>
      </w:r>
    </w:p>
    <w:p w14:paraId="68B7D4EC" w14:textId="11F0631B" w:rsidR="00DE54C7" w:rsidRDefault="00DE54C7" w:rsidP="00914153">
      <w:pPr>
        <w:jc w:val="both"/>
        <w:rPr>
          <w:rFonts w:eastAsia="Times New Roman" w:cs="Times New Roman"/>
          <w:noProof/>
        </w:rPr>
      </w:pPr>
      <w:r w:rsidRPr="000E1D82">
        <w:rPr>
          <w:rFonts w:eastAsia="Calibri" w:cs="Times New Roman"/>
          <w:noProof/>
        </w:rPr>
        <w:t xml:space="preserve">In the EU, </w:t>
      </w:r>
      <w:r w:rsidRPr="000E1D82">
        <w:rPr>
          <w:rFonts w:eastAsia="Calibri" w:cs="Times New Roman"/>
          <w:b/>
          <w:bCs/>
          <w:noProof/>
        </w:rPr>
        <w:t>clinical trials</w:t>
      </w:r>
      <w:r w:rsidRPr="000E1D82">
        <w:rPr>
          <w:rFonts w:eastAsia="Calibri" w:cs="Times New Roman"/>
          <w:noProof/>
        </w:rPr>
        <w:t xml:space="preserve"> are the foundation </w:t>
      </w:r>
      <w:r>
        <w:rPr>
          <w:rFonts w:eastAsia="Calibri" w:cs="Times New Roman"/>
          <w:noProof/>
        </w:rPr>
        <w:t xml:space="preserve">to generate the necessary evidence to </w:t>
      </w:r>
      <w:r w:rsidRPr="000E1D82">
        <w:rPr>
          <w:rFonts w:eastAsia="Calibri" w:cs="Times New Roman"/>
          <w:noProof/>
        </w:rPr>
        <w:t>enabl</w:t>
      </w:r>
      <w:r>
        <w:rPr>
          <w:rFonts w:eastAsia="Calibri" w:cs="Times New Roman"/>
          <w:noProof/>
        </w:rPr>
        <w:t>e</w:t>
      </w:r>
      <w:r w:rsidRPr="000E1D82">
        <w:rPr>
          <w:rFonts w:eastAsia="Calibri" w:cs="Times New Roman"/>
          <w:noProof/>
        </w:rPr>
        <w:t xml:space="preserve"> safe, effective and innovative treatments that can improve cardiovascular outcomes. </w:t>
      </w:r>
      <w:r w:rsidRPr="000E1D82">
        <w:rPr>
          <w:rFonts w:cs="Times New Roman"/>
          <w:noProof/>
        </w:rPr>
        <w:t xml:space="preserve">Decentralised clinical trials supported by digital health technologies are key to increasing </w:t>
      </w:r>
      <w:r w:rsidRPr="7E3886BC">
        <w:rPr>
          <w:rFonts w:cs="Times New Roman"/>
          <w:noProof/>
        </w:rPr>
        <w:t xml:space="preserve">patient </w:t>
      </w:r>
      <w:r w:rsidRPr="000E1D82">
        <w:rPr>
          <w:rFonts w:cs="Times New Roman"/>
          <w:noProof/>
        </w:rPr>
        <w:t xml:space="preserve">participation, </w:t>
      </w:r>
      <w:r w:rsidRPr="7E3886BC">
        <w:rPr>
          <w:rFonts w:cs="Times New Roman"/>
          <w:noProof/>
        </w:rPr>
        <w:t xml:space="preserve">streamlining </w:t>
      </w:r>
      <w:r w:rsidRPr="000E1D82">
        <w:rPr>
          <w:rFonts w:cs="Times New Roman"/>
          <w:noProof/>
        </w:rPr>
        <w:t xml:space="preserve">monitoring, and </w:t>
      </w:r>
      <w:r w:rsidRPr="7E3886BC">
        <w:rPr>
          <w:rFonts w:cs="Times New Roman"/>
          <w:noProof/>
        </w:rPr>
        <w:t xml:space="preserve">improving clinical </w:t>
      </w:r>
      <w:r w:rsidRPr="000E1D82">
        <w:rPr>
          <w:rFonts w:cs="Times New Roman"/>
          <w:noProof/>
        </w:rPr>
        <w:t>outcomes</w:t>
      </w:r>
      <w:r>
        <w:rPr>
          <w:rFonts w:cs="Times New Roman"/>
          <w:noProof/>
        </w:rPr>
        <w:t>.</w:t>
      </w:r>
      <w:r w:rsidR="007E4B00">
        <w:rPr>
          <w:rFonts w:cs="Times New Roman"/>
          <w:noProof/>
        </w:rPr>
        <w:t xml:space="preserve"> </w:t>
      </w:r>
      <w:r w:rsidRPr="000E1D82">
        <w:rPr>
          <w:rFonts w:cs="Times New Roman"/>
          <w:noProof/>
        </w:rPr>
        <w:t xml:space="preserve">Enabling </w:t>
      </w:r>
      <w:r>
        <w:rPr>
          <w:rFonts w:cs="Times New Roman"/>
          <w:noProof/>
        </w:rPr>
        <w:t xml:space="preserve">decentralised approaches </w:t>
      </w:r>
      <w:r w:rsidRPr="7E3886BC">
        <w:rPr>
          <w:rFonts w:eastAsia="Times New Roman" w:cs="Times New Roman"/>
          <w:noProof/>
        </w:rPr>
        <w:t>is particularly important in cardiovascular trials, where the target population is often frail and therefore can be difficult to reach or retain</w:t>
      </w:r>
      <w:r>
        <w:rPr>
          <w:rFonts w:eastAsia="Times New Roman" w:cs="Times New Roman"/>
          <w:noProof/>
        </w:rPr>
        <w:t>.</w:t>
      </w:r>
      <w:r w:rsidRPr="7E3886BC">
        <w:rPr>
          <w:rFonts w:eastAsia="Times New Roman" w:cs="Times New Roman"/>
          <w:noProof/>
        </w:rPr>
        <w:t xml:space="preserve"> The</w:t>
      </w:r>
      <w:r w:rsidR="004D317B">
        <w:rPr>
          <w:rFonts w:eastAsia="Times New Roman" w:cs="Times New Roman"/>
          <w:noProof/>
        </w:rPr>
        <w:t xml:space="preserve"> </w:t>
      </w:r>
      <w:r w:rsidR="004D317B" w:rsidRPr="00F43DAB">
        <w:rPr>
          <w:rFonts w:eastAsia="Times New Roman" w:cs="Times New Roman"/>
          <w:noProof/>
        </w:rPr>
        <w:t>proposal</w:t>
      </w:r>
      <w:r w:rsidRPr="00F43DAB">
        <w:rPr>
          <w:rFonts w:eastAsia="Times New Roman" w:cs="Times New Roman"/>
          <w:noProof/>
        </w:rPr>
        <w:t xml:space="preserve"> </w:t>
      </w:r>
      <w:r w:rsidR="004D317B" w:rsidRPr="00F43DAB">
        <w:rPr>
          <w:rFonts w:eastAsia="Times New Roman" w:cs="Times New Roman"/>
          <w:noProof/>
        </w:rPr>
        <w:t>for a</w:t>
      </w:r>
      <w:r w:rsidRPr="7E3886BC">
        <w:rPr>
          <w:rFonts w:eastAsia="Times New Roman" w:cs="Times New Roman"/>
          <w:noProof/>
        </w:rPr>
        <w:t xml:space="preserve"> </w:t>
      </w:r>
      <w:r w:rsidR="00862841" w:rsidRPr="00E4479F">
        <w:rPr>
          <w:rFonts w:eastAsia="Times New Roman" w:cs="Times New Roman"/>
          <w:noProof/>
        </w:rPr>
        <w:t>B</w:t>
      </w:r>
      <w:r w:rsidRPr="00F43DAB">
        <w:rPr>
          <w:rFonts w:eastAsia="Times New Roman" w:cs="Times New Roman"/>
          <w:noProof/>
        </w:rPr>
        <w:t xml:space="preserve">iotech </w:t>
      </w:r>
      <w:r w:rsidR="00862841" w:rsidRPr="00E4479F">
        <w:rPr>
          <w:rFonts w:eastAsia="Times New Roman" w:cs="Times New Roman"/>
          <w:noProof/>
        </w:rPr>
        <w:t>A</w:t>
      </w:r>
      <w:r w:rsidRPr="00F43DAB">
        <w:rPr>
          <w:rFonts w:eastAsia="Times New Roman" w:cs="Times New Roman"/>
          <w:noProof/>
        </w:rPr>
        <w:t>ct</w:t>
      </w:r>
      <w:r w:rsidRPr="7E3886BC">
        <w:rPr>
          <w:rFonts w:eastAsia="Times New Roman" w:cs="Times New Roman"/>
          <w:noProof/>
        </w:rPr>
        <w:t xml:space="preserve"> </w:t>
      </w:r>
      <w:r>
        <w:rPr>
          <w:rFonts w:eastAsia="Times New Roman" w:cs="Times New Roman"/>
          <w:noProof/>
        </w:rPr>
        <w:t xml:space="preserve">aims to </w:t>
      </w:r>
      <w:r w:rsidRPr="7E3886BC">
        <w:rPr>
          <w:rFonts w:eastAsia="Times New Roman" w:cs="Times New Roman"/>
          <w:noProof/>
        </w:rPr>
        <w:t>enable the authorisation of clinical trials with decentralised elements to simplify the rules for the authorisation and conduct of clinical trials</w:t>
      </w:r>
      <w:r>
        <w:rPr>
          <w:rFonts w:eastAsia="Times New Roman" w:cs="Times New Roman"/>
          <w:noProof/>
        </w:rPr>
        <w:t>,</w:t>
      </w:r>
      <w:r w:rsidRPr="7E3886BC">
        <w:rPr>
          <w:rFonts w:eastAsia="Times New Roman" w:cs="Times New Roman"/>
          <w:noProof/>
        </w:rPr>
        <w:t xml:space="preserve"> </w:t>
      </w:r>
      <w:r>
        <w:rPr>
          <w:rFonts w:eastAsia="Times New Roman" w:cs="Times New Roman"/>
          <w:noProof/>
        </w:rPr>
        <w:t>to</w:t>
      </w:r>
      <w:r w:rsidRPr="7E3886BC">
        <w:rPr>
          <w:rFonts w:eastAsia="Times New Roman" w:cs="Times New Roman"/>
          <w:noProof/>
        </w:rPr>
        <w:t xml:space="preserve"> shorten the time to market for innovative medicines, including those used in cardiovascular care. </w:t>
      </w:r>
      <w:r w:rsidR="00A97542">
        <w:rPr>
          <w:rFonts w:eastAsia="Times New Roman" w:cs="Times New Roman"/>
          <w:noProof/>
        </w:rPr>
        <w:t>T</w:t>
      </w:r>
      <w:r w:rsidR="00B96AD6" w:rsidRPr="00B96AD6">
        <w:rPr>
          <w:rFonts w:eastAsia="Times New Roman" w:cs="Times New Roman"/>
          <w:noProof/>
        </w:rPr>
        <w:t>he forthcoming Clinical Research Investment Plan will propose ways to facilitate funding for multi-country clinical trials and to further streamline European research infrastructures in the field of clinical research</w:t>
      </w:r>
      <w:r w:rsidR="00B83D76">
        <w:rPr>
          <w:rStyle w:val="FootnoteReference"/>
          <w:rFonts w:eastAsia="Times New Roman" w:cs="Times New Roman"/>
          <w:noProof/>
        </w:rPr>
        <w:footnoteReference w:id="133"/>
      </w:r>
      <w:r w:rsidR="00B96AD6">
        <w:rPr>
          <w:rFonts w:eastAsia="Times New Roman" w:cs="Times New Roman"/>
          <w:noProof/>
        </w:rPr>
        <w:t>.</w:t>
      </w:r>
    </w:p>
    <w:p w14:paraId="6F7052F3" w14:textId="4F04792F" w:rsidR="00DE54C7" w:rsidRDefault="00DE54C7" w:rsidP="00DE54C7">
      <w:pPr>
        <w:spacing w:after="120"/>
        <w:jc w:val="both"/>
        <w:rPr>
          <w:rFonts w:eastAsia="Times New Roman" w:cs="Times New Roman"/>
          <w:noProof/>
        </w:rPr>
      </w:pPr>
      <w:r>
        <w:rPr>
          <w:rFonts w:eastAsia="Times New Roman" w:cs="Times New Roman"/>
          <w:noProof/>
        </w:rPr>
        <w:t>T</w:t>
      </w:r>
      <w:r w:rsidRPr="7E3886BC">
        <w:rPr>
          <w:rFonts w:eastAsia="Times New Roman" w:cs="Times New Roman"/>
          <w:noProof/>
        </w:rPr>
        <w:t xml:space="preserve">he updated harmonised EU-level best-practice guidance under </w:t>
      </w:r>
      <w:r>
        <w:rPr>
          <w:rFonts w:eastAsia="Times New Roman" w:cs="Times New Roman"/>
          <w:noProof/>
        </w:rPr>
        <w:t xml:space="preserve">the initiative ‘accelerate </w:t>
      </w:r>
      <w:r w:rsidR="00914153">
        <w:rPr>
          <w:rFonts w:eastAsia="Times New Roman" w:cs="Times New Roman"/>
          <w:noProof/>
        </w:rPr>
        <w:t>clinical</w:t>
      </w:r>
      <w:r>
        <w:rPr>
          <w:rFonts w:eastAsia="Times New Roman" w:cs="Times New Roman"/>
          <w:noProof/>
        </w:rPr>
        <w:t xml:space="preserve"> trials’ (</w:t>
      </w:r>
      <w:r w:rsidRPr="7E3886BC">
        <w:rPr>
          <w:rFonts w:eastAsia="Times New Roman" w:cs="Times New Roman"/>
          <w:noProof/>
        </w:rPr>
        <w:t>ACT EU</w:t>
      </w:r>
      <w:r>
        <w:rPr>
          <w:rFonts w:eastAsia="Times New Roman" w:cs="Times New Roman"/>
          <w:noProof/>
        </w:rPr>
        <w:t>)</w:t>
      </w:r>
      <w:r w:rsidRPr="000E1D82">
        <w:rPr>
          <w:rStyle w:val="FootnoteReference"/>
          <w:rFonts w:cs="Times New Roman"/>
          <w:noProof/>
        </w:rPr>
        <w:footnoteReference w:id="134"/>
      </w:r>
      <w:r w:rsidRPr="7E3886BC">
        <w:rPr>
          <w:rFonts w:eastAsia="Times New Roman" w:cs="Times New Roman"/>
          <w:noProof/>
        </w:rPr>
        <w:t xml:space="preserve"> is intended to help the uptake of decentralised elements in clinical trials by providing consistent, practical instructions for sponsors and trial sites across Member States.  </w:t>
      </w:r>
    </w:p>
    <w:p w14:paraId="432B1FBA" w14:textId="45A2C546" w:rsidR="00DE54C7" w:rsidRPr="00F96E6F" w:rsidRDefault="00DE54C7" w:rsidP="00DE54C7">
      <w:pPr>
        <w:tabs>
          <w:tab w:val="left" w:pos="5780"/>
          <w:tab w:val="left" w:pos="8180"/>
        </w:tabs>
        <w:spacing w:before="120" w:line="257" w:lineRule="auto"/>
        <w:jc w:val="both"/>
        <w:rPr>
          <w:noProof/>
        </w:rPr>
      </w:pPr>
      <w:r w:rsidRPr="00F96E6F">
        <w:rPr>
          <w:noProof/>
        </w:rPr>
        <w:t xml:space="preserve">The EU Regulation on </w:t>
      </w:r>
      <w:r w:rsidRPr="00CA3446">
        <w:rPr>
          <w:b/>
          <w:noProof/>
        </w:rPr>
        <w:t>Health Technology Assessment</w:t>
      </w:r>
      <w:r w:rsidRPr="00CA3446">
        <w:rPr>
          <w:rStyle w:val="FootnoteReference"/>
          <w:bCs/>
          <w:noProof/>
        </w:rPr>
        <w:footnoteReference w:id="135"/>
      </w:r>
      <w:r w:rsidRPr="00CA3446">
        <w:rPr>
          <w:noProof/>
        </w:rPr>
        <w:t xml:space="preserve"> supports</w:t>
      </w:r>
      <w:r w:rsidRPr="00F96E6F">
        <w:rPr>
          <w:noProof/>
        </w:rPr>
        <w:t xml:space="preserve"> Member States’ cooperation on the clinical assessment of new health technologies compar</w:t>
      </w:r>
      <w:r>
        <w:rPr>
          <w:noProof/>
        </w:rPr>
        <w:t xml:space="preserve">ing them </w:t>
      </w:r>
      <w:r w:rsidRPr="00F96E6F">
        <w:rPr>
          <w:noProof/>
        </w:rPr>
        <w:t xml:space="preserve">with existing treatments. Since </w:t>
      </w:r>
      <w:r w:rsidR="004D317B">
        <w:rPr>
          <w:noProof/>
        </w:rPr>
        <w:t xml:space="preserve">the start of </w:t>
      </w:r>
      <w:r w:rsidRPr="00F96E6F">
        <w:rPr>
          <w:noProof/>
        </w:rPr>
        <w:t xml:space="preserve">2025, advanced therapy medicinal products targeting cardiovascular disease, are subject to joint clinical assessment. Eligible high-risk medical devices are mainly implantable and </w:t>
      </w:r>
      <w:r>
        <w:rPr>
          <w:noProof/>
        </w:rPr>
        <w:t xml:space="preserve">are </w:t>
      </w:r>
      <w:r w:rsidRPr="00F96E6F">
        <w:rPr>
          <w:noProof/>
        </w:rPr>
        <w:t>most</w:t>
      </w:r>
      <w:r>
        <w:rPr>
          <w:noProof/>
        </w:rPr>
        <w:t>ly</w:t>
      </w:r>
      <w:r w:rsidRPr="00F96E6F">
        <w:rPr>
          <w:noProof/>
        </w:rPr>
        <w:t xml:space="preserve"> </w:t>
      </w:r>
      <w:r>
        <w:rPr>
          <w:noProof/>
        </w:rPr>
        <w:t xml:space="preserve">intended </w:t>
      </w:r>
      <w:r w:rsidR="00914153">
        <w:rPr>
          <w:noProof/>
        </w:rPr>
        <w:t xml:space="preserve">for </w:t>
      </w:r>
      <w:r w:rsidR="00914153" w:rsidRPr="00F96E6F">
        <w:rPr>
          <w:noProof/>
        </w:rPr>
        <w:t>treatment</w:t>
      </w:r>
      <w:r w:rsidRPr="00F96E6F">
        <w:rPr>
          <w:noProof/>
        </w:rPr>
        <w:t xml:space="preserve"> of cardiovascular diseases. In 2026, joint clinical assessments of high-risk medical devices</w:t>
      </w:r>
      <w:r>
        <w:rPr>
          <w:noProof/>
        </w:rPr>
        <w:t xml:space="preserve"> will start</w:t>
      </w:r>
      <w:r w:rsidRPr="00F96E6F">
        <w:rPr>
          <w:noProof/>
        </w:rPr>
        <w:t xml:space="preserve">, such as stents or cardiac valves, helping Member States </w:t>
      </w:r>
      <w:r>
        <w:rPr>
          <w:noProof/>
        </w:rPr>
        <w:t xml:space="preserve">to </w:t>
      </w:r>
      <w:r w:rsidRPr="00F96E6F">
        <w:rPr>
          <w:noProof/>
        </w:rPr>
        <w:t>make faster</w:t>
      </w:r>
      <w:r>
        <w:rPr>
          <w:noProof/>
        </w:rPr>
        <w:t xml:space="preserve"> and</w:t>
      </w:r>
      <w:r w:rsidRPr="00F96E6F">
        <w:rPr>
          <w:noProof/>
        </w:rPr>
        <w:t xml:space="preserve"> informed decisions on the</w:t>
      </w:r>
      <w:r>
        <w:rPr>
          <w:noProof/>
        </w:rPr>
        <w:t>ir</w:t>
      </w:r>
      <w:r w:rsidRPr="00F96E6F">
        <w:rPr>
          <w:noProof/>
        </w:rPr>
        <w:t xml:space="preserve"> pricing and reimbursement. Furthermore, the joint scientific consultations </w:t>
      </w:r>
      <w:r>
        <w:rPr>
          <w:noProof/>
        </w:rPr>
        <w:t xml:space="preserve">will </w:t>
      </w:r>
      <w:r w:rsidRPr="00F96E6F">
        <w:rPr>
          <w:noProof/>
        </w:rPr>
        <w:t>provide health technology developers</w:t>
      </w:r>
      <w:r>
        <w:rPr>
          <w:noProof/>
        </w:rPr>
        <w:t xml:space="preserve"> </w:t>
      </w:r>
      <w:r w:rsidRPr="00F96E6F">
        <w:rPr>
          <w:noProof/>
        </w:rPr>
        <w:t>with recommendations on their development plans</w:t>
      </w:r>
      <w:r>
        <w:rPr>
          <w:noProof/>
        </w:rPr>
        <w:t xml:space="preserve"> to </w:t>
      </w:r>
      <w:r w:rsidRPr="00F96E6F">
        <w:rPr>
          <w:noProof/>
        </w:rPr>
        <w:t>enhance the quality of clinical studies.</w:t>
      </w:r>
    </w:p>
    <w:p w14:paraId="686CE854" w14:textId="79A9D976" w:rsidR="00DE54C7" w:rsidRPr="00914153" w:rsidRDefault="00DE54C7" w:rsidP="00914153">
      <w:pPr>
        <w:tabs>
          <w:tab w:val="left" w:pos="5780"/>
          <w:tab w:val="left" w:pos="8180"/>
        </w:tabs>
        <w:spacing w:before="120" w:line="257" w:lineRule="auto"/>
        <w:jc w:val="both"/>
        <w:rPr>
          <w:noProof/>
        </w:rPr>
      </w:pPr>
      <w:r w:rsidRPr="000E1D82">
        <w:rPr>
          <w:rFonts w:cs="Times New Roman"/>
          <w:noProof/>
        </w:rPr>
        <w:t>Funding opportunities are available to Member States under the Technical Support Instrument</w:t>
      </w:r>
      <w:r>
        <w:rPr>
          <w:rStyle w:val="FootnoteReference"/>
          <w:rFonts w:cs="Times New Roman"/>
          <w:noProof/>
        </w:rPr>
        <w:footnoteReference w:id="136"/>
      </w:r>
      <w:r>
        <w:rPr>
          <w:rFonts w:cs="Times New Roman"/>
          <w:noProof/>
        </w:rPr>
        <w:t>,</w:t>
      </w:r>
      <w:r w:rsidRPr="000E1D82">
        <w:rPr>
          <w:rFonts w:cs="Times New Roman"/>
          <w:noProof/>
        </w:rPr>
        <w:t xml:space="preserve"> </w:t>
      </w:r>
      <w:r>
        <w:rPr>
          <w:rFonts w:cs="Times New Roman"/>
          <w:noProof/>
        </w:rPr>
        <w:t>which provides tailor-made technical expertise to Member States to design and implement reforms</w:t>
      </w:r>
      <w:r>
        <w:rPr>
          <w:rStyle w:val="FootnoteReference"/>
          <w:rFonts w:cs="Times New Roman"/>
          <w:noProof/>
        </w:rPr>
        <w:footnoteReference w:id="137"/>
      </w:r>
      <w:r>
        <w:rPr>
          <w:rFonts w:cs="Times New Roman"/>
          <w:noProof/>
        </w:rPr>
        <w:t xml:space="preserve">. </w:t>
      </w:r>
      <w:r w:rsidRPr="000E1D82">
        <w:rPr>
          <w:rFonts w:cs="Times New Roman"/>
          <w:noProof/>
        </w:rPr>
        <w:t xml:space="preserve">In addition, relevant investments to improve population health outcomes in general, including for cardiovascular disease, can draw on funds made available through the EU </w:t>
      </w:r>
      <w:r>
        <w:rPr>
          <w:rFonts w:cs="Times New Roman"/>
          <w:noProof/>
        </w:rPr>
        <w:t>c</w:t>
      </w:r>
      <w:r w:rsidRPr="000E1D82">
        <w:rPr>
          <w:rFonts w:cs="Times New Roman"/>
          <w:noProof/>
        </w:rPr>
        <w:t xml:space="preserve">ohesion </w:t>
      </w:r>
      <w:r>
        <w:rPr>
          <w:rFonts w:cs="Times New Roman"/>
          <w:noProof/>
        </w:rPr>
        <w:t>f</w:t>
      </w:r>
      <w:r w:rsidRPr="000E1D82">
        <w:rPr>
          <w:rFonts w:cs="Times New Roman"/>
          <w:noProof/>
        </w:rPr>
        <w:t xml:space="preserve">unds. </w:t>
      </w:r>
      <w:r w:rsidRPr="00914153">
        <w:rPr>
          <w:rFonts w:cs="Times New Roman"/>
          <w:noProof/>
        </w:rPr>
        <w:t xml:space="preserve">Member States have EUR 7.3 billion allocated from the European Regional Development Fund across national, regional and Interreg programmes, for </w:t>
      </w:r>
      <w:r w:rsidRPr="00914153">
        <w:rPr>
          <w:noProof/>
        </w:rPr>
        <w:t xml:space="preserve">investments in health infrastructure, equipment and cooperation across borders.  </w:t>
      </w:r>
    </w:p>
    <w:p w14:paraId="08273B50" w14:textId="3E90F040" w:rsidR="00DE54C7" w:rsidRPr="000E1D82" w:rsidRDefault="00DE54C7" w:rsidP="00914153">
      <w:pPr>
        <w:tabs>
          <w:tab w:val="left" w:pos="5780"/>
          <w:tab w:val="left" w:pos="8180"/>
        </w:tabs>
        <w:spacing w:before="120" w:line="257" w:lineRule="auto"/>
        <w:jc w:val="both"/>
        <w:rPr>
          <w:rFonts w:eastAsia="Calibri" w:cs="Times New Roman"/>
          <w:noProof/>
        </w:rPr>
      </w:pPr>
      <w:r w:rsidRPr="00914153">
        <w:rPr>
          <w:noProof/>
        </w:rPr>
        <w:t>Following the development of an effective early detection and screening approach, the Commission</w:t>
      </w:r>
      <w:r>
        <w:rPr>
          <w:rFonts w:eastAsiaTheme="minorEastAsia"/>
          <w:noProof/>
        </w:rPr>
        <w:t xml:space="preserve"> intends to support </w:t>
      </w:r>
      <w:r w:rsidRPr="000E1D82">
        <w:rPr>
          <w:rFonts w:eastAsiaTheme="minorEastAsia"/>
          <w:noProof/>
        </w:rPr>
        <w:t>the development</w:t>
      </w:r>
      <w:r w:rsidRPr="000E1D82">
        <w:rPr>
          <w:rFonts w:eastAsia="Calibri" w:cs="Times New Roman"/>
          <w:noProof/>
        </w:rPr>
        <w:t xml:space="preserve"> and piloting of </w:t>
      </w:r>
      <w:r w:rsidRPr="000E1D82">
        <w:rPr>
          <w:rFonts w:eastAsia="Calibri" w:cs="Times New Roman"/>
          <w:b/>
          <w:bCs/>
          <w:noProof/>
        </w:rPr>
        <w:t xml:space="preserve">EU guidance on personalised treatment and monitoring of cardiovascular diseases, </w:t>
      </w:r>
      <w:r w:rsidR="00D8171C">
        <w:rPr>
          <w:rFonts w:eastAsia="Calibri" w:cs="Times New Roman"/>
          <w:b/>
          <w:bCs/>
          <w:noProof/>
        </w:rPr>
        <w:t>to</w:t>
      </w:r>
      <w:r w:rsidRPr="000E1D82">
        <w:rPr>
          <w:rFonts w:eastAsia="Calibri" w:cs="Times New Roman"/>
          <w:noProof/>
        </w:rPr>
        <w:t xml:space="preserve"> ensure appropriate follow-up care. This w</w:t>
      </w:r>
      <w:r>
        <w:rPr>
          <w:rFonts w:eastAsia="Calibri" w:cs="Times New Roman"/>
          <w:noProof/>
        </w:rPr>
        <w:t>ould</w:t>
      </w:r>
      <w:r w:rsidRPr="000E1D82">
        <w:rPr>
          <w:rFonts w:eastAsia="Calibri" w:cs="Times New Roman"/>
          <w:noProof/>
        </w:rPr>
        <w:t xml:space="preserve"> help to strengthen cardiovascular care, support data collection, facilitate the integration of data across the EU and help develop more robust treatments and management strategies for cardiovascular diseases and their comorbidities. </w:t>
      </w:r>
    </w:p>
    <w:tbl>
      <w:tblPr>
        <w:tblStyle w:val="TableGrid"/>
        <w:tblW w:w="9015" w:type="dxa"/>
        <w:tblLayout w:type="fixed"/>
        <w:tblLook w:val="04A0" w:firstRow="1" w:lastRow="0" w:firstColumn="1" w:lastColumn="0" w:noHBand="0" w:noVBand="1"/>
      </w:tblPr>
      <w:tblGrid>
        <w:gridCol w:w="9015"/>
      </w:tblGrid>
      <w:tr w:rsidR="00DE54C7" w:rsidRPr="000E1D82" w14:paraId="7DDC41A0" w14:textId="77777777">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41B2887" w14:textId="0D8ADC4A" w:rsidR="00DE54C7" w:rsidRPr="00914153" w:rsidRDefault="00DE54C7" w:rsidP="00914153">
            <w:pPr>
              <w:tabs>
                <w:tab w:val="left" w:pos="5780"/>
                <w:tab w:val="left" w:pos="8180"/>
              </w:tabs>
              <w:spacing w:after="240"/>
              <w:jc w:val="both"/>
              <w:rPr>
                <w:rFonts w:eastAsia="Calibri" w:cs="Times New Roman"/>
                <w:noProof/>
              </w:rPr>
            </w:pPr>
            <w:r w:rsidRPr="000E1D82">
              <w:rPr>
                <w:rFonts w:eastAsia="Calibri" w:cs="Times New Roman"/>
                <w:b/>
                <w:noProof/>
              </w:rPr>
              <w:t>Flagship</w:t>
            </w:r>
            <w:r>
              <w:rPr>
                <w:rFonts w:eastAsia="Calibri" w:cs="Times New Roman"/>
                <w:b/>
                <w:noProof/>
              </w:rPr>
              <w:t xml:space="preserve"> initiative</w:t>
            </w:r>
            <w:r w:rsidRPr="000E1D82">
              <w:rPr>
                <w:rFonts w:eastAsia="Calibri" w:cs="Times New Roman"/>
                <w:b/>
                <w:noProof/>
              </w:rPr>
              <w:t xml:space="preserve">: </w:t>
            </w:r>
            <w:r>
              <w:rPr>
                <w:rFonts w:eastAsia="Calibri" w:cs="Times New Roman"/>
                <w:b/>
                <w:noProof/>
              </w:rPr>
              <w:t xml:space="preserve">proposal for a Council </w:t>
            </w:r>
            <w:r>
              <w:rPr>
                <w:rFonts w:eastAsia="Calibri"/>
                <w:b/>
                <w:noProof/>
              </w:rPr>
              <w:t>r</w:t>
            </w:r>
            <w:r w:rsidRPr="000E1D82">
              <w:rPr>
                <w:rFonts w:eastAsia="Calibri"/>
                <w:b/>
                <w:noProof/>
              </w:rPr>
              <w:t xml:space="preserve">ecommendation on personalised </w:t>
            </w:r>
            <w:r w:rsidRPr="000E1D82">
              <w:rPr>
                <w:rFonts w:eastAsia="Calibri"/>
                <w:b/>
                <w:bCs/>
                <w:noProof/>
              </w:rPr>
              <w:t>treatment</w:t>
            </w:r>
            <w:r w:rsidRPr="000E1D82">
              <w:rPr>
                <w:rFonts w:eastAsia="Calibri"/>
                <w:b/>
                <w:noProof/>
              </w:rPr>
              <w:t xml:space="preserve"> and monitoring of cardiovascular diseases </w:t>
            </w:r>
          </w:p>
          <w:p w14:paraId="00EEB34A" w14:textId="5401EC41" w:rsidR="00DE54C7" w:rsidRPr="00E4479F" w:rsidRDefault="00DE54C7" w:rsidP="00E4479F">
            <w:pPr>
              <w:spacing w:before="120" w:after="160" w:line="259" w:lineRule="auto"/>
              <w:jc w:val="both"/>
              <w:rPr>
                <w:noProof/>
                <w:color w:val="000000" w:themeColor="text1"/>
                <w:lang w:eastAsia="en-IE"/>
              </w:rPr>
            </w:pPr>
            <w:r w:rsidRPr="00E4479F">
              <w:rPr>
                <w:noProof/>
                <w:color w:val="000000" w:themeColor="text1"/>
                <w:lang w:eastAsia="en-IE"/>
              </w:rPr>
              <w:t xml:space="preserve">The Commission intends to propose, in 2027, a Council recommendation to improve the quality and consistency of personalised and integrated care pathways for cardiovascular diseases and related conditions, including </w:t>
            </w:r>
            <w:r w:rsidR="00914153" w:rsidRPr="00E4479F">
              <w:rPr>
                <w:noProof/>
                <w:color w:val="000000" w:themeColor="text1"/>
                <w:lang w:eastAsia="en-IE"/>
              </w:rPr>
              <w:t>using</w:t>
            </w:r>
            <w:r w:rsidRPr="00E4479F">
              <w:rPr>
                <w:noProof/>
                <w:color w:val="000000" w:themeColor="text1"/>
                <w:lang w:eastAsia="en-IE"/>
              </w:rPr>
              <w:t xml:space="preserve"> digital tools. </w:t>
            </w:r>
          </w:p>
          <w:p w14:paraId="6060D51A" w14:textId="4B6B5655" w:rsidR="00DE54C7" w:rsidRPr="000E1D82" w:rsidRDefault="00DE54C7" w:rsidP="00E4479F">
            <w:pPr>
              <w:spacing w:before="120" w:after="160" w:line="259" w:lineRule="auto"/>
              <w:jc w:val="both"/>
              <w:rPr>
                <w:rFonts w:eastAsia="Calibri" w:cs="Times New Roman"/>
                <w:noProof/>
              </w:rPr>
            </w:pPr>
            <w:r w:rsidRPr="00E4479F">
              <w:rPr>
                <w:noProof/>
                <w:color w:val="000000" w:themeColor="text1"/>
                <w:lang w:eastAsia="en-IE"/>
              </w:rPr>
              <w:t xml:space="preserve">This proposal is envisaged to complement and inform the deployment of digital and AI-based solutions supported under the EU4Health programme (see Chapter </w:t>
            </w:r>
            <w:r w:rsidR="00F830D0" w:rsidRPr="00E4479F">
              <w:rPr>
                <w:noProof/>
                <w:color w:val="000000" w:themeColor="text1"/>
                <w:lang w:eastAsia="en-IE"/>
              </w:rPr>
              <w:t>6</w:t>
            </w:r>
            <w:r w:rsidRPr="00E4479F">
              <w:rPr>
                <w:noProof/>
                <w:color w:val="000000" w:themeColor="text1"/>
                <w:lang w:eastAsia="en-IE"/>
              </w:rPr>
              <w:t>) and help to improve access to essential treatments across the EU.</w:t>
            </w:r>
          </w:p>
        </w:tc>
      </w:tr>
    </w:tbl>
    <w:p w14:paraId="05CE941C" w14:textId="77777777" w:rsidR="00DE54C7" w:rsidRPr="000E1D82" w:rsidRDefault="00DE54C7" w:rsidP="003E1314">
      <w:pPr>
        <w:pStyle w:val="Heading1"/>
        <w:numPr>
          <w:ilvl w:val="0"/>
          <w:numId w:val="127"/>
        </w:numPr>
        <w:spacing w:before="120" w:after="120"/>
        <w:jc w:val="both"/>
        <w:rPr>
          <w:rFonts w:ascii="Times New Roman" w:hAnsi="Times New Roman" w:cs="Times New Roman"/>
          <w:b/>
          <w:bCs/>
          <w:smallCaps/>
          <w:noProof/>
          <w:color w:val="auto"/>
          <w:sz w:val="24"/>
          <w:szCs w:val="24"/>
        </w:rPr>
      </w:pPr>
      <w:r w:rsidRPr="000E1D82">
        <w:rPr>
          <w:rFonts w:ascii="Times New Roman" w:hAnsi="Times New Roman" w:cs="Times New Roman"/>
          <w:b/>
          <w:bCs/>
          <w:smallCaps/>
          <w:noProof/>
          <w:color w:val="auto"/>
          <w:sz w:val="24"/>
          <w:szCs w:val="24"/>
        </w:rPr>
        <w:t xml:space="preserve">Integrating data and digitalisation in cardiovascular health </w:t>
      </w:r>
    </w:p>
    <w:p w14:paraId="6114A8BF" w14:textId="4CC85D58" w:rsidR="00DE54C7" w:rsidRPr="000E1D82" w:rsidRDefault="00DE54C7" w:rsidP="00DE54C7">
      <w:pPr>
        <w:jc w:val="both"/>
        <w:rPr>
          <w:rFonts w:eastAsia="Times New Roman" w:cs="Times New Roman"/>
          <w:noProof/>
        </w:rPr>
      </w:pPr>
      <w:r w:rsidRPr="000E1D82">
        <w:rPr>
          <w:rFonts w:eastAsia="Calibri"/>
          <w:b/>
          <w:bCs/>
          <w:noProof/>
        </w:rPr>
        <w:t>Digital technologies and AI</w:t>
      </w:r>
      <w:r w:rsidRPr="000E1D82">
        <w:rPr>
          <w:rFonts w:eastAsia="Calibri"/>
          <w:noProof/>
        </w:rPr>
        <w:t xml:space="preserve"> are reshaping how cardiovascular diseases are prevented, detected, and managed. They can transform the way clinicians and patients address related conditions such as hypertension, diabetes and obesity</w:t>
      </w:r>
      <w:r>
        <w:rPr>
          <w:rFonts w:eastAsia="Calibri"/>
          <w:noProof/>
        </w:rPr>
        <w:t>, which are</w:t>
      </w:r>
      <w:r w:rsidRPr="000E1D82">
        <w:rPr>
          <w:rFonts w:eastAsia="Calibri"/>
          <w:noProof/>
        </w:rPr>
        <w:t xml:space="preserve"> key risk factors for cardiovascular disease. </w:t>
      </w:r>
      <w:r w:rsidRPr="000E1D82">
        <w:rPr>
          <w:rFonts w:eastAsia="Times New Roman" w:cs="Times New Roman"/>
          <w:noProof/>
        </w:rPr>
        <w:t xml:space="preserve">By integrating genetic information, clinical and imaging data, lifestyle patterns and environmental determinants, AI can </w:t>
      </w:r>
      <w:r>
        <w:rPr>
          <w:rFonts w:eastAsia="Times New Roman" w:cs="Times New Roman"/>
          <w:noProof/>
        </w:rPr>
        <w:t xml:space="preserve">make it possible to </w:t>
      </w:r>
      <w:r w:rsidRPr="000E1D82">
        <w:rPr>
          <w:rFonts w:eastAsia="Times New Roman" w:cs="Times New Roman"/>
          <w:noProof/>
        </w:rPr>
        <w:t>more precise</w:t>
      </w:r>
      <w:r>
        <w:rPr>
          <w:rFonts w:eastAsia="Times New Roman" w:cs="Times New Roman"/>
          <w:noProof/>
        </w:rPr>
        <w:t>ly</w:t>
      </w:r>
      <w:r w:rsidRPr="000E1D82">
        <w:rPr>
          <w:rFonts w:eastAsia="Times New Roman" w:cs="Times New Roman"/>
          <w:noProof/>
        </w:rPr>
        <w:t xml:space="preserve"> </w:t>
      </w:r>
      <w:r>
        <w:rPr>
          <w:rFonts w:eastAsia="Times New Roman" w:cs="Times New Roman"/>
          <w:noProof/>
        </w:rPr>
        <w:t xml:space="preserve">predict </w:t>
      </w:r>
      <w:r w:rsidRPr="000E1D82">
        <w:rPr>
          <w:rFonts w:eastAsia="Times New Roman" w:cs="Times New Roman"/>
          <w:noProof/>
        </w:rPr>
        <w:t>cardiovascular risk and tailored interventions</w:t>
      </w:r>
      <w:r>
        <w:rPr>
          <w:rFonts w:eastAsia="Times New Roman" w:cs="Times New Roman"/>
          <w:noProof/>
        </w:rPr>
        <w:t xml:space="preserve"> accordingly</w:t>
      </w:r>
      <w:r w:rsidRPr="000E1D82">
        <w:rPr>
          <w:rFonts w:eastAsia="Times New Roman" w:cs="Times New Roman"/>
          <w:noProof/>
        </w:rPr>
        <w:t>. Personalised prevention can strengthen existing population-based measures, empowering individuals to engage directly in managing their cardiovascular health. Digital and data-driven tools are essential to mak</w:t>
      </w:r>
      <w:r>
        <w:rPr>
          <w:rFonts w:eastAsia="Times New Roman" w:cs="Times New Roman"/>
          <w:noProof/>
        </w:rPr>
        <w:t>ing</w:t>
      </w:r>
      <w:r w:rsidRPr="000E1D82">
        <w:rPr>
          <w:rFonts w:eastAsia="Times New Roman" w:cs="Times New Roman"/>
          <w:noProof/>
        </w:rPr>
        <w:t xml:space="preserve"> this shift a reality. They enable earlier detection, targeted treatment and more efficient use of healthcare resources, amplifying the impact of prevention strategies across Member States.</w:t>
      </w:r>
    </w:p>
    <w:p w14:paraId="709A9887" w14:textId="6914C4E3" w:rsidR="00DE54C7" w:rsidRPr="000E1D82" w:rsidRDefault="00DE54C7" w:rsidP="00DE54C7">
      <w:pPr>
        <w:jc w:val="both"/>
        <w:rPr>
          <w:rFonts w:eastAsia="Times New Roman" w:cs="Times New Roman"/>
          <w:noProof/>
        </w:rPr>
      </w:pPr>
      <w:r>
        <w:rPr>
          <w:rFonts w:eastAsia="Times New Roman" w:cs="Times New Roman"/>
          <w:noProof/>
        </w:rPr>
        <w:t>The EU</w:t>
      </w:r>
      <w:r w:rsidRPr="000E1D82">
        <w:rPr>
          <w:rFonts w:eastAsia="Times New Roman" w:cs="Times New Roman"/>
          <w:noProof/>
        </w:rPr>
        <w:t>’s digital health transformation is entering a new phase</w:t>
      </w:r>
      <w:r>
        <w:rPr>
          <w:rFonts w:eastAsia="Times New Roman" w:cs="Times New Roman"/>
          <w:noProof/>
        </w:rPr>
        <w:t>,</w:t>
      </w:r>
      <w:r w:rsidRPr="000E1D82">
        <w:rPr>
          <w:rFonts w:eastAsia="Times New Roman" w:cs="Times New Roman"/>
          <w:noProof/>
        </w:rPr>
        <w:t xml:space="preserve"> moving from data access and exchange towards practical, data-driven applications that improve prevention, diagnosis and care. To achieve this, the Commission </w:t>
      </w:r>
      <w:r>
        <w:rPr>
          <w:rFonts w:eastAsia="Times New Roman" w:cs="Times New Roman"/>
          <w:noProof/>
        </w:rPr>
        <w:t xml:space="preserve">intends to </w:t>
      </w:r>
      <w:r w:rsidRPr="000E1D82">
        <w:rPr>
          <w:rFonts w:eastAsia="Times New Roman" w:cs="Times New Roman"/>
          <w:noProof/>
        </w:rPr>
        <w:t xml:space="preserve">support the deployment of interoperable digital infrastructures and trustworthy AI solutions </w:t>
      </w:r>
      <w:r w:rsidRPr="00914153">
        <w:rPr>
          <w:noProof/>
        </w:rPr>
        <w:t>in alignment with</w:t>
      </w:r>
      <w:r w:rsidRPr="000E1D82">
        <w:rPr>
          <w:rFonts w:eastAsia="Times New Roman" w:cs="Times New Roman"/>
          <w:noProof/>
        </w:rPr>
        <w:t xml:space="preserve"> the </w:t>
      </w:r>
      <w:r>
        <w:rPr>
          <w:rFonts w:eastAsia="Times New Roman" w:cs="Times New Roman"/>
          <w:noProof/>
        </w:rPr>
        <w:t>EHDS</w:t>
      </w:r>
      <w:r>
        <w:rPr>
          <w:rStyle w:val="FootnoteReference"/>
          <w:rFonts w:eastAsia="Times New Roman" w:cs="Times New Roman"/>
          <w:noProof/>
        </w:rPr>
        <w:footnoteReference w:id="138"/>
      </w:r>
      <w:r w:rsidRPr="000E1D82">
        <w:rPr>
          <w:rFonts w:eastAsia="Times New Roman" w:cs="Times New Roman"/>
          <w:noProof/>
        </w:rPr>
        <w:t xml:space="preserve">, </w:t>
      </w:r>
      <w:r w:rsidR="007E7755" w:rsidRPr="000E1D82">
        <w:rPr>
          <w:rFonts w:eastAsia="Times New Roman" w:cs="Times New Roman"/>
          <w:noProof/>
        </w:rPr>
        <w:t>continui</w:t>
      </w:r>
      <w:r w:rsidR="007E7755">
        <w:rPr>
          <w:rFonts w:eastAsia="Times New Roman" w:cs="Times New Roman"/>
          <w:noProof/>
        </w:rPr>
        <w:t>ng</w:t>
      </w:r>
      <w:r>
        <w:rPr>
          <w:rFonts w:eastAsia="Times New Roman" w:cs="Times New Roman"/>
          <w:noProof/>
        </w:rPr>
        <w:t xml:space="preserve"> from </w:t>
      </w:r>
      <w:r w:rsidRPr="000E1D82">
        <w:rPr>
          <w:rFonts w:eastAsia="Times New Roman" w:cs="Times New Roman"/>
          <w:noProof/>
        </w:rPr>
        <w:t>previous actions under EU4Health</w:t>
      </w:r>
      <w:r>
        <w:rPr>
          <w:rFonts w:eastAsia="Times New Roman" w:cs="Times New Roman"/>
          <w:noProof/>
        </w:rPr>
        <w:t xml:space="preserve"> and Digital Europe programmes</w:t>
      </w:r>
      <w:r w:rsidRPr="00F24538">
        <w:rPr>
          <w:rFonts w:eastAsia="Times New Roman" w:cs="Times New Roman"/>
          <w:noProof/>
        </w:rPr>
        <w:t xml:space="preserve">. </w:t>
      </w:r>
      <w:r w:rsidRPr="00914153">
        <w:rPr>
          <w:noProof/>
        </w:rPr>
        <w:t>This also requires clinically validated AI tools, supported by robust evidence on performance, safety and real-world effectiveness in clearly defined clinical workflows</w:t>
      </w:r>
      <w:r w:rsidRPr="00F24538">
        <w:rPr>
          <w:noProof/>
        </w:rPr>
        <w:t>.</w:t>
      </w:r>
      <w:r>
        <w:rPr>
          <w:noProof/>
        </w:rPr>
        <w:t xml:space="preserve"> </w:t>
      </w:r>
      <w:r w:rsidRPr="00914153">
        <w:rPr>
          <w:rFonts w:eastAsia="Times New Roman" w:cs="Times New Roman"/>
          <w:noProof/>
        </w:rPr>
        <w:t>In parallel, the increasing use of consumer digital monitors can support individuals in tracking lifestyle and cardiovascular risk factors, provided information is used in a protected and responsible way.</w:t>
      </w:r>
      <w:r w:rsidR="00265049">
        <w:rPr>
          <w:rFonts w:eastAsia="Times New Roman" w:cs="Times New Roman"/>
          <w:noProof/>
        </w:rPr>
        <w:t xml:space="preserve"> </w:t>
      </w:r>
    </w:p>
    <w:p w14:paraId="75DA5785" w14:textId="4E16CAD0" w:rsidR="00DE54C7" w:rsidRPr="00914153" w:rsidRDefault="00DE54C7" w:rsidP="00DE54C7">
      <w:pPr>
        <w:jc w:val="both"/>
        <w:rPr>
          <w:rFonts w:eastAsia="Times New Roman" w:cs="Times New Roman"/>
          <w:noProof/>
          <w:szCs w:val="24"/>
        </w:rPr>
      </w:pPr>
      <w:r w:rsidRPr="000E1D82">
        <w:rPr>
          <w:rFonts w:eastAsia="Times New Roman" w:cs="Times New Roman"/>
          <w:noProof/>
          <w:szCs w:val="24"/>
        </w:rPr>
        <w:t xml:space="preserve">The rapid evolution of digital technologies and </w:t>
      </w:r>
      <w:r>
        <w:rPr>
          <w:rFonts w:eastAsia="Times New Roman" w:cs="Times New Roman"/>
          <w:noProof/>
          <w:szCs w:val="24"/>
        </w:rPr>
        <w:t>AI</w:t>
      </w:r>
      <w:r w:rsidRPr="000E1D82">
        <w:rPr>
          <w:rFonts w:eastAsia="Times New Roman" w:cs="Times New Roman"/>
          <w:noProof/>
          <w:szCs w:val="24"/>
        </w:rPr>
        <w:t xml:space="preserve"> </w:t>
      </w:r>
      <w:r>
        <w:rPr>
          <w:rFonts w:eastAsia="Times New Roman" w:cs="Times New Roman"/>
          <w:noProof/>
          <w:szCs w:val="24"/>
        </w:rPr>
        <w:t xml:space="preserve">is </w:t>
      </w:r>
      <w:r w:rsidR="007E7755" w:rsidRPr="000E1D82">
        <w:rPr>
          <w:rFonts w:eastAsia="Times New Roman" w:cs="Times New Roman"/>
          <w:noProof/>
          <w:szCs w:val="24"/>
        </w:rPr>
        <w:t>open</w:t>
      </w:r>
      <w:r w:rsidR="007E7755">
        <w:rPr>
          <w:rFonts w:eastAsia="Times New Roman" w:cs="Times New Roman"/>
          <w:noProof/>
          <w:szCs w:val="24"/>
        </w:rPr>
        <w:t>ing</w:t>
      </w:r>
      <w:r w:rsidRPr="000E1D82">
        <w:rPr>
          <w:rFonts w:eastAsia="Times New Roman" w:cs="Times New Roman"/>
          <w:noProof/>
          <w:szCs w:val="24"/>
        </w:rPr>
        <w:t xml:space="preserve"> </w:t>
      </w:r>
      <w:r>
        <w:rPr>
          <w:rFonts w:eastAsia="Times New Roman" w:cs="Times New Roman"/>
          <w:noProof/>
          <w:szCs w:val="24"/>
        </w:rPr>
        <w:t xml:space="preserve">new </w:t>
      </w:r>
      <w:r w:rsidRPr="000E1D82">
        <w:rPr>
          <w:rFonts w:eastAsia="Times New Roman" w:cs="Times New Roman"/>
          <w:noProof/>
          <w:szCs w:val="24"/>
        </w:rPr>
        <w:t>possibilities</w:t>
      </w:r>
      <w:r w:rsidR="00914153">
        <w:rPr>
          <w:rFonts w:eastAsia="Times New Roman" w:cs="Times New Roman"/>
          <w:noProof/>
          <w:szCs w:val="24"/>
        </w:rPr>
        <w:t xml:space="preserve">. </w:t>
      </w:r>
      <w:r w:rsidRPr="000E1D82">
        <w:rPr>
          <w:rFonts w:eastAsia="Times New Roman" w:cs="Times New Roman"/>
          <w:noProof/>
          <w:szCs w:val="24"/>
        </w:rPr>
        <w:t xml:space="preserve">What began as a focus on data accessibility, data sharing and interoperability must now </w:t>
      </w:r>
      <w:r>
        <w:rPr>
          <w:rFonts w:eastAsia="Times New Roman" w:cs="Times New Roman"/>
          <w:noProof/>
          <w:szCs w:val="24"/>
        </w:rPr>
        <w:t xml:space="preserve">be directed </w:t>
      </w:r>
      <w:r w:rsidRPr="000E1D82">
        <w:rPr>
          <w:rFonts w:eastAsia="Times New Roman" w:cs="Times New Roman"/>
          <w:noProof/>
          <w:szCs w:val="24"/>
        </w:rPr>
        <w:t xml:space="preserve">towards data-driven health applications that actively support prevention, diagnosis, </w:t>
      </w:r>
      <w:r w:rsidR="004D2139">
        <w:rPr>
          <w:rFonts w:eastAsia="Times New Roman" w:cs="Times New Roman"/>
          <w:noProof/>
          <w:szCs w:val="24"/>
        </w:rPr>
        <w:t>and</w:t>
      </w:r>
      <w:r w:rsidRPr="000E1D82">
        <w:rPr>
          <w:rFonts w:eastAsia="Times New Roman" w:cs="Times New Roman"/>
          <w:noProof/>
          <w:szCs w:val="24"/>
        </w:rPr>
        <w:t xml:space="preserve"> </w:t>
      </w:r>
      <w:r w:rsidR="00B509DA">
        <w:rPr>
          <w:rFonts w:eastAsia="Times New Roman" w:cs="Times New Roman"/>
          <w:noProof/>
          <w:szCs w:val="24"/>
        </w:rPr>
        <w:t>health</w:t>
      </w:r>
      <w:r w:rsidRPr="000E1D82">
        <w:rPr>
          <w:rFonts w:eastAsia="Times New Roman" w:cs="Times New Roman"/>
          <w:noProof/>
          <w:szCs w:val="24"/>
        </w:rPr>
        <w:t>care optimisation</w:t>
      </w:r>
      <w:r>
        <w:rPr>
          <w:rFonts w:eastAsia="Times New Roman" w:cs="Times New Roman"/>
          <w:noProof/>
          <w:szCs w:val="24"/>
        </w:rPr>
        <w:t>,</w:t>
      </w:r>
      <w:r w:rsidRPr="00E02CC1">
        <w:rPr>
          <w:noProof/>
          <w:color w:val="D13438"/>
          <w:bdr w:val="none" w:sz="0" w:space="0" w:color="auto" w:frame="1"/>
        </w:rPr>
        <w:t xml:space="preserve"> </w:t>
      </w:r>
      <w:r w:rsidRPr="00E02CC1">
        <w:rPr>
          <w:rFonts w:eastAsia="Times New Roman" w:cs="Times New Roman"/>
          <w:noProof/>
          <w:szCs w:val="24"/>
        </w:rPr>
        <w:t>while increasing the efficiency and contributing to the sustainability of healthcare systems</w:t>
      </w:r>
      <w:r w:rsidRPr="000E1D82">
        <w:rPr>
          <w:rFonts w:eastAsia="Times New Roman" w:cs="Times New Roman"/>
          <w:noProof/>
          <w:szCs w:val="24"/>
        </w:rPr>
        <w:t xml:space="preserve">. The next stage of </w:t>
      </w:r>
      <w:r>
        <w:rPr>
          <w:rFonts w:eastAsia="Times New Roman" w:cs="Times New Roman"/>
          <w:noProof/>
          <w:szCs w:val="24"/>
        </w:rPr>
        <w:t>the EU</w:t>
      </w:r>
      <w:r w:rsidRPr="000E1D82">
        <w:rPr>
          <w:rFonts w:eastAsia="Times New Roman" w:cs="Times New Roman"/>
          <w:noProof/>
          <w:szCs w:val="24"/>
        </w:rPr>
        <w:t xml:space="preserve">’s digital health transformation should move beyond mere </w:t>
      </w:r>
      <w:r w:rsidR="00FB659E">
        <w:rPr>
          <w:rFonts w:eastAsia="Times New Roman" w:cs="Times New Roman"/>
          <w:noProof/>
          <w:szCs w:val="24"/>
        </w:rPr>
        <w:t xml:space="preserve">health </w:t>
      </w:r>
      <w:r w:rsidRPr="000E1D82">
        <w:rPr>
          <w:rFonts w:eastAsia="Times New Roman" w:cs="Times New Roman"/>
          <w:noProof/>
          <w:szCs w:val="24"/>
        </w:rPr>
        <w:t xml:space="preserve">data exchange to developing intelligent tools that can predict risk, guide </w:t>
      </w:r>
      <w:r>
        <w:rPr>
          <w:rFonts w:eastAsia="Times New Roman" w:cs="Times New Roman"/>
          <w:noProof/>
          <w:szCs w:val="24"/>
        </w:rPr>
        <w:t>personalised</w:t>
      </w:r>
      <w:r w:rsidRPr="000E1D82">
        <w:rPr>
          <w:rFonts w:eastAsia="Times New Roman" w:cs="Times New Roman"/>
          <w:noProof/>
          <w:szCs w:val="24"/>
        </w:rPr>
        <w:t xml:space="preserve"> prevention, automate diagnostics, enhance clinical decision-making and optimise various aspects of health services.</w:t>
      </w:r>
    </w:p>
    <w:p w14:paraId="68651291" w14:textId="76916EB3" w:rsidR="00DE54C7" w:rsidRPr="001F53C9" w:rsidRDefault="00DE54C7" w:rsidP="00DE54C7">
      <w:pPr>
        <w:spacing w:line="257" w:lineRule="auto"/>
        <w:jc w:val="both"/>
        <w:rPr>
          <w:rFonts w:eastAsia="Calibri"/>
          <w:noProof/>
        </w:rPr>
      </w:pPr>
      <w:r w:rsidRPr="000E1D82">
        <w:rPr>
          <w:rFonts w:eastAsia="Calibri"/>
          <w:noProof/>
        </w:rPr>
        <w:t xml:space="preserve">However, persistent barriers </w:t>
      </w:r>
      <w:r>
        <w:rPr>
          <w:rFonts w:eastAsia="Calibri"/>
          <w:noProof/>
        </w:rPr>
        <w:t xml:space="preserve">are </w:t>
      </w:r>
      <w:r w:rsidRPr="000E1D82">
        <w:rPr>
          <w:rFonts w:eastAsia="Calibri"/>
          <w:noProof/>
        </w:rPr>
        <w:t>limit</w:t>
      </w:r>
      <w:r>
        <w:rPr>
          <w:rFonts w:eastAsia="Calibri"/>
          <w:noProof/>
        </w:rPr>
        <w:t>ing</w:t>
      </w:r>
      <w:r w:rsidRPr="000E1D82">
        <w:rPr>
          <w:rFonts w:eastAsia="Calibri"/>
          <w:noProof/>
        </w:rPr>
        <w:t xml:space="preserve"> progress in cardiovascular medicine. Data relevant to cardiovascular diseases, including those linked to hypertension, diabetes and obesity and other risk factors, remain fragmented across care settings and </w:t>
      </w:r>
      <w:r>
        <w:rPr>
          <w:rFonts w:eastAsia="Calibri"/>
          <w:noProof/>
        </w:rPr>
        <w:t xml:space="preserve">data </w:t>
      </w:r>
      <w:r w:rsidRPr="000E1D82">
        <w:rPr>
          <w:rFonts w:eastAsia="Calibri"/>
          <w:noProof/>
        </w:rPr>
        <w:t>registries</w:t>
      </w:r>
      <w:r w:rsidR="00265049">
        <w:rPr>
          <w:rFonts w:eastAsia="Calibri"/>
          <w:noProof/>
        </w:rPr>
        <w:t xml:space="preserve"> and therefore are not ready to use for effective health actions</w:t>
      </w:r>
      <w:r>
        <w:rPr>
          <w:rFonts w:eastAsia="Calibri"/>
          <w:noProof/>
        </w:rPr>
        <w:t>. They are</w:t>
      </w:r>
      <w:r w:rsidRPr="000E1D82">
        <w:rPr>
          <w:rFonts w:eastAsia="Calibri"/>
          <w:noProof/>
        </w:rPr>
        <w:t xml:space="preserve"> often incomplete</w:t>
      </w:r>
      <w:r>
        <w:rPr>
          <w:rFonts w:eastAsia="Calibri"/>
          <w:noProof/>
        </w:rPr>
        <w:t>, lack standardisation</w:t>
      </w:r>
      <w:r w:rsidRPr="000E1D82">
        <w:rPr>
          <w:rFonts w:eastAsia="Calibri"/>
          <w:noProof/>
        </w:rPr>
        <w:t xml:space="preserve"> or </w:t>
      </w:r>
      <w:r>
        <w:rPr>
          <w:rFonts w:eastAsia="Calibri"/>
          <w:noProof/>
        </w:rPr>
        <w:t xml:space="preserve">are </w:t>
      </w:r>
      <w:r w:rsidRPr="000E1D82">
        <w:rPr>
          <w:rFonts w:eastAsia="Calibri"/>
          <w:noProof/>
        </w:rPr>
        <w:t xml:space="preserve">not </w:t>
      </w:r>
      <w:r>
        <w:rPr>
          <w:rFonts w:eastAsia="Calibri"/>
          <w:noProof/>
        </w:rPr>
        <w:t>sufficiently</w:t>
      </w:r>
      <w:r w:rsidRPr="000E1D82">
        <w:rPr>
          <w:rFonts w:eastAsia="Calibri"/>
          <w:noProof/>
        </w:rPr>
        <w:t xml:space="preserve"> representative of diverse populations. </w:t>
      </w:r>
      <w:r>
        <w:rPr>
          <w:rFonts w:eastAsia="Calibri"/>
          <w:noProof/>
        </w:rPr>
        <w:t xml:space="preserve">In most cases, cardiovascular datasets are also not systematically linked with environmental risk factor data (e.g. air pollution), although such integration could improve risk prediction and prevention strategies. </w:t>
      </w:r>
      <w:r w:rsidRPr="000E1D82">
        <w:rPr>
          <w:rFonts w:eastAsia="Calibri"/>
          <w:noProof/>
        </w:rPr>
        <w:t xml:space="preserve">This hampers the development of accurate and equitable AI models for cardiovascular risk prediction and treatment optimisation. Interoperability gaps and limited integration of digital tools into cardiology workflows constrain their clinical validation and daily use. The lack of cross-border and longitudinal data </w:t>
      </w:r>
      <w:r>
        <w:rPr>
          <w:rFonts w:eastAsia="Calibri"/>
          <w:noProof/>
        </w:rPr>
        <w:t>of high quality</w:t>
      </w:r>
      <w:r w:rsidRPr="000E1D82">
        <w:rPr>
          <w:rFonts w:eastAsia="Calibri"/>
          <w:noProof/>
        </w:rPr>
        <w:t xml:space="preserve"> further limits the ability to generate real-world evidence and to deploy trustworthy AI applications safely and effectively across the </w:t>
      </w:r>
      <w:r>
        <w:rPr>
          <w:rFonts w:eastAsia="Calibri"/>
          <w:noProof/>
        </w:rPr>
        <w:t>EU</w:t>
      </w:r>
      <w:r w:rsidRPr="000E1D82">
        <w:rPr>
          <w:rFonts w:eastAsia="Calibri"/>
          <w:noProof/>
        </w:rPr>
        <w:t>.</w:t>
      </w:r>
      <w:r>
        <w:rPr>
          <w:rFonts w:eastAsia="Calibri"/>
          <w:noProof/>
        </w:rPr>
        <w:t xml:space="preserve"> </w:t>
      </w:r>
      <w:r w:rsidRPr="00914153">
        <w:rPr>
          <w:rFonts w:eastAsia="Calibri"/>
          <w:noProof/>
        </w:rPr>
        <w:t xml:space="preserve">Ensuring that datasets are </w:t>
      </w:r>
      <w:r w:rsidR="004632EA" w:rsidRPr="00914153">
        <w:rPr>
          <w:rFonts w:eastAsia="Calibri"/>
          <w:noProof/>
        </w:rPr>
        <w:t>diverse,</w:t>
      </w:r>
      <w:r w:rsidRPr="00914153">
        <w:rPr>
          <w:rFonts w:eastAsia="Calibri"/>
          <w:noProof/>
        </w:rPr>
        <w:t xml:space="preserve"> and representative is also important to avoid algorithmic biases, as AI models trained on incomplete or unbalanced data, risk overlooking sex- and gender-related differences in symptoms, risk factors and treatment responses</w:t>
      </w:r>
      <w:r>
        <w:rPr>
          <w:rStyle w:val="FootnoteReference"/>
          <w:rFonts w:eastAsia="Calibri"/>
          <w:noProof/>
        </w:rPr>
        <w:footnoteReference w:id="139"/>
      </w:r>
      <w:r w:rsidRPr="00914153">
        <w:rPr>
          <w:rFonts w:eastAsia="Calibri"/>
          <w:noProof/>
        </w:rPr>
        <w:t xml:space="preserve">. </w:t>
      </w:r>
      <w:r w:rsidRPr="001F53C9">
        <w:rPr>
          <w:rFonts w:eastAsia="Calibri"/>
          <w:noProof/>
        </w:rPr>
        <w:t> </w:t>
      </w:r>
    </w:p>
    <w:p w14:paraId="088631B3" w14:textId="56ED8B59" w:rsidR="00DE54C7" w:rsidRPr="000E1D82" w:rsidRDefault="00DE54C7" w:rsidP="00DE54C7">
      <w:pPr>
        <w:tabs>
          <w:tab w:val="left" w:pos="5780"/>
          <w:tab w:val="left" w:pos="8180"/>
        </w:tabs>
        <w:spacing w:line="257" w:lineRule="auto"/>
        <w:jc w:val="both"/>
        <w:rPr>
          <w:rFonts w:eastAsia="Calibri"/>
          <w:noProof/>
        </w:rPr>
      </w:pPr>
      <w:r w:rsidRPr="000E1D82">
        <w:rPr>
          <w:rFonts w:eastAsia="Calibri"/>
          <w:noProof/>
        </w:rPr>
        <w:t xml:space="preserve">The </w:t>
      </w:r>
      <w:r>
        <w:rPr>
          <w:rFonts w:eastAsia="Calibri"/>
          <w:noProof/>
        </w:rPr>
        <w:t>Safe Hearts Plan</w:t>
      </w:r>
      <w:r w:rsidRPr="000E1D82">
        <w:rPr>
          <w:rFonts w:eastAsia="Calibri"/>
          <w:noProof/>
        </w:rPr>
        <w:t xml:space="preserve"> shifts the focus from </w:t>
      </w:r>
      <w:r>
        <w:rPr>
          <w:rFonts w:eastAsia="Calibri"/>
          <w:noProof/>
        </w:rPr>
        <w:t xml:space="preserve">fragmented pilot initiatives to coordinated </w:t>
      </w:r>
      <w:r w:rsidRPr="000E1D82">
        <w:rPr>
          <w:rFonts w:eastAsia="Calibri"/>
          <w:noProof/>
        </w:rPr>
        <w:t>deployment at scale. The plan aims to mobilise diverse, high-quality health data through interoperable digital infrastructures, and to promote trustworthy, clinically validated AI solutions.</w:t>
      </w:r>
      <w:r w:rsidR="00265049" w:rsidRPr="00265049">
        <w:rPr>
          <w:noProof/>
        </w:rPr>
        <w:t xml:space="preserve"> </w:t>
      </w:r>
      <w:r w:rsidR="00265049" w:rsidRPr="00265049">
        <w:rPr>
          <w:rFonts w:eastAsia="Calibri"/>
          <w:noProof/>
        </w:rPr>
        <w:t xml:space="preserve">It </w:t>
      </w:r>
      <w:r w:rsidR="00265049">
        <w:rPr>
          <w:rFonts w:eastAsia="Calibri"/>
          <w:noProof/>
        </w:rPr>
        <w:t xml:space="preserve">can </w:t>
      </w:r>
      <w:r w:rsidR="00265049" w:rsidRPr="00265049">
        <w:rPr>
          <w:rFonts w:eastAsia="Calibri"/>
          <w:noProof/>
        </w:rPr>
        <w:t xml:space="preserve">support </w:t>
      </w:r>
      <w:r w:rsidR="00265049">
        <w:rPr>
          <w:rFonts w:eastAsia="Calibri"/>
          <w:noProof/>
        </w:rPr>
        <w:t>the better deployment of public computational infrastructures</w:t>
      </w:r>
      <w:r w:rsidR="00265049" w:rsidRPr="00265049">
        <w:rPr>
          <w:rFonts w:eastAsia="Calibri"/>
          <w:noProof/>
        </w:rPr>
        <w:t xml:space="preserve">, </w:t>
      </w:r>
      <w:r w:rsidR="00265049">
        <w:rPr>
          <w:rFonts w:eastAsia="Calibri"/>
          <w:noProof/>
        </w:rPr>
        <w:t xml:space="preserve">and the </w:t>
      </w:r>
      <w:r w:rsidR="00265049" w:rsidRPr="00265049">
        <w:rPr>
          <w:rFonts w:eastAsia="Calibri"/>
          <w:noProof/>
        </w:rPr>
        <w:t xml:space="preserve">sharing </w:t>
      </w:r>
      <w:r w:rsidR="00265049">
        <w:rPr>
          <w:rFonts w:eastAsia="Calibri"/>
          <w:noProof/>
        </w:rPr>
        <w:t xml:space="preserve">of health </w:t>
      </w:r>
      <w:r w:rsidR="00265049" w:rsidRPr="00265049">
        <w:rPr>
          <w:rFonts w:eastAsia="Calibri"/>
          <w:noProof/>
        </w:rPr>
        <w:t>applications.</w:t>
      </w:r>
      <w:r w:rsidR="001336C1">
        <w:rPr>
          <w:rFonts w:eastAsia="Calibri"/>
          <w:noProof/>
        </w:rPr>
        <w:t xml:space="preserve"> </w:t>
      </w:r>
      <w:r>
        <w:rPr>
          <w:rFonts w:eastAsia="Calibri"/>
          <w:noProof/>
        </w:rPr>
        <w:t xml:space="preserve">It </w:t>
      </w:r>
      <w:r w:rsidRPr="000E1D82">
        <w:rPr>
          <w:rFonts w:eastAsia="Calibri"/>
          <w:noProof/>
        </w:rPr>
        <w:t>will reinforce prevention, strengthen clinical and care pathways</w:t>
      </w:r>
      <w:r>
        <w:rPr>
          <w:rFonts w:eastAsia="Calibri"/>
          <w:noProof/>
        </w:rPr>
        <w:t>;</w:t>
      </w:r>
      <w:r w:rsidRPr="000E1D82">
        <w:rPr>
          <w:rFonts w:eastAsia="Calibri"/>
          <w:noProof/>
        </w:rPr>
        <w:t xml:space="preserve"> reduce inequalities across regions</w:t>
      </w:r>
      <w:r w:rsidR="001336C1">
        <w:rPr>
          <w:rFonts w:eastAsia="Calibri"/>
          <w:noProof/>
        </w:rPr>
        <w:t>,</w:t>
      </w:r>
      <w:r w:rsidRPr="000E1D82">
        <w:rPr>
          <w:rFonts w:eastAsia="Calibri"/>
          <w:noProof/>
        </w:rPr>
        <w:t xml:space="preserve"> and support personalised, data</w:t>
      </w:r>
      <w:r>
        <w:rPr>
          <w:rFonts w:eastAsia="Calibri"/>
          <w:noProof/>
        </w:rPr>
        <w:t>-</w:t>
      </w:r>
      <w:r w:rsidRPr="000E1D82">
        <w:rPr>
          <w:rFonts w:eastAsia="Calibri"/>
          <w:noProof/>
        </w:rPr>
        <w:t xml:space="preserve">driven treatment </w:t>
      </w:r>
      <w:r>
        <w:rPr>
          <w:rFonts w:eastAsia="Calibri"/>
          <w:noProof/>
        </w:rPr>
        <w:t>of</w:t>
      </w:r>
      <w:r w:rsidRPr="000E1D82">
        <w:rPr>
          <w:rFonts w:eastAsia="Calibri"/>
          <w:noProof/>
        </w:rPr>
        <w:t xml:space="preserve"> cardiovascular diseases.</w:t>
      </w:r>
      <w:r w:rsidR="001336C1">
        <w:rPr>
          <w:rFonts w:eastAsia="Calibri"/>
          <w:noProof/>
        </w:rPr>
        <w:t xml:space="preserve"> </w:t>
      </w:r>
      <w:r>
        <w:rPr>
          <w:rFonts w:eastAsia="Calibri"/>
          <w:noProof/>
        </w:rPr>
        <w:t>It will also</w:t>
      </w:r>
      <w:r w:rsidRPr="000E1D82">
        <w:rPr>
          <w:rFonts w:eastAsia="Calibri"/>
          <w:noProof/>
        </w:rPr>
        <w:t xml:space="preserve"> enhance </w:t>
      </w:r>
      <w:r>
        <w:rPr>
          <w:rFonts w:eastAsia="Calibri"/>
          <w:noProof/>
        </w:rPr>
        <w:t xml:space="preserve">EU’s </w:t>
      </w:r>
      <w:r w:rsidRPr="00BD31B2">
        <w:rPr>
          <w:rFonts w:eastAsia="Calibri"/>
          <w:noProof/>
        </w:rPr>
        <w:t>c</w:t>
      </w:r>
      <w:r w:rsidRPr="000E1D82">
        <w:rPr>
          <w:rFonts w:eastAsia="Calibri"/>
          <w:noProof/>
        </w:rPr>
        <w:t>apacity to innovate and compete globally in digital health and cardiovascular medicine.</w:t>
      </w:r>
    </w:p>
    <w:p w14:paraId="1F2D5E85" w14:textId="2E0EB8B7" w:rsidR="00DE54C7" w:rsidRPr="000E1D82" w:rsidRDefault="00DE54C7" w:rsidP="00DE54C7">
      <w:pPr>
        <w:tabs>
          <w:tab w:val="left" w:pos="5780"/>
          <w:tab w:val="left" w:pos="8180"/>
        </w:tabs>
        <w:spacing w:line="257" w:lineRule="auto"/>
        <w:jc w:val="both"/>
        <w:rPr>
          <w:rFonts w:eastAsia="Calibri"/>
          <w:noProof/>
        </w:rPr>
      </w:pPr>
      <w:r w:rsidRPr="000E1D82">
        <w:rPr>
          <w:rFonts w:eastAsia="Calibri"/>
          <w:b/>
          <w:bCs/>
          <w:noProof/>
        </w:rPr>
        <w:t>High-quality, diverse and representative health data</w:t>
      </w:r>
      <w:r w:rsidRPr="000E1D82">
        <w:rPr>
          <w:rFonts w:eastAsia="Calibri"/>
          <w:noProof/>
        </w:rPr>
        <w:t xml:space="preserve"> </w:t>
      </w:r>
      <w:r>
        <w:rPr>
          <w:rFonts w:eastAsia="Calibri"/>
          <w:noProof/>
        </w:rPr>
        <w:t>are</w:t>
      </w:r>
      <w:r w:rsidRPr="000E1D82">
        <w:rPr>
          <w:rFonts w:eastAsia="Calibri"/>
          <w:noProof/>
        </w:rPr>
        <w:t xml:space="preserve"> essential for advancing cardiovascular research, innovation, and patient care. </w:t>
      </w:r>
      <w:r>
        <w:rPr>
          <w:rFonts w:eastAsia="Calibri"/>
          <w:noProof/>
        </w:rPr>
        <w:t>However</w:t>
      </w:r>
      <w:r w:rsidRPr="000E1D82">
        <w:rPr>
          <w:rFonts w:eastAsia="Calibri"/>
          <w:noProof/>
        </w:rPr>
        <w:t xml:space="preserve">, most Member States lack comprehensive national registries for cardiovascular disease and diabetes, </w:t>
      </w:r>
      <w:r>
        <w:rPr>
          <w:rFonts w:eastAsia="Calibri"/>
          <w:noProof/>
        </w:rPr>
        <w:t xml:space="preserve">and this lack is </w:t>
      </w:r>
      <w:r w:rsidRPr="000E1D82">
        <w:rPr>
          <w:rFonts w:eastAsia="Calibri"/>
          <w:noProof/>
        </w:rPr>
        <w:t xml:space="preserve">constraining robust clinical research, </w:t>
      </w:r>
      <w:r>
        <w:rPr>
          <w:rFonts w:eastAsia="Calibri"/>
          <w:noProof/>
        </w:rPr>
        <w:t xml:space="preserve">the </w:t>
      </w:r>
      <w:r w:rsidRPr="000E1D82">
        <w:rPr>
          <w:rFonts w:eastAsia="Calibri"/>
          <w:noProof/>
        </w:rPr>
        <w:t>develop</w:t>
      </w:r>
      <w:r>
        <w:rPr>
          <w:rFonts w:eastAsia="Calibri"/>
          <w:noProof/>
        </w:rPr>
        <w:t>ment of</w:t>
      </w:r>
      <w:r w:rsidRPr="000E1D82">
        <w:rPr>
          <w:rFonts w:eastAsia="Calibri"/>
          <w:noProof/>
        </w:rPr>
        <w:t xml:space="preserve"> personalise</w:t>
      </w:r>
      <w:r>
        <w:rPr>
          <w:rFonts w:eastAsia="Calibri"/>
          <w:noProof/>
        </w:rPr>
        <w:t>d</w:t>
      </w:r>
      <w:r w:rsidRPr="000E1D82">
        <w:rPr>
          <w:rFonts w:eastAsia="Calibri"/>
          <w:noProof/>
        </w:rPr>
        <w:t xml:space="preserve"> care</w:t>
      </w:r>
      <w:r w:rsidR="00FB659E">
        <w:rPr>
          <w:rFonts w:eastAsia="Calibri"/>
          <w:noProof/>
        </w:rPr>
        <w:t xml:space="preserve"> solutions</w:t>
      </w:r>
      <w:r w:rsidRPr="000E1D82">
        <w:rPr>
          <w:rFonts w:eastAsia="Calibri"/>
          <w:noProof/>
        </w:rPr>
        <w:t>, and inform</w:t>
      </w:r>
      <w:r>
        <w:rPr>
          <w:rFonts w:eastAsia="Calibri"/>
          <w:noProof/>
        </w:rPr>
        <w:t>ed</w:t>
      </w:r>
      <w:r w:rsidRPr="000E1D82">
        <w:rPr>
          <w:rFonts w:eastAsia="Calibri"/>
          <w:noProof/>
        </w:rPr>
        <w:t xml:space="preserve"> policymaking.</w:t>
      </w:r>
      <w:r>
        <w:rPr>
          <w:rFonts w:eastAsia="Calibri"/>
          <w:noProof/>
        </w:rPr>
        <w:t xml:space="preserve"> </w:t>
      </w:r>
    </w:p>
    <w:p w14:paraId="1EF8C55E" w14:textId="5B6F7CC1" w:rsidR="003C642F" w:rsidRDefault="00DE54C7" w:rsidP="00DE54C7">
      <w:pPr>
        <w:jc w:val="both"/>
        <w:rPr>
          <w:noProof/>
          <w:color w:val="000000"/>
          <w:shd w:val="clear" w:color="auto" w:fill="FFFFFF"/>
        </w:rPr>
      </w:pPr>
      <w:r>
        <w:rPr>
          <w:noProof/>
          <w:color w:val="000000"/>
          <w:shd w:val="clear" w:color="auto" w:fill="FFFFFF"/>
        </w:rPr>
        <w:t xml:space="preserve">The </w:t>
      </w:r>
      <w:r w:rsidRPr="000E1D82">
        <w:rPr>
          <w:noProof/>
          <w:color w:val="000000"/>
          <w:shd w:val="clear" w:color="auto" w:fill="FFFFFF"/>
        </w:rPr>
        <w:t xml:space="preserve">EHDS </w:t>
      </w:r>
      <w:r>
        <w:rPr>
          <w:noProof/>
          <w:color w:val="000000"/>
          <w:shd w:val="clear" w:color="auto" w:fill="FFFFFF"/>
        </w:rPr>
        <w:t>is s</w:t>
      </w:r>
      <w:r w:rsidRPr="000E1D82">
        <w:rPr>
          <w:noProof/>
          <w:color w:val="000000"/>
          <w:shd w:val="clear" w:color="auto" w:fill="FFFFFF"/>
        </w:rPr>
        <w:t xml:space="preserve">upported by EU investments in infrastructure and </w:t>
      </w:r>
      <w:r w:rsidR="00D8171C" w:rsidRPr="000E1D82">
        <w:rPr>
          <w:noProof/>
          <w:color w:val="000000"/>
          <w:shd w:val="clear" w:color="auto" w:fill="FFFFFF"/>
        </w:rPr>
        <w:t>standards and</w:t>
      </w:r>
      <w:r>
        <w:rPr>
          <w:noProof/>
          <w:color w:val="000000"/>
          <w:shd w:val="clear" w:color="auto" w:fill="FFFFFF"/>
        </w:rPr>
        <w:t xml:space="preserve"> </w:t>
      </w:r>
      <w:r w:rsidRPr="000E1D82">
        <w:rPr>
          <w:noProof/>
          <w:color w:val="000000"/>
          <w:shd w:val="clear" w:color="auto" w:fill="FFFFFF"/>
        </w:rPr>
        <w:t>is a cornerstone</w:t>
      </w:r>
      <w:r w:rsidRPr="000E1D82">
        <w:rPr>
          <w:noProof/>
        </w:rPr>
        <w:t xml:space="preserve"> of </w:t>
      </w:r>
      <w:r>
        <w:rPr>
          <w:noProof/>
        </w:rPr>
        <w:t>the EU</w:t>
      </w:r>
      <w:r w:rsidRPr="000E1D82">
        <w:rPr>
          <w:noProof/>
        </w:rPr>
        <w:t>’s data-</w:t>
      </w:r>
      <w:r w:rsidR="007E7755" w:rsidRPr="000E1D82">
        <w:rPr>
          <w:noProof/>
        </w:rPr>
        <w:t>driven innovation</w:t>
      </w:r>
      <w:r>
        <w:rPr>
          <w:noProof/>
        </w:rPr>
        <w:t>, in the cardiovascular field</w:t>
      </w:r>
      <w:r w:rsidRPr="000E1D82">
        <w:rPr>
          <w:noProof/>
        </w:rPr>
        <w:t xml:space="preserve">. </w:t>
      </w:r>
      <w:r w:rsidRPr="000E1D82">
        <w:rPr>
          <w:noProof/>
          <w:color w:val="000000"/>
          <w:shd w:val="clear" w:color="auto" w:fill="FFFFFF"/>
        </w:rPr>
        <w:t xml:space="preserve">The EHDS </w:t>
      </w:r>
      <w:r w:rsidRPr="000E1D82">
        <w:rPr>
          <w:noProof/>
        </w:rPr>
        <w:t xml:space="preserve">sets up a common framework that will </w:t>
      </w:r>
      <w:r w:rsidR="004D317B">
        <w:rPr>
          <w:noProof/>
        </w:rPr>
        <w:t>facilitate efforts</w:t>
      </w:r>
      <w:r w:rsidRPr="000E1D82">
        <w:rPr>
          <w:noProof/>
        </w:rPr>
        <w:t xml:space="preserve"> to securely access and link clinical, lifestyle, and genomic data across the EU. It will connect and unlock the value of initiatives such as 1+ Million Genomes</w:t>
      </w:r>
      <w:r w:rsidRPr="000E1D82">
        <w:rPr>
          <w:rStyle w:val="FootnoteReference"/>
          <w:rFonts w:eastAsia="Times New Roman" w:cs="Times New Roman"/>
          <w:noProof/>
        </w:rPr>
        <w:footnoteReference w:id="140"/>
      </w:r>
      <w:r w:rsidRPr="000E1D82">
        <w:rPr>
          <w:noProof/>
        </w:rPr>
        <w:t xml:space="preserve"> and Genome of Europe</w:t>
      </w:r>
      <w:r w:rsidRPr="000E1D82">
        <w:rPr>
          <w:rStyle w:val="FootnoteReference"/>
          <w:rFonts w:eastAsia="Times New Roman" w:cs="Times New Roman"/>
          <w:noProof/>
        </w:rPr>
        <w:footnoteReference w:id="141"/>
      </w:r>
      <w:r w:rsidRPr="000E1D82">
        <w:rPr>
          <w:noProof/>
        </w:rPr>
        <w:t xml:space="preserve">, turning their assets into interoperable resources for prevention, care and research. </w:t>
      </w:r>
      <w:r w:rsidRPr="000E1D82">
        <w:rPr>
          <w:noProof/>
          <w:color w:val="000000"/>
          <w:shd w:val="clear" w:color="auto" w:fill="FFFFFF"/>
        </w:rPr>
        <w:t xml:space="preserve">This </w:t>
      </w:r>
      <w:r w:rsidRPr="5CA025E4">
        <w:rPr>
          <w:noProof/>
          <w:color w:val="000000" w:themeColor="text1"/>
        </w:rPr>
        <w:t xml:space="preserve">will </w:t>
      </w:r>
      <w:r w:rsidRPr="000E1D82">
        <w:rPr>
          <w:noProof/>
          <w:color w:val="000000"/>
          <w:shd w:val="clear" w:color="auto" w:fill="FFFFFF"/>
        </w:rPr>
        <w:t xml:space="preserve">enable earlier risk identification, </w:t>
      </w:r>
      <w:r w:rsidRPr="000E1D82">
        <w:rPr>
          <w:noProof/>
        </w:rPr>
        <w:t>better</w:t>
      </w:r>
      <w:r w:rsidRPr="000E1D82">
        <w:rPr>
          <w:noProof/>
          <w:color w:val="000000"/>
          <w:shd w:val="clear" w:color="auto" w:fill="FFFFFF"/>
        </w:rPr>
        <w:t xml:space="preserve"> patient stratification, and more targeted interventions. </w:t>
      </w:r>
    </w:p>
    <w:p w14:paraId="2A8FDA87" w14:textId="2C3F99B7" w:rsidR="00DE54C7" w:rsidRDefault="00DE54C7" w:rsidP="00DE54C7">
      <w:pPr>
        <w:jc w:val="both"/>
        <w:rPr>
          <w:rFonts w:eastAsia="Times New Roman" w:cs="Times New Roman"/>
          <w:noProof/>
          <w:lang w:eastAsia="de-DE"/>
        </w:rPr>
      </w:pPr>
      <w:r w:rsidRPr="000E1D82">
        <w:rPr>
          <w:rFonts w:eastAsia="Times New Roman" w:cs="Times New Roman"/>
          <w:noProof/>
        </w:rPr>
        <w:t>AI is transforming cardiovascular care through earlier detection, more accurate risk prediction, and personalised treatment. The</w:t>
      </w:r>
      <w:r w:rsidRPr="000E1D82">
        <w:rPr>
          <w:rFonts w:eastAsia="Times New Roman" w:cs="Times New Roman"/>
          <w:noProof/>
          <w:lang w:eastAsia="de-DE"/>
        </w:rPr>
        <w:t xml:space="preserve"> AI Act sets clear rules for high-risk </w:t>
      </w:r>
      <w:r>
        <w:rPr>
          <w:rFonts w:eastAsia="Times New Roman" w:cs="Times New Roman"/>
          <w:noProof/>
          <w:lang w:eastAsia="de-DE"/>
        </w:rPr>
        <w:t xml:space="preserve">AI </w:t>
      </w:r>
      <w:r w:rsidRPr="000E1D82">
        <w:rPr>
          <w:rFonts w:eastAsia="Times New Roman" w:cs="Times New Roman"/>
          <w:noProof/>
          <w:lang w:eastAsia="de-DE"/>
        </w:rPr>
        <w:t>systems</w:t>
      </w:r>
      <w:r>
        <w:rPr>
          <w:rFonts w:eastAsia="Times New Roman" w:cs="Times New Roman"/>
          <w:noProof/>
          <w:lang w:eastAsia="de-DE"/>
        </w:rPr>
        <w:t xml:space="preserve"> in healthcare</w:t>
      </w:r>
      <w:r w:rsidRPr="000E1D82">
        <w:rPr>
          <w:rFonts w:eastAsia="Times New Roman" w:cs="Times New Roman"/>
          <w:noProof/>
          <w:lang w:eastAsia="de-DE"/>
        </w:rPr>
        <w:t xml:space="preserve">, </w:t>
      </w:r>
      <w:r>
        <w:rPr>
          <w:rFonts w:eastAsia="Times New Roman" w:cs="Times New Roman"/>
          <w:noProof/>
          <w:lang w:eastAsia="de-DE"/>
        </w:rPr>
        <w:t xml:space="preserve">and </w:t>
      </w:r>
      <w:r w:rsidRPr="000E1D82">
        <w:rPr>
          <w:rFonts w:eastAsia="Times New Roman" w:cs="Times New Roman"/>
          <w:noProof/>
          <w:lang w:eastAsia="de-DE"/>
        </w:rPr>
        <w:t>the AI Continent Action Plan</w:t>
      </w:r>
      <w:r w:rsidRPr="000E1D82">
        <w:rPr>
          <w:rStyle w:val="FootnoteReference"/>
          <w:rFonts w:eastAsia="Times New Roman" w:cs="Times New Roman"/>
          <w:noProof/>
          <w:lang w:eastAsia="de-DE"/>
        </w:rPr>
        <w:footnoteReference w:id="142"/>
      </w:r>
      <w:r w:rsidRPr="000E1D82">
        <w:rPr>
          <w:rFonts w:eastAsia="Times New Roman" w:cs="Times New Roman"/>
          <w:noProof/>
          <w:lang w:eastAsia="de-DE"/>
        </w:rPr>
        <w:t xml:space="preserve"> and Apply AI Strategy</w:t>
      </w:r>
      <w:r>
        <w:rPr>
          <w:rStyle w:val="FootnoteReference"/>
          <w:rFonts w:eastAsia="Times New Roman" w:cs="Times New Roman"/>
          <w:noProof/>
          <w:lang w:eastAsia="de-DE"/>
        </w:rPr>
        <w:footnoteReference w:id="143"/>
      </w:r>
      <w:r w:rsidRPr="000E1D82">
        <w:rPr>
          <w:rFonts w:eastAsia="Times New Roman" w:cs="Times New Roman"/>
          <w:noProof/>
          <w:lang w:eastAsia="de-DE"/>
        </w:rPr>
        <w:t xml:space="preserve"> will guide investment and deployment</w:t>
      </w:r>
      <w:r>
        <w:rPr>
          <w:rFonts w:eastAsia="Times New Roman" w:cs="Times New Roman"/>
          <w:noProof/>
          <w:lang w:eastAsia="de-DE"/>
        </w:rPr>
        <w:t>. This will</w:t>
      </w:r>
      <w:r w:rsidRPr="000E1D82">
        <w:rPr>
          <w:rFonts w:eastAsia="Times New Roman" w:cs="Times New Roman"/>
          <w:noProof/>
          <w:lang w:eastAsia="de-DE"/>
        </w:rPr>
        <w:t xml:space="preserve"> foster innovation and competitiveness in </w:t>
      </w:r>
      <w:r>
        <w:rPr>
          <w:rFonts w:eastAsia="Times New Roman" w:cs="Times New Roman"/>
          <w:noProof/>
          <w:lang w:eastAsia="de-DE"/>
        </w:rPr>
        <w:t xml:space="preserve">health and other </w:t>
      </w:r>
      <w:r w:rsidRPr="000E1D82">
        <w:rPr>
          <w:rFonts w:eastAsia="Times New Roman" w:cs="Times New Roman"/>
          <w:noProof/>
          <w:lang w:eastAsia="de-DE"/>
        </w:rPr>
        <w:t>strategic sectors.</w:t>
      </w:r>
    </w:p>
    <w:p w14:paraId="6BBF2816" w14:textId="7CC3FAA7" w:rsidR="00DE54C7" w:rsidRPr="000E1D82" w:rsidRDefault="00DE54C7" w:rsidP="00DE54C7">
      <w:pPr>
        <w:jc w:val="both"/>
        <w:rPr>
          <w:rFonts w:eastAsia="Times New Roman" w:cs="Times New Roman"/>
          <w:noProof/>
          <w:lang w:eastAsia="de-DE"/>
        </w:rPr>
      </w:pPr>
      <w:r w:rsidRPr="000E1D82">
        <w:rPr>
          <w:rFonts w:eastAsia="Times New Roman" w:cs="Times New Roman"/>
          <w:noProof/>
          <w:lang w:eastAsia="de-DE"/>
        </w:rPr>
        <w:t xml:space="preserve">The Commission </w:t>
      </w:r>
      <w:r>
        <w:rPr>
          <w:rFonts w:eastAsia="Times New Roman" w:cs="Times New Roman"/>
          <w:noProof/>
          <w:lang w:eastAsia="de-DE"/>
        </w:rPr>
        <w:t xml:space="preserve">is </w:t>
      </w:r>
      <w:r w:rsidRPr="000E1D82">
        <w:rPr>
          <w:rFonts w:eastAsia="Times New Roman" w:cs="Times New Roman"/>
          <w:noProof/>
          <w:lang w:eastAsia="de-DE"/>
        </w:rPr>
        <w:t>fund</w:t>
      </w:r>
      <w:r>
        <w:rPr>
          <w:rFonts w:eastAsia="Times New Roman" w:cs="Times New Roman"/>
          <w:noProof/>
          <w:lang w:eastAsia="de-DE"/>
        </w:rPr>
        <w:t>ing</w:t>
      </w:r>
      <w:r w:rsidRPr="000E1D82">
        <w:rPr>
          <w:rFonts w:eastAsia="Times New Roman" w:cs="Times New Roman"/>
          <w:noProof/>
          <w:lang w:eastAsia="de-DE"/>
        </w:rPr>
        <w:t xml:space="preserve"> multi-country real-world evaluations and </w:t>
      </w:r>
      <w:r>
        <w:rPr>
          <w:rFonts w:eastAsia="Times New Roman" w:cs="Times New Roman"/>
          <w:noProof/>
          <w:lang w:eastAsia="de-DE"/>
        </w:rPr>
        <w:t xml:space="preserve">the </w:t>
      </w:r>
      <w:r w:rsidRPr="000E1D82">
        <w:rPr>
          <w:rFonts w:eastAsia="Times New Roman" w:cs="Times New Roman"/>
          <w:noProof/>
          <w:lang w:eastAsia="de-DE"/>
        </w:rPr>
        <w:t>responsible deployment of AI tools in clinical settings</w:t>
      </w:r>
      <w:r w:rsidRPr="000E1D82">
        <w:rPr>
          <w:rStyle w:val="FootnoteReference"/>
          <w:rFonts w:eastAsia="Times New Roman" w:cs="Times New Roman"/>
          <w:noProof/>
          <w:lang w:eastAsia="de-DE"/>
        </w:rPr>
        <w:footnoteReference w:id="144"/>
      </w:r>
      <w:r>
        <w:rPr>
          <w:rFonts w:eastAsia="Times New Roman" w:cs="Times New Roman"/>
          <w:noProof/>
          <w:lang w:eastAsia="de-DE"/>
        </w:rPr>
        <w:t xml:space="preserve"> under several actions supported from EU4Health and Digital Europe programmes.</w:t>
      </w:r>
      <w:r w:rsidRPr="000E1D82">
        <w:rPr>
          <w:rFonts w:eastAsia="Times New Roman" w:cs="Times New Roman"/>
          <w:noProof/>
          <w:lang w:eastAsia="de-DE"/>
        </w:rPr>
        <w:t xml:space="preserve"> </w:t>
      </w:r>
      <w:r w:rsidRPr="00F17293">
        <w:rPr>
          <w:rFonts w:eastAsia="Times New Roman" w:cs="Times New Roman"/>
          <w:noProof/>
        </w:rPr>
        <w:t>The application of A</w:t>
      </w:r>
      <w:r>
        <w:rPr>
          <w:rFonts w:eastAsia="Times New Roman" w:cs="Times New Roman"/>
          <w:noProof/>
        </w:rPr>
        <w:t xml:space="preserve">I </w:t>
      </w:r>
      <w:r w:rsidRPr="00F17293">
        <w:rPr>
          <w:rFonts w:eastAsia="Times New Roman" w:cs="Times New Roman"/>
          <w:noProof/>
        </w:rPr>
        <w:t xml:space="preserve">to </w:t>
      </w:r>
      <w:r w:rsidRPr="0032438C">
        <w:rPr>
          <w:rFonts w:eastAsia="Times New Roman" w:cs="Times New Roman"/>
          <w:noProof/>
        </w:rPr>
        <w:t>medical imaging</w:t>
      </w:r>
      <w:r w:rsidRPr="00F17293">
        <w:rPr>
          <w:rFonts w:eastAsia="Times New Roman" w:cs="Times New Roman"/>
          <w:noProof/>
        </w:rPr>
        <w:t xml:space="preserve"> represents one of the most mature, high-impact, and rapidly evolving domains</w:t>
      </w:r>
      <w:r>
        <w:rPr>
          <w:rStyle w:val="FootnoteReference"/>
          <w:rFonts w:eastAsia="Times New Roman" w:cs="Times New Roman"/>
          <w:noProof/>
        </w:rPr>
        <w:footnoteReference w:id="145"/>
      </w:r>
      <w:r>
        <w:rPr>
          <w:rFonts w:eastAsia="Times New Roman" w:cs="Times New Roman"/>
          <w:noProof/>
          <w:lang w:eastAsia="de-DE"/>
        </w:rPr>
        <w:t xml:space="preserve">. </w:t>
      </w:r>
      <w:r w:rsidRPr="001F53C9">
        <w:rPr>
          <w:rFonts w:eastAsia="Times New Roman" w:cs="Times New Roman"/>
          <w:noProof/>
          <w:lang w:eastAsia="de-DE"/>
        </w:rPr>
        <w:t xml:space="preserve">These efforts are complemented by testing and experimentation facilities under the </w:t>
      </w:r>
      <w:bookmarkStart w:id="10" w:name="_Hlk214284796"/>
      <w:r w:rsidRPr="001F53C9">
        <w:rPr>
          <w:rFonts w:eastAsia="Times New Roman" w:cs="Times New Roman"/>
          <w:noProof/>
          <w:lang w:eastAsia="de-DE"/>
        </w:rPr>
        <w:t>Digital Europe Programme</w:t>
      </w:r>
      <w:bookmarkEnd w:id="10"/>
      <w:r w:rsidRPr="001F53C9">
        <w:rPr>
          <w:rFonts w:eastAsia="Times New Roman" w:cs="Times New Roman"/>
          <w:noProof/>
          <w:lang w:eastAsia="de-DE"/>
        </w:rPr>
        <w:t xml:space="preserve">, and </w:t>
      </w:r>
      <w:r w:rsidRPr="00D1048C">
        <w:rPr>
          <w:rFonts w:eastAsia="Times New Roman" w:cs="Times New Roman"/>
          <w:noProof/>
          <w:lang w:eastAsia="de-DE"/>
        </w:rPr>
        <w:t>an EU network of advanced screening centres under the Apply AI strategy</w:t>
      </w:r>
      <w:r>
        <w:rPr>
          <w:rStyle w:val="FootnoteReference"/>
          <w:rFonts w:eastAsia="Times New Roman" w:cs="Times New Roman"/>
          <w:noProof/>
          <w:lang w:eastAsia="de-DE"/>
        </w:rPr>
        <w:footnoteReference w:id="146"/>
      </w:r>
      <w:r w:rsidRPr="00D1048C">
        <w:rPr>
          <w:rFonts w:eastAsia="Times New Roman" w:cs="Times New Roman"/>
          <w:noProof/>
          <w:lang w:eastAsia="de-DE"/>
        </w:rPr>
        <w:t xml:space="preserve"> acting as testbeds for</w:t>
      </w:r>
      <w:r w:rsidRPr="001F53C9">
        <w:rPr>
          <w:rFonts w:eastAsia="Times New Roman" w:cs="Times New Roman"/>
          <w:noProof/>
          <w:lang w:eastAsia="de-DE"/>
        </w:rPr>
        <w:t xml:space="preserve"> </w:t>
      </w:r>
      <w:r>
        <w:rPr>
          <w:rFonts w:eastAsia="Times New Roman" w:cs="Times New Roman"/>
          <w:noProof/>
          <w:lang w:eastAsia="de-DE"/>
        </w:rPr>
        <w:t xml:space="preserve">the </w:t>
      </w:r>
      <w:r w:rsidRPr="001F53C9">
        <w:rPr>
          <w:rFonts w:eastAsia="Times New Roman" w:cs="Times New Roman"/>
          <w:noProof/>
          <w:lang w:eastAsia="de-DE"/>
        </w:rPr>
        <w:t>deployment of multimodal AI-based imaging solutions in cardiovascular and cancer applications.</w:t>
      </w:r>
      <w:r w:rsidRPr="000E1D82">
        <w:rPr>
          <w:rFonts w:eastAsia="Times New Roman" w:cs="Times New Roman"/>
          <w:noProof/>
          <w:lang w:eastAsia="de-DE"/>
        </w:rPr>
        <w:t> </w:t>
      </w:r>
    </w:p>
    <w:p w14:paraId="1F71B2EE" w14:textId="1ED7EBFD" w:rsidR="00DE54C7" w:rsidRPr="000E1D82" w:rsidRDefault="00DE54C7" w:rsidP="00DE54C7">
      <w:pPr>
        <w:jc w:val="both"/>
        <w:rPr>
          <w:noProof/>
          <w:lang w:eastAsia="de-DE"/>
        </w:rPr>
      </w:pPr>
      <w:r w:rsidRPr="377B81A1">
        <w:rPr>
          <w:noProof/>
          <w:lang w:eastAsia="de-DE"/>
        </w:rPr>
        <w:t xml:space="preserve">Member States may request tailored technical assistance under the Technical Support Instrument to prepare governance, regulatory and organisational reforms </w:t>
      </w:r>
      <w:r>
        <w:rPr>
          <w:noProof/>
          <w:lang w:eastAsia="de-DE"/>
        </w:rPr>
        <w:t xml:space="preserve">that </w:t>
      </w:r>
      <w:r w:rsidRPr="377B81A1">
        <w:rPr>
          <w:noProof/>
          <w:lang w:eastAsia="de-DE"/>
        </w:rPr>
        <w:t>enabl</w:t>
      </w:r>
      <w:r>
        <w:rPr>
          <w:noProof/>
          <w:lang w:eastAsia="de-DE"/>
        </w:rPr>
        <w:t xml:space="preserve">e </w:t>
      </w:r>
      <w:r w:rsidRPr="377B81A1">
        <w:rPr>
          <w:noProof/>
          <w:lang w:eastAsia="de-DE"/>
        </w:rPr>
        <w:t xml:space="preserve">the integration of AI in cardiovascular care, </w:t>
      </w:r>
      <w:r>
        <w:rPr>
          <w:noProof/>
          <w:lang w:eastAsia="de-DE"/>
        </w:rPr>
        <w:t xml:space="preserve">in line </w:t>
      </w:r>
      <w:r w:rsidRPr="377B81A1">
        <w:rPr>
          <w:noProof/>
          <w:lang w:eastAsia="de-DE"/>
        </w:rPr>
        <w:t xml:space="preserve">with the EHDS Regulation and </w:t>
      </w:r>
      <w:r>
        <w:rPr>
          <w:noProof/>
          <w:lang w:eastAsia="de-DE"/>
        </w:rPr>
        <w:t>other relevant EU regulatory frameworks</w:t>
      </w:r>
      <w:r w:rsidRPr="377B81A1">
        <w:rPr>
          <w:noProof/>
          <w:lang w:eastAsia="de-DE"/>
        </w:rPr>
        <w:t>.</w:t>
      </w:r>
    </w:p>
    <w:p w14:paraId="67EA0D54" w14:textId="77777777" w:rsidR="00DE54C7" w:rsidRPr="000E1D82" w:rsidRDefault="00DE54C7" w:rsidP="00DE54C7">
      <w:pPr>
        <w:jc w:val="both"/>
        <w:rPr>
          <w:rFonts w:eastAsia="Times New Roman" w:cs="Times New Roman"/>
          <w:noProof/>
        </w:rPr>
      </w:pPr>
      <w:r w:rsidRPr="000E1D82">
        <w:rPr>
          <w:rFonts w:eastAsia="Times New Roman" w:cs="Times New Roman"/>
          <w:noProof/>
        </w:rPr>
        <w:t xml:space="preserve">Building on this momentum, the Commission will launch a flagship initiative to advance AI and data-driven solutions for cardiovascular and related diseases, enabling earlier detection, personalised care and rehabilitation, including for rare and complex cases. </w:t>
      </w:r>
    </w:p>
    <w:tbl>
      <w:tblPr>
        <w:tblStyle w:val="TableGrid"/>
        <w:tblW w:w="9015" w:type="dxa"/>
        <w:tblLayout w:type="fixed"/>
        <w:tblLook w:val="04A0" w:firstRow="1" w:lastRow="0" w:firstColumn="1" w:lastColumn="0" w:noHBand="0" w:noVBand="1"/>
      </w:tblPr>
      <w:tblGrid>
        <w:gridCol w:w="9015"/>
      </w:tblGrid>
      <w:tr w:rsidR="00DE54C7" w:rsidRPr="000E1D82" w14:paraId="20BC5F88" w14:textId="77777777">
        <w:trPr>
          <w:trHeight w:val="689"/>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0E4A8D" w14:textId="75CD4862" w:rsidR="00DE54C7" w:rsidRPr="00F477D2" w:rsidRDefault="00DE54C7" w:rsidP="00F477D2">
            <w:pPr>
              <w:spacing w:before="120" w:after="60"/>
              <w:jc w:val="both"/>
              <w:rPr>
                <w:rFonts w:eastAsia="Times New Roman" w:cs="Times New Roman"/>
                <w:b/>
                <w:bCs/>
                <w:noProof/>
                <w:szCs w:val="24"/>
                <w:lang w:eastAsia="en-IE"/>
              </w:rPr>
            </w:pPr>
            <w:bookmarkStart w:id="11" w:name="_Hlk208330979"/>
            <w:r w:rsidRPr="00F477D2">
              <w:rPr>
                <w:rFonts w:eastAsia="Times New Roman" w:cs="Times New Roman"/>
                <w:b/>
                <w:bCs/>
                <w:noProof/>
                <w:szCs w:val="24"/>
                <w:lang w:eastAsia="en-IE"/>
              </w:rPr>
              <w:t>Flagship initiative: incubator for innovation and integration of AI and digital technologies in cardiovascular healthcare</w:t>
            </w:r>
          </w:p>
          <w:p w14:paraId="544EC070" w14:textId="5F5ECA17" w:rsidR="00DE54C7" w:rsidRPr="00E4479F" w:rsidRDefault="00DE54C7" w:rsidP="00E4479F">
            <w:pPr>
              <w:spacing w:before="120" w:after="160" w:line="259" w:lineRule="auto"/>
              <w:jc w:val="both"/>
              <w:rPr>
                <w:noProof/>
                <w:color w:val="000000" w:themeColor="text1"/>
                <w:lang w:eastAsia="en-IE"/>
              </w:rPr>
            </w:pPr>
            <w:r w:rsidRPr="00E4479F">
              <w:rPr>
                <w:noProof/>
                <w:color w:val="000000" w:themeColor="text1"/>
                <w:lang w:eastAsia="en-IE"/>
              </w:rPr>
              <w:t>The Commission will support a EUR 20 million flagship initiative</w:t>
            </w:r>
            <w:r w:rsidRPr="00E4479F">
              <w:rPr>
                <w:noProof/>
                <w:color w:val="000000" w:themeColor="text1"/>
                <w:vertAlign w:val="superscript"/>
                <w:lang w:eastAsia="en-IE"/>
              </w:rPr>
              <w:footnoteReference w:id="147"/>
            </w:r>
            <w:r w:rsidRPr="00E4479F">
              <w:rPr>
                <w:noProof/>
                <w:color w:val="000000" w:themeColor="text1"/>
                <w:vertAlign w:val="superscript"/>
                <w:lang w:eastAsia="en-IE"/>
              </w:rPr>
              <w:t xml:space="preserve"> </w:t>
            </w:r>
            <w:r w:rsidRPr="00E4479F">
              <w:rPr>
                <w:noProof/>
                <w:color w:val="000000" w:themeColor="text1"/>
                <w:lang w:eastAsia="en-IE"/>
              </w:rPr>
              <w:t xml:space="preserve">to accelerate the deployment and application of AI and data-driven tools for early detection, personalised prevention, integrated care for cardiovascular diseases, diabetes and obesity. The incubator will prioritise real-world uptake, cross-border validation and integration in care pathways, including for rare and complex cases. The Commission will scale up successful outcomes to support the broader use of digital tools for personalised prevention and management. </w:t>
            </w:r>
          </w:p>
          <w:p w14:paraId="6C3971E2" w14:textId="7054BD52" w:rsidR="00DE54C7" w:rsidRPr="00E4479F" w:rsidRDefault="00DE54C7" w:rsidP="00E4479F">
            <w:pPr>
              <w:spacing w:before="120" w:after="160" w:line="259" w:lineRule="auto"/>
              <w:jc w:val="both"/>
              <w:rPr>
                <w:noProof/>
                <w:color w:val="000000" w:themeColor="text1"/>
                <w:lang w:eastAsia="en-IE"/>
              </w:rPr>
            </w:pPr>
            <w:r w:rsidRPr="00E4479F">
              <w:rPr>
                <w:noProof/>
                <w:color w:val="000000" w:themeColor="text1"/>
                <w:lang w:eastAsia="en-IE"/>
              </w:rPr>
              <w:t xml:space="preserve">The flagship initiative aims to identify </w:t>
            </w:r>
            <w:r w:rsidRPr="00E4479F">
              <w:rPr>
                <w:b/>
                <w:bCs/>
                <w:noProof/>
                <w:color w:val="000000" w:themeColor="text1"/>
                <w:lang w:eastAsia="en-IE"/>
              </w:rPr>
              <w:t xml:space="preserve">a common </w:t>
            </w:r>
            <w:r w:rsidR="009B6E2E" w:rsidRPr="00E4479F">
              <w:rPr>
                <w:b/>
                <w:bCs/>
                <w:noProof/>
                <w:color w:val="000000" w:themeColor="text1"/>
                <w:lang w:eastAsia="en-IE"/>
              </w:rPr>
              <w:t xml:space="preserve">definition </w:t>
            </w:r>
            <w:r w:rsidR="005B1A8E" w:rsidRPr="00E4479F">
              <w:rPr>
                <w:b/>
                <w:bCs/>
                <w:noProof/>
                <w:color w:val="000000" w:themeColor="text1"/>
                <w:lang w:eastAsia="en-IE"/>
              </w:rPr>
              <w:t xml:space="preserve">of a core set of </w:t>
            </w:r>
            <w:r w:rsidR="00E50089" w:rsidRPr="00E4479F">
              <w:rPr>
                <w:b/>
                <w:bCs/>
                <w:noProof/>
                <w:color w:val="000000" w:themeColor="text1"/>
                <w:lang w:eastAsia="en-IE"/>
              </w:rPr>
              <w:t>technical specifications</w:t>
            </w:r>
            <w:r w:rsidR="005C554B" w:rsidRPr="00E4479F">
              <w:rPr>
                <w:b/>
                <w:bCs/>
                <w:noProof/>
                <w:color w:val="000000" w:themeColor="text1"/>
                <w:lang w:eastAsia="en-IE"/>
              </w:rPr>
              <w:t xml:space="preserve"> for datasets to be used </w:t>
            </w:r>
            <w:r w:rsidR="00F5303A" w:rsidRPr="00E4479F">
              <w:rPr>
                <w:b/>
                <w:bCs/>
                <w:noProof/>
                <w:color w:val="000000" w:themeColor="text1"/>
                <w:lang w:eastAsia="en-IE"/>
              </w:rPr>
              <w:t>in AI development</w:t>
            </w:r>
            <w:r w:rsidR="009B7AC2" w:rsidRPr="00E4479F">
              <w:rPr>
                <w:b/>
                <w:bCs/>
                <w:noProof/>
                <w:color w:val="000000" w:themeColor="text1"/>
                <w:lang w:eastAsia="en-IE"/>
              </w:rPr>
              <w:t xml:space="preserve"> and validation</w:t>
            </w:r>
            <w:r w:rsidR="00AD4EC2" w:rsidRPr="00E4479F">
              <w:rPr>
                <w:noProof/>
                <w:color w:val="000000" w:themeColor="text1"/>
                <w:lang w:eastAsia="en-IE"/>
              </w:rPr>
              <w:t>,</w:t>
            </w:r>
            <w:r w:rsidRPr="00E4479F">
              <w:rPr>
                <w:noProof/>
                <w:color w:val="000000" w:themeColor="text1"/>
                <w:lang w:eastAsia="en-IE"/>
              </w:rPr>
              <w:t xml:space="preserve"> by 2030, thus ensuring equitable access to these innovations</w:t>
            </w:r>
            <w:r w:rsidR="00A52F48" w:rsidRPr="00E4479F">
              <w:rPr>
                <w:noProof/>
                <w:color w:val="000000" w:themeColor="text1"/>
                <w:lang w:eastAsia="en-IE"/>
              </w:rPr>
              <w:t xml:space="preserve"> across participating Member States</w:t>
            </w:r>
            <w:r w:rsidRPr="00E4479F">
              <w:rPr>
                <w:noProof/>
                <w:color w:val="000000" w:themeColor="text1"/>
                <w:lang w:eastAsia="en-IE"/>
              </w:rPr>
              <w:t>.</w:t>
            </w:r>
          </w:p>
          <w:p w14:paraId="72D2EC33" w14:textId="77777777" w:rsidR="00DE54C7" w:rsidRPr="000E1D82" w:rsidRDefault="00DE54C7" w:rsidP="00E4479F">
            <w:pPr>
              <w:spacing w:before="120" w:after="160" w:line="259" w:lineRule="auto"/>
              <w:jc w:val="both"/>
              <w:rPr>
                <w:rFonts w:eastAsia="Times New Roman" w:cs="Times New Roman"/>
                <w:noProof/>
              </w:rPr>
            </w:pPr>
            <w:r w:rsidRPr="00E4479F">
              <w:rPr>
                <w:noProof/>
                <w:color w:val="000000" w:themeColor="text1"/>
                <w:lang w:eastAsia="en-IE"/>
              </w:rPr>
              <w:t xml:space="preserve">The flagship initiative also aims to publish a </w:t>
            </w:r>
            <w:r w:rsidRPr="00E4479F">
              <w:rPr>
                <w:b/>
                <w:bCs/>
                <w:noProof/>
                <w:color w:val="000000" w:themeColor="text1"/>
                <w:lang w:eastAsia="en-IE"/>
              </w:rPr>
              <w:t>blueprint for cardiovascular AI deployment</w:t>
            </w:r>
            <w:r w:rsidRPr="00E4479F">
              <w:rPr>
                <w:noProof/>
                <w:color w:val="000000" w:themeColor="text1"/>
                <w:lang w:eastAsia="en-IE"/>
              </w:rPr>
              <w:t>, guiding validation, clinical integration and monitoring of AI tools in cardiology</w:t>
            </w:r>
            <w:r w:rsidRPr="000E1D82">
              <w:rPr>
                <w:rFonts w:eastAsia="Calibri" w:cs="Times New Roman"/>
                <w:noProof/>
              </w:rPr>
              <w:t>.</w:t>
            </w:r>
          </w:p>
        </w:tc>
      </w:tr>
    </w:tbl>
    <w:bookmarkEnd w:id="11"/>
    <w:p w14:paraId="75A9B9BF"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Reaching every citizen</w:t>
      </w:r>
    </w:p>
    <w:p w14:paraId="0B47D052" w14:textId="4EF9F541" w:rsidR="00DE54C7" w:rsidRPr="000E1D82" w:rsidRDefault="00DE54C7" w:rsidP="00DE54C7">
      <w:pPr>
        <w:jc w:val="both"/>
        <w:rPr>
          <w:rFonts w:cs="Times New Roman"/>
          <w:noProof/>
          <w:lang w:eastAsia="en-IE"/>
        </w:rPr>
      </w:pPr>
      <w:r w:rsidRPr="000E1D82">
        <w:rPr>
          <w:rFonts w:cs="Times New Roman"/>
          <w:noProof/>
          <w:lang w:eastAsia="en-IE"/>
        </w:rPr>
        <w:t xml:space="preserve">Women </w:t>
      </w:r>
      <w:r>
        <w:rPr>
          <w:rFonts w:cs="Times New Roman"/>
          <w:noProof/>
          <w:lang w:eastAsia="en-IE"/>
        </w:rPr>
        <w:t xml:space="preserve">are disadvantaged by </w:t>
      </w:r>
      <w:r w:rsidRPr="000E1D82">
        <w:rPr>
          <w:rFonts w:cs="Times New Roman"/>
          <w:noProof/>
          <w:lang w:eastAsia="en-IE"/>
        </w:rPr>
        <w:t xml:space="preserve">significant inequalities in cardiovascular care </w:t>
      </w:r>
      <w:r>
        <w:rPr>
          <w:rFonts w:cs="Times New Roman"/>
          <w:noProof/>
          <w:lang w:eastAsia="en-IE"/>
        </w:rPr>
        <w:t>because</w:t>
      </w:r>
      <w:r w:rsidRPr="000E1D82">
        <w:rPr>
          <w:rFonts w:cs="Times New Roman"/>
          <w:noProof/>
          <w:lang w:eastAsia="en-IE"/>
        </w:rPr>
        <w:t xml:space="preserve"> they are often underdiagnosed, undertreated and underrepresented in clinical trials</w:t>
      </w:r>
      <w:r w:rsidRPr="000E1D82">
        <w:rPr>
          <w:rStyle w:val="FootnoteReference"/>
          <w:rFonts w:cs="Times New Roman"/>
          <w:noProof/>
        </w:rPr>
        <w:footnoteReference w:id="148"/>
      </w:r>
      <w:r w:rsidRPr="000E1D82">
        <w:rPr>
          <w:rFonts w:cs="Times New Roman"/>
          <w:noProof/>
          <w:lang w:eastAsia="en-IE"/>
        </w:rPr>
        <w:t>. This leads to delayed diagnosis and treatment</w:t>
      </w:r>
      <w:r w:rsidRPr="000E1D82">
        <w:rPr>
          <w:rStyle w:val="FootnoteReference"/>
          <w:rFonts w:cs="Times New Roman"/>
          <w:noProof/>
          <w:lang w:eastAsia="en-IE"/>
        </w:rPr>
        <w:footnoteReference w:id="149"/>
      </w:r>
      <w:r w:rsidRPr="000E1D82">
        <w:rPr>
          <w:rFonts w:cs="Times New Roman"/>
          <w:noProof/>
          <w:lang w:eastAsia="en-IE"/>
        </w:rPr>
        <w:t>. Health literacy campaigns are vital to rais</w:t>
      </w:r>
      <w:r>
        <w:rPr>
          <w:rFonts w:cs="Times New Roman"/>
          <w:noProof/>
          <w:lang w:eastAsia="en-IE"/>
        </w:rPr>
        <w:t xml:space="preserve">ing </w:t>
      </w:r>
      <w:r w:rsidRPr="000E1D82">
        <w:rPr>
          <w:rFonts w:cs="Times New Roman"/>
          <w:noProof/>
          <w:lang w:eastAsia="en-IE"/>
        </w:rPr>
        <w:t xml:space="preserve">among both </w:t>
      </w:r>
      <w:r>
        <w:rPr>
          <w:rFonts w:cs="Times New Roman"/>
          <w:noProof/>
          <w:lang w:eastAsia="en-IE"/>
        </w:rPr>
        <w:t>patients’</w:t>
      </w:r>
      <w:r w:rsidRPr="000E1D82">
        <w:rPr>
          <w:rFonts w:cs="Times New Roman"/>
          <w:noProof/>
          <w:lang w:eastAsia="en-IE"/>
        </w:rPr>
        <w:t xml:space="preserve"> and health professionals</w:t>
      </w:r>
      <w:r>
        <w:rPr>
          <w:rFonts w:cs="Times New Roman"/>
          <w:noProof/>
          <w:lang w:eastAsia="en-IE"/>
        </w:rPr>
        <w:t>’ awareness of</w:t>
      </w:r>
      <w:r w:rsidRPr="000E1D82">
        <w:rPr>
          <w:rFonts w:cs="Times New Roman"/>
          <w:noProof/>
          <w:lang w:eastAsia="en-IE"/>
        </w:rPr>
        <w:t xml:space="preserve"> specific symptoms and risks</w:t>
      </w:r>
      <w:r w:rsidRPr="000E1D82">
        <w:rPr>
          <w:rFonts w:cs="Times New Roman"/>
          <w:noProof/>
          <w:vertAlign w:val="superscript"/>
        </w:rPr>
        <w:footnoteReference w:id="150"/>
      </w:r>
      <w:r w:rsidRPr="000E1D82">
        <w:rPr>
          <w:rFonts w:cs="Times New Roman"/>
          <w:noProof/>
        </w:rPr>
        <w:t xml:space="preserve">. Young people are central to prevention efforts. Actions must start early and reflect their needs, ensuring a cross-sectoral approach to improving young people’s health. </w:t>
      </w:r>
      <w:r w:rsidRPr="000E1D82">
        <w:rPr>
          <w:rFonts w:cs="Times New Roman"/>
          <w:noProof/>
          <w:lang w:eastAsia="en-IE"/>
        </w:rPr>
        <w:t>Socio-economically disadvantaged groups experience poorer health outcomes and limited access to preventive care</w:t>
      </w:r>
      <w:r w:rsidRPr="000E1D82">
        <w:rPr>
          <w:rStyle w:val="FootnoteReference"/>
          <w:rFonts w:cs="Times New Roman"/>
          <w:noProof/>
          <w:lang w:eastAsia="en-IE"/>
        </w:rPr>
        <w:footnoteReference w:id="151"/>
      </w:r>
      <w:r w:rsidRPr="000E1D82">
        <w:rPr>
          <w:rFonts w:cs="Times New Roman"/>
          <w:noProof/>
          <w:lang w:eastAsia="en-IE"/>
        </w:rPr>
        <w:t xml:space="preserve">. Addressing these inequalities requires a coordinated approach across the care pathway. </w:t>
      </w:r>
    </w:p>
    <w:tbl>
      <w:tblPr>
        <w:tblStyle w:val="TableGrid"/>
        <w:tblW w:w="9015" w:type="dxa"/>
        <w:tblLayout w:type="fixed"/>
        <w:tblLook w:val="04A0" w:firstRow="1" w:lastRow="0" w:firstColumn="1" w:lastColumn="0" w:noHBand="0" w:noVBand="1"/>
      </w:tblPr>
      <w:tblGrid>
        <w:gridCol w:w="9015"/>
      </w:tblGrid>
      <w:tr w:rsidR="00DE54C7" w:rsidRPr="000E1D82" w14:paraId="12323801" w14:textId="77777777" w:rsidTr="00914153">
        <w:trPr>
          <w:trHeight w:val="2532"/>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0F9E0C" w14:textId="66428F29" w:rsidR="00DE54C7" w:rsidRPr="000E1D82" w:rsidRDefault="00DE54C7" w:rsidP="00DE54C7">
            <w:pPr>
              <w:spacing w:before="120" w:after="60"/>
              <w:jc w:val="both"/>
              <w:rPr>
                <w:rFonts w:eastAsia="Times New Roman" w:cs="Times New Roman"/>
                <w:b/>
                <w:bCs/>
                <w:noProof/>
                <w:szCs w:val="24"/>
                <w:lang w:eastAsia="en-IE"/>
              </w:rPr>
            </w:pPr>
            <w:r w:rsidRPr="000E1D82">
              <w:rPr>
                <w:rFonts w:eastAsia="Times New Roman" w:cs="Times New Roman"/>
                <w:b/>
                <w:bCs/>
                <w:noProof/>
                <w:szCs w:val="24"/>
                <w:lang w:eastAsia="en-IE"/>
              </w:rPr>
              <w:t>Flagship</w:t>
            </w:r>
            <w:r>
              <w:rPr>
                <w:rFonts w:eastAsia="Times New Roman" w:cs="Times New Roman"/>
                <w:b/>
                <w:bCs/>
                <w:noProof/>
                <w:szCs w:val="24"/>
                <w:lang w:eastAsia="en-IE"/>
              </w:rPr>
              <w:t xml:space="preserve"> initiative</w:t>
            </w:r>
            <w:r w:rsidRPr="000E1D82">
              <w:rPr>
                <w:rFonts w:eastAsia="Times New Roman" w:cs="Times New Roman"/>
                <w:b/>
                <w:bCs/>
                <w:noProof/>
                <w:szCs w:val="24"/>
                <w:lang w:eastAsia="en-IE"/>
              </w:rPr>
              <w:t xml:space="preserve">: </w:t>
            </w:r>
            <w:r>
              <w:rPr>
                <w:rFonts w:eastAsia="Times New Roman" w:cs="Times New Roman"/>
                <w:b/>
                <w:bCs/>
                <w:noProof/>
                <w:szCs w:val="24"/>
                <w:lang w:eastAsia="en-IE"/>
              </w:rPr>
              <w:t>a</w:t>
            </w:r>
            <w:r w:rsidRPr="000E1D82">
              <w:rPr>
                <w:rFonts w:eastAsia="Times New Roman" w:cs="Times New Roman"/>
                <w:b/>
                <w:bCs/>
                <w:noProof/>
                <w:szCs w:val="24"/>
                <w:lang w:eastAsia="en-IE"/>
              </w:rPr>
              <w:t>ddressing inequalities</w:t>
            </w:r>
          </w:p>
          <w:p w14:paraId="3B2F1E68" w14:textId="227AFBDA" w:rsidR="00DE54C7" w:rsidRPr="000E1D82" w:rsidRDefault="00DE54C7" w:rsidP="00DE54C7">
            <w:pPr>
              <w:spacing w:before="120"/>
              <w:jc w:val="both"/>
              <w:rPr>
                <w:rFonts w:eastAsia="Times New Roman" w:cs="Times New Roman"/>
                <w:noProof/>
                <w:szCs w:val="24"/>
                <w:lang w:eastAsia="en-IE"/>
              </w:rPr>
            </w:pPr>
            <w:r w:rsidRPr="000E1D82">
              <w:rPr>
                <w:rFonts w:cs="Times New Roman"/>
                <w:noProof/>
                <w:lang w:eastAsia="en-IE"/>
              </w:rPr>
              <w:t>The Commission</w:t>
            </w:r>
            <w:r>
              <w:rPr>
                <w:rFonts w:cs="Times New Roman"/>
                <w:noProof/>
                <w:lang w:eastAsia="en-IE"/>
              </w:rPr>
              <w:t xml:space="preserve"> intends to</w:t>
            </w:r>
            <w:r w:rsidRPr="000E1D82">
              <w:rPr>
                <w:rFonts w:cs="Times New Roman"/>
                <w:noProof/>
                <w:lang w:eastAsia="en-IE"/>
              </w:rPr>
              <w:t>:</w:t>
            </w:r>
          </w:p>
          <w:p w14:paraId="19AE52C7" w14:textId="09343271" w:rsidR="00DE54C7" w:rsidRPr="00742C36" w:rsidRDefault="00DE54C7" w:rsidP="00742C36">
            <w:pPr>
              <w:numPr>
                <w:ilvl w:val="0"/>
                <w:numId w:val="3"/>
              </w:numPr>
              <w:spacing w:before="120"/>
              <w:jc w:val="both"/>
              <w:rPr>
                <w:rFonts w:eastAsia="Times New Roman" w:cs="Times New Roman"/>
                <w:noProof/>
              </w:rPr>
            </w:pPr>
            <w:r w:rsidRPr="00742C36">
              <w:rPr>
                <w:rFonts w:eastAsia="Times New Roman" w:cs="Times New Roman"/>
                <w:noProof/>
              </w:rPr>
              <w:t xml:space="preserve">develop an EU cardiovascular health inequalities dashboard that is modelled on the </w:t>
            </w:r>
            <w:r w:rsidRPr="0056093D">
              <w:rPr>
                <w:rFonts w:eastAsia="Times New Roman" w:cs="Times New Roman"/>
                <w:noProof/>
              </w:rPr>
              <w:t>European Cancer Inequalities Registry</w:t>
            </w:r>
            <w:r w:rsidR="005F76FD" w:rsidRPr="00E4479F">
              <w:rPr>
                <w:rStyle w:val="FootnoteReference"/>
                <w:rFonts w:eastAsia="Times New Roman" w:cs="Times New Roman"/>
                <w:noProof/>
              </w:rPr>
              <w:footnoteReference w:id="152"/>
            </w:r>
            <w:r w:rsidRPr="00742C36">
              <w:rPr>
                <w:rFonts w:eastAsia="Times New Roman" w:cs="Times New Roman"/>
                <w:noProof/>
              </w:rPr>
              <w:t xml:space="preserve"> and based on existing data</w:t>
            </w:r>
            <w:r w:rsidR="00FD5CA0" w:rsidRPr="00742C36">
              <w:rPr>
                <w:rFonts w:eastAsia="Times New Roman" w:cs="Times New Roman"/>
                <w:noProof/>
              </w:rPr>
              <w:t>; and</w:t>
            </w:r>
            <w:r w:rsidRPr="00742C36">
              <w:rPr>
                <w:rFonts w:eastAsia="Times New Roman" w:cs="Times New Roman"/>
                <w:noProof/>
              </w:rPr>
              <w:t xml:space="preserve"> </w:t>
            </w:r>
          </w:p>
          <w:p w14:paraId="531971DE" w14:textId="5D624CF8" w:rsidR="00DE54C7" w:rsidRPr="000E1D82" w:rsidRDefault="00DE54C7" w:rsidP="00742C36">
            <w:pPr>
              <w:numPr>
                <w:ilvl w:val="0"/>
                <w:numId w:val="3"/>
              </w:numPr>
              <w:spacing w:before="120"/>
              <w:jc w:val="both"/>
              <w:rPr>
                <w:noProof/>
                <w:szCs w:val="24"/>
                <w:lang w:eastAsia="en-IE"/>
              </w:rPr>
            </w:pPr>
            <w:r w:rsidRPr="00742C36">
              <w:rPr>
                <w:rFonts w:eastAsia="Times New Roman" w:cs="Times New Roman"/>
                <w:noProof/>
              </w:rPr>
              <w:t>invest</w:t>
            </w:r>
            <w:r w:rsidRPr="00914153">
              <w:rPr>
                <w:rFonts w:eastAsiaTheme="minorEastAsia" w:cs="Times New Roman"/>
                <w:noProof/>
              </w:rPr>
              <w:t xml:space="preserve"> in research under Horizon Europe to advance the understanding of sex and/or gender-specific</w:t>
            </w:r>
            <w:r w:rsidRPr="00914153">
              <w:rPr>
                <w:rFonts w:eastAsia="Times New Roman" w:cs="Times New Roman"/>
                <w:noProof/>
              </w:rPr>
              <w:t xml:space="preserve"> mechanisms of cardiovascular diseases, including, risk factors and disease pathway</w:t>
            </w:r>
            <w:r>
              <w:rPr>
                <w:rStyle w:val="FootnoteReference"/>
                <w:rFonts w:eastAsia="Times New Roman" w:cs="Times New Roman"/>
                <w:noProof/>
              </w:rPr>
              <w:footnoteReference w:id="153"/>
            </w:r>
            <w:r w:rsidRPr="00D53EA1">
              <w:rPr>
                <w:rFonts w:cs="Times New Roman"/>
                <w:i/>
                <w:iCs/>
                <w:noProof/>
                <w:lang w:eastAsia="en-IE"/>
              </w:rPr>
              <w:t>.</w:t>
            </w:r>
          </w:p>
        </w:tc>
      </w:tr>
    </w:tbl>
    <w:p w14:paraId="2B9B367C"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Addressing the research and innovation gap</w:t>
      </w:r>
    </w:p>
    <w:p w14:paraId="7C860EC1" w14:textId="1F2FBB95" w:rsidR="00DE54C7" w:rsidRDefault="00DE54C7" w:rsidP="00DE54C7">
      <w:pPr>
        <w:spacing w:after="240"/>
        <w:jc w:val="both"/>
        <w:rPr>
          <w:rFonts w:cs="Times New Roman"/>
          <w:noProof/>
        </w:rPr>
      </w:pPr>
      <w:r w:rsidRPr="00E27389">
        <w:rPr>
          <w:rFonts w:cs="Times New Roman"/>
          <w:noProof/>
        </w:rPr>
        <w:t>To date, the EU has invested almost EUR 2.3 billion in cardiovascular and related research through the EU</w:t>
      </w:r>
      <w:r>
        <w:rPr>
          <w:rFonts w:cs="Times New Roman"/>
          <w:noProof/>
        </w:rPr>
        <w:t xml:space="preserve"> framework </w:t>
      </w:r>
      <w:r w:rsidRPr="00E27389">
        <w:rPr>
          <w:rFonts w:cs="Times New Roman"/>
          <w:noProof/>
        </w:rPr>
        <w:t>programmes for research and innovation</w:t>
      </w:r>
      <w:r>
        <w:rPr>
          <w:rStyle w:val="FootnoteReference"/>
          <w:rFonts w:cs="Times New Roman"/>
          <w:noProof/>
        </w:rPr>
        <w:footnoteReference w:id="154"/>
      </w:r>
      <w:r w:rsidRPr="00E27389">
        <w:rPr>
          <w:rFonts w:cs="Times New Roman"/>
          <w:noProof/>
        </w:rPr>
        <w:t xml:space="preserve">. The funding </w:t>
      </w:r>
      <w:r>
        <w:rPr>
          <w:rFonts w:cs="Times New Roman"/>
          <w:noProof/>
        </w:rPr>
        <w:t xml:space="preserve">has </w:t>
      </w:r>
      <w:r w:rsidRPr="00E27389">
        <w:rPr>
          <w:rFonts w:cs="Times New Roman"/>
          <w:noProof/>
        </w:rPr>
        <w:t>supported research</w:t>
      </w:r>
      <w:r>
        <w:rPr>
          <w:rFonts w:cs="Times New Roman"/>
          <w:noProof/>
        </w:rPr>
        <w:t xml:space="preserve"> </w:t>
      </w:r>
      <w:r w:rsidRPr="00E27389">
        <w:rPr>
          <w:rFonts w:cs="Times New Roman"/>
          <w:noProof/>
        </w:rPr>
        <w:t xml:space="preserve">on the development of more effective preventive, diagnostic, therapeutic and monitoring </w:t>
      </w:r>
      <w:r>
        <w:rPr>
          <w:rFonts w:cs="Times New Roman"/>
          <w:noProof/>
        </w:rPr>
        <w:t xml:space="preserve">approaches </w:t>
      </w:r>
      <w:r w:rsidRPr="00E27389">
        <w:rPr>
          <w:rFonts w:cs="Times New Roman"/>
          <w:noProof/>
        </w:rPr>
        <w:t>to improve the health of citizens.</w:t>
      </w:r>
    </w:p>
    <w:p w14:paraId="3DF10EE7" w14:textId="79C1C08C" w:rsidR="00DE54C7" w:rsidRPr="000E1D82" w:rsidRDefault="00DE54C7" w:rsidP="00DE54C7">
      <w:pPr>
        <w:spacing w:after="240"/>
        <w:jc w:val="both"/>
        <w:rPr>
          <w:rFonts w:cs="Times New Roman"/>
          <w:noProof/>
        </w:rPr>
      </w:pPr>
      <w:r>
        <w:rPr>
          <w:rFonts w:cs="Times New Roman"/>
          <w:noProof/>
        </w:rPr>
        <w:t>However</w:t>
      </w:r>
      <w:r w:rsidRPr="000E1D82">
        <w:rPr>
          <w:rFonts w:cs="Times New Roman"/>
          <w:noProof/>
        </w:rPr>
        <w:t xml:space="preserve">, breakthrough therapeutic innovation remains limited for cardiovascular </w:t>
      </w:r>
      <w:r w:rsidRPr="00250BE6">
        <w:rPr>
          <w:rFonts w:cs="Times New Roman"/>
          <w:noProof/>
        </w:rPr>
        <w:t>diseases. Few new therapies have reached the market in recent years</w:t>
      </w:r>
      <w:r w:rsidRPr="00250BE6">
        <w:rPr>
          <w:rStyle w:val="FootnoteReference"/>
          <w:rFonts w:cs="Times New Roman"/>
          <w:noProof/>
        </w:rPr>
        <w:footnoteReference w:id="155"/>
      </w:r>
      <w:r w:rsidRPr="00250BE6">
        <w:rPr>
          <w:rFonts w:cs="Times New Roman"/>
          <w:noProof/>
        </w:rPr>
        <w:t xml:space="preserve">. Most advances have </w:t>
      </w:r>
      <w:r w:rsidR="004632EA" w:rsidRPr="00250BE6">
        <w:rPr>
          <w:rFonts w:cs="Times New Roman"/>
          <w:noProof/>
        </w:rPr>
        <w:t>built</w:t>
      </w:r>
      <w:r w:rsidRPr="00250BE6">
        <w:rPr>
          <w:rFonts w:cs="Times New Roman"/>
          <w:noProof/>
        </w:rPr>
        <w:t xml:space="preserve"> on existing treatments rather than developing new ones</w:t>
      </w:r>
      <w:r w:rsidRPr="00250BE6">
        <w:rPr>
          <w:rStyle w:val="FootnoteReference"/>
          <w:rFonts w:cs="Times New Roman"/>
          <w:noProof/>
        </w:rPr>
        <w:footnoteReference w:id="156"/>
      </w:r>
      <w:r w:rsidRPr="00250BE6">
        <w:rPr>
          <w:rFonts w:cs="Times New Roman"/>
          <w:noProof/>
        </w:rPr>
        <w:t>.</w:t>
      </w:r>
      <w:r w:rsidRPr="000E1D82">
        <w:rPr>
          <w:rFonts w:cs="Times New Roman"/>
          <w:noProof/>
        </w:rPr>
        <w:t xml:space="preserve"> </w:t>
      </w:r>
    </w:p>
    <w:p w14:paraId="63D59972" w14:textId="18A3CE97" w:rsidR="00DE54C7" w:rsidRPr="000E1D82" w:rsidRDefault="00DE54C7" w:rsidP="00DE54C7">
      <w:pPr>
        <w:spacing w:after="240"/>
        <w:jc w:val="both"/>
        <w:rPr>
          <w:rFonts w:cs="Times New Roman"/>
          <w:noProof/>
        </w:rPr>
      </w:pPr>
      <w:r>
        <w:rPr>
          <w:rFonts w:cs="Times New Roman"/>
          <w:noProof/>
        </w:rPr>
        <w:t>There is a need to deepen our</w:t>
      </w:r>
      <w:r w:rsidRPr="377B81A1">
        <w:rPr>
          <w:rFonts w:cs="Times New Roman"/>
          <w:noProof/>
        </w:rPr>
        <w:t xml:space="preserve"> understanding </w:t>
      </w:r>
      <w:r>
        <w:rPr>
          <w:rFonts w:cs="Times New Roman"/>
          <w:noProof/>
        </w:rPr>
        <w:t xml:space="preserve">of the </w:t>
      </w:r>
      <w:r w:rsidRPr="377B81A1">
        <w:rPr>
          <w:rFonts w:cs="Times New Roman"/>
          <w:noProof/>
        </w:rPr>
        <w:t>disease mechanisms, early prevention, personalised risk prediction, and treatment optimisation</w:t>
      </w:r>
      <w:r>
        <w:rPr>
          <w:rFonts w:cs="Times New Roman"/>
          <w:noProof/>
        </w:rPr>
        <w:t xml:space="preserve"> </w:t>
      </w:r>
      <w:r w:rsidR="007E7755">
        <w:rPr>
          <w:rFonts w:cs="Times New Roman"/>
          <w:noProof/>
        </w:rPr>
        <w:t>to</w:t>
      </w:r>
      <w:r w:rsidRPr="377B81A1">
        <w:rPr>
          <w:rFonts w:cs="Times New Roman"/>
          <w:noProof/>
        </w:rPr>
        <w:t xml:space="preserve"> deliver</w:t>
      </w:r>
      <w:r>
        <w:rPr>
          <w:rFonts w:cs="Times New Roman"/>
          <w:noProof/>
        </w:rPr>
        <w:t xml:space="preserve"> </w:t>
      </w:r>
      <w:r w:rsidRPr="377B81A1">
        <w:rPr>
          <w:rFonts w:cs="Times New Roman"/>
          <w:noProof/>
        </w:rPr>
        <w:t xml:space="preserve">effective, patient-centred and tailored care </w:t>
      </w:r>
      <w:r w:rsidR="004632EA" w:rsidRPr="377B81A1">
        <w:rPr>
          <w:rFonts w:cs="Times New Roman"/>
          <w:noProof/>
        </w:rPr>
        <w:t xml:space="preserve">and </w:t>
      </w:r>
      <w:r w:rsidR="004632EA">
        <w:rPr>
          <w:rFonts w:cs="Times New Roman"/>
          <w:noProof/>
        </w:rPr>
        <w:t>to</w:t>
      </w:r>
      <w:r w:rsidRPr="377B81A1">
        <w:rPr>
          <w:rFonts w:cs="Times New Roman"/>
          <w:noProof/>
        </w:rPr>
        <w:t xml:space="preserve"> develop innovative diagnostics, medicines, and digital tools. Several systemic barriers, including the high cost and complexity of large-scale clinical trials and fragmented research efforts, further discourage private sector engagement. Furthermore, specific efforts need to be made to understand the mechanisms leading to cardiovascular differences between men and women.  </w:t>
      </w:r>
    </w:p>
    <w:p w14:paraId="146C88FA" w14:textId="561B3F6E" w:rsidR="00DE54C7" w:rsidRPr="00465449" w:rsidRDefault="00DE54C7" w:rsidP="00DE54C7">
      <w:pPr>
        <w:spacing w:before="120" w:after="240"/>
        <w:jc w:val="both"/>
        <w:rPr>
          <w:rFonts w:cs="Times New Roman"/>
          <w:noProof/>
        </w:rPr>
      </w:pPr>
      <w:r w:rsidRPr="000E1D82">
        <w:rPr>
          <w:rFonts w:cs="Times New Roman"/>
          <w:noProof/>
        </w:rPr>
        <w:t>To address these challenges,</w:t>
      </w:r>
      <w:r>
        <w:rPr>
          <w:rFonts w:cs="Times New Roman"/>
          <w:noProof/>
        </w:rPr>
        <w:t xml:space="preserve"> EU </w:t>
      </w:r>
      <w:r w:rsidR="004632EA">
        <w:rPr>
          <w:rFonts w:cs="Times New Roman"/>
          <w:noProof/>
        </w:rPr>
        <w:t xml:space="preserve">funded </w:t>
      </w:r>
      <w:r w:rsidR="004632EA" w:rsidRPr="000E1D82">
        <w:rPr>
          <w:rFonts w:cs="Times New Roman"/>
          <w:noProof/>
        </w:rPr>
        <w:t>ongoing</w:t>
      </w:r>
      <w:r w:rsidRPr="000E1D82">
        <w:rPr>
          <w:rFonts w:cs="Times New Roman"/>
          <w:noProof/>
        </w:rPr>
        <w:t xml:space="preserve"> public and private initiatives like the Innovative Health Initiative</w:t>
      </w:r>
      <w:r w:rsidRPr="000E1D82">
        <w:rPr>
          <w:rStyle w:val="FootnoteReference"/>
          <w:rFonts w:cs="Times New Roman"/>
          <w:noProof/>
        </w:rPr>
        <w:footnoteReference w:id="157"/>
      </w:r>
      <w:r w:rsidRPr="000E1D82">
        <w:rPr>
          <w:rFonts w:cs="Times New Roman"/>
          <w:noProof/>
        </w:rPr>
        <w:t xml:space="preserve"> </w:t>
      </w:r>
      <w:r>
        <w:rPr>
          <w:rFonts w:cs="Times New Roman"/>
          <w:noProof/>
        </w:rPr>
        <w:t xml:space="preserve">(IHI) </w:t>
      </w:r>
      <w:r w:rsidRPr="000E1D82">
        <w:rPr>
          <w:rFonts w:cs="Times New Roman"/>
          <w:noProof/>
        </w:rPr>
        <w:t xml:space="preserve">foster collaboration between academia, industry, and clinicians to co-develop new therapies and technologies for </w:t>
      </w:r>
      <w:r>
        <w:rPr>
          <w:rFonts w:cs="Times New Roman"/>
          <w:noProof/>
        </w:rPr>
        <w:t xml:space="preserve">the </w:t>
      </w:r>
      <w:r w:rsidRPr="000E1D82">
        <w:rPr>
          <w:rFonts w:cs="Times New Roman"/>
          <w:noProof/>
        </w:rPr>
        <w:t>prevention, detection, diagnostic, treatment and care of cardiovascular diseases and other chronic diseases</w:t>
      </w:r>
      <w:r w:rsidRPr="00465449">
        <w:rPr>
          <w:rFonts w:cs="Times New Roman"/>
          <w:noProof/>
        </w:rPr>
        <w:t xml:space="preserve">. </w:t>
      </w:r>
      <w:r w:rsidRPr="00914153">
        <w:rPr>
          <w:rFonts w:cs="Times New Roman"/>
          <w:noProof/>
        </w:rPr>
        <w:t xml:space="preserve">IHI is launching a large project that brings together municipalities across Europe with researchers, healthcare providers, pharmaceutical and medical technology industry to have a better understanding of how </w:t>
      </w:r>
      <w:r w:rsidR="004632EA" w:rsidRPr="00914153">
        <w:rPr>
          <w:rFonts w:cs="Times New Roman"/>
          <w:noProof/>
        </w:rPr>
        <w:t>cardiovascular care</w:t>
      </w:r>
      <w:r w:rsidRPr="00914153">
        <w:rPr>
          <w:rFonts w:cs="Times New Roman"/>
          <w:noProof/>
        </w:rPr>
        <w:t xml:space="preserve"> is organised and delivered, identify best practices, and promote integrated, patient-centred solutions across </w:t>
      </w:r>
      <w:r>
        <w:rPr>
          <w:rFonts w:cs="Times New Roman"/>
          <w:noProof/>
        </w:rPr>
        <w:t>the EU</w:t>
      </w:r>
      <w:r w:rsidRPr="00914153">
        <w:rPr>
          <w:rFonts w:cs="Times New Roman"/>
          <w:noProof/>
        </w:rPr>
        <w:t>.</w:t>
      </w:r>
    </w:p>
    <w:p w14:paraId="22CF9B24" w14:textId="537C41CC" w:rsidR="00DE54C7" w:rsidRDefault="00DE54C7" w:rsidP="00DE54C7">
      <w:pPr>
        <w:spacing w:before="120" w:after="240"/>
        <w:jc w:val="both"/>
        <w:rPr>
          <w:rFonts w:eastAsia="Times New Roman" w:cs="Times New Roman"/>
          <w:noProof/>
        </w:rPr>
      </w:pPr>
      <w:r w:rsidRPr="000E1D82">
        <w:rPr>
          <w:rFonts w:cs="Times New Roman"/>
          <w:noProof/>
        </w:rPr>
        <w:t xml:space="preserve">A better understanding of microbiomes, through a One Health approach, will create opportunities to improve and create new products for health, as outlined in the Strategy for European Life Sciences. </w:t>
      </w:r>
      <w:r w:rsidRPr="00914153">
        <w:rPr>
          <w:rFonts w:cs="Times New Roman"/>
          <w:noProof/>
          <w:lang w:val="en-US"/>
        </w:rPr>
        <w:t>The PROPHET project</w:t>
      </w:r>
      <w:r w:rsidRPr="00914153">
        <w:rPr>
          <w:rStyle w:val="FootnoteReference"/>
          <w:rFonts w:cs="Times New Roman"/>
          <w:noProof/>
          <w:lang w:val="en-US"/>
        </w:rPr>
        <w:footnoteReference w:id="158"/>
      </w:r>
      <w:r w:rsidRPr="00914153">
        <w:rPr>
          <w:rFonts w:cs="Times New Roman"/>
          <w:noProof/>
          <w:lang w:val="en-US"/>
        </w:rPr>
        <w:t>, funded by Horizon Europe, will deliver, by the end of 2025, a Personalised Prevention Strategic Research and Innovation Agenda (SRIA) to support the definition and implementation of innovative, sustainable and high-quality personalised strategies that are effective in preventing chronic diseases.</w:t>
      </w:r>
      <w:r w:rsidRPr="00250BE6">
        <w:rPr>
          <w:rFonts w:cs="Times New Roman"/>
          <w:noProof/>
        </w:rPr>
        <w:t xml:space="preserve"> </w:t>
      </w:r>
      <w:r w:rsidRPr="00250BE6">
        <w:rPr>
          <w:rFonts w:eastAsia="Times New Roman" w:cs="Times New Roman"/>
          <w:noProof/>
        </w:rPr>
        <w:t>The PROFID</w:t>
      </w:r>
      <w:r w:rsidR="009F2A6E">
        <w:rPr>
          <w:rStyle w:val="FootnoteReference"/>
          <w:rFonts w:eastAsia="Times New Roman" w:cs="Times New Roman"/>
          <w:noProof/>
        </w:rPr>
        <w:footnoteReference w:id="159"/>
      </w:r>
      <w:r w:rsidRPr="00250BE6">
        <w:rPr>
          <w:rFonts w:eastAsia="Times New Roman" w:cs="Times New Roman"/>
          <w:noProof/>
        </w:rPr>
        <w:t xml:space="preserve"> project on the prevention of sudden</w:t>
      </w:r>
      <w:r w:rsidRPr="000E1D82">
        <w:rPr>
          <w:rFonts w:eastAsia="Times New Roman" w:cs="Times New Roman"/>
          <w:noProof/>
        </w:rPr>
        <w:t xml:space="preserve"> cardiac death after myocardial infarction by defibrillator implantation has revealed important data on the effectiveness of defibrillator implantation</w:t>
      </w:r>
      <w:r>
        <w:rPr>
          <w:rFonts w:eastAsia="Times New Roman" w:cs="Times New Roman"/>
          <w:noProof/>
        </w:rPr>
        <w:t>.</w:t>
      </w:r>
      <w:r w:rsidRPr="000E1D82">
        <w:rPr>
          <w:rFonts w:eastAsia="Times New Roman" w:cs="Times New Roman"/>
          <w:noProof/>
        </w:rPr>
        <w:t xml:space="preserve"> Such initiatives need to be continued to enable decision makers to choose the most efficient health technologies in the field of cardiovascular treatment and care. </w:t>
      </w:r>
      <w:r>
        <w:rPr>
          <w:rFonts w:cs="Times New Roman"/>
          <w:noProof/>
        </w:rPr>
        <w:t>T</w:t>
      </w:r>
      <w:r w:rsidRPr="000E1D82">
        <w:rPr>
          <w:rFonts w:cs="Times New Roman"/>
          <w:noProof/>
        </w:rPr>
        <w:t>he European Virtual Human Twins initiative</w:t>
      </w:r>
      <w:r w:rsidRPr="000E1D82">
        <w:rPr>
          <w:rStyle w:val="FootnoteReference"/>
          <w:rFonts w:cs="Times New Roman"/>
          <w:noProof/>
        </w:rPr>
        <w:footnoteReference w:id="160"/>
      </w:r>
      <w:r w:rsidRPr="000E1D82">
        <w:rPr>
          <w:rFonts w:cs="Times New Roman"/>
          <w:noProof/>
        </w:rPr>
        <w:t xml:space="preserve"> supports actions that advance personalised cardiovascular care and accelerate the adoption of next-generation digital solutions.</w:t>
      </w:r>
      <w:r w:rsidR="00435713">
        <w:rPr>
          <w:rFonts w:cs="Times New Roman"/>
          <w:noProof/>
        </w:rPr>
        <w:t xml:space="preserve"> </w:t>
      </w:r>
      <w:r w:rsidRPr="000E1D82">
        <w:rPr>
          <w:rFonts w:eastAsia="Times New Roman" w:cs="Times New Roman"/>
          <w:noProof/>
        </w:rPr>
        <w:t xml:space="preserve">Such initiatives need to be continued </w:t>
      </w:r>
      <w:r w:rsidR="00D8171C" w:rsidRPr="000E1D82">
        <w:rPr>
          <w:rFonts w:eastAsia="Times New Roman" w:cs="Times New Roman"/>
          <w:noProof/>
        </w:rPr>
        <w:t>to</w:t>
      </w:r>
      <w:r w:rsidRPr="000E1D82">
        <w:rPr>
          <w:rFonts w:eastAsia="Times New Roman" w:cs="Times New Roman"/>
          <w:noProof/>
        </w:rPr>
        <w:t xml:space="preserve"> enable decision makers to choose the most efficient health technologies in the field of cardiovascular treatment and care. </w:t>
      </w:r>
    </w:p>
    <w:p w14:paraId="117F7006" w14:textId="47B05367" w:rsidR="00DE54C7" w:rsidRDefault="00DE54C7" w:rsidP="00DE54C7">
      <w:pPr>
        <w:spacing w:after="240"/>
        <w:jc w:val="both"/>
        <w:rPr>
          <w:rFonts w:eastAsia="Times New Roman" w:cs="Times New Roman"/>
          <w:noProof/>
        </w:rPr>
      </w:pPr>
      <w:r w:rsidRPr="00914153">
        <w:rPr>
          <w:rFonts w:eastAsia="Times New Roman" w:cs="Times New Roman"/>
          <w:noProof/>
        </w:rPr>
        <w:t xml:space="preserve">Member States and regions </w:t>
      </w:r>
      <w:r>
        <w:rPr>
          <w:rFonts w:eastAsia="Times New Roman" w:cs="Times New Roman"/>
          <w:noProof/>
        </w:rPr>
        <w:t xml:space="preserve">could </w:t>
      </w:r>
      <w:r w:rsidRPr="00914153">
        <w:rPr>
          <w:rFonts w:eastAsia="Times New Roman" w:cs="Times New Roman"/>
          <w:noProof/>
        </w:rPr>
        <w:t xml:space="preserve">use the </w:t>
      </w:r>
      <w:r>
        <w:rPr>
          <w:rFonts w:eastAsia="Times New Roman" w:cs="Times New Roman"/>
          <w:noProof/>
        </w:rPr>
        <w:t>allocated c</w:t>
      </w:r>
      <w:r w:rsidRPr="00914153">
        <w:rPr>
          <w:rFonts w:eastAsia="Times New Roman" w:cs="Times New Roman"/>
          <w:noProof/>
        </w:rPr>
        <w:t xml:space="preserve">ohesion </w:t>
      </w:r>
      <w:r>
        <w:rPr>
          <w:rFonts w:eastAsia="Times New Roman" w:cs="Times New Roman"/>
          <w:noProof/>
        </w:rPr>
        <w:t>f</w:t>
      </w:r>
      <w:r w:rsidRPr="00914153">
        <w:rPr>
          <w:rFonts w:eastAsia="Times New Roman" w:cs="Times New Roman"/>
          <w:noProof/>
        </w:rPr>
        <w:t xml:space="preserve">unds </w:t>
      </w:r>
      <w:r>
        <w:rPr>
          <w:rFonts w:eastAsia="Times New Roman" w:cs="Times New Roman"/>
          <w:noProof/>
        </w:rPr>
        <w:t>from</w:t>
      </w:r>
      <w:r w:rsidRPr="00914153">
        <w:rPr>
          <w:rFonts w:eastAsia="Times New Roman" w:cs="Times New Roman"/>
          <w:noProof/>
        </w:rPr>
        <w:t xml:space="preserve"> </w:t>
      </w:r>
      <w:r>
        <w:rPr>
          <w:rFonts w:eastAsia="Times New Roman" w:cs="Times New Roman"/>
          <w:noProof/>
        </w:rPr>
        <w:t xml:space="preserve">the </w:t>
      </w:r>
      <w:r w:rsidRPr="00914153">
        <w:rPr>
          <w:rFonts w:eastAsia="Times New Roman" w:cs="Times New Roman"/>
          <w:noProof/>
        </w:rPr>
        <w:t>European Regional Development Fund</w:t>
      </w:r>
      <w:r>
        <w:rPr>
          <w:rStyle w:val="FootnoteReference"/>
          <w:rFonts w:eastAsia="Times New Roman" w:cs="Times New Roman"/>
          <w:noProof/>
        </w:rPr>
        <w:footnoteReference w:id="161"/>
      </w:r>
      <w:r w:rsidRPr="00914153">
        <w:rPr>
          <w:rFonts w:eastAsia="Times New Roman" w:cs="Times New Roman"/>
          <w:noProof/>
        </w:rPr>
        <w:t xml:space="preserve"> to strengthen their research and innovation ecosystems </w:t>
      </w:r>
      <w:r>
        <w:rPr>
          <w:rFonts w:eastAsia="Times New Roman" w:cs="Times New Roman"/>
          <w:noProof/>
        </w:rPr>
        <w:t xml:space="preserve">on </w:t>
      </w:r>
      <w:r w:rsidRPr="00914153">
        <w:rPr>
          <w:rFonts w:eastAsia="Times New Roman" w:cs="Times New Roman"/>
          <w:noProof/>
        </w:rPr>
        <w:t>health. Moreover, the Interregional Innovation Investments (I3) Instrument</w:t>
      </w:r>
      <w:r>
        <w:rPr>
          <w:rStyle w:val="FootnoteReference"/>
          <w:rFonts w:eastAsia="Times New Roman" w:cs="Times New Roman"/>
          <w:noProof/>
        </w:rPr>
        <w:footnoteReference w:id="162"/>
      </w:r>
      <w:r w:rsidRPr="00914153">
        <w:rPr>
          <w:rFonts w:eastAsia="Times New Roman" w:cs="Times New Roman"/>
          <w:noProof/>
        </w:rPr>
        <w:t xml:space="preserve"> c</w:t>
      </w:r>
      <w:r>
        <w:rPr>
          <w:rFonts w:eastAsia="Times New Roman" w:cs="Times New Roman"/>
          <w:noProof/>
        </w:rPr>
        <w:t xml:space="preserve">ould </w:t>
      </w:r>
      <w:r w:rsidRPr="00914153">
        <w:rPr>
          <w:rFonts w:eastAsia="Times New Roman" w:cs="Times New Roman"/>
          <w:noProof/>
        </w:rPr>
        <w:t xml:space="preserve">help to scale up innovative health solutions, enhance territorial linkages and better integrate </w:t>
      </w:r>
      <w:r>
        <w:rPr>
          <w:rFonts w:eastAsia="Times New Roman" w:cs="Times New Roman"/>
          <w:noProof/>
        </w:rPr>
        <w:t xml:space="preserve">research and innovation </w:t>
      </w:r>
      <w:r w:rsidRPr="00914153">
        <w:rPr>
          <w:rFonts w:eastAsia="Times New Roman" w:cs="Times New Roman"/>
          <w:noProof/>
        </w:rPr>
        <w:t>across countries and regions.</w:t>
      </w:r>
    </w:p>
    <w:p w14:paraId="27DD0522" w14:textId="372AF87F" w:rsidR="00FA232E" w:rsidRDefault="00FA232E" w:rsidP="00DE54C7">
      <w:pPr>
        <w:spacing w:after="240"/>
        <w:jc w:val="both"/>
        <w:rPr>
          <w:rFonts w:eastAsia="Times New Roman" w:cs="Times New Roman"/>
          <w:noProof/>
        </w:rPr>
      </w:pPr>
      <w:r w:rsidRPr="00FA232E">
        <w:rPr>
          <w:rFonts w:eastAsia="Times New Roman" w:cs="Times New Roman"/>
          <w:noProof/>
        </w:rPr>
        <w:t xml:space="preserve">Public </w:t>
      </w:r>
      <w:r w:rsidR="0028702A">
        <w:rPr>
          <w:rFonts w:eastAsia="Times New Roman" w:cs="Times New Roman"/>
          <w:noProof/>
        </w:rPr>
        <w:t>p</w:t>
      </w:r>
      <w:r w:rsidRPr="00FA232E">
        <w:rPr>
          <w:rFonts w:eastAsia="Times New Roman" w:cs="Times New Roman"/>
          <w:noProof/>
        </w:rPr>
        <w:t>rocurement is a powerful catalyst for innovation tailored to user needs. E</w:t>
      </w:r>
      <w:r w:rsidR="0028702A">
        <w:rPr>
          <w:rFonts w:eastAsia="Times New Roman" w:cs="Times New Roman"/>
          <w:noProof/>
        </w:rPr>
        <w:t>U</w:t>
      </w:r>
      <w:r w:rsidRPr="00FA232E">
        <w:rPr>
          <w:rFonts w:eastAsia="Times New Roman" w:cs="Times New Roman"/>
          <w:noProof/>
        </w:rPr>
        <w:t xml:space="preserve"> funding program</w:t>
      </w:r>
      <w:r w:rsidR="0028702A">
        <w:rPr>
          <w:rFonts w:eastAsia="Times New Roman" w:cs="Times New Roman"/>
          <w:noProof/>
        </w:rPr>
        <w:t>me</w:t>
      </w:r>
      <w:r w:rsidRPr="00FA232E">
        <w:rPr>
          <w:rFonts w:eastAsia="Times New Roman" w:cs="Times New Roman"/>
          <w:noProof/>
        </w:rPr>
        <w:t>s invest in innovation procurement to foster demand-driven innovation incentivising suppliers to co-create with procurers and deliver innovative solutions addressing the needs of healthcare professionals.</w:t>
      </w:r>
    </w:p>
    <w:p w14:paraId="60F955A4" w14:textId="5F0B9CCB" w:rsidR="00DE54C7" w:rsidRDefault="00DE54C7" w:rsidP="00DE54C7">
      <w:pPr>
        <w:spacing w:after="240"/>
        <w:jc w:val="both"/>
        <w:rPr>
          <w:rFonts w:cs="Times New Roman"/>
          <w:noProof/>
        </w:rPr>
      </w:pPr>
      <w:r w:rsidRPr="377B81A1">
        <w:rPr>
          <w:rFonts w:cs="Times New Roman"/>
          <w:noProof/>
        </w:rPr>
        <w:t xml:space="preserve">To </w:t>
      </w:r>
      <w:r>
        <w:rPr>
          <w:rFonts w:cs="Times New Roman"/>
          <w:noProof/>
        </w:rPr>
        <w:t>strengthen</w:t>
      </w:r>
      <w:r w:rsidRPr="377B81A1">
        <w:rPr>
          <w:rFonts w:cs="Times New Roman"/>
          <w:noProof/>
        </w:rPr>
        <w:t xml:space="preserve"> </w:t>
      </w:r>
      <w:r>
        <w:rPr>
          <w:rFonts w:cs="Times New Roman"/>
          <w:noProof/>
        </w:rPr>
        <w:t>research on</w:t>
      </w:r>
      <w:r w:rsidRPr="377B81A1">
        <w:rPr>
          <w:rFonts w:cs="Times New Roman"/>
          <w:noProof/>
        </w:rPr>
        <w:t xml:space="preserve"> personalised prevention and </w:t>
      </w:r>
      <w:r>
        <w:rPr>
          <w:rFonts w:cs="Times New Roman"/>
          <w:noProof/>
        </w:rPr>
        <w:t xml:space="preserve">to </w:t>
      </w:r>
      <w:r w:rsidRPr="377B81A1">
        <w:rPr>
          <w:rFonts w:cs="Times New Roman"/>
          <w:noProof/>
        </w:rPr>
        <w:t>unlock the full potential of innovation, the EU needs</w:t>
      </w:r>
      <w:r w:rsidR="00FD5CA0">
        <w:rPr>
          <w:rFonts w:cs="Times New Roman"/>
          <w:noProof/>
        </w:rPr>
        <w:t xml:space="preserve"> </w:t>
      </w:r>
      <w:r w:rsidRPr="377B81A1">
        <w:rPr>
          <w:rFonts w:cs="Times New Roman"/>
          <w:noProof/>
        </w:rPr>
        <w:t>a </w:t>
      </w:r>
      <w:r w:rsidRPr="377B81A1">
        <w:rPr>
          <w:rFonts w:cs="Times New Roman"/>
          <w:b/>
          <w:bCs/>
          <w:noProof/>
        </w:rPr>
        <w:t xml:space="preserve">cardiovascular research and innovation roadmap </w:t>
      </w:r>
      <w:r w:rsidRPr="377B81A1">
        <w:rPr>
          <w:rFonts w:cs="Times New Roman"/>
          <w:noProof/>
        </w:rPr>
        <w:t xml:space="preserve">that streamlines funding, expands research capacity, and targets unmet needs.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DE54C7" w:rsidRPr="000E1D82" w14:paraId="2D4A984A" w14:textId="77777777" w:rsidTr="004F7DB8">
        <w:tc>
          <w:tcPr>
            <w:tcW w:w="9016" w:type="dxa"/>
          </w:tcPr>
          <w:p w14:paraId="58576F03" w14:textId="06F183EF" w:rsidR="00DE54C7" w:rsidRPr="000E1D82" w:rsidRDefault="00DE54C7" w:rsidP="00DE54C7">
            <w:pPr>
              <w:spacing w:before="120" w:after="60"/>
              <w:jc w:val="both"/>
              <w:rPr>
                <w:rFonts w:eastAsia="Calibri" w:cs="Times New Roman"/>
                <w:b/>
                <w:noProof/>
                <w:szCs w:val="24"/>
              </w:rPr>
            </w:pPr>
            <w:r w:rsidRPr="000E1D82">
              <w:rPr>
                <w:rFonts w:eastAsia="Calibri" w:cs="Times New Roman"/>
                <w:b/>
                <w:noProof/>
                <w:szCs w:val="24"/>
              </w:rPr>
              <w:t>Flagship</w:t>
            </w:r>
            <w:r>
              <w:rPr>
                <w:rFonts w:eastAsia="Calibri" w:cs="Times New Roman"/>
                <w:b/>
                <w:noProof/>
                <w:szCs w:val="24"/>
              </w:rPr>
              <w:t xml:space="preserve"> initiative</w:t>
            </w:r>
            <w:r w:rsidRPr="000E1D82">
              <w:rPr>
                <w:rFonts w:eastAsia="Calibri" w:cs="Times New Roman"/>
                <w:b/>
                <w:noProof/>
                <w:szCs w:val="24"/>
              </w:rPr>
              <w:t xml:space="preserve">: </w:t>
            </w:r>
            <w:r>
              <w:rPr>
                <w:rFonts w:eastAsia="Calibri" w:cs="Times New Roman"/>
                <w:b/>
                <w:noProof/>
                <w:szCs w:val="24"/>
              </w:rPr>
              <w:t>c</w:t>
            </w:r>
            <w:r w:rsidRPr="000E1D82">
              <w:rPr>
                <w:rFonts w:eastAsia="Calibri" w:cs="Times New Roman"/>
                <w:b/>
                <w:noProof/>
                <w:szCs w:val="24"/>
              </w:rPr>
              <w:t>losing the cardiovascular research gap</w:t>
            </w:r>
          </w:p>
        </w:tc>
      </w:tr>
      <w:tr w:rsidR="00DE54C7" w:rsidRPr="000E1D82" w14:paraId="0602A3E6" w14:textId="77777777" w:rsidTr="004F7DB8">
        <w:tc>
          <w:tcPr>
            <w:tcW w:w="9016" w:type="dxa"/>
          </w:tcPr>
          <w:p w14:paraId="1BE81E0E" w14:textId="77777777" w:rsidR="000815C8" w:rsidRDefault="00DE54C7" w:rsidP="00DE54C7">
            <w:pPr>
              <w:spacing w:before="120" w:after="60"/>
              <w:jc w:val="both"/>
              <w:rPr>
                <w:rFonts w:cs="Times New Roman"/>
                <w:noProof/>
              </w:rPr>
            </w:pPr>
            <w:r w:rsidRPr="000E1D82">
              <w:rPr>
                <w:rFonts w:cs="Times New Roman"/>
                <w:noProof/>
              </w:rPr>
              <w:t xml:space="preserve">The Commission </w:t>
            </w:r>
            <w:r>
              <w:rPr>
                <w:rFonts w:cs="Times New Roman"/>
                <w:noProof/>
              </w:rPr>
              <w:t>intends to</w:t>
            </w:r>
            <w:r w:rsidRPr="000E1D82">
              <w:rPr>
                <w:rFonts w:cs="Times New Roman"/>
                <w:noProof/>
              </w:rPr>
              <w:t xml:space="preserve"> launch a flagship initiative to address the research and innovation gap for cardiovascular diseases with the aim of improving understanding of cardiovascular disease </w:t>
            </w:r>
            <w:r w:rsidR="007E7755" w:rsidRPr="000E1D82">
              <w:rPr>
                <w:rFonts w:cs="Times New Roman"/>
                <w:noProof/>
              </w:rPr>
              <w:t>mechanisms and</w:t>
            </w:r>
            <w:r w:rsidRPr="000E1D82">
              <w:rPr>
                <w:rFonts w:cs="Times New Roman"/>
                <w:noProof/>
              </w:rPr>
              <w:t xml:space="preserve"> </w:t>
            </w:r>
            <w:r w:rsidR="004632EA" w:rsidRPr="000E1D82">
              <w:rPr>
                <w:rFonts w:cs="Times New Roman"/>
                <w:noProof/>
              </w:rPr>
              <w:t>support</w:t>
            </w:r>
            <w:r w:rsidRPr="000E1D82">
              <w:rPr>
                <w:rFonts w:cs="Times New Roman"/>
                <w:noProof/>
              </w:rPr>
              <w:t xml:space="preserve"> the u</w:t>
            </w:r>
            <w:r>
              <w:rPr>
                <w:rFonts w:cs="Times New Roman"/>
                <w:noProof/>
              </w:rPr>
              <w:t>ptake</w:t>
            </w:r>
            <w:r w:rsidRPr="000E1D82">
              <w:rPr>
                <w:rFonts w:cs="Times New Roman"/>
                <w:noProof/>
              </w:rPr>
              <w:t xml:space="preserve"> of innovative tools for personalised risk prediction and </w:t>
            </w:r>
            <w:r>
              <w:rPr>
                <w:rFonts w:cs="Times New Roman"/>
                <w:noProof/>
              </w:rPr>
              <w:t xml:space="preserve">the </w:t>
            </w:r>
            <w:r w:rsidRPr="000E1D82">
              <w:rPr>
                <w:rFonts w:cs="Times New Roman"/>
                <w:noProof/>
              </w:rPr>
              <w:t>optimis</w:t>
            </w:r>
            <w:r>
              <w:rPr>
                <w:rFonts w:cs="Times New Roman"/>
                <w:noProof/>
              </w:rPr>
              <w:t>ation of</w:t>
            </w:r>
            <w:r w:rsidRPr="000E1D82">
              <w:rPr>
                <w:rFonts w:cs="Times New Roman"/>
                <w:noProof/>
              </w:rPr>
              <w:t xml:space="preserve"> treatment</w:t>
            </w:r>
            <w:r>
              <w:rPr>
                <w:rFonts w:cs="Times New Roman"/>
                <w:noProof/>
              </w:rPr>
              <w:t xml:space="preserve">. </w:t>
            </w:r>
          </w:p>
          <w:p w14:paraId="21C10C54" w14:textId="493BF30D" w:rsidR="00DE54C7" w:rsidRPr="000E1D82" w:rsidRDefault="00DE54C7" w:rsidP="00DE54C7">
            <w:pPr>
              <w:spacing w:before="120" w:after="60"/>
              <w:jc w:val="both"/>
              <w:rPr>
                <w:rFonts w:eastAsia="Calibri" w:cs="Times New Roman"/>
                <w:bCs/>
                <w:noProof/>
                <w:szCs w:val="24"/>
              </w:rPr>
            </w:pPr>
            <w:r>
              <w:rPr>
                <w:rFonts w:cs="Times New Roman"/>
                <w:noProof/>
              </w:rPr>
              <w:t>This will involve</w:t>
            </w:r>
            <w:r w:rsidRPr="000E1D82">
              <w:rPr>
                <w:rFonts w:cs="Times New Roman"/>
                <w:noProof/>
              </w:rPr>
              <w:t>:</w:t>
            </w:r>
          </w:p>
        </w:tc>
      </w:tr>
      <w:tr w:rsidR="00DE54C7" w:rsidRPr="000E1D82" w14:paraId="4143D25D" w14:textId="77777777" w:rsidTr="004F7DB8">
        <w:tc>
          <w:tcPr>
            <w:tcW w:w="9016" w:type="dxa"/>
          </w:tcPr>
          <w:p w14:paraId="2E565691" w14:textId="068BF5EF" w:rsidR="00DE54C7" w:rsidRPr="000E1D82" w:rsidRDefault="00DE54C7" w:rsidP="000815C8">
            <w:pPr>
              <w:numPr>
                <w:ilvl w:val="0"/>
                <w:numId w:val="3"/>
              </w:numPr>
              <w:spacing w:before="60" w:after="60"/>
              <w:ind w:left="714" w:hanging="357"/>
              <w:jc w:val="both"/>
              <w:rPr>
                <w:rFonts w:eastAsia="Times New Roman" w:cs="Times New Roman"/>
                <w:noProof/>
              </w:rPr>
            </w:pPr>
            <w:r>
              <w:rPr>
                <w:rFonts w:eastAsia="Times New Roman" w:cs="Times New Roman"/>
                <w:noProof/>
              </w:rPr>
              <w:t>e</w:t>
            </w:r>
            <w:r w:rsidRPr="000E1D82">
              <w:rPr>
                <w:rFonts w:eastAsia="Times New Roman" w:cs="Times New Roman"/>
                <w:noProof/>
              </w:rPr>
              <w:t xml:space="preserve">stablishing a </w:t>
            </w:r>
            <w:r w:rsidRPr="000E1D82">
              <w:rPr>
                <w:rFonts w:eastAsia="Times New Roman" w:cs="Times New Roman"/>
                <w:b/>
                <w:bCs/>
                <w:noProof/>
              </w:rPr>
              <w:t>Cardiovascular Disease Research and Innovation Roadmap</w:t>
            </w:r>
            <w:r w:rsidRPr="000E1D82">
              <w:rPr>
                <w:rFonts w:eastAsia="Times New Roman" w:cs="Times New Roman"/>
                <w:noProof/>
              </w:rPr>
              <w:t xml:space="preserve"> to accelerate innovation and translation of research into practice on risk prediction, and personalised and digital approaches for early detection and screening, especially for women and vulnerable groups</w:t>
            </w:r>
            <w:r>
              <w:rPr>
                <w:rStyle w:val="FootnoteReference"/>
                <w:rFonts w:eastAsia="Times New Roman" w:cs="Times New Roman"/>
                <w:noProof/>
              </w:rPr>
              <w:footnoteReference w:id="163"/>
            </w:r>
            <w:r w:rsidR="001071ED">
              <w:rPr>
                <w:rFonts w:eastAsia="Times New Roman" w:cs="Times New Roman"/>
                <w:noProof/>
              </w:rPr>
              <w:t>;</w:t>
            </w:r>
          </w:p>
        </w:tc>
      </w:tr>
      <w:tr w:rsidR="00DE54C7" w:rsidRPr="000E1D82" w14:paraId="6E6F76BB" w14:textId="77777777" w:rsidTr="004F7DB8">
        <w:tc>
          <w:tcPr>
            <w:tcW w:w="9016" w:type="dxa"/>
          </w:tcPr>
          <w:p w14:paraId="61EA23E2" w14:textId="4266847A" w:rsidR="00DE54C7" w:rsidRPr="000E1D82" w:rsidRDefault="00DE54C7" w:rsidP="000815C8">
            <w:pPr>
              <w:numPr>
                <w:ilvl w:val="0"/>
                <w:numId w:val="3"/>
              </w:numPr>
              <w:spacing w:before="60" w:after="60"/>
              <w:ind w:left="714" w:hanging="357"/>
              <w:jc w:val="both"/>
              <w:rPr>
                <w:rFonts w:eastAsia="Times New Roman" w:cs="Times New Roman"/>
                <w:noProof/>
              </w:rPr>
            </w:pPr>
            <w:r>
              <w:rPr>
                <w:rFonts w:eastAsia="Times New Roman" w:cs="Times New Roman"/>
                <w:noProof/>
              </w:rPr>
              <w:t>r</w:t>
            </w:r>
            <w:r w:rsidRPr="377B81A1">
              <w:rPr>
                <w:rFonts w:eastAsia="Times New Roman" w:cs="Times New Roman"/>
                <w:noProof/>
              </w:rPr>
              <w:t xml:space="preserve">esearch on </w:t>
            </w:r>
            <w:r w:rsidRPr="377B81A1">
              <w:rPr>
                <w:rFonts w:eastAsia="Times New Roman" w:cs="Times New Roman"/>
                <w:b/>
                <w:bCs/>
                <w:noProof/>
              </w:rPr>
              <w:t xml:space="preserve">innovative healthcare interventions for cardiovascular diseases and diabetes, </w:t>
            </w:r>
            <w:r w:rsidRPr="377B81A1">
              <w:rPr>
                <w:rFonts w:eastAsia="Times New Roman" w:cs="Times New Roman"/>
                <w:noProof/>
              </w:rPr>
              <w:t>including AI and digital approaches, to improve risk prediction, early detection and screening practices through personalised prevention and care pathways</w:t>
            </w:r>
            <w:r>
              <w:rPr>
                <w:rStyle w:val="FootnoteReference"/>
                <w:rFonts w:eastAsia="Times New Roman" w:cs="Times New Roman"/>
                <w:noProof/>
              </w:rPr>
              <w:footnoteReference w:id="164"/>
            </w:r>
            <w:r w:rsidR="001071ED">
              <w:rPr>
                <w:rFonts w:eastAsia="Times New Roman" w:cs="Times New Roman"/>
                <w:noProof/>
              </w:rPr>
              <w:t>;</w:t>
            </w:r>
          </w:p>
        </w:tc>
      </w:tr>
      <w:tr w:rsidR="00DE54C7" w:rsidRPr="000E1D82" w14:paraId="17A499E1" w14:textId="77777777" w:rsidTr="004F7DB8">
        <w:tc>
          <w:tcPr>
            <w:tcW w:w="9016" w:type="dxa"/>
          </w:tcPr>
          <w:p w14:paraId="452AD7C6" w14:textId="71F50E10" w:rsidR="00DE54C7" w:rsidRPr="000E1D82" w:rsidRDefault="00DE54C7" w:rsidP="000815C8">
            <w:pPr>
              <w:numPr>
                <w:ilvl w:val="0"/>
                <w:numId w:val="3"/>
              </w:numPr>
              <w:spacing w:before="60" w:after="60"/>
              <w:jc w:val="both"/>
              <w:rPr>
                <w:rFonts w:eastAsia="Times New Roman" w:cs="Times New Roman"/>
                <w:noProof/>
              </w:rPr>
            </w:pPr>
            <w:r>
              <w:rPr>
                <w:rFonts w:eastAsia="Times New Roman" w:cs="Times New Roman"/>
                <w:noProof/>
              </w:rPr>
              <w:t>r</w:t>
            </w:r>
            <w:r w:rsidRPr="377B81A1">
              <w:rPr>
                <w:rFonts w:eastAsia="Times New Roman" w:cs="Times New Roman"/>
                <w:noProof/>
              </w:rPr>
              <w:t xml:space="preserve">esearch on the role of </w:t>
            </w:r>
            <w:r w:rsidRPr="00914153">
              <w:rPr>
                <w:rFonts w:eastAsia="Times New Roman" w:cs="Times New Roman"/>
                <w:b/>
                <w:bCs/>
                <w:noProof/>
              </w:rPr>
              <w:t>sustainable and healthy diets</w:t>
            </w:r>
            <w:r w:rsidRPr="377B81A1">
              <w:rPr>
                <w:rFonts w:eastAsia="Times New Roman" w:cs="Times New Roman"/>
                <w:noProof/>
              </w:rPr>
              <w:t xml:space="preserve"> for cardiovascular disease prevention with the support of digital tools, including the link between nutrition, the gut microbiome and cardiovascular disease</w:t>
            </w:r>
            <w:r>
              <w:rPr>
                <w:rStyle w:val="FootnoteReference"/>
                <w:rFonts w:eastAsia="Times New Roman" w:cs="Times New Roman"/>
                <w:noProof/>
              </w:rPr>
              <w:footnoteReference w:id="165"/>
            </w:r>
            <w:r w:rsidR="001071ED">
              <w:rPr>
                <w:rFonts w:eastAsia="Times New Roman" w:cs="Times New Roman"/>
                <w:noProof/>
              </w:rPr>
              <w:t>;</w:t>
            </w:r>
          </w:p>
        </w:tc>
      </w:tr>
      <w:tr w:rsidR="00DE54C7" w:rsidRPr="000E1D82" w14:paraId="1B752A9C" w14:textId="77777777" w:rsidTr="004F7DB8">
        <w:tc>
          <w:tcPr>
            <w:tcW w:w="9016" w:type="dxa"/>
          </w:tcPr>
          <w:p w14:paraId="4D5AEAD6" w14:textId="61298288" w:rsidR="00DE54C7" w:rsidRPr="00E4479F" w:rsidRDefault="00DE54C7" w:rsidP="000815C8">
            <w:pPr>
              <w:numPr>
                <w:ilvl w:val="0"/>
                <w:numId w:val="3"/>
              </w:numPr>
              <w:spacing w:before="60" w:after="60"/>
              <w:jc w:val="both"/>
              <w:rPr>
                <w:rFonts w:eastAsia="Times New Roman" w:cs="Times New Roman"/>
                <w:noProof/>
              </w:rPr>
            </w:pPr>
            <w:r>
              <w:rPr>
                <w:rFonts w:cs="Times New Roman"/>
                <w:noProof/>
              </w:rPr>
              <w:t>r</w:t>
            </w:r>
            <w:r w:rsidRPr="000E1D82">
              <w:rPr>
                <w:rFonts w:cs="Times New Roman"/>
                <w:noProof/>
              </w:rPr>
              <w:t xml:space="preserve">esearch on </w:t>
            </w:r>
            <w:r w:rsidRPr="000E1D82">
              <w:rPr>
                <w:rFonts w:cs="Times New Roman"/>
                <w:b/>
                <w:bCs/>
                <w:noProof/>
              </w:rPr>
              <w:t>cardiovascular, metabolic and renal diseases</w:t>
            </w:r>
            <w:r w:rsidRPr="000E1D82">
              <w:rPr>
                <w:rFonts w:cs="Times New Roman"/>
                <w:noProof/>
              </w:rPr>
              <w:t>, under the European Partnership for Personalised Medicine</w:t>
            </w:r>
            <w:r>
              <w:rPr>
                <w:rStyle w:val="FootnoteReference"/>
                <w:rFonts w:cs="Times New Roman"/>
                <w:noProof/>
              </w:rPr>
              <w:footnoteReference w:id="166"/>
            </w:r>
            <w:r w:rsidR="001071ED">
              <w:rPr>
                <w:rFonts w:cs="Times New Roman"/>
                <w:noProof/>
              </w:rPr>
              <w:t>;</w:t>
            </w:r>
          </w:p>
          <w:p w14:paraId="20B00323" w14:textId="10818C07" w:rsidR="00DE54C7" w:rsidRPr="000E1D82" w:rsidRDefault="00BF2771" w:rsidP="000815C8">
            <w:pPr>
              <w:numPr>
                <w:ilvl w:val="0"/>
                <w:numId w:val="3"/>
              </w:numPr>
              <w:spacing w:before="60" w:after="60"/>
              <w:jc w:val="both"/>
              <w:rPr>
                <w:rFonts w:eastAsia="Times New Roman" w:cs="Times New Roman"/>
                <w:noProof/>
              </w:rPr>
            </w:pPr>
            <w:r w:rsidRPr="00BF2771">
              <w:rPr>
                <w:rFonts w:eastAsia="Times New Roman" w:cs="Times New Roman"/>
                <w:noProof/>
              </w:rPr>
              <w:t xml:space="preserve">funding of </w:t>
            </w:r>
            <w:r w:rsidRPr="00E4479F">
              <w:rPr>
                <w:rFonts w:eastAsia="Times New Roman" w:cs="Times New Roman"/>
                <w:b/>
                <w:bCs/>
                <w:noProof/>
              </w:rPr>
              <w:t>Public Procurement of Innovation</w:t>
            </w:r>
            <w:r w:rsidRPr="00BF2771">
              <w:rPr>
                <w:rFonts w:eastAsia="Times New Roman" w:cs="Times New Roman"/>
                <w:noProof/>
              </w:rPr>
              <w:t xml:space="preserve"> for personalised healthcare approaches including cardiovascular diseases</w:t>
            </w:r>
            <w:r w:rsidR="00F8695E">
              <w:rPr>
                <w:rStyle w:val="FootnoteReference"/>
                <w:rFonts w:eastAsia="Times New Roman" w:cs="Times New Roman"/>
                <w:noProof/>
              </w:rPr>
              <w:footnoteReference w:id="167"/>
            </w:r>
            <w:r w:rsidR="001071ED">
              <w:rPr>
                <w:rFonts w:eastAsia="Times New Roman" w:cs="Times New Roman"/>
                <w:noProof/>
              </w:rPr>
              <w:t>;</w:t>
            </w:r>
          </w:p>
        </w:tc>
      </w:tr>
      <w:tr w:rsidR="00DE54C7" w:rsidRPr="000E1D82" w14:paraId="3BBD6C95" w14:textId="77777777" w:rsidTr="004F7DB8">
        <w:tc>
          <w:tcPr>
            <w:tcW w:w="9016" w:type="dxa"/>
          </w:tcPr>
          <w:p w14:paraId="78F074CA" w14:textId="0F27B491" w:rsidR="00DE54C7" w:rsidRPr="000E1D82" w:rsidRDefault="00DE54C7" w:rsidP="000815C8">
            <w:pPr>
              <w:numPr>
                <w:ilvl w:val="0"/>
                <w:numId w:val="3"/>
              </w:numPr>
              <w:spacing w:before="60" w:after="60"/>
              <w:ind w:left="714" w:hanging="357"/>
              <w:jc w:val="both"/>
              <w:rPr>
                <w:rFonts w:cs="Times New Roman"/>
                <w:noProof/>
              </w:rPr>
            </w:pPr>
            <w:r>
              <w:rPr>
                <w:rFonts w:cs="Times New Roman"/>
                <w:b/>
                <w:bCs/>
                <w:noProof/>
              </w:rPr>
              <w:t>p</w:t>
            </w:r>
            <w:r w:rsidRPr="000E1D82">
              <w:rPr>
                <w:rFonts w:cs="Times New Roman"/>
                <w:b/>
                <w:bCs/>
                <w:noProof/>
              </w:rPr>
              <w:t>re-clinical research and multi-country clinical trials</w:t>
            </w:r>
            <w:r w:rsidRPr="000E1D82">
              <w:rPr>
                <w:rFonts w:cs="Times New Roman"/>
                <w:noProof/>
              </w:rPr>
              <w:t xml:space="preserve"> </w:t>
            </w:r>
            <w:r w:rsidR="004632EA">
              <w:rPr>
                <w:rFonts w:cs="Times New Roman"/>
                <w:noProof/>
              </w:rPr>
              <w:t>on</w:t>
            </w:r>
            <w:r w:rsidRPr="000E1D82">
              <w:rPr>
                <w:rFonts w:cs="Times New Roman"/>
                <w:noProof/>
              </w:rPr>
              <w:t xml:space="preserve"> cardiovascular diseases, nanomedicine, nutrition and healthy lifestyles under the </w:t>
            </w:r>
            <w:r w:rsidRPr="000E1D82">
              <w:rPr>
                <w:noProof/>
              </w:rPr>
              <w:t xml:space="preserve">European Partnership </w:t>
            </w:r>
            <w:r>
              <w:rPr>
                <w:noProof/>
              </w:rPr>
              <w:t>that fosters</w:t>
            </w:r>
            <w:r w:rsidRPr="000E1D82">
              <w:rPr>
                <w:noProof/>
              </w:rPr>
              <w:t xml:space="preserve"> a European Research Area for health research (ERA4Health)</w:t>
            </w:r>
            <w:r w:rsidRPr="000E1D82">
              <w:rPr>
                <w:rStyle w:val="FootnoteReference"/>
                <w:rFonts w:cs="Times New Roman"/>
                <w:noProof/>
              </w:rPr>
              <w:footnoteReference w:id="168"/>
            </w:r>
            <w:r>
              <w:rPr>
                <w:rFonts w:cs="Times New Roman"/>
                <w:noProof/>
              </w:rPr>
              <w:t>.</w:t>
            </w:r>
            <w:r w:rsidRPr="377B81A1">
              <w:rPr>
                <w:rFonts w:cs="Times New Roman"/>
                <w:noProof/>
              </w:rPr>
              <w:t xml:space="preserve"> </w:t>
            </w:r>
          </w:p>
        </w:tc>
      </w:tr>
    </w:tbl>
    <w:p w14:paraId="046D9D26"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Working Together: a framework for collaboration and monitoring</w:t>
      </w:r>
    </w:p>
    <w:p w14:paraId="7C326DAD" w14:textId="530D9EA4" w:rsidR="00DE54C7" w:rsidRDefault="00DE54C7" w:rsidP="00DE54C7">
      <w:pPr>
        <w:jc w:val="both"/>
        <w:rPr>
          <w:rFonts w:cs="Times New Roman"/>
          <w:noProof/>
        </w:rPr>
      </w:pPr>
      <w:r w:rsidRPr="000E1D82">
        <w:rPr>
          <w:rFonts w:cs="Times New Roman"/>
          <w:noProof/>
        </w:rPr>
        <w:t>Tackling cardiovascular diseases requires a</w:t>
      </w:r>
      <w:r w:rsidR="0007696C">
        <w:rPr>
          <w:rFonts w:cs="Times New Roman"/>
          <w:noProof/>
        </w:rPr>
        <w:t xml:space="preserve"> </w:t>
      </w:r>
      <w:r w:rsidRPr="000E1D82">
        <w:rPr>
          <w:rFonts w:cs="Times New Roman"/>
          <w:b/>
          <w:bCs/>
          <w:noProof/>
        </w:rPr>
        <w:t>multi-stakeholder and cross-sectoral effort</w:t>
      </w:r>
      <w:r w:rsidRPr="000E1D82">
        <w:rPr>
          <w:rFonts w:cs="Times New Roman"/>
          <w:noProof/>
        </w:rPr>
        <w:t xml:space="preserve">, </w:t>
      </w:r>
      <w:r>
        <w:rPr>
          <w:rFonts w:cs="Times New Roman"/>
          <w:noProof/>
        </w:rPr>
        <w:t xml:space="preserve">that </w:t>
      </w:r>
      <w:r w:rsidR="004632EA" w:rsidRPr="000E1D82">
        <w:rPr>
          <w:rFonts w:cs="Times New Roman"/>
          <w:noProof/>
        </w:rPr>
        <w:t>bring</w:t>
      </w:r>
      <w:r w:rsidR="004632EA">
        <w:rPr>
          <w:rFonts w:cs="Times New Roman"/>
          <w:noProof/>
        </w:rPr>
        <w:t>s</w:t>
      </w:r>
      <w:r w:rsidR="004632EA" w:rsidRPr="000E1D82">
        <w:rPr>
          <w:rFonts w:cs="Times New Roman"/>
          <w:noProof/>
        </w:rPr>
        <w:t xml:space="preserve"> together</w:t>
      </w:r>
      <w:r w:rsidRPr="000E1D82">
        <w:rPr>
          <w:rFonts w:cs="Times New Roman"/>
          <w:noProof/>
        </w:rPr>
        <w:t xml:space="preserve"> policymakers, health professionals, researchers, healthcare institutions, industry, civil society, and people with lived experience, to drive innovation, share knowledge, and place citizens at the heart of our solutions.</w:t>
      </w:r>
    </w:p>
    <w:p w14:paraId="35A692DD" w14:textId="14275F4E" w:rsidR="00DE54C7" w:rsidRDefault="00DE54C7" w:rsidP="00DE54C7">
      <w:pPr>
        <w:spacing w:before="120"/>
        <w:jc w:val="both"/>
        <w:rPr>
          <w:noProof/>
        </w:rPr>
      </w:pPr>
      <w:r w:rsidRPr="000E1D82">
        <w:rPr>
          <w:rStyle w:val="Strong"/>
          <w:rFonts w:cs="Times New Roman"/>
          <w:b w:val="0"/>
          <w:bCs w:val="0"/>
          <w:noProof/>
        </w:rPr>
        <w:t>The Youth Advisory Group</w:t>
      </w:r>
      <w:r w:rsidRPr="000E1D82">
        <w:rPr>
          <w:rStyle w:val="FootnoteReference"/>
          <w:rFonts w:cs="Times New Roman"/>
          <w:noProof/>
        </w:rPr>
        <w:footnoteReference w:id="169"/>
      </w:r>
      <w:r w:rsidRPr="000E1D82">
        <w:rPr>
          <w:rStyle w:val="Strong"/>
          <w:rFonts w:cs="Times New Roman"/>
          <w:b w:val="0"/>
          <w:bCs w:val="0"/>
          <w:noProof/>
        </w:rPr>
        <w:t xml:space="preserve"> of the Prevent NCD </w:t>
      </w:r>
      <w:r>
        <w:rPr>
          <w:rStyle w:val="Strong"/>
          <w:rFonts w:cs="Times New Roman"/>
          <w:b w:val="0"/>
          <w:bCs w:val="0"/>
          <w:noProof/>
        </w:rPr>
        <w:t xml:space="preserve">joint action </w:t>
      </w:r>
      <w:r w:rsidRPr="000E1D82">
        <w:rPr>
          <w:rStyle w:val="Strong"/>
          <w:rFonts w:cs="Times New Roman"/>
          <w:b w:val="0"/>
          <w:bCs w:val="0"/>
          <w:noProof/>
        </w:rPr>
        <w:t xml:space="preserve">provides a blueprint </w:t>
      </w:r>
      <w:r>
        <w:rPr>
          <w:rStyle w:val="Strong"/>
          <w:rFonts w:cs="Times New Roman"/>
          <w:b w:val="0"/>
          <w:bCs w:val="0"/>
          <w:noProof/>
        </w:rPr>
        <w:t>for</w:t>
      </w:r>
      <w:r w:rsidRPr="000E1D82">
        <w:rPr>
          <w:rStyle w:val="Strong"/>
          <w:rFonts w:cs="Times New Roman"/>
          <w:b w:val="0"/>
          <w:bCs w:val="0"/>
          <w:noProof/>
        </w:rPr>
        <w:t xml:space="preserve"> how young people’s perspectives can be integrated, including at national level, into the prevention and care of </w:t>
      </w:r>
      <w:r>
        <w:rPr>
          <w:rStyle w:val="Strong"/>
          <w:rFonts w:cs="Times New Roman"/>
          <w:b w:val="0"/>
          <w:bCs w:val="0"/>
          <w:noProof/>
        </w:rPr>
        <w:t>NCDs</w:t>
      </w:r>
      <w:r w:rsidRPr="000E1D82">
        <w:rPr>
          <w:noProof/>
        </w:rPr>
        <w:t>, such as cardiovascular diseases</w:t>
      </w:r>
      <w:r w:rsidRPr="000E1D82">
        <w:rPr>
          <w:rStyle w:val="FootnoteReference"/>
          <w:noProof/>
        </w:rPr>
        <w:footnoteReference w:id="170"/>
      </w:r>
      <w:r w:rsidRPr="000E1D82">
        <w:rPr>
          <w:noProof/>
        </w:rPr>
        <w:t xml:space="preserve">. </w:t>
      </w:r>
    </w:p>
    <w:p w14:paraId="525CFC6E" w14:textId="457FDD39" w:rsidR="00DE54C7" w:rsidRPr="000E1D82" w:rsidRDefault="00DE54C7" w:rsidP="00DE54C7">
      <w:pPr>
        <w:jc w:val="both"/>
        <w:rPr>
          <w:rFonts w:cs="Times New Roman"/>
          <w:noProof/>
        </w:rPr>
      </w:pPr>
      <w:r w:rsidRPr="000E1D82">
        <w:rPr>
          <w:rFonts w:cs="Times New Roman"/>
          <w:noProof/>
        </w:rPr>
        <w:t xml:space="preserve">The Commission </w:t>
      </w:r>
      <w:r>
        <w:rPr>
          <w:rFonts w:cs="Times New Roman"/>
          <w:noProof/>
        </w:rPr>
        <w:t>intends to</w:t>
      </w:r>
      <w:r w:rsidRPr="000E1D82">
        <w:rPr>
          <w:rFonts w:cs="Times New Roman"/>
          <w:noProof/>
        </w:rPr>
        <w:t>:</w:t>
      </w:r>
    </w:p>
    <w:p w14:paraId="544CE120" w14:textId="2AED2465" w:rsidR="00DE54C7" w:rsidRPr="000E1D82" w:rsidRDefault="00DE54C7" w:rsidP="00DE54C7">
      <w:pPr>
        <w:numPr>
          <w:ilvl w:val="0"/>
          <w:numId w:val="3"/>
        </w:numPr>
        <w:spacing w:before="120" w:after="0" w:line="240" w:lineRule="auto"/>
        <w:jc w:val="both"/>
        <w:rPr>
          <w:rFonts w:eastAsia="Times New Roman" w:cs="Times New Roman"/>
          <w:noProof/>
        </w:rPr>
      </w:pPr>
      <w:r w:rsidRPr="000E1D82">
        <w:rPr>
          <w:rFonts w:eastAsia="Times New Roman" w:cs="Times New Roman"/>
          <w:noProof/>
        </w:rPr>
        <w:t>continue to develop actions with Member States through the Expert Group on Public Health</w:t>
      </w:r>
      <w:r w:rsidRPr="000E1D82">
        <w:rPr>
          <w:rStyle w:val="FootnoteReference"/>
          <w:rFonts w:eastAsia="Times New Roman" w:cs="Times New Roman"/>
          <w:noProof/>
        </w:rPr>
        <w:footnoteReference w:id="171"/>
      </w:r>
      <w:r w:rsidRPr="000E1D82">
        <w:rPr>
          <w:rFonts w:eastAsia="Times New Roman" w:cs="Times New Roman"/>
          <w:noProof/>
        </w:rPr>
        <w:t xml:space="preserve">, which is the main forum for discussions on the prevention and management of cardiovascular diseases and other </w:t>
      </w:r>
      <w:r>
        <w:rPr>
          <w:rFonts w:eastAsia="Times New Roman" w:cs="Times New Roman"/>
          <w:noProof/>
        </w:rPr>
        <w:t>NCDs</w:t>
      </w:r>
      <w:r w:rsidR="00715CBD">
        <w:rPr>
          <w:rFonts w:eastAsia="Times New Roman" w:cs="Times New Roman"/>
          <w:noProof/>
        </w:rPr>
        <w:t>;</w:t>
      </w:r>
    </w:p>
    <w:p w14:paraId="2465684F" w14:textId="3DFAB447" w:rsidR="00DE54C7" w:rsidRPr="000E1D82" w:rsidRDefault="00DE54C7" w:rsidP="00DE54C7">
      <w:pPr>
        <w:numPr>
          <w:ilvl w:val="0"/>
          <w:numId w:val="3"/>
        </w:numPr>
        <w:spacing w:before="120" w:after="0" w:line="240" w:lineRule="auto"/>
        <w:jc w:val="both"/>
        <w:rPr>
          <w:rFonts w:eastAsia="Times New Roman" w:cs="Times New Roman"/>
          <w:noProof/>
        </w:rPr>
      </w:pPr>
      <w:r w:rsidRPr="000E1D82">
        <w:rPr>
          <w:rFonts w:eastAsia="Times New Roman" w:cs="Times New Roman"/>
          <w:noProof/>
        </w:rPr>
        <w:t>create a network of cardiovascular and diabetes experts</w:t>
      </w:r>
      <w:r w:rsidRPr="000E1D82">
        <w:rPr>
          <w:rFonts w:eastAsia="Times New Roman"/>
          <w:noProof/>
          <w:vertAlign w:val="superscript"/>
        </w:rPr>
        <w:footnoteReference w:id="172"/>
      </w:r>
      <w:r w:rsidRPr="000E1D82">
        <w:rPr>
          <w:rFonts w:eastAsia="Times New Roman" w:cs="Times New Roman"/>
          <w:noProof/>
        </w:rPr>
        <w:t>, including medical societies and patient organisations</w:t>
      </w:r>
      <w:r w:rsidR="00715CBD">
        <w:rPr>
          <w:rFonts w:eastAsia="Times New Roman" w:cs="Times New Roman"/>
          <w:noProof/>
        </w:rPr>
        <w:t>;</w:t>
      </w:r>
    </w:p>
    <w:p w14:paraId="615F76D0" w14:textId="7D8C2349" w:rsidR="00DE54C7" w:rsidRPr="000E1D82" w:rsidRDefault="00DE54C7" w:rsidP="00DE54C7">
      <w:pPr>
        <w:numPr>
          <w:ilvl w:val="0"/>
          <w:numId w:val="3"/>
        </w:numPr>
        <w:spacing w:before="120" w:after="0" w:line="240" w:lineRule="auto"/>
        <w:jc w:val="both"/>
        <w:rPr>
          <w:rFonts w:eastAsia="Times New Roman" w:cs="Times New Roman"/>
          <w:noProof/>
        </w:rPr>
      </w:pPr>
      <w:r w:rsidRPr="000E1D82">
        <w:rPr>
          <w:rFonts w:eastAsia="Times New Roman" w:cs="Times New Roman"/>
          <w:noProof/>
        </w:rPr>
        <w:t>support targeted actions</w:t>
      </w:r>
      <w:r w:rsidRPr="000E1D82">
        <w:rPr>
          <w:rFonts w:eastAsia="Times New Roman"/>
          <w:noProof/>
          <w:vertAlign w:val="superscript"/>
        </w:rPr>
        <w:footnoteReference w:id="173"/>
      </w:r>
      <w:r w:rsidR="0007696C">
        <w:rPr>
          <w:rFonts w:eastAsia="Times New Roman" w:cs="Times New Roman"/>
          <w:noProof/>
        </w:rPr>
        <w:t xml:space="preserve"> </w:t>
      </w:r>
      <w:r w:rsidRPr="000E1D82">
        <w:rPr>
          <w:rFonts w:eastAsia="Times New Roman" w:cs="Times New Roman"/>
          <w:noProof/>
        </w:rPr>
        <w:t>to reduce cardiovascular disease and diabetes risk among vulnerable groups, especially women</w:t>
      </w:r>
      <w:r w:rsidR="00715CBD">
        <w:rPr>
          <w:rFonts w:eastAsia="Times New Roman" w:cs="Times New Roman"/>
          <w:noProof/>
        </w:rPr>
        <w:t>;</w:t>
      </w:r>
    </w:p>
    <w:p w14:paraId="053A72F0" w14:textId="0FD24AD6" w:rsidR="0066220B" w:rsidRPr="000E1D82" w:rsidRDefault="0066220B" w:rsidP="00DE54C7">
      <w:pPr>
        <w:numPr>
          <w:ilvl w:val="0"/>
          <w:numId w:val="3"/>
        </w:numPr>
        <w:spacing w:before="120" w:after="0" w:line="240" w:lineRule="auto"/>
        <w:jc w:val="both"/>
        <w:rPr>
          <w:rFonts w:eastAsia="Times New Roman" w:cs="Times New Roman"/>
          <w:noProof/>
        </w:rPr>
      </w:pPr>
      <w:bookmarkStart w:id="12" w:name="_Hlk216356633"/>
      <w:r w:rsidRPr="0066220B">
        <w:rPr>
          <w:rFonts w:eastAsia="Times New Roman" w:cs="Times New Roman"/>
          <w:noProof/>
        </w:rPr>
        <w:t xml:space="preserve">strengthen collaboration between cardiovascular experts and </w:t>
      </w:r>
      <w:r w:rsidR="00995F74">
        <w:rPr>
          <w:rFonts w:eastAsia="Times New Roman" w:cs="Times New Roman"/>
          <w:noProof/>
        </w:rPr>
        <w:t>cancer experts</w:t>
      </w:r>
      <w:r w:rsidR="004D00B6">
        <w:rPr>
          <w:rFonts w:eastAsia="Times New Roman" w:cs="Times New Roman"/>
          <w:noProof/>
        </w:rPr>
        <w:t xml:space="preserve"> </w:t>
      </w:r>
      <w:r w:rsidRPr="0066220B">
        <w:rPr>
          <w:rFonts w:eastAsia="Times New Roman" w:cs="Times New Roman"/>
          <w:noProof/>
        </w:rPr>
        <w:t>to support the joint efforts on prevention of diseases;</w:t>
      </w:r>
    </w:p>
    <w:bookmarkEnd w:id="12"/>
    <w:p w14:paraId="265DFAC8" w14:textId="45CC0287" w:rsidR="00DE54C7" w:rsidRPr="00914153" w:rsidRDefault="00DE54C7" w:rsidP="00DE54C7">
      <w:pPr>
        <w:numPr>
          <w:ilvl w:val="0"/>
          <w:numId w:val="3"/>
        </w:numPr>
        <w:spacing w:before="120" w:after="0" w:line="240" w:lineRule="auto"/>
        <w:jc w:val="both"/>
        <w:rPr>
          <w:rFonts w:eastAsia="Times New Roman" w:cs="Times New Roman"/>
          <w:noProof/>
        </w:rPr>
      </w:pPr>
      <w:r w:rsidRPr="00914153">
        <w:rPr>
          <w:rFonts w:eastAsia="Times New Roman" w:cs="Times New Roman"/>
          <w:noProof/>
        </w:rPr>
        <w:t xml:space="preserve">support </w:t>
      </w:r>
      <w:r w:rsidRPr="00EF2380">
        <w:rPr>
          <w:rFonts w:eastAsia="Times New Roman" w:cs="Times New Roman"/>
          <w:noProof/>
        </w:rPr>
        <w:t xml:space="preserve">a thematic network under the </w:t>
      </w:r>
      <w:r w:rsidRPr="00914153">
        <w:rPr>
          <w:rFonts w:eastAsia="Times New Roman" w:cs="Times New Roman"/>
          <w:noProof/>
        </w:rPr>
        <w:t xml:space="preserve">EU </w:t>
      </w:r>
      <w:r w:rsidRPr="00EF2380">
        <w:rPr>
          <w:rFonts w:eastAsia="Times New Roman" w:cs="Times New Roman"/>
          <w:noProof/>
        </w:rPr>
        <w:t>Health Policy Platform</w:t>
      </w:r>
      <w:r w:rsidR="008B3E96">
        <w:rPr>
          <w:rStyle w:val="FootnoteReference"/>
          <w:rFonts w:eastAsia="Times New Roman" w:cs="Times New Roman"/>
          <w:noProof/>
        </w:rPr>
        <w:footnoteReference w:id="174"/>
      </w:r>
      <w:r w:rsidRPr="00EF2380">
        <w:rPr>
          <w:rFonts w:eastAsia="Times New Roman" w:cs="Times New Roman"/>
          <w:noProof/>
        </w:rPr>
        <w:t xml:space="preserve"> </w:t>
      </w:r>
      <w:r w:rsidRPr="00914153">
        <w:rPr>
          <w:rFonts w:eastAsia="Times New Roman" w:cs="Times New Roman"/>
          <w:noProof/>
        </w:rPr>
        <w:t xml:space="preserve">will </w:t>
      </w:r>
      <w:r w:rsidRPr="00EF2380">
        <w:rPr>
          <w:rFonts w:eastAsia="Times New Roman" w:cs="Times New Roman"/>
          <w:noProof/>
        </w:rPr>
        <w:t>enable sustained stakeholder dialogue and action</w:t>
      </w:r>
      <w:r>
        <w:rPr>
          <w:rFonts w:eastAsia="Times New Roman" w:cs="Times New Roman"/>
          <w:noProof/>
        </w:rPr>
        <w:t>, focusing on young people</w:t>
      </w:r>
      <w:r w:rsidR="00715CBD">
        <w:rPr>
          <w:rFonts w:eastAsia="Times New Roman" w:cs="Times New Roman"/>
          <w:noProof/>
        </w:rPr>
        <w:t>;</w:t>
      </w:r>
    </w:p>
    <w:p w14:paraId="7E6A8FBD" w14:textId="11119A98" w:rsidR="00DE54C7" w:rsidRDefault="00DE54C7" w:rsidP="00DE54C7">
      <w:pPr>
        <w:numPr>
          <w:ilvl w:val="0"/>
          <w:numId w:val="3"/>
        </w:numPr>
        <w:spacing w:before="120" w:after="0" w:line="240" w:lineRule="auto"/>
        <w:jc w:val="both"/>
        <w:rPr>
          <w:rFonts w:eastAsia="Times New Roman" w:cs="Times New Roman"/>
          <w:noProof/>
        </w:rPr>
      </w:pPr>
      <w:r w:rsidRPr="000E1D82">
        <w:rPr>
          <w:rFonts w:eastAsia="Times New Roman" w:cs="Times New Roman"/>
          <w:noProof/>
        </w:rPr>
        <w:t>launch a</w:t>
      </w:r>
      <w:r w:rsidR="0007696C">
        <w:rPr>
          <w:rFonts w:eastAsia="Times New Roman" w:cs="Times New Roman"/>
          <w:noProof/>
        </w:rPr>
        <w:t xml:space="preserve"> </w:t>
      </w:r>
      <w:r w:rsidRPr="000E1D82">
        <w:rPr>
          <w:rFonts w:eastAsia="Times New Roman" w:cs="Times New Roman"/>
          <w:noProof/>
        </w:rPr>
        <w:t>call for evidence-based public health interventions on cardiovascular diseases and related risk factors including diabetes and obesity under the EU Best Practice Portal</w:t>
      </w:r>
      <w:r w:rsidRPr="000E1D82">
        <w:rPr>
          <w:rFonts w:eastAsia="Times New Roman"/>
          <w:noProof/>
          <w:vertAlign w:val="superscript"/>
        </w:rPr>
        <w:footnoteReference w:id="175"/>
      </w:r>
      <w:r w:rsidR="00715CBD">
        <w:rPr>
          <w:rFonts w:eastAsia="Times New Roman" w:cs="Times New Roman"/>
          <w:noProof/>
        </w:rPr>
        <w:t>.</w:t>
      </w:r>
    </w:p>
    <w:p w14:paraId="591931A1" w14:textId="5FC967C9" w:rsidR="00DE54C7" w:rsidRPr="000E1D82" w:rsidRDefault="00DE54C7" w:rsidP="00DE54C7">
      <w:pPr>
        <w:spacing w:before="120"/>
        <w:jc w:val="both"/>
        <w:rPr>
          <w:noProof/>
        </w:rPr>
      </w:pPr>
      <w:r w:rsidRPr="000E1D82">
        <w:rPr>
          <w:noProof/>
        </w:rPr>
        <w:t xml:space="preserve">Cardiovascular diseases are a </w:t>
      </w:r>
      <w:r w:rsidRPr="000E1D82">
        <w:rPr>
          <w:b/>
          <w:bCs/>
          <w:noProof/>
        </w:rPr>
        <w:t>global public health challenge</w:t>
      </w:r>
      <w:r w:rsidRPr="000E1D82">
        <w:rPr>
          <w:noProof/>
        </w:rPr>
        <w:t xml:space="preserve">. They are the leading cause of death worldwide and account for 32% of all global deaths. Tackling this challenge requires collaboration with countries </w:t>
      </w:r>
      <w:r>
        <w:rPr>
          <w:noProof/>
        </w:rPr>
        <w:t>that</w:t>
      </w:r>
      <w:r w:rsidRPr="000E1D82">
        <w:rPr>
          <w:noProof/>
        </w:rPr>
        <w:t xml:space="preserve"> share common challenges. At the global level, the Commission will cooperate in the fight against cardiovascular diseases and other</w:t>
      </w:r>
      <w:r>
        <w:rPr>
          <w:noProof/>
        </w:rPr>
        <w:t xml:space="preserve"> NCDs </w:t>
      </w:r>
      <w:r w:rsidRPr="000E1D82">
        <w:rPr>
          <w:noProof/>
        </w:rPr>
        <w:t xml:space="preserve">by </w:t>
      </w:r>
      <w:r>
        <w:rPr>
          <w:noProof/>
        </w:rPr>
        <w:t>accelerating</w:t>
      </w:r>
      <w:r w:rsidRPr="000E1D82">
        <w:rPr>
          <w:noProof/>
        </w:rPr>
        <w:t xml:space="preserve"> progress through joint projects </w:t>
      </w:r>
      <w:r>
        <w:rPr>
          <w:noProof/>
        </w:rPr>
        <w:t>to</w:t>
      </w:r>
      <w:r w:rsidRPr="000E1D82">
        <w:rPr>
          <w:noProof/>
        </w:rPr>
        <w:t xml:space="preserve"> reduc</w:t>
      </w:r>
      <w:r>
        <w:rPr>
          <w:noProof/>
        </w:rPr>
        <w:t>e</w:t>
      </w:r>
      <w:r w:rsidRPr="000E1D82">
        <w:rPr>
          <w:noProof/>
        </w:rPr>
        <w:t xml:space="preserve"> their burden through </w:t>
      </w:r>
      <w:r>
        <w:rPr>
          <w:noProof/>
        </w:rPr>
        <w:t xml:space="preserve">the </w:t>
      </w:r>
      <w:r w:rsidRPr="000E1D82">
        <w:rPr>
          <w:noProof/>
        </w:rPr>
        <w:t xml:space="preserve">exchange of best practices and approaches in the context of global collaboration with </w:t>
      </w:r>
      <w:r>
        <w:rPr>
          <w:noProof/>
        </w:rPr>
        <w:t>non-EU</w:t>
      </w:r>
      <w:r w:rsidRPr="000E1D82">
        <w:rPr>
          <w:noProof/>
        </w:rPr>
        <w:t xml:space="preserve"> countries, international partners, global health institutions and actors, and stakeholders</w:t>
      </w:r>
      <w:r w:rsidR="008B5740">
        <w:rPr>
          <w:noProof/>
        </w:rPr>
        <w:t>, including in the context of the Global Alliance for Chronic Diseases</w:t>
      </w:r>
      <w:r w:rsidR="00482E0A">
        <w:rPr>
          <w:noProof/>
        </w:rPr>
        <w:t xml:space="preserve"> (GACD), which is co-funded by the Commission</w:t>
      </w:r>
      <w:r w:rsidR="00123448">
        <w:rPr>
          <w:rStyle w:val="FootnoteReference"/>
          <w:noProof/>
        </w:rPr>
        <w:footnoteReference w:id="176"/>
      </w:r>
    </w:p>
    <w:p w14:paraId="3691E3F3" w14:textId="77777777" w:rsidR="00DE54C7" w:rsidRPr="000E1D82" w:rsidRDefault="00DE54C7" w:rsidP="003E1314">
      <w:pPr>
        <w:pStyle w:val="Heading1"/>
        <w:numPr>
          <w:ilvl w:val="0"/>
          <w:numId w:val="127"/>
        </w:numPr>
        <w:spacing w:before="240" w:after="120"/>
        <w:jc w:val="both"/>
        <w:rPr>
          <w:rFonts w:ascii="Times New Roman" w:hAnsi="Times New Roman" w:cs="Times New Roman"/>
          <w:b/>
          <w:smallCaps/>
          <w:noProof/>
          <w:color w:val="auto"/>
          <w:sz w:val="24"/>
          <w:szCs w:val="24"/>
        </w:rPr>
      </w:pPr>
      <w:r w:rsidRPr="000E1D82">
        <w:rPr>
          <w:rFonts w:ascii="Times New Roman" w:hAnsi="Times New Roman" w:cs="Times New Roman"/>
          <w:b/>
          <w:smallCaps/>
          <w:noProof/>
          <w:color w:val="auto"/>
          <w:sz w:val="24"/>
          <w:szCs w:val="24"/>
        </w:rPr>
        <w:t xml:space="preserve">Conclusion </w:t>
      </w:r>
    </w:p>
    <w:p w14:paraId="15E2C1CA" w14:textId="564DFD61" w:rsidR="00DE54C7" w:rsidRPr="00DE54C7" w:rsidRDefault="00DE54C7" w:rsidP="00DE54C7">
      <w:pPr>
        <w:jc w:val="both"/>
        <w:rPr>
          <w:noProof/>
          <w:lang w:val="en-GB"/>
        </w:rPr>
      </w:pPr>
      <w:r w:rsidRPr="00DE54C7">
        <w:rPr>
          <w:noProof/>
          <w:lang w:val="en-GB"/>
        </w:rPr>
        <w:t xml:space="preserve">The Safe Hearts Plan contains concrete and ambitious actions that will tangibly improve people’s cardiovascular health and quality of life, reduce the burden of cardiovascular diseases, diabetes and obesity, by stepping up personalised prevention, introducing early detection and screening programmes, and applying innovative approaches to improve access to treatment, care and rehabilitation. </w:t>
      </w:r>
    </w:p>
    <w:p w14:paraId="37311410" w14:textId="29DEB131" w:rsidR="00DE54C7" w:rsidRPr="000E1D82" w:rsidRDefault="00DE54C7" w:rsidP="00DE54C7">
      <w:pPr>
        <w:jc w:val="both"/>
        <w:rPr>
          <w:rFonts w:cs="Times New Roman"/>
          <w:noProof/>
        </w:rPr>
      </w:pPr>
      <w:r w:rsidRPr="000E1D82">
        <w:rPr>
          <w:rFonts w:cs="Times New Roman"/>
          <w:noProof/>
        </w:rPr>
        <w:t>The challenge ahead of us affects every</w:t>
      </w:r>
      <w:r>
        <w:rPr>
          <w:rFonts w:cs="Times New Roman"/>
          <w:noProof/>
        </w:rPr>
        <w:t>body</w:t>
      </w:r>
      <w:r w:rsidRPr="000E1D82">
        <w:rPr>
          <w:rFonts w:cs="Times New Roman"/>
          <w:noProof/>
        </w:rPr>
        <w:t xml:space="preserve">. Success depends on the active engagement of Member States, researchers, innovators, industry, civil society, healthcare providers and professionals, patients, academia, and international partners, working together </w:t>
      </w:r>
      <w:r>
        <w:rPr>
          <w:rFonts w:cs="Times New Roman"/>
          <w:noProof/>
        </w:rPr>
        <w:t>at</w:t>
      </w:r>
      <w:r w:rsidRPr="000E1D82">
        <w:rPr>
          <w:rFonts w:cs="Times New Roman"/>
          <w:noProof/>
        </w:rPr>
        <w:t xml:space="preserve"> local, national and EU level. This collective commitment is essential</w:t>
      </w:r>
      <w:r>
        <w:rPr>
          <w:rFonts w:cs="Times New Roman"/>
          <w:noProof/>
        </w:rPr>
        <w:t xml:space="preserve"> </w:t>
      </w:r>
      <w:r w:rsidR="004632EA">
        <w:rPr>
          <w:rFonts w:cs="Times New Roman"/>
          <w:noProof/>
        </w:rPr>
        <w:t>to</w:t>
      </w:r>
      <w:r w:rsidRPr="000E1D82">
        <w:rPr>
          <w:rFonts w:cs="Times New Roman"/>
          <w:noProof/>
        </w:rPr>
        <w:t xml:space="preserve"> reduce health inequalities between Member States, population groups and genders. The </w:t>
      </w:r>
      <w:r>
        <w:rPr>
          <w:rFonts w:cs="Times New Roman"/>
          <w:noProof/>
        </w:rPr>
        <w:t>Safe Hearts Plan</w:t>
      </w:r>
      <w:r w:rsidRPr="000E1D82">
        <w:rPr>
          <w:rFonts w:cs="Times New Roman"/>
          <w:noProof/>
        </w:rPr>
        <w:t xml:space="preserve"> lays the foundation for sustained, patient-centred action at national and EU level. </w:t>
      </w:r>
    </w:p>
    <w:p w14:paraId="0D30B6DB" w14:textId="63E35F9F" w:rsidR="0079613D" w:rsidRDefault="00DE54C7" w:rsidP="00DE54C7">
      <w:pPr>
        <w:jc w:val="both"/>
        <w:rPr>
          <w:noProof/>
        </w:rPr>
      </w:pPr>
      <w:r w:rsidRPr="000E1D82">
        <w:rPr>
          <w:rFonts w:cs="Times New Roman"/>
          <w:noProof/>
        </w:rPr>
        <w:t>Together, these efforts will build a healthier</w:t>
      </w:r>
      <w:r>
        <w:rPr>
          <w:rFonts w:cs="Times New Roman"/>
          <w:noProof/>
        </w:rPr>
        <w:t xml:space="preserve"> and</w:t>
      </w:r>
      <w:r w:rsidRPr="000E1D82">
        <w:rPr>
          <w:rFonts w:cs="Times New Roman"/>
          <w:noProof/>
        </w:rPr>
        <w:t xml:space="preserve"> more resilient population, driving innovation and competitiveness across the EU. </w:t>
      </w:r>
    </w:p>
    <w:sectPr w:rsidR="0079613D" w:rsidSect="00C616F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62A5A" w14:textId="77777777" w:rsidR="006D608B" w:rsidRDefault="006D608B" w:rsidP="00DE54C7">
      <w:pPr>
        <w:spacing w:after="0" w:line="240" w:lineRule="auto"/>
      </w:pPr>
      <w:r>
        <w:separator/>
      </w:r>
    </w:p>
  </w:endnote>
  <w:endnote w:type="continuationSeparator" w:id="0">
    <w:p w14:paraId="26B5C156" w14:textId="77777777" w:rsidR="006D608B" w:rsidRDefault="006D608B" w:rsidP="00DE54C7">
      <w:pPr>
        <w:spacing w:after="0" w:line="240" w:lineRule="auto"/>
      </w:pPr>
      <w:r>
        <w:continuationSeparator/>
      </w:r>
    </w:p>
  </w:endnote>
  <w:endnote w:type="continuationNotice" w:id="1">
    <w:p w14:paraId="562DE5E1" w14:textId="77777777" w:rsidR="006D608B" w:rsidRDefault="006D6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379C" w14:textId="76D017F3" w:rsidR="0082449A" w:rsidRPr="0082449A" w:rsidRDefault="0082449A" w:rsidP="0082449A">
    <w:pPr>
      <w:pStyle w:val="FooterCoverPage"/>
      <w:rPr>
        <w:rFonts w:ascii="Arial" w:hAnsi="Arial" w:cs="Arial"/>
        <w:b/>
        <w:sz w:val="48"/>
      </w:rPr>
    </w:pPr>
    <w:r w:rsidRPr="0082449A">
      <w:rPr>
        <w:rFonts w:ascii="Arial" w:hAnsi="Arial" w:cs="Arial"/>
        <w:b/>
        <w:sz w:val="48"/>
      </w:rPr>
      <w:t>EN</w:t>
    </w:r>
    <w:r w:rsidRPr="0082449A">
      <w:rPr>
        <w:rFonts w:ascii="Arial" w:hAnsi="Arial" w:cs="Arial"/>
        <w:b/>
        <w:sz w:val="48"/>
      </w:rPr>
      <w:tab/>
    </w:r>
    <w:r w:rsidRPr="0082449A">
      <w:rPr>
        <w:rFonts w:ascii="Arial" w:hAnsi="Arial" w:cs="Arial"/>
        <w:b/>
        <w:sz w:val="48"/>
      </w:rPr>
      <w:tab/>
    </w:r>
    <w:r w:rsidRPr="0082449A">
      <w:tab/>
    </w:r>
    <w:r w:rsidRPr="0082449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ACB06" w14:textId="756F5C8D" w:rsidR="0082449A" w:rsidRPr="0082449A" w:rsidRDefault="0082449A" w:rsidP="0082449A">
    <w:pPr>
      <w:pStyle w:val="FooterCoverPage"/>
      <w:rPr>
        <w:rFonts w:ascii="Arial" w:hAnsi="Arial" w:cs="Arial"/>
        <w:b/>
        <w:sz w:val="48"/>
      </w:rPr>
    </w:pPr>
    <w:r w:rsidRPr="0082449A">
      <w:rPr>
        <w:rFonts w:ascii="Arial" w:hAnsi="Arial" w:cs="Arial"/>
        <w:b/>
        <w:sz w:val="48"/>
      </w:rPr>
      <w:t>EN</w:t>
    </w:r>
    <w:r w:rsidRPr="0082449A">
      <w:rPr>
        <w:rFonts w:ascii="Arial" w:hAnsi="Arial" w:cs="Arial"/>
        <w:b/>
        <w:sz w:val="48"/>
      </w:rPr>
      <w:tab/>
    </w:r>
    <w:r w:rsidRPr="0082449A">
      <w:rPr>
        <w:rFonts w:ascii="Arial" w:hAnsi="Arial" w:cs="Arial"/>
        <w:b/>
        <w:sz w:val="48"/>
      </w:rPr>
      <w:tab/>
    </w:r>
    <w:r w:rsidRPr="0082449A">
      <w:tab/>
    </w:r>
    <w:r w:rsidRPr="0082449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B3C0" w14:textId="77777777" w:rsidR="0082449A" w:rsidRPr="0082449A" w:rsidRDefault="0082449A" w:rsidP="008244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3438" w14:textId="77777777" w:rsidR="00441B58" w:rsidRDefault="00441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noProof/>
      </w:rPr>
    </w:sdtEndPr>
    <w:sdtContent>
      <w:p w14:paraId="7482E9A0" w14:textId="18FC1BB0" w:rsidR="0021688B" w:rsidRDefault="0021688B">
        <w:pPr>
          <w:pStyle w:val="Footer"/>
          <w:jc w:val="right"/>
        </w:pPr>
        <w:r>
          <w:fldChar w:fldCharType="begin"/>
        </w:r>
        <w:r>
          <w:instrText xml:space="preserve"> PAGE   \* MERGEFORMAT </w:instrText>
        </w:r>
        <w:r>
          <w:fldChar w:fldCharType="separate"/>
        </w:r>
        <w:r w:rsidR="0082449A">
          <w:rPr>
            <w:noProof/>
          </w:rPr>
          <w:t>1</w:t>
        </w:r>
        <w:r>
          <w:rPr>
            <w:noProof/>
          </w:rPr>
          <w:fldChar w:fldCharType="end"/>
        </w:r>
      </w:p>
    </w:sdtContent>
  </w:sdt>
  <w:p w14:paraId="5D49A013" w14:textId="77777777" w:rsidR="0021688B" w:rsidRDefault="002168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6213" w14:textId="77777777" w:rsidR="00DE0A8A" w:rsidRDefault="00DE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208F1" w14:textId="77777777" w:rsidR="006D608B" w:rsidRDefault="006D608B" w:rsidP="00DE54C7">
      <w:pPr>
        <w:spacing w:after="0" w:line="240" w:lineRule="auto"/>
      </w:pPr>
      <w:r>
        <w:separator/>
      </w:r>
    </w:p>
  </w:footnote>
  <w:footnote w:type="continuationSeparator" w:id="0">
    <w:p w14:paraId="0D8695CE" w14:textId="77777777" w:rsidR="006D608B" w:rsidRDefault="006D608B" w:rsidP="00DE54C7">
      <w:pPr>
        <w:spacing w:after="0" w:line="240" w:lineRule="auto"/>
      </w:pPr>
      <w:r>
        <w:continuationSeparator/>
      </w:r>
    </w:p>
  </w:footnote>
  <w:footnote w:type="continuationNotice" w:id="1">
    <w:p w14:paraId="180E0CAF" w14:textId="77777777" w:rsidR="006D608B" w:rsidRDefault="006D608B">
      <w:pPr>
        <w:spacing w:after="0" w:line="240" w:lineRule="auto"/>
      </w:pPr>
    </w:p>
  </w:footnote>
  <w:footnote w:id="2">
    <w:p w14:paraId="5C595806" w14:textId="77777777" w:rsidR="00DE54C7" w:rsidRPr="000E1D82" w:rsidRDefault="00DE54C7" w:rsidP="00D8171C">
      <w:pPr>
        <w:pStyle w:val="FootnoteText"/>
      </w:pPr>
      <w:r w:rsidRPr="000E1D82">
        <w:rPr>
          <w:rStyle w:val="FootnoteReference"/>
        </w:rPr>
        <w:footnoteRef/>
      </w:r>
      <w:r w:rsidRPr="000E1D82">
        <w:t xml:space="preserve"> Cardiovascular diseases affect the heart and blood vessels</w:t>
      </w:r>
      <w:r>
        <w:t>. They</w:t>
      </w:r>
      <w:r w:rsidRPr="000E1D82">
        <w:t xml:space="preserve"> include heart attacks, stroke, heart failure, ischaemic heart diseases, abnormal heart rhythms, structural heart diseases, cardiomyopathy</w:t>
      </w:r>
      <w:r>
        <w:t xml:space="preserve"> and</w:t>
      </w:r>
      <w:r w:rsidRPr="000E1D82">
        <w:t xml:space="preserve"> congenital heart diseases.</w:t>
      </w:r>
    </w:p>
  </w:footnote>
  <w:footnote w:id="3">
    <w:p w14:paraId="6A92B325" w14:textId="1A9A0638" w:rsidR="00DE54C7" w:rsidRPr="003502ED" w:rsidRDefault="00DE54C7" w:rsidP="00D8171C">
      <w:pPr>
        <w:pStyle w:val="FootnoteText"/>
      </w:pPr>
      <w:r>
        <w:rPr>
          <w:rStyle w:val="FootnoteReference"/>
        </w:rPr>
        <w:footnoteRef/>
      </w:r>
      <w:r>
        <w:t xml:space="preserve"> </w:t>
      </w:r>
      <w:r w:rsidRPr="000E1D82">
        <w:t xml:space="preserve">Unless stated otherwise, the source of the figures is the </w:t>
      </w:r>
      <w:r>
        <w:rPr>
          <w:rStyle w:val="FootnoteReference"/>
          <w:vertAlign w:val="baseline"/>
        </w:rPr>
        <w:t>OECD report (</w:t>
      </w:r>
      <w:r>
        <w:t xml:space="preserve">2025) </w:t>
      </w:r>
      <w:r>
        <w:rPr>
          <w:rStyle w:val="FootnoteReference"/>
          <w:vertAlign w:val="baseline"/>
        </w:rPr>
        <w:t>‘</w:t>
      </w:r>
      <w:r>
        <w:t xml:space="preserve">The state of cardiovascular health in the EU’ - </w:t>
      </w:r>
      <w:hyperlink r:id="rId1" w:history="1">
        <w:r>
          <w:rPr>
            <w:rStyle w:val="Hyperlink"/>
            <w:lang w:val="en-IE"/>
          </w:rPr>
          <w:t>Full Report: The State of Cardiovascular Health in the European Union | OECD</w:t>
        </w:r>
      </w:hyperlink>
      <w:r w:rsidRPr="000E1D82">
        <w:rPr>
          <w:rStyle w:val="FootnoteReference"/>
          <w:vertAlign w:val="baseline"/>
        </w:rPr>
        <w:t>.</w:t>
      </w:r>
    </w:p>
  </w:footnote>
  <w:footnote w:id="4">
    <w:p w14:paraId="18EF91E6" w14:textId="77777777" w:rsidR="00DE54C7" w:rsidRPr="000E1D82" w:rsidRDefault="00DE54C7" w:rsidP="00D8171C">
      <w:pPr>
        <w:pStyle w:val="FootnoteText"/>
      </w:pPr>
      <w:r w:rsidRPr="000E1D82">
        <w:rPr>
          <w:rStyle w:val="FootnoteReference"/>
        </w:rPr>
        <w:footnoteRef/>
      </w:r>
      <w:r w:rsidRPr="000E1D82">
        <w:t xml:space="preserve"> In 2021 alone, 256 million working days and 1.3 million working years were lost due to illness and disability, and premature deaths, respectively. </w:t>
      </w:r>
    </w:p>
  </w:footnote>
  <w:footnote w:id="5">
    <w:p w14:paraId="39BCD6E8" w14:textId="77777777" w:rsidR="00DE54C7" w:rsidRPr="000E1D82" w:rsidRDefault="00DE54C7" w:rsidP="00D8171C">
      <w:pPr>
        <w:pStyle w:val="FootnoteText"/>
      </w:pPr>
      <w:r w:rsidRPr="000E1D82">
        <w:rPr>
          <w:rStyle w:val="FootnoteReference"/>
        </w:rPr>
        <w:footnoteRef/>
      </w:r>
      <w:r w:rsidRPr="000E1D82">
        <w:t xml:space="preserve"> </w:t>
      </w:r>
      <w:hyperlink r:id="rId2" w:history="1">
        <w:r w:rsidRPr="000E1D82">
          <w:rPr>
            <w:rStyle w:val="Hyperlink"/>
          </w:rPr>
          <w:t xml:space="preserve">Cardiovascular diseases statistics </w:t>
        </w:r>
        <w:r w:rsidRPr="00B61C7D">
          <w:rPr>
            <w:rStyle w:val="Hyperlink"/>
          </w:rPr>
          <w:t>–</w:t>
        </w:r>
        <w:r w:rsidRPr="000E1D82">
          <w:rPr>
            <w:rStyle w:val="Hyperlink"/>
          </w:rPr>
          <w:t xml:space="preserve"> Statistics Explained </w:t>
        </w:r>
        <w:r w:rsidRPr="00B61C7D">
          <w:rPr>
            <w:rStyle w:val="Hyperlink"/>
          </w:rPr>
          <w:t>–</w:t>
        </w:r>
        <w:r w:rsidRPr="000E1D82">
          <w:rPr>
            <w:rStyle w:val="Hyperlink"/>
          </w:rPr>
          <w:t xml:space="preserve"> Eurostat</w:t>
        </w:r>
      </w:hyperlink>
      <w:r w:rsidRPr="000E1D82">
        <w:t xml:space="preserve">. </w:t>
      </w:r>
    </w:p>
  </w:footnote>
  <w:footnote w:id="6">
    <w:p w14:paraId="1C8D5E85" w14:textId="77777777" w:rsidR="00DE54C7" w:rsidRPr="001D733D" w:rsidRDefault="00DE54C7" w:rsidP="005F0923">
      <w:pPr>
        <w:pStyle w:val="FootnoteText"/>
      </w:pPr>
      <w:r>
        <w:rPr>
          <w:rStyle w:val="FootnoteReference"/>
        </w:rPr>
        <w:footnoteRef/>
      </w:r>
      <w:r>
        <w:t xml:space="preserve"> </w:t>
      </w:r>
      <w:hyperlink r:id="rId3" w:history="1">
        <w:r w:rsidRPr="000B35A7">
          <w:rPr>
            <w:rStyle w:val="Hyperlink"/>
          </w:rPr>
          <w:t>Global burden of cardiovascular diseases: projections from 2025 to 2050 - PubMed</w:t>
        </w:r>
      </w:hyperlink>
      <w:r>
        <w:t>.</w:t>
      </w:r>
    </w:p>
  </w:footnote>
  <w:footnote w:id="7">
    <w:p w14:paraId="766FDECB" w14:textId="22EDC33A" w:rsidR="00DE54C7" w:rsidRPr="000E1D82" w:rsidRDefault="00DE54C7" w:rsidP="00D8171C">
      <w:pPr>
        <w:pStyle w:val="FootnoteText"/>
      </w:pPr>
      <w:r w:rsidRPr="000E1D82">
        <w:rPr>
          <w:rStyle w:val="FootnoteReference"/>
        </w:rPr>
        <w:footnoteRef/>
      </w:r>
      <w:r w:rsidRPr="000E1D82">
        <w:t xml:space="preserve"> </w:t>
      </w:r>
      <w:r>
        <w:t>Ischaemic heart disease is a</w:t>
      </w:r>
      <w:r w:rsidRPr="000E1D82">
        <w:t>lso known as coronary heart disease or coronary artery disease.</w:t>
      </w:r>
    </w:p>
  </w:footnote>
  <w:footnote w:id="8">
    <w:p w14:paraId="3CC300B7" w14:textId="28AC71BD" w:rsidR="00DE54C7" w:rsidRPr="000E1D82" w:rsidRDefault="00DE54C7" w:rsidP="00FE56F3">
      <w:pPr>
        <w:pStyle w:val="FootnoteText"/>
      </w:pPr>
      <w:r w:rsidRPr="000E1D82">
        <w:rPr>
          <w:vertAlign w:val="superscript"/>
        </w:rPr>
        <w:footnoteRef/>
      </w:r>
      <w:r w:rsidRPr="000E1D82">
        <w:t xml:space="preserve"> </w:t>
      </w:r>
      <w:r w:rsidR="00204E2D" w:rsidRPr="00204E2D">
        <w:t xml:space="preserve">Council of the European Union, </w:t>
      </w:r>
      <w:hyperlink r:id="rId4" w:history="1">
        <w:r w:rsidR="00204E2D" w:rsidRPr="008643A9">
          <w:rPr>
            <w:rStyle w:val="Hyperlink"/>
          </w:rPr>
          <w:t>Council Conclusions on the Improvement of Cardiovascular Health in the European Union</w:t>
        </w:r>
      </w:hyperlink>
      <w:r w:rsidR="00204E2D" w:rsidRPr="00204E2D">
        <w:t>, ST 15315/24 INIT</w:t>
      </w:r>
      <w:r w:rsidR="00204E2D">
        <w:t>.</w:t>
      </w:r>
      <w:r w:rsidR="00204E2D" w:rsidRPr="00204E2D" w:rsidDel="00204E2D">
        <w:t xml:space="preserve"> </w:t>
      </w:r>
      <w:r w:rsidR="00442958">
        <w:t>al</w:t>
      </w:r>
      <w:hyperlink r:id="rId5" w:history="1">
        <w:r w:rsidR="00FE56F3">
          <w:rPr>
            <w:rStyle w:val="Hyperlink"/>
            <w:u w:val="none"/>
          </w:rPr>
          <w:t xml:space="preserve"> x</w:t>
        </w:r>
      </w:hyperlink>
      <w:r w:rsidRPr="000E1D82">
        <w:rPr>
          <w:color w:val="000000" w:themeColor="text1"/>
        </w:rPr>
        <w:t>.</w:t>
      </w:r>
    </w:p>
  </w:footnote>
  <w:footnote w:id="9">
    <w:p w14:paraId="1FFF46C5" w14:textId="1A63D73B" w:rsidR="00DE54C7" w:rsidRPr="001D733D" w:rsidRDefault="00DE54C7" w:rsidP="00D8171C">
      <w:pPr>
        <w:pStyle w:val="FootnoteText"/>
      </w:pPr>
      <w:r w:rsidRPr="000E1D82">
        <w:rPr>
          <w:vertAlign w:val="superscript"/>
        </w:rPr>
        <w:footnoteRef/>
      </w:r>
      <w:r>
        <w:t xml:space="preserve"> </w:t>
      </w:r>
      <w:hyperlink r:id="rId6" w:history="1">
        <w:r w:rsidR="00BE4E87" w:rsidRPr="00BE4E87">
          <w:rPr>
            <w:rStyle w:val="Hyperlink"/>
          </w:rPr>
          <w:t>MEP Cardiovascular Health Group</w:t>
        </w:r>
      </w:hyperlink>
      <w:r w:rsidR="00BE4E87">
        <w:t xml:space="preserve"> and </w:t>
      </w:r>
      <w:r>
        <w:t xml:space="preserve">European Parliament, Report </w:t>
      </w:r>
      <w:hyperlink r:id="rId7" w:history="1">
        <w:r w:rsidRPr="000E1D82">
          <w:rPr>
            <w:rStyle w:val="Hyperlink"/>
          </w:rPr>
          <w:t xml:space="preserve"> on non-communicable diseases (NCDs)</w:t>
        </w:r>
        <w:r w:rsidR="003E48BF">
          <w:rPr>
            <w:rStyle w:val="Hyperlink"/>
          </w:rPr>
          <w:t xml:space="preserve">, </w:t>
        </w:r>
        <w:r w:rsidRPr="000E1D82">
          <w:rPr>
            <w:rStyle w:val="Hyperlink"/>
          </w:rPr>
          <w:t>A9-0366/2023</w:t>
        </w:r>
        <w:r w:rsidR="00FA7493">
          <w:rPr>
            <w:rStyle w:val="Hyperlink"/>
          </w:rPr>
          <w:t xml:space="preserve">, </w:t>
        </w:r>
        <w:r w:rsidR="00CA600A">
          <w:rPr>
            <w:rStyle w:val="Hyperlink"/>
          </w:rPr>
          <w:t>adopted 13 December 2023</w:t>
        </w:r>
        <w:r>
          <w:rPr>
            <w:rStyle w:val="Hyperlink"/>
          </w:rPr>
          <w:t>.</w:t>
        </w:r>
        <w:r w:rsidRPr="000E1D82">
          <w:rPr>
            <w:rStyle w:val="Hyperlink"/>
          </w:rPr>
          <w:t xml:space="preserve">| </w:t>
        </w:r>
      </w:hyperlink>
    </w:p>
  </w:footnote>
  <w:footnote w:id="10">
    <w:p w14:paraId="1F4AC8B0" w14:textId="7E32F2EE" w:rsidR="00DE54C7" w:rsidRPr="000E1D82" w:rsidRDefault="00DE54C7" w:rsidP="00D8171C">
      <w:pPr>
        <w:pStyle w:val="FootnoteText"/>
      </w:pPr>
      <w:r w:rsidRPr="000E1D82">
        <w:rPr>
          <w:rStyle w:val="FootnoteReference"/>
        </w:rPr>
        <w:footnoteRef/>
      </w:r>
      <w:r w:rsidRPr="000E1D82">
        <w:t xml:space="preserve"> See for instance</w:t>
      </w:r>
      <w:r>
        <w:t>,</w:t>
      </w:r>
      <w:r w:rsidRPr="000E1D82">
        <w:t xml:space="preserve"> </w:t>
      </w:r>
      <w:r>
        <w:t>the</w:t>
      </w:r>
      <w:r w:rsidRPr="000E1D82">
        <w:t xml:space="preserve"> </w:t>
      </w:r>
      <w:hyperlink r:id="rId8" w:history="1">
        <w:r w:rsidR="00FE56F3">
          <w:rPr>
            <w:rStyle w:val="Hyperlink"/>
          </w:rPr>
          <w:t>Have your say</w:t>
        </w:r>
      </w:hyperlink>
      <w:r w:rsidRPr="000E1D82">
        <w:t>.</w:t>
      </w:r>
    </w:p>
  </w:footnote>
  <w:footnote w:id="11">
    <w:p w14:paraId="1301C89B" w14:textId="77777777" w:rsidR="00DE54C7" w:rsidRPr="004D633C" w:rsidRDefault="00DE54C7" w:rsidP="00D8171C">
      <w:pPr>
        <w:pStyle w:val="FootnoteText"/>
      </w:pPr>
      <w:r>
        <w:rPr>
          <w:rStyle w:val="FootnoteReference"/>
        </w:rPr>
        <w:footnoteRef/>
      </w:r>
      <w:r>
        <w:t xml:space="preserve"> European Health Union: </w:t>
      </w:r>
      <w:hyperlink r:id="rId9" w:history="1">
        <w:r w:rsidRPr="0031365E">
          <w:rPr>
            <w:rStyle w:val="Hyperlink"/>
          </w:rPr>
          <w:t>https://commission.europa.eu/topics/public-health/european-health-union_en</w:t>
        </w:r>
      </w:hyperlink>
      <w:r>
        <w:t xml:space="preserve">. </w:t>
      </w:r>
    </w:p>
  </w:footnote>
  <w:footnote w:id="12">
    <w:p w14:paraId="46798C6B" w14:textId="77777777" w:rsidR="00DE54C7" w:rsidRPr="001D733D" w:rsidRDefault="00DE54C7" w:rsidP="00D8171C">
      <w:pPr>
        <w:pStyle w:val="FootnoteText"/>
      </w:pPr>
      <w:r>
        <w:rPr>
          <w:rStyle w:val="FootnoteReference"/>
        </w:rPr>
        <w:footnoteRef/>
      </w:r>
      <w:r>
        <w:t xml:space="preserve"> </w:t>
      </w:r>
      <w:hyperlink r:id="rId10" w:history="1">
        <w:r w:rsidRPr="00241604">
          <w:rPr>
            <w:rStyle w:val="Hyperlink"/>
          </w:rPr>
          <w:t>Healthier together – EU non-communicable diseases initiative - Public Health</w:t>
        </w:r>
      </w:hyperlink>
      <w:r>
        <w:t>.</w:t>
      </w:r>
    </w:p>
  </w:footnote>
  <w:footnote w:id="13">
    <w:p w14:paraId="400CC1DC" w14:textId="4E1878AE" w:rsidR="00DE54C7" w:rsidRPr="008100AB" w:rsidRDefault="00DE54C7" w:rsidP="00D8171C">
      <w:pPr>
        <w:pStyle w:val="FootnoteText"/>
      </w:pPr>
      <w:r>
        <w:rPr>
          <w:rStyle w:val="FootnoteReference"/>
        </w:rPr>
        <w:footnoteRef/>
      </w:r>
      <w:r>
        <w:t xml:space="preserve"> </w:t>
      </w:r>
      <w:r w:rsidR="00017FEA">
        <w:t>C</w:t>
      </w:r>
      <w:r w:rsidR="00CB1FC7">
        <w:t>o</w:t>
      </w:r>
      <w:r w:rsidR="0097454E">
        <w:t>mmunication from the Commission to the European Parliament and the Council</w:t>
      </w:r>
      <w:r w:rsidR="00104911">
        <w:t xml:space="preserve">, </w:t>
      </w:r>
      <w:hyperlink r:id="rId11" w:history="1">
        <w:r w:rsidR="00104911" w:rsidRPr="00340B85">
          <w:rPr>
            <w:rStyle w:val="Hyperlink"/>
          </w:rPr>
          <w:t>Europe’s Be</w:t>
        </w:r>
        <w:r w:rsidR="006635BE" w:rsidRPr="00340B85">
          <w:rPr>
            <w:rStyle w:val="Hyperlink"/>
          </w:rPr>
          <w:t>ating Cancer Plan</w:t>
        </w:r>
      </w:hyperlink>
      <w:r w:rsidR="006635BE">
        <w:t>, COM(2021)</w:t>
      </w:r>
      <w:r w:rsidR="002C4F6F">
        <w:t xml:space="preserve"> 44 final</w:t>
      </w:r>
      <w:r w:rsidR="000111CA">
        <w:t>.</w:t>
      </w:r>
      <w:r>
        <w:t xml:space="preserve"> </w:t>
      </w:r>
    </w:p>
  </w:footnote>
  <w:footnote w:id="14">
    <w:p w14:paraId="15C3044B" w14:textId="6D1FBEA6" w:rsidR="00134491" w:rsidRPr="00134491" w:rsidRDefault="00134491">
      <w:pPr>
        <w:pStyle w:val="FootnoteText"/>
      </w:pPr>
      <w:r>
        <w:rPr>
          <w:rStyle w:val="FootnoteReference"/>
        </w:rPr>
        <w:footnoteRef/>
      </w:r>
      <w:r>
        <w:t xml:space="preserve"> </w:t>
      </w:r>
      <w:hyperlink r:id="rId12" w:history="1">
        <w:r w:rsidR="00012299" w:rsidRPr="00012299">
          <w:rPr>
            <w:rStyle w:val="Hyperlink"/>
            <w:lang w:val="en-IE"/>
          </w:rPr>
          <w:t>EU Mission: Cancer - Research and innovation - European Commission</w:t>
        </w:r>
      </w:hyperlink>
      <w:r>
        <w:t>.</w:t>
      </w:r>
    </w:p>
  </w:footnote>
  <w:footnote w:id="15">
    <w:p w14:paraId="77FA072D" w14:textId="20DE8A77" w:rsidR="00DE54C7" w:rsidRPr="00F42133" w:rsidRDefault="00DE54C7" w:rsidP="00D8171C">
      <w:pPr>
        <w:pStyle w:val="FootnoteText"/>
      </w:pPr>
      <w:r>
        <w:rPr>
          <w:rStyle w:val="FootnoteReference"/>
        </w:rPr>
        <w:footnoteRef/>
      </w:r>
      <w:r w:rsidR="00711825">
        <w:t xml:space="preserve"> Communication </w:t>
      </w:r>
      <w:r w:rsidR="00A00C22">
        <w:t xml:space="preserve">from the Commission </w:t>
      </w:r>
      <w:r w:rsidR="00AB0341">
        <w:t>to the</w:t>
      </w:r>
      <w:r w:rsidR="00A00C22">
        <w:t xml:space="preserve"> </w:t>
      </w:r>
      <w:r w:rsidR="00233ED1">
        <w:t>Eur</w:t>
      </w:r>
      <w:r w:rsidR="00A8285D">
        <w:t xml:space="preserve">opean </w:t>
      </w:r>
      <w:r w:rsidR="002934E6">
        <w:t>Parliament</w:t>
      </w:r>
      <w:r w:rsidR="00051DBB">
        <w:t>, the Council, the E</w:t>
      </w:r>
      <w:r w:rsidR="00F3569D">
        <w:t>uropean Economic and Social Committ</w:t>
      </w:r>
      <w:r w:rsidR="0049670D">
        <w:t>ee</w:t>
      </w:r>
      <w:r w:rsidR="00A00C22">
        <w:t xml:space="preserve"> </w:t>
      </w:r>
      <w:r w:rsidR="009E0D11">
        <w:t>and the Committee</w:t>
      </w:r>
      <w:r w:rsidR="00116108">
        <w:t xml:space="preserve"> of the Regions</w:t>
      </w:r>
      <w:r w:rsidR="00E16423">
        <w:t>,</w:t>
      </w:r>
      <w:r w:rsidR="00711825">
        <w:t xml:space="preserve"> </w:t>
      </w:r>
      <w:hyperlink r:id="rId13" w:history="1">
        <w:r w:rsidR="00D91DE8" w:rsidRPr="00E152A3">
          <w:rPr>
            <w:rStyle w:val="Hyperlink"/>
          </w:rPr>
          <w:t>A</w:t>
        </w:r>
        <w:r w:rsidRPr="00E152A3">
          <w:rPr>
            <w:rStyle w:val="Hyperlink"/>
          </w:rPr>
          <w:t xml:space="preserve"> comprehensive approach to mental health</w:t>
        </w:r>
      </w:hyperlink>
      <w:r w:rsidR="00D91DE8">
        <w:t xml:space="preserve">, </w:t>
      </w:r>
      <w:r w:rsidR="003E0999">
        <w:t>COM(2023</w:t>
      </w:r>
      <w:r w:rsidR="00875DB9">
        <w:t>)</w:t>
      </w:r>
      <w:r w:rsidR="007B7127">
        <w:t xml:space="preserve"> 298</w:t>
      </w:r>
      <w:r w:rsidR="00DA286A">
        <w:t xml:space="preserve"> final</w:t>
      </w:r>
      <w:r w:rsidR="006C4648">
        <w:t>.</w:t>
      </w:r>
    </w:p>
  </w:footnote>
  <w:footnote w:id="16">
    <w:p w14:paraId="4DF24DAC" w14:textId="4A64868C" w:rsidR="00DE54C7" w:rsidRPr="00E4479F" w:rsidRDefault="00DE54C7" w:rsidP="00D8171C">
      <w:pPr>
        <w:pStyle w:val="FootnoteText"/>
        <w:rPr>
          <w:lang w:val="en-IE"/>
        </w:rPr>
      </w:pPr>
      <w:r w:rsidRPr="007503DB">
        <w:rPr>
          <w:rStyle w:val="FootnoteReference"/>
        </w:rPr>
        <w:footnoteRef/>
      </w:r>
      <w:r w:rsidR="00711825" w:rsidRPr="00E4479F">
        <w:rPr>
          <w:lang w:val="en-IE"/>
        </w:rPr>
        <w:t xml:space="preserve"> Communication </w:t>
      </w:r>
      <w:r w:rsidR="00711825">
        <w:rPr>
          <w:lang w:val="en-IE"/>
        </w:rPr>
        <w:t xml:space="preserve">from the Commission </w:t>
      </w:r>
      <w:r w:rsidR="00C6121B">
        <w:rPr>
          <w:lang w:val="en-IE"/>
        </w:rPr>
        <w:t xml:space="preserve">to the </w:t>
      </w:r>
      <w:r w:rsidR="00E0315C">
        <w:rPr>
          <w:lang w:val="en-IE"/>
        </w:rPr>
        <w:t>European Parliament</w:t>
      </w:r>
      <w:r w:rsidR="00D84221">
        <w:rPr>
          <w:lang w:val="en-IE"/>
        </w:rPr>
        <w:t xml:space="preserve">, the Council, the European </w:t>
      </w:r>
      <w:r w:rsidR="00C54551">
        <w:rPr>
          <w:lang w:val="en-IE"/>
        </w:rPr>
        <w:t>Economic</w:t>
      </w:r>
      <w:r w:rsidR="004436D8">
        <w:rPr>
          <w:lang w:val="en-IE"/>
        </w:rPr>
        <w:t xml:space="preserve"> and Social Committee and the Co</w:t>
      </w:r>
      <w:r w:rsidR="00A76A11">
        <w:rPr>
          <w:lang w:val="en-IE"/>
        </w:rPr>
        <w:t>mmitt</w:t>
      </w:r>
      <w:r w:rsidR="002C2A5F">
        <w:rPr>
          <w:lang w:val="en-IE"/>
        </w:rPr>
        <w:t>ee</w:t>
      </w:r>
      <w:r w:rsidR="00AE4167">
        <w:rPr>
          <w:lang w:val="en-IE"/>
        </w:rPr>
        <w:t xml:space="preserve"> of the Regions</w:t>
      </w:r>
      <w:r w:rsidR="00977824">
        <w:rPr>
          <w:lang w:val="en-IE"/>
        </w:rPr>
        <w:t>,</w:t>
      </w:r>
      <w:r w:rsidR="00711825" w:rsidRPr="00E4479F">
        <w:rPr>
          <w:lang w:val="en-IE"/>
        </w:rPr>
        <w:t xml:space="preserve"> </w:t>
      </w:r>
      <w:hyperlink r:id="rId14" w:history="1">
        <w:r w:rsidR="00711825" w:rsidRPr="00E4479F">
          <w:rPr>
            <w:rStyle w:val="Hyperlink"/>
          </w:rPr>
          <w:t>Pathway to a Healthy Planet for All EU Action Plan</w:t>
        </w:r>
        <w:r w:rsidR="00234BDA" w:rsidRPr="00E2114D">
          <w:rPr>
            <w:rStyle w:val="Hyperlink"/>
            <w:lang w:val="en-IE"/>
          </w:rPr>
          <w:t>:</w:t>
        </w:r>
        <w:r w:rsidR="00711825" w:rsidRPr="00E4479F">
          <w:rPr>
            <w:rStyle w:val="Hyperlink"/>
          </w:rPr>
          <w:t xml:space="preserve"> 'Towards Zero Pollution for Air, Water and Soil'</w:t>
        </w:r>
      </w:hyperlink>
      <w:r w:rsidR="00711825">
        <w:rPr>
          <w:lang w:val="en-IE"/>
        </w:rPr>
        <w:t xml:space="preserve"> </w:t>
      </w:r>
      <w:r w:rsidR="000F56FF">
        <w:rPr>
          <w:lang w:val="en-IE"/>
        </w:rPr>
        <w:t>COM (2021)400</w:t>
      </w:r>
      <w:hyperlink r:id="rId15" w:history="1"/>
      <w:r w:rsidRPr="00E4479F">
        <w:rPr>
          <w:lang w:val="en-IE"/>
        </w:rPr>
        <w:t>.</w:t>
      </w:r>
    </w:p>
  </w:footnote>
  <w:footnote w:id="17">
    <w:p w14:paraId="639A90EE" w14:textId="77777777" w:rsidR="00DE54C7" w:rsidRPr="000E1D82" w:rsidRDefault="00DE54C7" w:rsidP="00D8171C">
      <w:pPr>
        <w:pStyle w:val="FootnoteText"/>
      </w:pPr>
      <w:r w:rsidRPr="000E1D82">
        <w:rPr>
          <w:rStyle w:val="FootnoteReference"/>
        </w:rPr>
        <w:footnoteRef/>
      </w:r>
      <w:r w:rsidRPr="000E1D82">
        <w:t xml:space="preserve"> </w:t>
      </w:r>
      <w:hyperlink r:id="rId16" w:history="1">
        <w:r w:rsidRPr="000E1D82">
          <w:rPr>
            <w:rStyle w:val="Hyperlink"/>
          </w:rPr>
          <w:t>Strategy for European Life Sciences - Research and innovation</w:t>
        </w:r>
      </w:hyperlink>
      <w:r w:rsidRPr="000E1D82">
        <w:t>.</w:t>
      </w:r>
    </w:p>
  </w:footnote>
  <w:footnote w:id="18">
    <w:p w14:paraId="3BB6E54F" w14:textId="3E897072" w:rsidR="00DE54C7" w:rsidRPr="000E1D82" w:rsidRDefault="00DE54C7" w:rsidP="00D8171C">
      <w:pPr>
        <w:pStyle w:val="FootnoteText"/>
      </w:pPr>
      <w:r w:rsidRPr="000E1D82">
        <w:rPr>
          <w:rStyle w:val="FootnoteReference"/>
        </w:rPr>
        <w:footnoteRef/>
      </w:r>
      <w:r w:rsidRPr="000E1D82">
        <w:t xml:space="preserve"> </w:t>
      </w:r>
      <w:hyperlink r:id="rId17" w:history="1">
        <w:r w:rsidR="00490601" w:rsidRPr="00564F65">
          <w:rPr>
            <w:rStyle w:val="Hyperlink"/>
          </w:rPr>
          <w:t>Regulation (EU) 2025/327 on the European Health Data Space</w:t>
        </w:r>
      </w:hyperlink>
      <w:r w:rsidR="00490601" w:rsidRPr="00490601">
        <w:rPr>
          <w:rStyle w:val="Hyperlink"/>
        </w:rPr>
        <w:t xml:space="preserve"> and amending Directive 2011/24/EU and Regulation (EU) 2024/2847</w:t>
      </w:r>
      <w:r>
        <w:rPr>
          <w:rStyle w:val="Hyperlink"/>
        </w:rPr>
        <w:t>.</w:t>
      </w:r>
    </w:p>
  </w:footnote>
  <w:footnote w:id="19">
    <w:p w14:paraId="7287E249" w14:textId="3381F8B7" w:rsidR="00DE54C7" w:rsidRPr="000E1D82" w:rsidRDefault="00DE54C7" w:rsidP="00D8171C">
      <w:pPr>
        <w:pStyle w:val="FootnoteText"/>
      </w:pPr>
      <w:r w:rsidRPr="000E1D82">
        <w:rPr>
          <w:rStyle w:val="FootnoteReference"/>
        </w:rPr>
        <w:footnoteRef/>
      </w:r>
      <w:r w:rsidRPr="000E1D82">
        <w:t xml:space="preserve"> </w:t>
      </w:r>
      <w:hyperlink r:id="rId18" w:history="1">
        <w:r w:rsidR="00CF3462" w:rsidRPr="00840DC7">
          <w:rPr>
            <w:rStyle w:val="Hyperlink"/>
            <w:lang w:val="en-IE"/>
          </w:rPr>
          <w:t>Reform of the pharmaceutical legislation and measures addressing antimicrobial resistance</w:t>
        </w:r>
      </w:hyperlink>
      <w:r w:rsidR="00CF3462" w:rsidRPr="00CF3462">
        <w:rPr>
          <w:lang w:val="en-IE"/>
        </w:rPr>
        <w:t>, COM(2023) 190 final</w:t>
      </w:r>
      <w:r w:rsidRPr="000E1D82">
        <w:t xml:space="preserve">; </w:t>
      </w:r>
      <w:hyperlink r:id="rId19" w:history="1">
        <w:r w:rsidRPr="000E1D82">
          <w:rPr>
            <w:rStyle w:val="Hyperlink"/>
          </w:rPr>
          <w:t>Medical Devices -  Public Health - European Commission</w:t>
        </w:r>
      </w:hyperlink>
      <w:r w:rsidRPr="000E1D82">
        <w:t xml:space="preserve">; </w:t>
      </w:r>
      <w:hyperlink r:id="rId20" w:history="1">
        <w:r w:rsidRPr="000E1D82">
          <w:rPr>
            <w:rStyle w:val="Hyperlink"/>
          </w:rPr>
          <w:t xml:space="preserve">Critical medicines </w:t>
        </w:r>
        <w:r w:rsidR="00711825">
          <w:rPr>
            <w:rStyle w:val="Hyperlink"/>
          </w:rPr>
          <w:t>a</w:t>
        </w:r>
        <w:r w:rsidRPr="000E1D82">
          <w:rPr>
            <w:rStyle w:val="Hyperlink"/>
          </w:rPr>
          <w:t>ct - Public Health - European Commission</w:t>
        </w:r>
      </w:hyperlink>
      <w:r w:rsidRPr="000E1D82">
        <w:t xml:space="preserve">; </w:t>
      </w:r>
      <w:r>
        <w:t xml:space="preserve">and </w:t>
      </w:r>
      <w:hyperlink r:id="rId21" w:history="1">
        <w:r w:rsidRPr="000E1D82">
          <w:rPr>
            <w:rStyle w:val="Hyperlink"/>
          </w:rPr>
          <w:t>New EU rules on substances of human origin - Public Health</w:t>
        </w:r>
      </w:hyperlink>
      <w:r w:rsidRPr="000E1D82">
        <w:t>.</w:t>
      </w:r>
    </w:p>
  </w:footnote>
  <w:footnote w:id="20">
    <w:p w14:paraId="38C19553" w14:textId="0E9FD449" w:rsidR="00DE54C7" w:rsidRPr="00AD12E6" w:rsidRDefault="00DE54C7" w:rsidP="00D8171C">
      <w:pPr>
        <w:pStyle w:val="FootnoteText"/>
      </w:pPr>
      <w:r w:rsidRPr="000E1D82">
        <w:rPr>
          <w:rStyle w:val="FootnoteReference"/>
        </w:rPr>
        <w:footnoteRef/>
      </w:r>
      <w:r w:rsidRPr="000E1D82">
        <w:t xml:space="preserve"> </w:t>
      </w:r>
      <w:hyperlink r:id="rId22" w:history="1">
        <w:r w:rsidRPr="00AD12E6">
          <w:rPr>
            <w:rStyle w:val="Hyperlink"/>
          </w:rPr>
          <w:t>Biotech Act</w:t>
        </w:r>
      </w:hyperlink>
      <w:r w:rsidRPr="00AD12E6">
        <w:t>.</w:t>
      </w:r>
    </w:p>
  </w:footnote>
  <w:footnote w:id="21">
    <w:p w14:paraId="5893B6D3" w14:textId="0ED4E808" w:rsidR="00DE54C7" w:rsidRPr="000E1D82" w:rsidRDefault="00DE54C7" w:rsidP="00D8171C">
      <w:pPr>
        <w:pStyle w:val="FootnoteText"/>
      </w:pPr>
      <w:r w:rsidRPr="000E1D82">
        <w:rPr>
          <w:rStyle w:val="FootnoteReference"/>
        </w:rPr>
        <w:footnoteRef/>
      </w:r>
      <w:r w:rsidRPr="000E1D82">
        <w:t xml:space="preserve"> </w:t>
      </w:r>
      <w:r w:rsidR="00AA34A4">
        <w:t>For instance through the J</w:t>
      </w:r>
      <w:r w:rsidRPr="000E1D82">
        <w:t xml:space="preserve">oint Actions: </w:t>
      </w:r>
      <w:hyperlink r:id="rId23" w:history="1">
        <w:r w:rsidRPr="000E1D82">
          <w:rPr>
            <w:rStyle w:val="Hyperlink"/>
          </w:rPr>
          <w:t>JACARDI</w:t>
        </w:r>
      </w:hyperlink>
      <w:r w:rsidRPr="000E1D82">
        <w:t xml:space="preserve">, </w:t>
      </w:r>
      <w:hyperlink r:id="rId24" w:history="1">
        <w:r w:rsidRPr="000E1D82">
          <w:rPr>
            <w:rStyle w:val="Hyperlink"/>
          </w:rPr>
          <w:t>PreventNCD</w:t>
        </w:r>
      </w:hyperlink>
      <w:r>
        <w:t xml:space="preserve"> and</w:t>
      </w:r>
      <w:r w:rsidRPr="000E1D82">
        <w:t xml:space="preserve"> </w:t>
      </w:r>
      <w:hyperlink r:id="rId25" w:history="1">
        <w:r w:rsidRPr="000E1D82">
          <w:rPr>
            <w:rStyle w:val="Hyperlink"/>
          </w:rPr>
          <w:t>JARED</w:t>
        </w:r>
      </w:hyperlink>
      <w:r w:rsidRPr="000E1D82">
        <w:t>.</w:t>
      </w:r>
    </w:p>
  </w:footnote>
  <w:footnote w:id="22">
    <w:p w14:paraId="49043064" w14:textId="6167B209" w:rsidR="00BD1B23" w:rsidRPr="00BD1B23" w:rsidRDefault="00BD1B23">
      <w:pPr>
        <w:pStyle w:val="FootnoteText"/>
      </w:pPr>
      <w:r>
        <w:rPr>
          <w:rStyle w:val="FootnoteReference"/>
        </w:rPr>
        <w:footnoteRef/>
      </w:r>
      <w:r>
        <w:t xml:space="preserve"> </w:t>
      </w:r>
      <w:r w:rsidRPr="000E1D82">
        <w:rPr>
          <w:rStyle w:val="FootnoteReference"/>
          <w:vertAlign w:val="baseline"/>
        </w:rPr>
        <w:t xml:space="preserve">OECD report </w:t>
      </w:r>
      <w:r>
        <w:rPr>
          <w:rStyle w:val="FootnoteReference"/>
          <w:vertAlign w:val="baseline"/>
        </w:rPr>
        <w:t>(</w:t>
      </w:r>
      <w:r>
        <w:t xml:space="preserve">2025) </w:t>
      </w:r>
      <w:r w:rsidRPr="000E1D82">
        <w:rPr>
          <w:rStyle w:val="FootnoteReference"/>
          <w:vertAlign w:val="baseline"/>
        </w:rPr>
        <w:t>‘</w:t>
      </w:r>
      <w:r>
        <w:t xml:space="preserve">The state of cardiovascular health in the EU’ - </w:t>
      </w:r>
      <w:hyperlink r:id="rId26" w:history="1">
        <w:r>
          <w:rPr>
            <w:rStyle w:val="Hyperlink"/>
            <w:lang w:val="en-IE"/>
          </w:rPr>
          <w:t>Full Report: The State of Cardiovascular Health in the European Union | OECD</w:t>
        </w:r>
      </w:hyperlink>
      <w:r>
        <w:t>.</w:t>
      </w:r>
    </w:p>
  </w:footnote>
  <w:footnote w:id="23">
    <w:p w14:paraId="6E4549E0" w14:textId="7C7750CE" w:rsidR="006C4648" w:rsidRPr="006C4648" w:rsidRDefault="006C4648">
      <w:pPr>
        <w:pStyle w:val="FootnoteText"/>
      </w:pPr>
      <w:r>
        <w:rPr>
          <w:rStyle w:val="FootnoteReference"/>
        </w:rPr>
        <w:footnoteRef/>
      </w:r>
      <w:r>
        <w:t xml:space="preserve"> </w:t>
      </w:r>
      <w:hyperlink r:id="rId27" w:history="1">
        <w:r w:rsidRPr="00C25CE6">
          <w:rPr>
            <w:rStyle w:val="Hyperlink"/>
            <w:lang w:val="en-IE"/>
          </w:rPr>
          <w:t>EU4Health programme 2021-2027 – a vision for a healthier European Union - Public Health</w:t>
        </w:r>
      </w:hyperlink>
      <w:r>
        <w:t>.</w:t>
      </w:r>
    </w:p>
  </w:footnote>
  <w:footnote w:id="24">
    <w:p w14:paraId="66FD5698" w14:textId="12BE208A" w:rsidR="00374A91" w:rsidRPr="00374A91" w:rsidRDefault="00374A91">
      <w:pPr>
        <w:pStyle w:val="FootnoteText"/>
      </w:pPr>
      <w:r>
        <w:rPr>
          <w:rStyle w:val="FootnoteReference"/>
        </w:rPr>
        <w:footnoteRef/>
      </w:r>
      <w:r>
        <w:t xml:space="preserve"> </w:t>
      </w:r>
      <w:hyperlink r:id="rId28" w:history="1">
        <w:r w:rsidRPr="00374A91">
          <w:rPr>
            <w:rStyle w:val="Hyperlink"/>
            <w:lang w:val="en-IE"/>
          </w:rPr>
          <w:t>State of Health in the EU - Public Health - European Commission</w:t>
        </w:r>
      </w:hyperlink>
      <w:r>
        <w:t>.</w:t>
      </w:r>
    </w:p>
  </w:footnote>
  <w:footnote w:id="25">
    <w:p w14:paraId="35D9B045" w14:textId="77777777" w:rsidR="00DE54C7" w:rsidRPr="000E1D82" w:rsidRDefault="00DE54C7" w:rsidP="00D8171C">
      <w:pPr>
        <w:pStyle w:val="FootnoteText"/>
      </w:pPr>
      <w:r w:rsidRPr="000E1D82">
        <w:rPr>
          <w:rStyle w:val="FootnoteReference"/>
        </w:rPr>
        <w:footnoteRef/>
      </w:r>
      <w:r w:rsidRPr="000E1D82">
        <w:t xml:space="preserve"> </w:t>
      </w:r>
      <w:hyperlink r:id="rId29" w:history="1">
        <w:r w:rsidRPr="7E8B8078">
          <w:rPr>
            <w:rStyle w:val="Hyperlink"/>
          </w:rPr>
          <w:t>World Heart Federation</w:t>
        </w:r>
      </w:hyperlink>
      <w:r>
        <w:t xml:space="preserve"> – </w:t>
      </w:r>
      <w:r>
        <w:fldChar w:fldCharType="begin"/>
      </w:r>
      <w:r>
        <w:fldChar w:fldCharType="separate"/>
      </w:r>
      <w:r>
        <w:t>80</w:t>
      </w:r>
      <w:r w:rsidRPr="000E1D82">
        <w:t>%</w:t>
      </w:r>
      <w:r>
        <w:fldChar w:fldCharType="end"/>
      </w:r>
      <w:r w:rsidRPr="000E1D82">
        <w:t xml:space="preserve"> </w:t>
      </w:r>
      <w:r>
        <w:t xml:space="preserve">nearly 80% </w:t>
      </w:r>
      <w:r w:rsidRPr="000E1D82">
        <w:t xml:space="preserve">of deaths from cardiovascular diseases are due to modifiable risk factors (e.g. </w:t>
      </w:r>
      <w:r>
        <w:t>an</w:t>
      </w:r>
      <w:r w:rsidRPr="000E1D82">
        <w:t xml:space="preserve"> unhealthy diet</w:t>
      </w:r>
      <w:r>
        <w:t xml:space="preserve"> and a</w:t>
      </w:r>
      <w:r w:rsidRPr="000E1D82">
        <w:t xml:space="preserve"> sedentary lifestyle)</w:t>
      </w:r>
      <w:r>
        <w:t>.</w:t>
      </w:r>
    </w:p>
  </w:footnote>
  <w:footnote w:id="26">
    <w:p w14:paraId="52534436" w14:textId="395BC5FF" w:rsidR="00AE1D92" w:rsidRPr="002F1D93" w:rsidRDefault="00AE1D92" w:rsidP="00AE1D92">
      <w:pPr>
        <w:pStyle w:val="FootnoteText"/>
      </w:pPr>
      <w:r>
        <w:rPr>
          <w:rStyle w:val="FootnoteReference"/>
        </w:rPr>
        <w:footnoteRef/>
      </w:r>
      <w:r>
        <w:t xml:space="preserve"> </w:t>
      </w:r>
      <w:r>
        <w:rPr>
          <w:rStyle w:val="FootnoteReference"/>
          <w:vertAlign w:val="baseline"/>
        </w:rPr>
        <w:t>OECD report (</w:t>
      </w:r>
      <w:r>
        <w:t xml:space="preserve">2025) </w:t>
      </w:r>
      <w:r>
        <w:rPr>
          <w:rStyle w:val="FootnoteReference"/>
          <w:vertAlign w:val="baseline"/>
        </w:rPr>
        <w:t>‘</w:t>
      </w:r>
      <w:r>
        <w:t xml:space="preserve">The state of cardiovascular health in the EU’ - </w:t>
      </w:r>
      <w:hyperlink r:id="rId30" w:history="1">
        <w:r>
          <w:rPr>
            <w:rStyle w:val="Hyperlink"/>
            <w:lang w:val="en-IE"/>
          </w:rPr>
          <w:t>Full Report: The State of Cardiovascular Health in the European Union | OECD</w:t>
        </w:r>
      </w:hyperlink>
      <w:r w:rsidR="00D36DD6">
        <w:t>.</w:t>
      </w:r>
      <w:r w:rsidR="00366A8B" w:rsidRPr="000E1D82">
        <w:rPr>
          <w:rStyle w:val="FootnoteReference"/>
          <w:vertAlign w:val="baseline"/>
        </w:rPr>
        <w:t xml:space="preserve"> </w:t>
      </w:r>
    </w:p>
  </w:footnote>
  <w:footnote w:id="27">
    <w:p w14:paraId="416561E3" w14:textId="0BBAE91F" w:rsidR="00DE54C7" w:rsidRPr="00BC171B" w:rsidRDefault="00DE54C7" w:rsidP="00D8171C">
      <w:pPr>
        <w:pStyle w:val="FootnoteText"/>
        <w:rPr>
          <w:lang w:val="en-IE"/>
        </w:rPr>
      </w:pPr>
      <w:r>
        <w:rPr>
          <w:rStyle w:val="FootnoteReference"/>
        </w:rPr>
        <w:footnoteRef/>
      </w:r>
      <w:r w:rsidRPr="00AE6C6E">
        <w:rPr>
          <w:lang w:val="es-ES"/>
        </w:rPr>
        <w:t xml:space="preserve"> </w:t>
      </w:r>
      <w:r w:rsidR="00782CA2" w:rsidRPr="00AE6C6E">
        <w:rPr>
          <w:lang w:val="es-ES"/>
        </w:rPr>
        <w:t xml:space="preserve">Koskinas, K. C., Van Craenenbroeck, E. M., Antoniades, C., et al. </w:t>
      </w:r>
      <w:r w:rsidR="00782CA2" w:rsidRPr="00782CA2">
        <w:t xml:space="preserve">(2024). Obesity and cardiovascular disease: An ESC clinical consensus statement. </w:t>
      </w:r>
      <w:r w:rsidR="00782CA2" w:rsidRPr="008E7FA0">
        <w:rPr>
          <w:i/>
          <w:iCs/>
        </w:rPr>
        <w:t>European Heart Journal</w:t>
      </w:r>
      <w:r w:rsidR="00782CA2" w:rsidRPr="00782CA2">
        <w:t>, 45(38), 4063–4098</w:t>
      </w:r>
      <w:r w:rsidR="00D3654A">
        <w:t xml:space="preserve">. </w:t>
      </w:r>
      <w:hyperlink r:id="rId31" w:history="1">
        <w:r w:rsidR="00D3654A" w:rsidRPr="00695AB7">
          <w:rPr>
            <w:rStyle w:val="Hyperlink"/>
          </w:rPr>
          <w:t>https://doi.org/10.1093/eurheartj/ehae508</w:t>
        </w:r>
      </w:hyperlink>
      <w:r w:rsidR="006C4648">
        <w:t>.</w:t>
      </w:r>
      <w:r w:rsidR="00782CA2" w:rsidRPr="00695AB7">
        <w:t xml:space="preserve"> </w:t>
      </w:r>
    </w:p>
  </w:footnote>
  <w:footnote w:id="28">
    <w:p w14:paraId="3850DA9D" w14:textId="41E9A192" w:rsidR="009873D6" w:rsidRPr="009873D6" w:rsidRDefault="009873D6">
      <w:pPr>
        <w:pStyle w:val="FootnoteText"/>
      </w:pPr>
      <w:r>
        <w:rPr>
          <w:rStyle w:val="FootnoteReference"/>
        </w:rPr>
        <w:footnoteRef/>
      </w:r>
      <w:r>
        <w:t xml:space="preserve"> </w:t>
      </w:r>
      <w:hyperlink r:id="rId32" w:history="1">
        <w:r w:rsidR="005B1064" w:rsidRPr="009E02B0">
          <w:rPr>
            <w:rStyle w:val="Hyperlink"/>
          </w:rPr>
          <w:t>https://cancer-inequalities.jrc.ec.europa.eu/sites/default/files/docs/ccp2025/ec-oecd-synthesis-report-250124-1422.pdf</w:t>
        </w:r>
      </w:hyperlink>
      <w:r w:rsidR="005B1064">
        <w:t xml:space="preserve">. </w:t>
      </w:r>
    </w:p>
  </w:footnote>
  <w:footnote w:id="29">
    <w:p w14:paraId="2A996BE9" w14:textId="04761B2C" w:rsidR="007F25E8" w:rsidRPr="00914153" w:rsidRDefault="007F25E8" w:rsidP="00D8171C">
      <w:pPr>
        <w:pStyle w:val="FootnoteText"/>
        <w:rPr>
          <w:lang w:val="hu-HU"/>
        </w:rPr>
      </w:pPr>
      <w:r>
        <w:rPr>
          <w:rStyle w:val="FootnoteReference"/>
        </w:rPr>
        <w:footnoteRef/>
      </w:r>
      <w:r w:rsidRPr="00E4479F">
        <w:rPr>
          <w:lang w:val="it-IT"/>
        </w:rPr>
        <w:t xml:space="preserve"> </w:t>
      </w:r>
      <w:hyperlink r:id="rId33" w:history="1">
        <w:r w:rsidRPr="00E4479F">
          <w:rPr>
            <w:rStyle w:val="Hyperlink"/>
            <w:lang w:val="it-IT"/>
          </w:rPr>
          <w:t xml:space="preserve">Gill, J., Miracolo, A., Politopoulou, K., Jayawardana, S., Carter, A., Apostolou, E., </w:t>
        </w:r>
        <w:r w:rsidR="00C47E2A" w:rsidRPr="00E4479F">
          <w:rPr>
            <w:rStyle w:val="Hyperlink"/>
            <w:lang w:val="it-IT"/>
          </w:rPr>
          <w:t>&amp;</w:t>
        </w:r>
        <w:r w:rsidR="00AD6949" w:rsidRPr="00E4479F">
          <w:rPr>
            <w:rStyle w:val="Hyperlink"/>
            <w:lang w:val="it-IT"/>
          </w:rPr>
          <w:t xml:space="preserve"> </w:t>
        </w:r>
        <w:r w:rsidRPr="00E4479F">
          <w:rPr>
            <w:rStyle w:val="Hyperlink"/>
            <w:lang w:val="it-IT"/>
          </w:rPr>
          <w:t>Kanavos</w:t>
        </w:r>
        <w:r w:rsidR="000D2026" w:rsidRPr="00E4479F">
          <w:rPr>
            <w:rStyle w:val="Hyperlink"/>
            <w:lang w:val="it-IT"/>
          </w:rPr>
          <w:t>, P.</w:t>
        </w:r>
        <w:r w:rsidRPr="00E4479F">
          <w:rPr>
            <w:rStyle w:val="Hyperlink"/>
            <w:lang w:val="it-IT"/>
          </w:rPr>
          <w:t xml:space="preserve"> (2024). </w:t>
        </w:r>
        <w:r w:rsidRPr="002E1AEB">
          <w:rPr>
            <w:rStyle w:val="Hyperlink"/>
            <w:i/>
          </w:rPr>
          <w:t xml:space="preserve">How can we </w:t>
        </w:r>
        <w:r w:rsidR="00C47E2A" w:rsidRPr="002E1AEB">
          <w:rPr>
            <w:rStyle w:val="Hyperlink"/>
            <w:i/>
          </w:rPr>
          <w:t>improve secondary prevention</w:t>
        </w:r>
        <w:r w:rsidRPr="002E1AEB">
          <w:rPr>
            <w:rStyle w:val="Hyperlink"/>
            <w:i/>
          </w:rPr>
          <w:t xml:space="preserve"> of </w:t>
        </w:r>
        <w:r w:rsidR="00C47E2A" w:rsidRPr="002E1AEB">
          <w:rPr>
            <w:rStyle w:val="Hyperlink"/>
            <w:i/>
          </w:rPr>
          <w:t>cardiovascular disease?</w:t>
        </w:r>
      </w:hyperlink>
      <w:r w:rsidRPr="00BF5FBD">
        <w:t xml:space="preserve"> </w:t>
      </w:r>
      <w:r w:rsidR="00C47E2A" w:rsidRPr="00C47E2A">
        <w:t>London School of Economics and Political Science</w:t>
      </w:r>
      <w:r w:rsidR="00D3654A">
        <w:t xml:space="preserve">. </w:t>
      </w:r>
    </w:p>
  </w:footnote>
  <w:footnote w:id="30">
    <w:p w14:paraId="63FFD374" w14:textId="57B1DC10" w:rsidR="00D7378C" w:rsidRDefault="007F25E8" w:rsidP="00D7378C">
      <w:pPr>
        <w:pStyle w:val="FootnoteText"/>
      </w:pPr>
      <w:r>
        <w:rPr>
          <w:rStyle w:val="FootnoteReference"/>
        </w:rPr>
        <w:footnoteRef/>
      </w:r>
      <w:r w:rsidRPr="00E4479F">
        <w:rPr>
          <w:lang w:val="sv-SE"/>
        </w:rPr>
        <w:t xml:space="preserve"> Timmis</w:t>
      </w:r>
      <w:r w:rsidR="00D7378C" w:rsidRPr="00E4479F">
        <w:rPr>
          <w:lang w:val="sv-SE"/>
        </w:rPr>
        <w:t>,</w:t>
      </w:r>
      <w:r w:rsidRPr="00E4479F">
        <w:rPr>
          <w:lang w:val="sv-SE"/>
        </w:rPr>
        <w:t xml:space="preserve"> A</w:t>
      </w:r>
      <w:r w:rsidR="00D7378C" w:rsidRPr="00E4479F">
        <w:rPr>
          <w:lang w:val="sv-SE"/>
        </w:rPr>
        <w:t>.,</w:t>
      </w:r>
      <w:r w:rsidRPr="00E4479F">
        <w:rPr>
          <w:lang w:val="sv-SE"/>
        </w:rPr>
        <w:t xml:space="preserve"> Vardas</w:t>
      </w:r>
      <w:r w:rsidR="00D7378C" w:rsidRPr="00E4479F">
        <w:rPr>
          <w:lang w:val="sv-SE"/>
        </w:rPr>
        <w:t>,</w:t>
      </w:r>
      <w:r w:rsidRPr="00E4479F">
        <w:rPr>
          <w:lang w:val="sv-SE"/>
        </w:rPr>
        <w:t xml:space="preserve"> P</w:t>
      </w:r>
      <w:r w:rsidR="00D7378C" w:rsidRPr="00E4479F">
        <w:rPr>
          <w:lang w:val="sv-SE"/>
        </w:rPr>
        <w:t>.,</w:t>
      </w:r>
      <w:r w:rsidRPr="00E4479F">
        <w:rPr>
          <w:lang w:val="sv-SE"/>
        </w:rPr>
        <w:t xml:space="preserve"> Townsend</w:t>
      </w:r>
      <w:r w:rsidR="00D7378C" w:rsidRPr="00E4479F">
        <w:rPr>
          <w:lang w:val="sv-SE"/>
        </w:rPr>
        <w:t>,</w:t>
      </w:r>
      <w:r w:rsidRPr="00E4479F">
        <w:rPr>
          <w:lang w:val="sv-SE"/>
        </w:rPr>
        <w:t xml:space="preserve"> N</w:t>
      </w:r>
      <w:r w:rsidR="00D7378C" w:rsidRPr="00E4479F">
        <w:rPr>
          <w:lang w:val="sv-SE"/>
        </w:rPr>
        <w:t>.,</w:t>
      </w:r>
      <w:r w:rsidRPr="00E4479F">
        <w:rPr>
          <w:lang w:val="sv-SE"/>
        </w:rPr>
        <w:t xml:space="preserve"> Torbica</w:t>
      </w:r>
      <w:r w:rsidR="00D7378C" w:rsidRPr="00E4479F">
        <w:rPr>
          <w:lang w:val="sv-SE"/>
        </w:rPr>
        <w:t>,</w:t>
      </w:r>
      <w:r w:rsidRPr="00E4479F">
        <w:rPr>
          <w:lang w:val="sv-SE"/>
        </w:rPr>
        <w:t xml:space="preserve"> A</w:t>
      </w:r>
      <w:r w:rsidR="00D7378C" w:rsidRPr="00E4479F">
        <w:rPr>
          <w:lang w:val="sv-SE"/>
        </w:rPr>
        <w:t>.,</w:t>
      </w:r>
      <w:r w:rsidRPr="00E4479F">
        <w:rPr>
          <w:lang w:val="sv-SE"/>
        </w:rPr>
        <w:t xml:space="preserve"> Katus</w:t>
      </w:r>
      <w:r w:rsidR="00D7378C" w:rsidRPr="00E4479F">
        <w:rPr>
          <w:lang w:val="sv-SE"/>
        </w:rPr>
        <w:t>,</w:t>
      </w:r>
      <w:r w:rsidRPr="00E4479F">
        <w:rPr>
          <w:lang w:val="sv-SE"/>
        </w:rPr>
        <w:t xml:space="preserve"> H</w:t>
      </w:r>
      <w:r w:rsidR="00D7378C" w:rsidRPr="00E4479F">
        <w:rPr>
          <w:lang w:val="sv-SE"/>
        </w:rPr>
        <w:t>.,</w:t>
      </w:r>
      <w:r w:rsidRPr="00E4479F">
        <w:rPr>
          <w:lang w:val="sv-SE"/>
        </w:rPr>
        <w:t xml:space="preserve"> De Smedt</w:t>
      </w:r>
      <w:r w:rsidR="00D7378C" w:rsidRPr="00E4479F">
        <w:rPr>
          <w:lang w:val="sv-SE"/>
        </w:rPr>
        <w:t>,</w:t>
      </w:r>
      <w:r w:rsidRPr="00E4479F">
        <w:rPr>
          <w:lang w:val="sv-SE"/>
        </w:rPr>
        <w:t xml:space="preserve"> D</w:t>
      </w:r>
      <w:r w:rsidR="00D7378C" w:rsidRPr="00E4479F">
        <w:rPr>
          <w:lang w:val="sv-SE"/>
        </w:rPr>
        <w:t>.,</w:t>
      </w:r>
      <w:r w:rsidRPr="00E4479F">
        <w:rPr>
          <w:lang w:val="sv-SE"/>
        </w:rPr>
        <w:t xml:space="preserve"> et al.</w:t>
      </w:r>
      <w:r w:rsidR="000D2026" w:rsidRPr="00E4479F">
        <w:rPr>
          <w:lang w:val="sv-SE"/>
        </w:rPr>
        <w:t xml:space="preserve"> </w:t>
      </w:r>
      <w:r w:rsidR="00D7378C">
        <w:t>(2022).</w:t>
      </w:r>
    </w:p>
    <w:p w14:paraId="12E12B0D" w14:textId="23083CDF" w:rsidR="007F25E8" w:rsidRPr="00914153" w:rsidRDefault="007F25E8" w:rsidP="00D8171C">
      <w:pPr>
        <w:pStyle w:val="FootnoteText"/>
        <w:rPr>
          <w:lang w:val="hu-HU"/>
        </w:rPr>
      </w:pPr>
      <w:r w:rsidRPr="007F25E8">
        <w:t xml:space="preserve">European Society of Cardiology: </w:t>
      </w:r>
      <w:r w:rsidR="00D7378C">
        <w:t>Cardiovascular</w:t>
      </w:r>
      <w:r w:rsidRPr="007F25E8">
        <w:t xml:space="preserve"> disease statistics</w:t>
      </w:r>
      <w:r w:rsidR="002E4D5E" w:rsidRPr="002E4D5E">
        <w:t xml:space="preserve"> 2021. </w:t>
      </w:r>
      <w:r w:rsidR="002E4D5E" w:rsidRPr="00CE6768">
        <w:rPr>
          <w:i/>
        </w:rPr>
        <w:t xml:space="preserve">European </w:t>
      </w:r>
      <w:r w:rsidR="00D7378C" w:rsidRPr="00CE6768">
        <w:rPr>
          <w:i/>
          <w:iCs/>
        </w:rPr>
        <w:t>Heart Journal</w:t>
      </w:r>
      <w:r w:rsidR="002E4D5E" w:rsidRPr="00CE6768">
        <w:rPr>
          <w:i/>
        </w:rPr>
        <w:t>, 43</w:t>
      </w:r>
      <w:r w:rsidR="002E4D5E" w:rsidRPr="002E4D5E">
        <w:t>(8), 716–799</w:t>
      </w:r>
      <w:r w:rsidR="007E4766">
        <w:t>.</w:t>
      </w:r>
      <w:r w:rsidR="002E4D5E" w:rsidRPr="002E4D5E">
        <w:t xml:space="preserve"> </w:t>
      </w:r>
      <w:hyperlink r:id="rId34" w:history="1">
        <w:r w:rsidR="00EE1979" w:rsidRPr="001D7D96">
          <w:rPr>
            <w:rStyle w:val="Hyperlink"/>
            <w:lang w:val="en-IE"/>
          </w:rPr>
          <w:t>https://doi.org/10.1093/eurheartj/ehab892</w:t>
        </w:r>
      </w:hyperlink>
      <w:r w:rsidR="006C4648">
        <w:rPr>
          <w:lang w:val="en-IE"/>
        </w:rPr>
        <w:t>.</w:t>
      </w:r>
    </w:p>
  </w:footnote>
  <w:footnote w:id="31">
    <w:p w14:paraId="11D52CD6" w14:textId="53FEE612" w:rsidR="0061042F" w:rsidRPr="009F0188" w:rsidRDefault="0061042F" w:rsidP="00D8171C">
      <w:pPr>
        <w:pStyle w:val="FootnoteText"/>
        <w:rPr>
          <w:lang w:val="hu-HU"/>
        </w:rPr>
      </w:pPr>
      <w:r>
        <w:rPr>
          <w:rStyle w:val="FootnoteReference"/>
        </w:rPr>
        <w:footnoteRef/>
      </w:r>
      <w:r w:rsidRPr="001D7D96">
        <w:rPr>
          <w:lang w:val="en-IE"/>
        </w:rPr>
        <w:t xml:space="preserve"> Kwon, Y., Tzeng, W.S., Seo, J. et al</w:t>
      </w:r>
      <w:r w:rsidR="00CB27EC" w:rsidRPr="001D7D96">
        <w:rPr>
          <w:lang w:val="en-IE"/>
        </w:rPr>
        <w:t xml:space="preserve"> (2024)</w:t>
      </w:r>
      <w:r w:rsidRPr="001D7D96">
        <w:rPr>
          <w:lang w:val="en-IE"/>
        </w:rPr>
        <w:t xml:space="preserve">. </w:t>
      </w:r>
      <w:r w:rsidRPr="0061042F">
        <w:t xml:space="preserve">Obstructive sleep apnea and hypertension; critical overview. </w:t>
      </w:r>
      <w:r w:rsidRPr="00130ABE">
        <w:rPr>
          <w:i/>
          <w:iCs/>
        </w:rPr>
        <w:t>Clin Hyperte</w:t>
      </w:r>
      <w:r w:rsidRPr="006C4648">
        <w:rPr>
          <w:i/>
          <w:iCs/>
        </w:rPr>
        <w:t>ns</w:t>
      </w:r>
      <w:r w:rsidR="00DE0C9E" w:rsidRPr="00E4479F">
        <w:rPr>
          <w:i/>
          <w:iCs/>
        </w:rPr>
        <w:t>ion</w:t>
      </w:r>
      <w:r w:rsidRPr="00E4479F">
        <w:rPr>
          <w:i/>
        </w:rPr>
        <w:t xml:space="preserve"> </w:t>
      </w:r>
      <w:r w:rsidRPr="006C4648">
        <w:rPr>
          <w:i/>
        </w:rPr>
        <w:t>30</w:t>
      </w:r>
      <w:r w:rsidR="002D5061">
        <w:rPr>
          <w:i/>
          <w:iCs/>
        </w:rPr>
        <w:t xml:space="preserve"> </w:t>
      </w:r>
      <w:r w:rsidR="002D5061">
        <w:t>(1)</w:t>
      </w:r>
      <w:r w:rsidRPr="00285F68">
        <w:t>, 19</w:t>
      </w:r>
      <w:r w:rsidR="00D3654A">
        <w:t>.</w:t>
      </w:r>
      <w:r w:rsidR="002D5061">
        <w:t xml:space="preserve"> </w:t>
      </w:r>
      <w:hyperlink r:id="rId35" w:history="1">
        <w:r w:rsidR="0010760A" w:rsidRPr="009D08AE">
          <w:rPr>
            <w:rStyle w:val="Hyperlink"/>
          </w:rPr>
          <w:t>https://doi.org/10.1186/s40885-024-00276-7</w:t>
        </w:r>
      </w:hyperlink>
      <w:r w:rsidR="0010760A">
        <w:t>.</w:t>
      </w:r>
    </w:p>
  </w:footnote>
  <w:footnote w:id="32">
    <w:p w14:paraId="6969245E" w14:textId="43FFBC3A" w:rsidR="00DE54C7" w:rsidRPr="00914153" w:rsidRDefault="00DE54C7" w:rsidP="00D8171C">
      <w:pPr>
        <w:pStyle w:val="FootnoteText"/>
      </w:pPr>
      <w:r>
        <w:rPr>
          <w:rStyle w:val="FootnoteReference"/>
        </w:rPr>
        <w:footnoteRef/>
      </w:r>
      <w:r w:rsidRPr="00914153">
        <w:t xml:space="preserve"> </w:t>
      </w:r>
      <w:r>
        <w:rPr>
          <w:rStyle w:val="FootnoteReference"/>
          <w:vertAlign w:val="baseline"/>
        </w:rPr>
        <w:t>OECD report (</w:t>
      </w:r>
      <w:r>
        <w:t xml:space="preserve">2025) </w:t>
      </w:r>
      <w:r>
        <w:rPr>
          <w:rStyle w:val="FootnoteReference"/>
          <w:vertAlign w:val="baseline"/>
        </w:rPr>
        <w:t>‘</w:t>
      </w:r>
      <w:r>
        <w:t xml:space="preserve">The state of cardiovascular health in the EU’ - </w:t>
      </w:r>
      <w:hyperlink r:id="rId36" w:history="1">
        <w:r>
          <w:rPr>
            <w:rStyle w:val="Hyperlink"/>
            <w:lang w:val="en-IE"/>
          </w:rPr>
          <w:t>Full Report: The State of Cardiovascular Health in the European Union | OECD</w:t>
        </w:r>
      </w:hyperlink>
      <w:r w:rsidR="00D36DD6">
        <w:t>.</w:t>
      </w:r>
    </w:p>
  </w:footnote>
  <w:footnote w:id="33">
    <w:p w14:paraId="36FD9FE3" w14:textId="77777777" w:rsidR="00DE54C7" w:rsidRPr="001D733D" w:rsidRDefault="00DE54C7" w:rsidP="00D8171C">
      <w:pPr>
        <w:pStyle w:val="FootnoteText"/>
      </w:pPr>
      <w:r>
        <w:rPr>
          <w:rStyle w:val="FootnoteReference"/>
        </w:rPr>
        <w:footnoteRef/>
      </w:r>
      <w:r>
        <w:t xml:space="preserve"> </w:t>
      </w:r>
      <w:hyperlink r:id="rId37" w:history="1">
        <w:r w:rsidRPr="00D24CAC">
          <w:rPr>
            <w:rStyle w:val="Hyperlink"/>
          </w:rPr>
          <w:t>[ilc_hch11] Persons eating fruit, vegetables or salad by educational attainment level, risk of poverty threshold, most frequent activity status and sex</w:t>
        </w:r>
      </w:hyperlink>
      <w:r>
        <w:t>.</w:t>
      </w:r>
    </w:p>
  </w:footnote>
  <w:footnote w:id="34">
    <w:p w14:paraId="3AEB9CA9" w14:textId="1955B936" w:rsidR="00DE54C7" w:rsidRPr="000E1D82" w:rsidRDefault="00DE54C7" w:rsidP="00D8171C">
      <w:pPr>
        <w:pStyle w:val="FootnoteText"/>
      </w:pPr>
      <w:r w:rsidRPr="000E1D82">
        <w:rPr>
          <w:rStyle w:val="FootnoteReference"/>
        </w:rPr>
        <w:footnoteRef/>
      </w:r>
      <w:r w:rsidRPr="000E1D82">
        <w:t xml:space="preserve"> </w:t>
      </w:r>
      <w:r w:rsidR="00D37A0D">
        <w:t xml:space="preserve"> </w:t>
      </w:r>
      <w:r>
        <w:t>Average</w:t>
      </w:r>
      <w:r w:rsidRPr="000E1D82">
        <w:t xml:space="preserve"> alcohol consumption decline</w:t>
      </w:r>
      <w:r>
        <w:t>d slightly by</w:t>
      </w:r>
      <w:r w:rsidRPr="000E1D82">
        <w:t xml:space="preserve"> 3% between 2010 and 2022.</w:t>
      </w:r>
    </w:p>
  </w:footnote>
  <w:footnote w:id="35">
    <w:p w14:paraId="7BE5D27D" w14:textId="2C1E1699" w:rsidR="00DE54C7" w:rsidRPr="000E1D82" w:rsidRDefault="00DE54C7" w:rsidP="00D8171C">
      <w:pPr>
        <w:pStyle w:val="FootnoteText"/>
      </w:pPr>
      <w:r w:rsidRPr="000E1D82">
        <w:rPr>
          <w:rStyle w:val="FootnoteReference"/>
        </w:rPr>
        <w:footnoteRef/>
      </w:r>
      <w:r w:rsidR="00D37A0D">
        <w:t xml:space="preserve"> </w:t>
      </w:r>
      <w:r w:rsidRPr="00914153">
        <w:t>Key</w:t>
      </w:r>
      <w:r w:rsidR="0010760A">
        <w:t xml:space="preserve"> </w:t>
      </w:r>
      <w:r w:rsidRPr="00914153">
        <w:t>findings from the 2024 European School Survey Project on Alcohol and Other Drugs (ESPAD)</w:t>
      </w:r>
      <w:r w:rsidR="00872634">
        <w:t>:</w:t>
      </w:r>
      <w:r w:rsidRPr="00914153">
        <w:t xml:space="preserve"> </w:t>
      </w:r>
      <w:hyperlink r:id="rId38" w:history="1">
        <w:r w:rsidR="008E5008" w:rsidRPr="004A04E7">
          <w:rPr>
            <w:rStyle w:val="Hyperlink"/>
          </w:rPr>
          <w:t>www.euda.europa.eu</w:t>
        </w:r>
      </w:hyperlink>
      <w:r w:rsidRPr="000E1D82">
        <w:t>.</w:t>
      </w:r>
    </w:p>
  </w:footnote>
  <w:footnote w:id="36">
    <w:p w14:paraId="3AC8F01C" w14:textId="203F6AF3" w:rsidR="00DE54C7" w:rsidRPr="000E1D82" w:rsidRDefault="00DE54C7" w:rsidP="00D8171C">
      <w:pPr>
        <w:pStyle w:val="FootnoteText"/>
      </w:pPr>
      <w:r w:rsidRPr="000E1D82">
        <w:rPr>
          <w:rStyle w:val="FootnoteReference"/>
        </w:rPr>
        <w:footnoteRef/>
      </w:r>
      <w:r w:rsidRPr="000E1D82">
        <w:t xml:space="preserve"> European Centre for Disease Prevention and Control</w:t>
      </w:r>
      <w:r w:rsidR="00FE56F3">
        <w:t xml:space="preserve"> (2024)</w:t>
      </w:r>
      <w:r w:rsidR="00FE56F3" w:rsidRPr="000E1D82">
        <w:t>.</w:t>
      </w:r>
      <w:r w:rsidRPr="000E1D82">
        <w:t xml:space="preserve"> Survey report on national seasonal influenza vaccination recommendations and coverage rates in EU/EEA countries</w:t>
      </w:r>
      <w:r w:rsidR="006C4648">
        <w:t>.</w:t>
      </w:r>
      <w:r w:rsidR="000D2026">
        <w:t xml:space="preserve"> </w:t>
      </w:r>
    </w:p>
  </w:footnote>
  <w:footnote w:id="37">
    <w:p w14:paraId="49B02ED3" w14:textId="61DBDEEC" w:rsidR="00DE54C7" w:rsidRPr="000E1D82" w:rsidRDefault="00DE54C7" w:rsidP="00D8171C">
      <w:pPr>
        <w:pStyle w:val="FootnoteText"/>
      </w:pPr>
      <w:r w:rsidRPr="000E1D82">
        <w:rPr>
          <w:rStyle w:val="FootnoteReference"/>
        </w:rPr>
        <w:footnoteRef/>
      </w:r>
      <w:r w:rsidRPr="000E1D82">
        <w:t xml:space="preserve"> European Centre for Disease Prevention and Control. COVID-19 vaccination coverage in the EU/EEA during the 2024–25 season campaigns, 1 August 2024 – 28 March 2025.</w:t>
      </w:r>
    </w:p>
  </w:footnote>
  <w:footnote w:id="38">
    <w:p w14:paraId="07012787" w14:textId="098FBDFD" w:rsidR="00DE54C7" w:rsidRPr="00AB3ADE" w:rsidRDefault="00DE54C7" w:rsidP="00D8171C">
      <w:pPr>
        <w:pStyle w:val="FootnoteText"/>
      </w:pPr>
      <w:r>
        <w:rPr>
          <w:rStyle w:val="FootnoteReference"/>
        </w:rPr>
        <w:footnoteRef/>
      </w:r>
      <w:r>
        <w:t xml:space="preserve"> </w:t>
      </w:r>
      <w:r w:rsidRPr="00BA2DF1">
        <w:t>E</w:t>
      </w:r>
      <w:r>
        <w:t xml:space="preserve">uropean Environment </w:t>
      </w:r>
      <w:r w:rsidRPr="00BA2DF1">
        <w:t>A</w:t>
      </w:r>
      <w:r>
        <w:t>gency</w:t>
      </w:r>
      <w:r w:rsidRPr="00BA2DF1">
        <w:t xml:space="preserve"> (2025): </w:t>
      </w:r>
      <w:hyperlink r:id="rId39" w:history="1">
        <w:r w:rsidRPr="00381950">
          <w:rPr>
            <w:rStyle w:val="Hyperlink"/>
          </w:rPr>
          <w:t>Preventing cardiovascular disease through a healthy environment</w:t>
        </w:r>
      </w:hyperlink>
      <w:r>
        <w:t>.</w:t>
      </w:r>
    </w:p>
  </w:footnote>
  <w:footnote w:id="39">
    <w:p w14:paraId="52561579" w14:textId="77777777" w:rsidR="00DE54C7" w:rsidRPr="004672A6" w:rsidRDefault="00DE54C7" w:rsidP="00D8171C">
      <w:pPr>
        <w:pStyle w:val="FootnoteText"/>
      </w:pPr>
      <w:r>
        <w:rPr>
          <w:rStyle w:val="FootnoteReference"/>
        </w:rPr>
        <w:footnoteRef/>
      </w:r>
      <w:r>
        <w:t xml:space="preserve"> </w:t>
      </w:r>
      <w:hyperlink r:id="rId40" w:history="1">
        <w:r w:rsidRPr="00914153">
          <w:rPr>
            <w:rStyle w:val="Hyperlink"/>
          </w:rPr>
          <w:t>Combinations of physical activity, sedentary time, and sleep duration and their associations with depressive symptoms and other mental health problems in children and adolescents: a systematic review - PubMed</w:t>
        </w:r>
      </w:hyperlink>
      <w:r>
        <w:t>.</w:t>
      </w:r>
    </w:p>
  </w:footnote>
  <w:footnote w:id="40">
    <w:p w14:paraId="4B829BF9" w14:textId="6097E084" w:rsidR="00DE54C7" w:rsidRPr="001D733D" w:rsidRDefault="00DE54C7" w:rsidP="00D8171C">
      <w:pPr>
        <w:pStyle w:val="FootnoteText"/>
      </w:pPr>
      <w:r>
        <w:rPr>
          <w:rStyle w:val="FootnoteReference"/>
        </w:rPr>
        <w:footnoteRef/>
      </w:r>
      <w:r>
        <w:t xml:space="preserve"> </w:t>
      </w:r>
      <w:r w:rsidRPr="00FC5528">
        <w:t>Eurostat, EU-SILC, Person distribution by body mass index, educational attainment level, sex and age</w:t>
      </w:r>
      <w:r w:rsidR="00872634">
        <w:t>:</w:t>
      </w:r>
      <w:r>
        <w:t xml:space="preserve"> </w:t>
      </w:r>
      <w:hyperlink r:id="rId41" w:history="1">
        <w:r w:rsidRPr="00FC5528">
          <w:rPr>
            <w:rStyle w:val="Hyperlink"/>
          </w:rPr>
          <w:t>ilc_hch10</w:t>
        </w:r>
      </w:hyperlink>
      <w:r>
        <w:t>.</w:t>
      </w:r>
    </w:p>
  </w:footnote>
  <w:footnote w:id="41">
    <w:p w14:paraId="6CA67134" w14:textId="2349F8CC" w:rsidR="00DE54C7" w:rsidRPr="000E1D82" w:rsidRDefault="00DE54C7" w:rsidP="00D8171C">
      <w:pPr>
        <w:pStyle w:val="FootnoteText"/>
      </w:pPr>
      <w:r w:rsidRPr="000E1D82">
        <w:rPr>
          <w:rStyle w:val="FootnoteReference"/>
        </w:rPr>
        <w:footnoteRef/>
      </w:r>
      <w:r w:rsidRPr="00B273C2">
        <w:rPr>
          <w:lang w:val="en-IE"/>
        </w:rPr>
        <w:t xml:space="preserve"> Azaïs-Braesco, V., Sluik, D., Maillot, M., Kok, F. and Moreno, L.A. </w:t>
      </w:r>
      <w:r w:rsidR="009A69F2">
        <w:rPr>
          <w:lang w:val="en-IE"/>
        </w:rPr>
        <w:t>(2017).</w:t>
      </w:r>
      <w:r w:rsidRPr="00B273C2">
        <w:rPr>
          <w:lang w:val="en-IE"/>
        </w:rPr>
        <w:t xml:space="preserve"> </w:t>
      </w:r>
      <w:r w:rsidRPr="000E1D82">
        <w:t>A review of total &amp; added sugar intakes and dietary sources in Europe</w:t>
      </w:r>
      <w:r>
        <w:t xml:space="preserve">, </w:t>
      </w:r>
      <w:r w:rsidRPr="00156CBF">
        <w:rPr>
          <w:i/>
          <w:iCs/>
        </w:rPr>
        <w:t>Nutrition Journal</w:t>
      </w:r>
      <w:r w:rsidRPr="00A42645">
        <w:t xml:space="preserve">, </w:t>
      </w:r>
      <w:r w:rsidRPr="009A69F2">
        <w:rPr>
          <w:i/>
        </w:rPr>
        <w:t xml:space="preserve">16 </w:t>
      </w:r>
      <w:r>
        <w:t>(1)</w:t>
      </w:r>
      <w:r w:rsidR="009A69F2">
        <w:t xml:space="preserve">, </w:t>
      </w:r>
      <w:r w:rsidRPr="000E1D82">
        <w:t>6</w:t>
      </w:r>
      <w:r w:rsidR="0023119B">
        <w:t>.</w:t>
      </w:r>
      <w:r w:rsidRPr="000E1D82">
        <w:t xml:space="preserve"> </w:t>
      </w:r>
      <w:hyperlink r:id="rId42" w:history="1">
        <w:r w:rsidR="0023119B" w:rsidRPr="004A04E7">
          <w:rPr>
            <w:rStyle w:val="Hyperlink"/>
          </w:rPr>
          <w:t>https://doi.org/10.1186/s12937-016-0225-2</w:t>
        </w:r>
      </w:hyperlink>
      <w:r w:rsidR="001D31E6">
        <w:t xml:space="preserve">; </w:t>
      </w:r>
      <w:hyperlink r:id="rId43" w:history="1">
        <w:r w:rsidR="001D31E6" w:rsidRPr="00230C2F">
          <w:rPr>
            <w:rStyle w:val="Hyperlink"/>
          </w:rPr>
          <w:t>Sugars and Sweeteners | Knowledge for policy</w:t>
        </w:r>
      </w:hyperlink>
      <w:r>
        <w:t>.</w:t>
      </w:r>
      <w:r w:rsidR="001D31E6">
        <w:t xml:space="preserve"> </w:t>
      </w:r>
    </w:p>
  </w:footnote>
  <w:footnote w:id="42">
    <w:p w14:paraId="02163982" w14:textId="721F5D93" w:rsidR="00DE54C7" w:rsidRPr="000E1D82" w:rsidRDefault="00DE54C7" w:rsidP="00D8171C">
      <w:pPr>
        <w:pStyle w:val="FootnoteText"/>
      </w:pPr>
      <w:r w:rsidRPr="000E1D82">
        <w:rPr>
          <w:rStyle w:val="FootnoteReference"/>
        </w:rPr>
        <w:footnoteRef/>
      </w:r>
      <w:r w:rsidRPr="000E1D82">
        <w:t xml:space="preserve"> </w:t>
      </w:r>
      <w:r>
        <w:t xml:space="preserve">Eurostat database: </w:t>
      </w:r>
      <w:hyperlink r:id="rId44" w:history="1">
        <w:r w:rsidRPr="000E1D82">
          <w:rPr>
            <w:rStyle w:val="Hyperlink"/>
          </w:rPr>
          <w:t>[hlth_ehis_fv3e] Daily consumption of fruit and vegetables by sex, age and educational attainment level</w:t>
        </w:r>
      </w:hyperlink>
      <w:r w:rsidRPr="000E1D82">
        <w:t>.</w:t>
      </w:r>
    </w:p>
  </w:footnote>
  <w:footnote w:id="43">
    <w:p w14:paraId="29A8E3EE" w14:textId="2D8E0532" w:rsidR="00DE54C7" w:rsidRPr="000E1D82" w:rsidRDefault="00DE54C7" w:rsidP="00D8171C">
      <w:pPr>
        <w:pStyle w:val="FootnoteText"/>
      </w:pPr>
      <w:r w:rsidRPr="000E1D82">
        <w:rPr>
          <w:rStyle w:val="FootnoteReference"/>
        </w:rPr>
        <w:footnoteRef/>
      </w:r>
      <w:r w:rsidRPr="000E1D82">
        <w:t xml:space="preserve"> </w:t>
      </w:r>
      <w:hyperlink r:id="rId45" w:anchor="0-level-3" w:history="1">
        <w:r w:rsidRPr="000E1D82">
          <w:rPr>
            <w:rStyle w:val="Hyperlink"/>
          </w:rPr>
          <w:t>Key findings from the 2024 European School Survey Project on Alcohol and Other Drugs (ESPAD</w:t>
        </w:r>
        <w:r w:rsidR="00DF5192">
          <w:rPr>
            <w:rStyle w:val="Hyperlink"/>
          </w:rPr>
          <w:t>).</w:t>
        </w:r>
      </w:hyperlink>
    </w:p>
  </w:footnote>
  <w:footnote w:id="44">
    <w:p w14:paraId="4F3CE1AD" w14:textId="77777777" w:rsidR="00DE54C7" w:rsidRPr="000E1D82" w:rsidRDefault="00DE54C7" w:rsidP="00D8171C">
      <w:pPr>
        <w:pStyle w:val="FootnoteText"/>
      </w:pPr>
      <w:r w:rsidRPr="000E1D82">
        <w:rPr>
          <w:rStyle w:val="FootnoteReference"/>
        </w:rPr>
        <w:footnoteRef/>
      </w:r>
      <w:r w:rsidRPr="000E1D82">
        <w:t xml:space="preserve"> </w:t>
      </w:r>
      <w:r>
        <w:t>Alcopops are p</w:t>
      </w:r>
      <w:r w:rsidRPr="000E1D82">
        <w:t>remixed alcoholic drink</w:t>
      </w:r>
      <w:r>
        <w:t>s</w:t>
      </w:r>
      <w:r w:rsidRPr="000E1D82">
        <w:t xml:space="preserve"> </w:t>
      </w:r>
      <w:r>
        <w:t>that are</w:t>
      </w:r>
      <w:r w:rsidRPr="000E1D82">
        <w:t xml:space="preserve"> designed to mimic the taste of a soft drink but </w:t>
      </w:r>
      <w:r>
        <w:t>contain</w:t>
      </w:r>
      <w:r w:rsidRPr="000E1D82">
        <w:t xml:space="preserve"> added alcohol.</w:t>
      </w:r>
    </w:p>
  </w:footnote>
  <w:footnote w:id="45">
    <w:p w14:paraId="6DAA8DE0" w14:textId="7DD7862A" w:rsidR="00DE54C7" w:rsidRPr="004672A6" w:rsidRDefault="00DE54C7" w:rsidP="00D8171C">
      <w:pPr>
        <w:pStyle w:val="FootnoteText"/>
      </w:pPr>
      <w:r>
        <w:rPr>
          <w:rStyle w:val="FootnoteReference"/>
        </w:rPr>
        <w:footnoteRef/>
      </w:r>
      <w:r w:rsidRPr="004672A6">
        <w:t xml:space="preserve"> </w:t>
      </w:r>
      <w:hyperlink r:id="rId46" w:history="1">
        <w:r w:rsidRPr="00914153">
          <w:rPr>
            <w:rStyle w:val="Hyperlink"/>
            <w:lang w:val="en-IE" w:eastAsia="en-GB"/>
          </w:rPr>
          <w:t>UNICEF Report: The State of Children in the European Union: Addressing the needs and rights of the EU’s youngest generation. (2024)</w:t>
        </w:r>
      </w:hyperlink>
      <w:r>
        <w:t>.</w:t>
      </w:r>
    </w:p>
  </w:footnote>
  <w:footnote w:id="46">
    <w:p w14:paraId="6A1924F6" w14:textId="053D1650" w:rsidR="00504544" w:rsidRPr="00E4479F" w:rsidRDefault="00504544">
      <w:pPr>
        <w:pStyle w:val="FootnoteText"/>
        <w:rPr>
          <w:lang w:val="en-IE"/>
        </w:rPr>
      </w:pPr>
      <w:r>
        <w:rPr>
          <w:rStyle w:val="FootnoteReference"/>
        </w:rPr>
        <w:footnoteRef/>
      </w:r>
      <w:r>
        <w:t xml:space="preserve"> </w:t>
      </w:r>
      <w:r w:rsidRPr="00504544">
        <w:rPr>
          <w:lang w:val="en-IE"/>
        </w:rPr>
        <w:t>Marx, N., Federici, M., Schütt, K., Müller-Wieland, D., et al. (2023). 2023 ESC Guidelines for the management of cardiovascular disease in patients with diabetes: Developed by the task force on the management of cardiovascular disease in patients with diabetes of the European Society of Cardiology (ESC), </w:t>
      </w:r>
      <w:r w:rsidRPr="00504544">
        <w:rPr>
          <w:i/>
          <w:iCs/>
          <w:lang w:val="en-IE"/>
        </w:rPr>
        <w:t>European Heart Journal</w:t>
      </w:r>
      <w:r w:rsidRPr="00504544">
        <w:rPr>
          <w:lang w:val="en-IE"/>
        </w:rPr>
        <w:t>. 44(39), 4043–4140, </w:t>
      </w:r>
      <w:hyperlink r:id="rId47" w:history="1">
        <w:r w:rsidRPr="00504544">
          <w:rPr>
            <w:rStyle w:val="Hyperlink"/>
            <w:lang w:val="en-IE"/>
          </w:rPr>
          <w:t>https://doi.org/10.1093/eurheartj/ehad192</w:t>
        </w:r>
      </w:hyperlink>
      <w:r w:rsidRPr="00504544">
        <w:rPr>
          <w:lang w:val="en-IE"/>
        </w:rPr>
        <w:t>.</w:t>
      </w:r>
    </w:p>
  </w:footnote>
  <w:footnote w:id="47">
    <w:p w14:paraId="4311B705" w14:textId="6F5E97E2" w:rsidR="00DE54C7" w:rsidRPr="001D733D" w:rsidRDefault="00DE54C7" w:rsidP="00D8171C">
      <w:pPr>
        <w:pStyle w:val="FootnoteText"/>
      </w:pPr>
      <w:r>
        <w:rPr>
          <w:rStyle w:val="FootnoteReference"/>
        </w:rPr>
        <w:footnoteRef/>
      </w:r>
      <w:r>
        <w:t xml:space="preserve"> Eurostat database: </w:t>
      </w:r>
      <w:hyperlink r:id="rId48" w:history="1">
        <w:r w:rsidRPr="00511B05">
          <w:rPr>
            <w:rStyle w:val="Hyperlink"/>
          </w:rPr>
          <w:t xml:space="preserve">[hlth_ehis_pa2e] Self-reported screening of cardiovascular diseases and diabetes risks by sex, age and educational </w:t>
        </w:r>
        <w:r w:rsidRPr="00DF5192">
          <w:rPr>
            <w:rStyle w:val="Hyperlink"/>
          </w:rPr>
          <w:t>attainment</w:t>
        </w:r>
        <w:r w:rsidRPr="00511B05">
          <w:rPr>
            <w:rStyle w:val="Hyperlink"/>
          </w:rPr>
          <w:t xml:space="preserve"> level</w:t>
        </w:r>
      </w:hyperlink>
      <w:r>
        <w:t>.</w:t>
      </w:r>
    </w:p>
  </w:footnote>
  <w:footnote w:id="48">
    <w:p w14:paraId="19A72358" w14:textId="3BF6C13F" w:rsidR="00DE54C7" w:rsidRDefault="00DE54C7" w:rsidP="00D8171C">
      <w:pPr>
        <w:pStyle w:val="FootnoteText"/>
      </w:pPr>
      <w:r>
        <w:rPr>
          <w:rStyle w:val="FootnoteReference"/>
        </w:rPr>
        <w:footnoteRef/>
      </w:r>
      <w:r w:rsidR="00D37A0D">
        <w:rPr>
          <w:noProof/>
        </w:rPr>
        <w:t xml:space="preserve"> </w:t>
      </w:r>
      <w:r w:rsidRPr="67527CAB">
        <w:rPr>
          <w:noProof/>
        </w:rPr>
        <w:t>Dunlay,</w:t>
      </w:r>
      <w:r w:rsidR="003A5601" w:rsidRPr="003A5601">
        <w:rPr>
          <w:noProof/>
        </w:rPr>
        <w:t xml:space="preserve"> </w:t>
      </w:r>
      <w:r w:rsidRPr="67527CAB">
        <w:rPr>
          <w:noProof/>
        </w:rPr>
        <w:t xml:space="preserve">S. </w:t>
      </w:r>
      <w:r w:rsidR="003A5601" w:rsidRPr="003A5601">
        <w:rPr>
          <w:noProof/>
        </w:rPr>
        <w:t>M., &amp;</w:t>
      </w:r>
      <w:r w:rsidRPr="67527CAB">
        <w:rPr>
          <w:noProof/>
        </w:rPr>
        <w:t xml:space="preserve"> Chamberlain</w:t>
      </w:r>
      <w:r>
        <w:rPr>
          <w:noProof/>
        </w:rPr>
        <w:t>, A.</w:t>
      </w:r>
      <w:r w:rsidRPr="67527CAB">
        <w:rPr>
          <w:noProof/>
        </w:rPr>
        <w:t xml:space="preserve"> </w:t>
      </w:r>
      <w:r w:rsidR="003A5601" w:rsidRPr="003A5601">
        <w:rPr>
          <w:noProof/>
        </w:rPr>
        <w:t xml:space="preserve">M. </w:t>
      </w:r>
      <w:r w:rsidRPr="67527CAB">
        <w:rPr>
          <w:noProof/>
        </w:rPr>
        <w:t>(2016)</w:t>
      </w:r>
      <w:r w:rsidR="00051925">
        <w:rPr>
          <w:noProof/>
        </w:rPr>
        <w:t xml:space="preserve">. </w:t>
      </w:r>
      <w:r w:rsidRPr="67527CAB">
        <w:rPr>
          <w:noProof/>
        </w:rPr>
        <w:t>Multimorbidity in Older Patients with Cardiovascular Disease</w:t>
      </w:r>
      <w:r w:rsidR="003A5601" w:rsidRPr="003A5601">
        <w:rPr>
          <w:noProof/>
        </w:rPr>
        <w:t xml:space="preserve">. </w:t>
      </w:r>
      <w:r w:rsidR="003A5601" w:rsidRPr="00A57042">
        <w:rPr>
          <w:i/>
        </w:rPr>
        <w:t xml:space="preserve">Current cardiovascular risk reports, </w:t>
      </w:r>
      <w:r w:rsidRPr="00A57042">
        <w:rPr>
          <w:i/>
        </w:rPr>
        <w:t>10</w:t>
      </w:r>
      <w:r w:rsidR="003A5601" w:rsidRPr="003A5601">
        <w:rPr>
          <w:noProof/>
        </w:rPr>
        <w:t>, 3</w:t>
      </w:r>
      <w:r w:rsidR="0023119B">
        <w:rPr>
          <w:noProof/>
        </w:rPr>
        <w:t>.</w:t>
      </w:r>
      <w:r w:rsidR="003A5601" w:rsidRPr="00E7113E">
        <w:rPr>
          <w:lang w:val="en-US"/>
        </w:rPr>
        <w:t xml:space="preserve"> </w:t>
      </w:r>
      <w:hyperlink r:id="rId49" w:history="1">
        <w:r w:rsidR="005C24EF" w:rsidRPr="00E7113E">
          <w:rPr>
            <w:rStyle w:val="Hyperlink"/>
            <w:lang w:val="en-US"/>
          </w:rPr>
          <w:t>https://doi.org/10.1007/s12170-016-0491-8</w:t>
        </w:r>
      </w:hyperlink>
      <w:r w:rsidR="005C24EF" w:rsidRPr="00E7113E">
        <w:rPr>
          <w:lang w:val="en-US"/>
        </w:rPr>
        <w:t>;</w:t>
      </w:r>
      <w:r w:rsidR="00A43A8B" w:rsidRPr="00E7113E">
        <w:rPr>
          <w:lang w:val="en-US"/>
        </w:rPr>
        <w:t xml:space="preserve"> Skou, S.</w:t>
      </w:r>
      <w:r w:rsidR="00525585" w:rsidRPr="00E7113E">
        <w:rPr>
          <w:lang w:val="en-US"/>
        </w:rPr>
        <w:t xml:space="preserve"> T., et al. </w:t>
      </w:r>
      <w:r w:rsidR="00525585" w:rsidRPr="00525585">
        <w:rPr>
          <w:noProof/>
        </w:rPr>
        <w:t xml:space="preserve">(2022). Multimorbidity. </w:t>
      </w:r>
      <w:r w:rsidR="00525585" w:rsidRPr="00525585">
        <w:rPr>
          <w:i/>
          <w:iCs/>
          <w:noProof/>
        </w:rPr>
        <w:t>Nature Reviews Disease Primers, 8</w:t>
      </w:r>
      <w:r w:rsidR="00525585" w:rsidRPr="00525585">
        <w:rPr>
          <w:noProof/>
        </w:rPr>
        <w:t>(1), 48</w:t>
      </w:r>
      <w:r w:rsidR="0023119B">
        <w:rPr>
          <w:noProof/>
        </w:rPr>
        <w:t>.</w:t>
      </w:r>
      <w:r w:rsidR="00525585" w:rsidRPr="00525585">
        <w:rPr>
          <w:noProof/>
        </w:rPr>
        <w:t xml:space="preserve"> </w:t>
      </w:r>
      <w:hyperlink r:id="rId50" w:history="1">
        <w:r w:rsidR="00961550" w:rsidRPr="004A04E7">
          <w:rPr>
            <w:rStyle w:val="Hyperlink"/>
            <w:noProof/>
          </w:rPr>
          <w:t>https://doi.org/10.1038/s41572-022-00376-4</w:t>
        </w:r>
      </w:hyperlink>
      <w:r w:rsidR="006C4648">
        <w:rPr>
          <w:noProof/>
        </w:rPr>
        <w:t>.</w:t>
      </w:r>
      <w:r w:rsidR="00A43A8B">
        <w:rPr>
          <w:noProof/>
        </w:rPr>
        <w:t xml:space="preserve"> </w:t>
      </w:r>
    </w:p>
  </w:footnote>
  <w:footnote w:id="49">
    <w:p w14:paraId="7384DF59" w14:textId="15F54ADB" w:rsidR="00DE54C7" w:rsidRPr="001D733D" w:rsidRDefault="00DE54C7" w:rsidP="00D8171C">
      <w:pPr>
        <w:pStyle w:val="FootnoteText"/>
      </w:pPr>
      <w:r>
        <w:rPr>
          <w:rStyle w:val="FootnoteReference"/>
        </w:rPr>
        <w:footnoteRef/>
      </w:r>
      <w:r>
        <w:t xml:space="preserve"> </w:t>
      </w:r>
      <w:r>
        <w:rPr>
          <w:rStyle w:val="FootnoteReference"/>
          <w:vertAlign w:val="baseline"/>
        </w:rPr>
        <w:t>OECD report (</w:t>
      </w:r>
      <w:r>
        <w:t xml:space="preserve">2025) </w:t>
      </w:r>
      <w:r>
        <w:rPr>
          <w:rStyle w:val="FootnoteReference"/>
          <w:vertAlign w:val="baseline"/>
        </w:rPr>
        <w:t>‘</w:t>
      </w:r>
      <w:r>
        <w:t xml:space="preserve">The state of cardiovascular health in the EU’ - </w:t>
      </w:r>
      <w:hyperlink r:id="rId51" w:history="1">
        <w:r>
          <w:rPr>
            <w:rStyle w:val="Hyperlink"/>
            <w:lang w:val="en-IE"/>
          </w:rPr>
          <w:t>Full Report: The State of Cardiovascular Health in the European Union | OECD</w:t>
        </w:r>
      </w:hyperlink>
      <w:r w:rsidR="00FE4E38">
        <w:t>.</w:t>
      </w:r>
      <w:r w:rsidR="00914153">
        <w:t xml:space="preserve"> </w:t>
      </w:r>
    </w:p>
  </w:footnote>
  <w:footnote w:id="50">
    <w:p w14:paraId="7E6ED068" w14:textId="51DFABEA" w:rsidR="00622289" w:rsidRPr="00E4479F" w:rsidRDefault="00622289">
      <w:pPr>
        <w:pStyle w:val="FootnoteText"/>
        <w:rPr>
          <w:lang w:val="en-IE"/>
        </w:rPr>
      </w:pPr>
      <w:r>
        <w:rPr>
          <w:rStyle w:val="FootnoteReference"/>
        </w:rPr>
        <w:footnoteRef/>
      </w:r>
      <w:r>
        <w:t xml:space="preserve"> </w:t>
      </w:r>
      <w:r w:rsidRPr="00622289">
        <w:rPr>
          <w:lang w:val="en-IE"/>
        </w:rPr>
        <w:t>Examples include European cardiovascular registries such as the ESC EURObservational Research Programme (EORP) and national disease-specific registries listed in the European Directory of Registries. Their heterogeneous data structures and standards limit interoperability across borders.</w:t>
      </w:r>
    </w:p>
  </w:footnote>
  <w:footnote w:id="51">
    <w:p w14:paraId="2DB269AA" w14:textId="67838104" w:rsidR="00374A91" w:rsidRPr="00374A91" w:rsidRDefault="00374A91">
      <w:pPr>
        <w:pStyle w:val="FootnoteText"/>
      </w:pPr>
      <w:r w:rsidRPr="00AD4EC2">
        <w:rPr>
          <w:rStyle w:val="FootnoteReference"/>
        </w:rPr>
        <w:footnoteRef/>
      </w:r>
      <w:r w:rsidRPr="00AD4EC2">
        <w:t xml:space="preserve"> </w:t>
      </w:r>
      <w:r w:rsidRPr="00E4479F">
        <w:t>Vogel, B. et al. (2021), The Lancet women and cardiovascular disease Commission: reducing the global burden by 2030</w:t>
      </w:r>
      <w:r w:rsidRPr="00AD4EC2">
        <w:t>.</w:t>
      </w:r>
    </w:p>
  </w:footnote>
  <w:footnote w:id="52">
    <w:p w14:paraId="0730A82E" w14:textId="77777777" w:rsidR="00DE54C7" w:rsidRPr="002110D9" w:rsidRDefault="00DE54C7" w:rsidP="00D8171C">
      <w:pPr>
        <w:pStyle w:val="FootnoteText"/>
        <w:rPr>
          <w:lang w:val="fr-FR"/>
        </w:rPr>
      </w:pPr>
      <w:r w:rsidRPr="000E1D82">
        <w:rPr>
          <w:rStyle w:val="FootnoteReference"/>
        </w:rPr>
        <w:footnoteRef/>
      </w:r>
      <w:r w:rsidRPr="000E1D82">
        <w:t xml:space="preserve"> In 2022, </w:t>
      </w:r>
      <w:r>
        <w:t xml:space="preserve">regional </w:t>
      </w:r>
      <w:r w:rsidRPr="000E1D82">
        <w:t>m</w:t>
      </w:r>
      <w:r w:rsidRPr="00914153">
        <w:t xml:space="preserve">ortality rates varied from 139 deaths per 100,000 people to 1196 deaths. </w:t>
      </w:r>
      <w:r w:rsidRPr="002110D9">
        <w:rPr>
          <w:lang w:val="fr-FR"/>
        </w:rPr>
        <w:t xml:space="preserve">Source: Eurostat </w:t>
      </w:r>
      <w:hyperlink r:id="rId52" w:history="1">
        <w:r w:rsidRPr="00914153">
          <w:rPr>
            <w:rStyle w:val="Hyperlink"/>
            <w:lang w:val="fr-FR"/>
          </w:rPr>
          <w:t>https://ec.europa.eu/eurostat/web/products-datasets/-/hlth_cd_asdr2</w:t>
        </w:r>
      </w:hyperlink>
      <w:r w:rsidRPr="002110D9">
        <w:rPr>
          <w:lang w:val="fr-FR"/>
        </w:rPr>
        <w:t xml:space="preserve">. </w:t>
      </w:r>
      <w:r w:rsidRPr="002110D9" w:rsidDel="00C51750">
        <w:rPr>
          <w:lang w:val="fr-FR"/>
        </w:rPr>
        <w:t xml:space="preserve"> </w:t>
      </w:r>
      <w:r w:rsidRPr="002110D9">
        <w:rPr>
          <w:lang w:val="fr-FR"/>
        </w:rPr>
        <w:t xml:space="preserve"> </w:t>
      </w:r>
    </w:p>
  </w:footnote>
  <w:footnote w:id="53">
    <w:p w14:paraId="70B0AE32" w14:textId="77777777" w:rsidR="00DE54C7" w:rsidRPr="001D733D" w:rsidRDefault="00DE54C7" w:rsidP="00D8171C">
      <w:pPr>
        <w:pStyle w:val="FootnoteText"/>
      </w:pPr>
      <w:r>
        <w:rPr>
          <w:rStyle w:val="FootnoteReference"/>
        </w:rPr>
        <w:footnoteRef/>
      </w:r>
      <w:r>
        <w:t xml:space="preserve"> </w:t>
      </w:r>
      <w:r w:rsidRPr="00C008BF">
        <w:t xml:space="preserve">Despite improving trends overall, inequalities remain with PM2.5 concentrations consistently higher by around one third in the poorest regions: </w:t>
      </w:r>
      <w:hyperlink r:id="rId53" w:history="1">
        <w:r w:rsidRPr="001E2C75">
          <w:rPr>
            <w:rStyle w:val="Hyperlink"/>
          </w:rPr>
          <w:t>https://www.eea.europa.eu/en/analysis/indicators/income-related-environmental-inequalities-associated</w:t>
        </w:r>
      </w:hyperlink>
      <w:r>
        <w:t xml:space="preserve">.  </w:t>
      </w:r>
    </w:p>
  </w:footnote>
  <w:footnote w:id="54">
    <w:p w14:paraId="3A90B220" w14:textId="22EE3135" w:rsidR="00D37A0D" w:rsidRDefault="00DE54C7" w:rsidP="00D8171C">
      <w:pPr>
        <w:pStyle w:val="FootnoteText"/>
      </w:pPr>
      <w:r>
        <w:rPr>
          <w:rStyle w:val="FootnoteReference"/>
        </w:rPr>
        <w:footnoteRef/>
      </w:r>
      <w:r w:rsidR="00D37A0D">
        <w:t xml:space="preserve"> </w:t>
      </w:r>
      <w:r w:rsidRPr="004E45C3">
        <w:t xml:space="preserve">Vulnerable and low-income communities can be disproportionately affected by noise pollution: </w:t>
      </w:r>
      <w:r w:rsidR="001202CB">
        <w:t xml:space="preserve"> </w:t>
      </w:r>
    </w:p>
    <w:p w14:paraId="38051C31" w14:textId="5B78E417" w:rsidR="00DE54C7" w:rsidRPr="001D733D" w:rsidRDefault="0082449A" w:rsidP="00D8171C">
      <w:pPr>
        <w:pStyle w:val="FootnoteText"/>
      </w:pPr>
      <w:hyperlink r:id="rId54" w:history="1">
        <w:r w:rsidR="00D37A0D" w:rsidRPr="002E0424">
          <w:rPr>
            <w:rStyle w:val="Hyperlink"/>
          </w:rPr>
          <w:t>https://www.eea.europa.eu/en/analysis/publications/environmental-noise-in-europe-2025</w:t>
        </w:r>
      </w:hyperlink>
      <w:r w:rsidR="00DE54C7">
        <w:t xml:space="preserve">.  </w:t>
      </w:r>
      <w:r w:rsidR="00DE54C7" w:rsidRPr="004E45C3">
        <w:t xml:space="preserve">  </w:t>
      </w:r>
    </w:p>
  </w:footnote>
  <w:footnote w:id="55">
    <w:p w14:paraId="37175254" w14:textId="77777777" w:rsidR="00DE54C7" w:rsidRPr="000E1D82" w:rsidRDefault="00DE54C7" w:rsidP="00D8171C">
      <w:pPr>
        <w:pStyle w:val="FootnoteText"/>
      </w:pPr>
      <w:r w:rsidRPr="000E1D82">
        <w:rPr>
          <w:rStyle w:val="FootnoteReference"/>
        </w:rPr>
        <w:footnoteRef/>
      </w:r>
      <w:r w:rsidRPr="000E1D82">
        <w:t xml:space="preserve"> </w:t>
      </w:r>
      <w:hyperlink r:id="rId55" w:history="1">
        <w:r w:rsidRPr="000E1D82">
          <w:rPr>
            <w:rStyle w:val="Hyperlink"/>
          </w:rPr>
          <w:t>One Health - Public Health - European Commission</w:t>
        </w:r>
      </w:hyperlink>
      <w:r w:rsidRPr="000E1D82">
        <w:t>.</w:t>
      </w:r>
    </w:p>
  </w:footnote>
  <w:footnote w:id="56">
    <w:p w14:paraId="14BE21C8" w14:textId="45D701D4" w:rsidR="00DE54C7" w:rsidRPr="00AD4EC2" w:rsidRDefault="00DE54C7" w:rsidP="00D8171C">
      <w:pPr>
        <w:pStyle w:val="FootnoteText"/>
      </w:pPr>
      <w:r>
        <w:rPr>
          <w:rStyle w:val="FootnoteReference"/>
        </w:rPr>
        <w:footnoteRef/>
      </w:r>
      <w:r>
        <w:t xml:space="preserve"> The definitions of these targets will be considered in the early detection and screening protocol as well as the treatment guidance</w:t>
      </w:r>
      <w:r w:rsidRPr="00AD4EC2">
        <w:t>.</w:t>
      </w:r>
      <w:r w:rsidR="005D154C" w:rsidRPr="00AD4EC2">
        <w:t xml:space="preserve"> These targets will be further defined in the design of the early detection and screening programmes</w:t>
      </w:r>
    </w:p>
  </w:footnote>
  <w:footnote w:id="57">
    <w:p w14:paraId="16F2E130" w14:textId="1FA3A081" w:rsidR="00DE54C7" w:rsidRPr="001D733D" w:rsidRDefault="00DE54C7" w:rsidP="00D8171C">
      <w:pPr>
        <w:pStyle w:val="FootnoteText"/>
      </w:pPr>
      <w:r w:rsidRPr="00AD4EC2">
        <w:rPr>
          <w:rStyle w:val="FootnoteReference"/>
        </w:rPr>
        <w:footnoteRef/>
      </w:r>
      <w:r w:rsidRPr="00AD4EC2">
        <w:t xml:space="preserve"> In 2022, the most comm</w:t>
      </w:r>
      <w:r w:rsidRPr="002C491A">
        <w:t>on cause of premature death is ischaemic heart disease with 77 704 deaths (17.9 per 100 000 inhabitants)</w:t>
      </w:r>
      <w:r w:rsidR="003B5680">
        <w:t>:</w:t>
      </w:r>
      <w:r w:rsidRPr="002C491A">
        <w:t xml:space="preserve"> </w:t>
      </w:r>
      <w:r w:rsidR="00252BF7" w:rsidRPr="00252BF7">
        <w:rPr>
          <w:lang w:val="en-IE"/>
        </w:rPr>
        <w:t xml:space="preserve">Source: Eurostat </w:t>
      </w:r>
      <w:hyperlink r:id="rId56" w:history="1">
        <w:r w:rsidR="00252BF7" w:rsidRPr="00252BF7">
          <w:rPr>
            <w:rStyle w:val="Hyperlink"/>
            <w:lang w:val="en-IE"/>
          </w:rPr>
          <w:t>[hlth_cd_apr] Treatable and preventable mortality of residents by cause and sex.</w:t>
        </w:r>
      </w:hyperlink>
    </w:p>
  </w:footnote>
  <w:footnote w:id="58">
    <w:p w14:paraId="740B7FCB" w14:textId="4ACBA470" w:rsidR="00E55438" w:rsidRPr="00E55438" w:rsidRDefault="00E55438">
      <w:pPr>
        <w:pStyle w:val="FootnoteText"/>
      </w:pPr>
      <w:r>
        <w:rPr>
          <w:rStyle w:val="FootnoteReference"/>
        </w:rPr>
        <w:footnoteRef/>
      </w:r>
      <w:r>
        <w:t xml:space="preserve"> </w:t>
      </w:r>
      <w:r w:rsidRPr="00E4479F">
        <w:t xml:space="preserve">Eurostat online database, </w:t>
      </w:r>
      <w:hyperlink r:id="rId57" w:history="1">
        <w:r w:rsidRPr="00E4479F">
          <w:rPr>
            <w:rStyle w:val="Hyperlink"/>
            <w:color w:val="auto"/>
            <w:u w:val="none"/>
          </w:rPr>
          <w:t>Self-reported screening of cardiovascular diseases and diabetes risks by sex, age and educational attainment level[hlth_ehis_pa2e__custom_19301842]</w:t>
        </w:r>
      </w:hyperlink>
      <w:r>
        <w:t>.</w:t>
      </w:r>
    </w:p>
  </w:footnote>
  <w:footnote w:id="59">
    <w:p w14:paraId="6A2D04B6" w14:textId="0EAE28B6" w:rsidR="005804EF" w:rsidRPr="000C13D1" w:rsidRDefault="005804EF" w:rsidP="000C13D1">
      <w:pPr>
        <w:pStyle w:val="FootnoteText"/>
      </w:pPr>
      <w:r w:rsidRPr="000C13D1">
        <w:rPr>
          <w:rStyle w:val="FootnoteReference"/>
        </w:rPr>
        <w:footnoteRef/>
      </w:r>
      <w:r w:rsidRPr="00E4479F">
        <w:rPr>
          <w:rStyle w:val="FootnoteReference"/>
        </w:rPr>
        <w:t xml:space="preserve"> </w:t>
      </w:r>
      <w:r w:rsidRPr="00E4479F">
        <w:t xml:space="preserve">Eurostat online database, </w:t>
      </w:r>
      <w:hyperlink r:id="rId58" w:history="1">
        <w:r w:rsidRPr="00E4479F">
          <w:rPr>
            <w:rStyle w:val="Hyperlink"/>
            <w:color w:val="auto"/>
            <w:u w:val="none"/>
          </w:rPr>
          <w:t>Self-reported screening of cardiovascular diseases and diabetes risks by sex, age and educational attainment level[hlth_ehis_pa2e__custom_19301918]</w:t>
        </w:r>
      </w:hyperlink>
      <w:r w:rsidRPr="000C13D1">
        <w:t>.</w:t>
      </w:r>
    </w:p>
  </w:footnote>
  <w:footnote w:id="60">
    <w:p w14:paraId="7421E714" w14:textId="39E9A9A7" w:rsidR="005804EF" w:rsidRPr="000C13D1" w:rsidRDefault="005804EF" w:rsidP="000C13D1">
      <w:pPr>
        <w:pStyle w:val="FootnoteText"/>
      </w:pPr>
      <w:r w:rsidRPr="000C13D1">
        <w:rPr>
          <w:rStyle w:val="FootnoteReference"/>
        </w:rPr>
        <w:footnoteRef/>
      </w:r>
      <w:r w:rsidRPr="00E4479F">
        <w:rPr>
          <w:rStyle w:val="FootnoteReference"/>
        </w:rPr>
        <w:t xml:space="preserve"> </w:t>
      </w:r>
      <w:r w:rsidRPr="00E4479F">
        <w:t xml:space="preserve">Eurostat online database, </w:t>
      </w:r>
      <w:hyperlink r:id="rId59" w:history="1">
        <w:r w:rsidRPr="00E4479F">
          <w:rPr>
            <w:rStyle w:val="Hyperlink"/>
            <w:color w:val="auto"/>
            <w:u w:val="none"/>
          </w:rPr>
          <w:t>Self-reported screening of cardiovascular diseases and diabetes risks by sex, age and educational attainment level[hlth_ehis_pa2e__custom_19301947]</w:t>
        </w:r>
      </w:hyperlink>
      <w:r w:rsidRPr="000C13D1">
        <w:t>.</w:t>
      </w:r>
    </w:p>
  </w:footnote>
  <w:footnote w:id="61">
    <w:p w14:paraId="1BE89EF6" w14:textId="77777777" w:rsidR="00DE54C7" w:rsidRPr="00E86653" w:rsidRDefault="00DE54C7" w:rsidP="00D8171C">
      <w:pPr>
        <w:pStyle w:val="FootnoteText"/>
        <w:rPr>
          <w:lang w:val="hu-HU"/>
        </w:rPr>
      </w:pPr>
      <w:r>
        <w:rPr>
          <w:rStyle w:val="FootnoteReference"/>
        </w:rPr>
        <w:footnoteRef/>
      </w:r>
      <w:r w:rsidRPr="00E86653">
        <w:rPr>
          <w:lang w:val="hu-HU"/>
        </w:rPr>
        <w:t xml:space="preserve"> Croatia, Czechia, Estonia, Finland, France, Latvia, Luxembourg, Netherlands, Poland, Portugal, Romania, Spain and Sweden have national cardiovascular disease control plans.</w:t>
      </w:r>
    </w:p>
  </w:footnote>
  <w:footnote w:id="62">
    <w:p w14:paraId="46271603" w14:textId="77777777" w:rsidR="00DE54C7" w:rsidRPr="000E1D82" w:rsidRDefault="00DE54C7" w:rsidP="00D8171C">
      <w:pPr>
        <w:pStyle w:val="FootnoteText"/>
      </w:pPr>
      <w:r w:rsidRPr="000E1D82">
        <w:rPr>
          <w:rStyle w:val="FootnoteReference"/>
        </w:rPr>
        <w:footnoteRef/>
      </w:r>
      <w:r w:rsidRPr="000E1D82">
        <w:t xml:space="preserve"> </w:t>
      </w:r>
      <w:hyperlink r:id="rId60" w:history="1">
        <w:r w:rsidRPr="000E1D82">
          <w:rPr>
            <w:rStyle w:val="Hyperlink"/>
          </w:rPr>
          <w:t>EU4Health 2025 work programme</w:t>
        </w:r>
      </w:hyperlink>
      <w:r w:rsidRPr="000E1D82">
        <w:t>.</w:t>
      </w:r>
    </w:p>
  </w:footnote>
  <w:footnote w:id="63">
    <w:p w14:paraId="64845857" w14:textId="6BBC1AE4" w:rsidR="00DE54C7" w:rsidRPr="000E1D82" w:rsidRDefault="00DE54C7" w:rsidP="00D8171C">
      <w:pPr>
        <w:pStyle w:val="FootnoteText"/>
      </w:pPr>
      <w:r w:rsidRPr="00480B4F">
        <w:rPr>
          <w:rStyle w:val="FootnoteReference"/>
        </w:rPr>
        <w:footnoteRef/>
      </w:r>
      <w:r w:rsidRPr="00480B4F">
        <w:t xml:space="preserve"> </w:t>
      </w:r>
      <w:r w:rsidRPr="00914153">
        <w:t>This is an</w:t>
      </w:r>
      <w:r w:rsidRPr="00E31341" w:rsidDel="00BD2F83">
        <w:t xml:space="preserve"> </w:t>
      </w:r>
      <w:r w:rsidRPr="00914153">
        <w:t xml:space="preserve">EU - </w:t>
      </w:r>
      <w:r w:rsidRPr="00480B4F">
        <w:t xml:space="preserve">OECD </w:t>
      </w:r>
      <w:r w:rsidRPr="003D35A8">
        <w:t>partnership</w:t>
      </w:r>
      <w:r w:rsidR="00EE730A">
        <w:t>:</w:t>
      </w:r>
      <w:r w:rsidRPr="00480B4F">
        <w:t xml:space="preserve"> </w:t>
      </w:r>
      <w:hyperlink r:id="rId61" w:history="1">
        <w:r w:rsidRPr="00480B4F">
          <w:rPr>
            <w:rStyle w:val="Hyperlink"/>
          </w:rPr>
          <w:t>26284fbb-0c7b-4d4d-ae57-f7f2a47e493f_en</w:t>
        </w:r>
      </w:hyperlink>
      <w:r w:rsidRPr="00480B4F">
        <w:t>.</w:t>
      </w:r>
    </w:p>
  </w:footnote>
  <w:footnote w:id="64">
    <w:p w14:paraId="443DE6FC" w14:textId="77777777" w:rsidR="00DE54C7" w:rsidRPr="000E1D82" w:rsidRDefault="00DE54C7" w:rsidP="00D8171C">
      <w:pPr>
        <w:pStyle w:val="FootnoteText"/>
      </w:pPr>
      <w:r w:rsidRPr="000E1D82">
        <w:rPr>
          <w:rStyle w:val="FootnoteReference"/>
        </w:rPr>
        <w:footnoteRef/>
      </w:r>
      <w:r w:rsidRPr="000E1D82">
        <w:t xml:space="preserve"> </w:t>
      </w:r>
      <w:r>
        <w:t xml:space="preserve">European Commission, </w:t>
      </w:r>
      <w:r w:rsidRPr="000E1D82">
        <w:t xml:space="preserve"> Call for proposals on lifelong prevention for a healthy life with focus on cardiovascular diseases</w:t>
      </w:r>
      <w:r>
        <w:t xml:space="preserve">, </w:t>
      </w:r>
      <w:r w:rsidRPr="000E1D82">
        <w:t>CR/CV&amp;NCD-g-25-18</w:t>
      </w:r>
      <w:r>
        <w:t>,</w:t>
      </w:r>
      <w:r w:rsidRPr="000E1D82">
        <w:t xml:space="preserve">  </w:t>
      </w:r>
      <w:hyperlink r:id="rId62" w:history="1">
        <w:r w:rsidRPr="000E1D82">
          <w:rPr>
            <w:rStyle w:val="Hyperlink"/>
          </w:rPr>
          <w:t>26284fbb-0c7b-4d4d-ae57-f7f2a47e493f_en</w:t>
        </w:r>
      </w:hyperlink>
      <w:r w:rsidRPr="000E1D82">
        <w:t>.</w:t>
      </w:r>
    </w:p>
  </w:footnote>
  <w:footnote w:id="65">
    <w:p w14:paraId="15D3222C" w14:textId="77777777" w:rsidR="00DE54C7" w:rsidRPr="00916525" w:rsidRDefault="00DE54C7" w:rsidP="00D8171C">
      <w:pPr>
        <w:pStyle w:val="FootnoteText"/>
      </w:pPr>
      <w:r>
        <w:rPr>
          <w:rStyle w:val="FootnoteReference"/>
        </w:rPr>
        <w:footnoteRef/>
      </w:r>
      <w:r>
        <w:t xml:space="preserve"> Such as Finland, Denmark and Estonia.</w:t>
      </w:r>
    </w:p>
  </w:footnote>
  <w:footnote w:id="66">
    <w:p w14:paraId="5FD2B68B" w14:textId="6F4AB2B4" w:rsidR="00DE54C7" w:rsidRDefault="00DE54C7" w:rsidP="00D8171C">
      <w:pPr>
        <w:pStyle w:val="FootnoteText"/>
      </w:pPr>
      <w:r>
        <w:rPr>
          <w:rStyle w:val="FootnoteReference"/>
        </w:rPr>
        <w:footnoteRef/>
      </w:r>
      <w:r>
        <w:t xml:space="preserve"> </w:t>
      </w:r>
      <w:hyperlink r:id="rId63" w:history="1">
        <w:r w:rsidRPr="00585261">
          <w:rPr>
            <w:rStyle w:val="Hyperlink"/>
          </w:rPr>
          <w:t>JADECARE</w:t>
        </w:r>
        <w:r w:rsidR="000D6049">
          <w:rPr>
            <w:rStyle w:val="Hyperlink"/>
          </w:rPr>
          <w:t>,</w:t>
        </w:r>
        <w:r w:rsidRPr="00585261">
          <w:rPr>
            <w:rStyle w:val="Hyperlink"/>
          </w:rPr>
          <w:t xml:space="preserve"> Joint Action on implementation of digitally enabled integrated person-centred care</w:t>
        </w:r>
      </w:hyperlink>
      <w:r>
        <w:t>.</w:t>
      </w:r>
    </w:p>
  </w:footnote>
  <w:footnote w:id="67">
    <w:p w14:paraId="31B1D40E" w14:textId="7703B9FD" w:rsidR="00DE54C7" w:rsidRPr="00656FB3" w:rsidRDefault="00DE54C7" w:rsidP="00D8171C">
      <w:pPr>
        <w:pStyle w:val="FootnoteText"/>
        <w:rPr>
          <w:highlight w:val="yellow"/>
          <w:lang w:val="en-IE"/>
        </w:rPr>
      </w:pPr>
      <w:r>
        <w:rPr>
          <w:rStyle w:val="FootnoteReference"/>
        </w:rPr>
        <w:footnoteRef/>
      </w:r>
      <w:r w:rsidR="00210CD5">
        <w:t xml:space="preserve"> </w:t>
      </w:r>
      <w:r w:rsidR="00337E9C" w:rsidRPr="00337E9C">
        <w:rPr>
          <w:lang w:val="en-IE"/>
        </w:rPr>
        <w:t xml:space="preserve">Ahmad, A. F., Dwivedi, G., O'Gara, F., Caparros-Martin, J., &amp; Ward, N. C. (2019). The gut microbiome and cardiovascular disease: Current knowledge and clinical potential. </w:t>
      </w:r>
      <w:r w:rsidR="00337E9C" w:rsidRPr="00656FB3">
        <w:rPr>
          <w:i/>
          <w:lang w:val="en-IE"/>
        </w:rPr>
        <w:t>American Journal of Physiology-Heart and Circulatory Physiology, 317</w:t>
      </w:r>
      <w:r w:rsidR="00337E9C" w:rsidRPr="00337E9C">
        <w:rPr>
          <w:lang w:val="en-IE"/>
        </w:rPr>
        <w:t xml:space="preserve">(5), H923–H938. </w:t>
      </w:r>
      <w:hyperlink r:id="rId64" w:history="1">
        <w:r w:rsidR="00DB1B1C" w:rsidRPr="004A04E7">
          <w:rPr>
            <w:rStyle w:val="Hyperlink"/>
            <w:lang w:val="en-IE"/>
          </w:rPr>
          <w:t>https://doi.org/10.1152/ajpheart.00376.2019</w:t>
        </w:r>
      </w:hyperlink>
      <w:r w:rsidR="006C4648">
        <w:t>.</w:t>
      </w:r>
      <w:r w:rsidR="00660070">
        <w:rPr>
          <w:lang w:val="en-IE"/>
        </w:rPr>
        <w:t xml:space="preserve"> </w:t>
      </w:r>
    </w:p>
  </w:footnote>
  <w:footnote w:id="68">
    <w:p w14:paraId="0E20E399" w14:textId="04644135" w:rsidR="00DE54C7" w:rsidRPr="001D733D" w:rsidRDefault="00DE54C7" w:rsidP="00D8171C">
      <w:pPr>
        <w:pStyle w:val="FootnoteText"/>
      </w:pPr>
      <w:r w:rsidRPr="009F6B6F">
        <w:rPr>
          <w:rStyle w:val="FootnoteReference"/>
        </w:rPr>
        <w:footnoteRef/>
      </w:r>
      <w:r w:rsidRPr="009F6B6F">
        <w:t xml:space="preserve"> </w:t>
      </w:r>
      <w:r w:rsidR="004A5F02" w:rsidRPr="004A5F02">
        <w:rPr>
          <w:lang w:val="en-IE"/>
        </w:rPr>
        <w:t>Hopkins S, Gajagowni S, Qadeer Y, Wang Z, Virani SS, Meurman JH, Leischik R, Lavie CJ, Strauss M, Krittanawong C. More than just teeth: How oral health can affect the heart. Am Heart J Plus. 2024 May 24;43:100407. doi: 10.1016/j.ahjo.2024.100407. PMID: 38873102; PMCID:</w:t>
      </w:r>
      <w:r w:rsidR="004A5F02">
        <w:rPr>
          <w:lang w:val="en-IE"/>
        </w:rPr>
        <w:t xml:space="preserve"> </w:t>
      </w:r>
      <w:hyperlink r:id="rId65" w:history="1">
        <w:r w:rsidR="004A5F02">
          <w:rPr>
            <w:rStyle w:val="Hyperlink"/>
          </w:rPr>
          <w:t>PMC11169959</w:t>
        </w:r>
      </w:hyperlink>
      <w:r>
        <w:t>.</w:t>
      </w:r>
    </w:p>
  </w:footnote>
  <w:footnote w:id="69">
    <w:p w14:paraId="1EC81523" w14:textId="4527AD47" w:rsidR="00DE54C7" w:rsidRPr="000E1D82" w:rsidRDefault="00DE54C7" w:rsidP="00D8171C">
      <w:pPr>
        <w:pStyle w:val="FootnoteText"/>
      </w:pPr>
      <w:r w:rsidRPr="000E1D82">
        <w:rPr>
          <w:rStyle w:val="FootnoteReference"/>
        </w:rPr>
        <w:footnoteRef/>
      </w:r>
      <w:r w:rsidRPr="000E1D82">
        <w:t xml:space="preserve"> </w:t>
      </w:r>
      <w:hyperlink r:id="rId66" w:history="1">
        <w:r w:rsidRPr="004C37AC">
          <w:rPr>
            <w:rStyle w:val="Hyperlink"/>
          </w:rPr>
          <w:t>Code of Conduct - Food Safety - European Commission.</w:t>
        </w:r>
      </w:hyperlink>
    </w:p>
  </w:footnote>
  <w:footnote w:id="70">
    <w:p w14:paraId="7CDFAE29" w14:textId="77777777" w:rsidR="00DE54C7" w:rsidRDefault="00DE54C7" w:rsidP="00D8171C">
      <w:pPr>
        <w:pStyle w:val="FootnoteText"/>
      </w:pPr>
      <w:r>
        <w:rPr>
          <w:rStyle w:val="FootnoteReference"/>
        </w:rPr>
        <w:footnoteRef/>
      </w:r>
      <w:r>
        <w:t xml:space="preserve"> </w:t>
      </w:r>
      <w:hyperlink r:id="rId67" w:history="1">
        <w:r w:rsidRPr="00585261">
          <w:rPr>
            <w:rStyle w:val="Hyperlink"/>
          </w:rPr>
          <w:t>Food 2030 - Research and innovation - European Commission</w:t>
        </w:r>
      </w:hyperlink>
      <w:r>
        <w:t>.</w:t>
      </w:r>
    </w:p>
  </w:footnote>
  <w:footnote w:id="71">
    <w:p w14:paraId="3242EC4C" w14:textId="77777777" w:rsidR="00DE54C7" w:rsidRPr="000E1D82" w:rsidRDefault="00DE54C7" w:rsidP="00D8171C">
      <w:pPr>
        <w:pStyle w:val="FootnoteText"/>
      </w:pPr>
      <w:r w:rsidRPr="000E1D82">
        <w:rPr>
          <w:rStyle w:val="FootnoteReference"/>
        </w:rPr>
        <w:footnoteRef/>
      </w:r>
      <w:r w:rsidRPr="000E1D82">
        <w:t xml:space="preserve"> </w:t>
      </w:r>
      <w:hyperlink r:id="rId68" w:history="1">
        <w:r w:rsidRPr="000E1D82">
          <w:rPr>
            <w:rStyle w:val="Hyperlink"/>
          </w:rPr>
          <w:t>School scheme explained - European Commission</w:t>
        </w:r>
      </w:hyperlink>
      <w:r w:rsidRPr="000E1D82">
        <w:t>.</w:t>
      </w:r>
    </w:p>
  </w:footnote>
  <w:footnote w:id="72">
    <w:p w14:paraId="7B23EC17" w14:textId="635141AA" w:rsidR="00DE54C7" w:rsidRDefault="00DE54C7" w:rsidP="00D8171C">
      <w:pPr>
        <w:pStyle w:val="FootnoteText"/>
      </w:pPr>
      <w:r>
        <w:rPr>
          <w:rStyle w:val="FootnoteReference"/>
        </w:rPr>
        <w:footnoteRef/>
      </w:r>
      <w:r>
        <w:t xml:space="preserve"> Criteria for Sustainable Public Procurement  for Food, Food Services and Vending Machines</w:t>
      </w:r>
      <w:r w:rsidR="00557428">
        <w:t xml:space="preserve"> (2025)</w:t>
      </w:r>
      <w:r>
        <w:t>, J</w:t>
      </w:r>
      <w:r w:rsidR="00557428">
        <w:t xml:space="preserve">oint </w:t>
      </w:r>
      <w:r>
        <w:t>R</w:t>
      </w:r>
      <w:r w:rsidR="00557428">
        <w:t xml:space="preserve">esearch </w:t>
      </w:r>
      <w:r>
        <w:t>C</w:t>
      </w:r>
      <w:r w:rsidR="00557428">
        <w:t>entre</w:t>
      </w:r>
      <w:r>
        <w:t xml:space="preserve"> - </w:t>
      </w:r>
      <w:hyperlink r:id="rId69" w:history="1">
        <w:r w:rsidRPr="0003227F">
          <w:rPr>
            <w:rStyle w:val="Hyperlink"/>
          </w:rPr>
          <w:t>https://publications.jrc.ec.europa.eu/repository/handle/JRC139495</w:t>
        </w:r>
      </w:hyperlink>
      <w:r>
        <w:t>.</w:t>
      </w:r>
    </w:p>
  </w:footnote>
  <w:footnote w:id="73">
    <w:p w14:paraId="270B11A2" w14:textId="08C17541" w:rsidR="00DE54C7" w:rsidRPr="000E1D82" w:rsidRDefault="00DE54C7" w:rsidP="00D8171C">
      <w:pPr>
        <w:pStyle w:val="FootnoteText"/>
      </w:pPr>
      <w:r w:rsidRPr="000E1D82">
        <w:rPr>
          <w:rStyle w:val="FootnoteReference"/>
        </w:rPr>
        <w:footnoteRef/>
      </w:r>
      <w:r w:rsidRPr="000E1D82">
        <w:t xml:space="preserve"> </w:t>
      </w:r>
      <w:r w:rsidR="00C4778A">
        <w:t xml:space="preserve"> </w:t>
      </w:r>
      <w:r w:rsidRPr="000E1D82">
        <w:t>As foreseen in the</w:t>
      </w:r>
      <w:r w:rsidR="00A00C22">
        <w:t xml:space="preserve"> Communication from the Commission </w:t>
      </w:r>
      <w:r w:rsidR="006251C1">
        <w:t>to the European Parliament</w:t>
      </w:r>
      <w:r w:rsidR="00BF0A9B">
        <w:t xml:space="preserve">, </w:t>
      </w:r>
      <w:r w:rsidR="004C4CCD">
        <w:t>the Council, the Eur</w:t>
      </w:r>
      <w:r w:rsidR="005A10EB">
        <w:t>opean Economic and Social Committee</w:t>
      </w:r>
      <w:r w:rsidR="00A00C22">
        <w:t xml:space="preserve"> </w:t>
      </w:r>
      <w:r w:rsidR="00761379">
        <w:t>and the Committee of the Regions,</w:t>
      </w:r>
      <w:r w:rsidR="00A00C22">
        <w:t xml:space="preserve"> </w:t>
      </w:r>
      <w:r w:rsidR="0081103D">
        <w:t xml:space="preserve"> </w:t>
      </w:r>
      <w:hyperlink r:id="rId70" w:history="1">
        <w:r w:rsidR="00A00C22" w:rsidRPr="002C67EA">
          <w:rPr>
            <w:rStyle w:val="Hyperlink"/>
          </w:rPr>
          <w:t xml:space="preserve">A Vision for Agriculture and Food </w:t>
        </w:r>
        <w:r w:rsidR="000844F7" w:rsidRPr="002C67EA">
          <w:rPr>
            <w:rStyle w:val="Hyperlink"/>
          </w:rPr>
          <w:t>S</w:t>
        </w:r>
        <w:r w:rsidR="00A00C22" w:rsidRPr="002C67EA">
          <w:rPr>
            <w:rStyle w:val="Hyperlink"/>
          </w:rPr>
          <w:t>haping together an attractive farming and agri-food sector for future generations</w:t>
        </w:r>
      </w:hyperlink>
      <w:r w:rsidR="00AE4329">
        <w:t>, COM(2025) 7</w:t>
      </w:r>
      <w:r w:rsidR="009852E7">
        <w:t>5 final</w:t>
      </w:r>
      <w:r w:rsidR="00C4778A">
        <w:t>.</w:t>
      </w:r>
    </w:p>
  </w:footnote>
  <w:footnote w:id="74">
    <w:p w14:paraId="6EB035A3" w14:textId="166D59C2" w:rsidR="00DE54C7" w:rsidRDefault="00DE54C7" w:rsidP="00D8171C">
      <w:pPr>
        <w:pStyle w:val="FootnoteText"/>
      </w:pPr>
      <w:r>
        <w:rPr>
          <w:rStyle w:val="FootnoteReference"/>
        </w:rPr>
        <w:footnoteRef/>
      </w:r>
      <w:r>
        <w:t xml:space="preserve"> </w:t>
      </w:r>
      <w:r w:rsidR="0081103D">
        <w:t xml:space="preserve">Communication from the Commission </w:t>
      </w:r>
      <w:r w:rsidR="009852E7">
        <w:t>to the European Parliament, the Council, the European Economic and Social Committee and the Committee of the Regions,</w:t>
      </w:r>
      <w:r w:rsidR="0081103D">
        <w:t xml:space="preserve"> </w:t>
      </w:r>
      <w:hyperlink r:id="rId71" w:history="1">
        <w:r w:rsidR="0081103D" w:rsidRPr="002C67EA">
          <w:rPr>
            <w:rStyle w:val="Hyperlink"/>
          </w:rPr>
          <w:t xml:space="preserve">A Vision for Agriculture and Food </w:t>
        </w:r>
        <w:r w:rsidR="009852E7" w:rsidRPr="002C67EA">
          <w:rPr>
            <w:rStyle w:val="Hyperlink"/>
          </w:rPr>
          <w:t>S</w:t>
        </w:r>
        <w:r w:rsidR="0081103D" w:rsidRPr="002C67EA">
          <w:rPr>
            <w:rStyle w:val="Hyperlink"/>
          </w:rPr>
          <w:t>haping together an attractive farming and agri-food sector for future generations</w:t>
        </w:r>
      </w:hyperlink>
      <w:r w:rsidR="0081103D" w:rsidRPr="00A00C22">
        <w:t>, COM(2025) 75</w:t>
      </w:r>
      <w:r w:rsidR="009852E7">
        <w:t xml:space="preserve"> final</w:t>
      </w:r>
      <w:r w:rsidR="002C67EA">
        <w:t>.</w:t>
      </w:r>
      <w:r w:rsidR="0081103D">
        <w:t xml:space="preserve"> </w:t>
      </w:r>
    </w:p>
  </w:footnote>
  <w:footnote w:id="75">
    <w:p w14:paraId="79069A7C" w14:textId="75BD5882" w:rsidR="00DE54C7" w:rsidRPr="000E1D82" w:rsidRDefault="00DE54C7" w:rsidP="00D8171C">
      <w:pPr>
        <w:pStyle w:val="FootnoteText"/>
      </w:pPr>
      <w:r w:rsidRPr="000E1D82">
        <w:rPr>
          <w:rStyle w:val="FootnoteReference"/>
        </w:rPr>
        <w:footnoteRef/>
      </w:r>
      <w:r w:rsidRPr="000E1D82">
        <w:t xml:space="preserve"> </w:t>
      </w:r>
      <w:hyperlink r:id="rId72" w:history="1">
        <w:r w:rsidR="00C66923">
          <w:rPr>
            <w:rStyle w:val="Hyperlink"/>
          </w:rPr>
          <w:t>The Eurobarometer survey on Attitudes of Europeans towards tobacco and related products</w:t>
        </w:r>
      </w:hyperlink>
      <w:r w:rsidRPr="000E1D82">
        <w:t>.</w:t>
      </w:r>
    </w:p>
  </w:footnote>
  <w:footnote w:id="76">
    <w:p w14:paraId="0D617306" w14:textId="204128F4" w:rsidR="00DE54C7" w:rsidRPr="000E1D82" w:rsidRDefault="00DE54C7" w:rsidP="00D8171C">
      <w:pPr>
        <w:pStyle w:val="FootnoteText"/>
      </w:pPr>
      <w:r w:rsidRPr="000E1D82">
        <w:rPr>
          <w:rStyle w:val="FootnoteReference"/>
        </w:rPr>
        <w:footnoteRef/>
      </w:r>
      <w:r w:rsidRPr="000E1D82">
        <w:t xml:space="preserve"> </w:t>
      </w:r>
      <w:hyperlink r:id="rId73" w:history="1">
        <w:r w:rsidRPr="00914153">
          <w:rPr>
            <w:rStyle w:val="Hyperlink"/>
          </w:rPr>
          <w:t xml:space="preserve">Directive 2014/40/EU </w:t>
        </w:r>
        <w:r w:rsidR="00B35339" w:rsidRPr="00B35339">
          <w:rPr>
            <w:rStyle w:val="Hyperlink"/>
          </w:rPr>
          <w:t>of the European Parliament and of the Council of 3 April 2014</w:t>
        </w:r>
        <w:r w:rsidRPr="00914153">
          <w:rPr>
            <w:rStyle w:val="Hyperlink"/>
          </w:rPr>
          <w:t xml:space="preserve"> on the approximation of the laws, regulations and administrative provisions of the Member States concerning the manufacture, presentation and sale of tobacco and related products and repealing Directive 2001/37/EC</w:t>
        </w:r>
      </w:hyperlink>
      <w:r>
        <w:t xml:space="preserve">, </w:t>
      </w:r>
      <w:r w:rsidRPr="00914153">
        <w:t>OJ L 127, 29.4.2014, pp. 1–38</w:t>
      </w:r>
      <w:r>
        <w:t xml:space="preserve">; </w:t>
      </w:r>
      <w:hyperlink r:id="rId74" w:history="1">
        <w:r w:rsidRPr="00914153">
          <w:rPr>
            <w:rStyle w:val="Hyperlink"/>
          </w:rPr>
          <w:t xml:space="preserve">Directive 2003/33/EC </w:t>
        </w:r>
        <w:r w:rsidR="002952E2" w:rsidRPr="002952E2">
          <w:rPr>
            <w:rStyle w:val="Hyperlink"/>
          </w:rPr>
          <w:t xml:space="preserve">of the European Parliament and of the Council of 26 May 2003 </w:t>
        </w:r>
        <w:r w:rsidRPr="00914153">
          <w:rPr>
            <w:rStyle w:val="Hyperlink"/>
          </w:rPr>
          <w:t xml:space="preserve">on the approximation of the laws, regulations and administrative provisions of the Member States relating to the advertising and sponsorship of </w:t>
        </w:r>
        <w:r w:rsidRPr="00170F5A">
          <w:rPr>
            <w:rStyle w:val="Hyperlink"/>
          </w:rPr>
          <w:t>tobacco</w:t>
        </w:r>
        <w:r w:rsidRPr="00914153">
          <w:rPr>
            <w:rStyle w:val="Hyperlink"/>
          </w:rPr>
          <w:t xml:space="preserve"> products</w:t>
        </w:r>
      </w:hyperlink>
      <w:r>
        <w:t xml:space="preserve">, </w:t>
      </w:r>
      <w:r w:rsidRPr="00914153">
        <w:t>OJ L 152, 20.6.2003, pp. 16–19</w:t>
      </w:r>
      <w:r>
        <w:t>.</w:t>
      </w:r>
      <w:r w:rsidRPr="00914153">
        <w:t> </w:t>
      </w:r>
    </w:p>
  </w:footnote>
  <w:footnote w:id="77">
    <w:p w14:paraId="6E8656EA" w14:textId="093C9B5F" w:rsidR="00DE54C7" w:rsidRPr="000E1D82" w:rsidRDefault="00DE54C7" w:rsidP="00D8171C">
      <w:pPr>
        <w:pStyle w:val="FootnoteText"/>
      </w:pPr>
      <w:r w:rsidRPr="000E1D82">
        <w:rPr>
          <w:rStyle w:val="FootnoteReference"/>
        </w:rPr>
        <w:footnoteRef/>
      </w:r>
      <w:r w:rsidRPr="000E1D82">
        <w:t xml:space="preserve"> </w:t>
      </w:r>
      <w:hyperlink r:id="rId75" w:history="1">
        <w:r w:rsidR="00AC430A">
          <w:rPr>
            <w:rStyle w:val="Hyperlink"/>
          </w:rPr>
          <w:t>The Eurobarometer survey on Attitudes of Europeans towards tobacco and related products</w:t>
        </w:r>
      </w:hyperlink>
      <w:r w:rsidRPr="000E1D82">
        <w:t>.</w:t>
      </w:r>
    </w:p>
  </w:footnote>
  <w:footnote w:id="78">
    <w:p w14:paraId="32C12F84" w14:textId="77777777" w:rsidR="00DE54C7" w:rsidRDefault="00DE54C7" w:rsidP="00D8171C">
      <w:pPr>
        <w:pStyle w:val="FootnoteText"/>
      </w:pPr>
      <w:r>
        <w:rPr>
          <w:rStyle w:val="FootnoteReference"/>
        </w:rPr>
        <w:footnoteRef/>
      </w:r>
      <w:r>
        <w:t xml:space="preserve"> </w:t>
      </w:r>
      <w:hyperlink r:id="rId76" w:history="1">
        <w:r w:rsidRPr="00C145CF">
          <w:rPr>
            <w:rStyle w:val="Hyperlink"/>
          </w:rPr>
          <w:t>Impact analysis of the review of tobacco excise duty rules - Publications Office of the EU</w:t>
        </w:r>
      </w:hyperlink>
      <w:r>
        <w:t>.</w:t>
      </w:r>
    </w:p>
  </w:footnote>
  <w:footnote w:id="79">
    <w:p w14:paraId="3848B2FF" w14:textId="77777777" w:rsidR="00DE54C7" w:rsidRDefault="00DE54C7" w:rsidP="00D8171C">
      <w:pPr>
        <w:pStyle w:val="FootnoteText"/>
      </w:pPr>
      <w:r>
        <w:rPr>
          <w:rStyle w:val="FootnoteReference"/>
        </w:rPr>
        <w:footnoteRef/>
      </w:r>
      <w:r>
        <w:t xml:space="preserve"> </w:t>
      </w:r>
      <w:hyperlink r:id="rId77" w:history="1">
        <w:r w:rsidRPr="007F0F3C">
          <w:rPr>
            <w:rStyle w:val="Hyperlink"/>
          </w:rPr>
          <w:t>Health Promotion</w:t>
        </w:r>
      </w:hyperlink>
      <w:r>
        <w:t xml:space="preserve"> – WHO, tobacco taxation.</w:t>
      </w:r>
    </w:p>
  </w:footnote>
  <w:footnote w:id="80">
    <w:p w14:paraId="5807A485" w14:textId="50075EAE" w:rsidR="00DE54C7" w:rsidRDefault="00DE54C7" w:rsidP="00D8171C">
      <w:pPr>
        <w:pStyle w:val="FootnoteText"/>
      </w:pPr>
      <w:r>
        <w:rPr>
          <w:rStyle w:val="FootnoteReference"/>
        </w:rPr>
        <w:footnoteRef/>
      </w:r>
      <w:r>
        <w:t xml:space="preserve"> </w:t>
      </w:r>
      <w:hyperlink r:id="rId78" w:history="1">
        <w:r w:rsidR="00FC463F">
          <w:rPr>
            <w:rStyle w:val="Hyperlink"/>
          </w:rPr>
          <w:t>Council Directive 2011/64/EU of 21 June 2011 on the structure and rates of excise duty applied to manufactured tobacco</w:t>
        </w:r>
      </w:hyperlink>
      <w:r w:rsidR="00EA71D3">
        <w:t xml:space="preserve">, </w:t>
      </w:r>
      <w:r w:rsidR="00EA71D3" w:rsidRPr="00914153">
        <w:t>OJ L 1</w:t>
      </w:r>
      <w:r w:rsidR="00EA71D3">
        <w:t>76</w:t>
      </w:r>
      <w:r w:rsidR="00EA71D3" w:rsidRPr="00914153">
        <w:t xml:space="preserve">, pp. </w:t>
      </w:r>
      <w:r w:rsidR="00EA71D3">
        <w:t>24</w:t>
      </w:r>
      <w:r w:rsidR="00EA71D3" w:rsidRPr="00914153">
        <w:t>–</w:t>
      </w:r>
      <w:r w:rsidR="00EA71D3">
        <w:t>36.</w:t>
      </w:r>
    </w:p>
  </w:footnote>
  <w:footnote w:id="81">
    <w:p w14:paraId="3C396493" w14:textId="6D1644F5" w:rsidR="00DE54C7" w:rsidRPr="000E1D82" w:rsidRDefault="00DE54C7" w:rsidP="00D8171C">
      <w:pPr>
        <w:pStyle w:val="FootnoteText"/>
      </w:pPr>
      <w:r w:rsidRPr="000E1D82">
        <w:rPr>
          <w:rStyle w:val="FootnoteReference"/>
        </w:rPr>
        <w:footnoteRef/>
      </w:r>
      <w:r>
        <w:t xml:space="preserve"> </w:t>
      </w:r>
      <w:r w:rsidR="00DE1F4B">
        <w:t xml:space="preserve">Communication from the Commission to the European Parliament and the Council, </w:t>
      </w:r>
      <w:hyperlink r:id="rId79" w:history="1">
        <w:r w:rsidR="00DE1F4B" w:rsidRPr="00340B85">
          <w:rPr>
            <w:rStyle w:val="Hyperlink"/>
          </w:rPr>
          <w:t>Europe’s Beating Cancer Plan</w:t>
        </w:r>
      </w:hyperlink>
      <w:r w:rsidR="00DE1F4B">
        <w:t>, COM(2021) 44 final.</w:t>
      </w:r>
    </w:p>
  </w:footnote>
  <w:footnote w:id="82">
    <w:p w14:paraId="00D42343" w14:textId="65FE5F6A" w:rsidR="00DE54C7" w:rsidRPr="000E1D82" w:rsidRDefault="00DE54C7" w:rsidP="00D8171C">
      <w:pPr>
        <w:pStyle w:val="FootnoteText"/>
      </w:pPr>
      <w:r w:rsidRPr="000E1D82">
        <w:rPr>
          <w:rStyle w:val="FootnoteReference"/>
        </w:rPr>
        <w:footnoteRef/>
      </w:r>
      <w:r w:rsidRPr="000E1D82">
        <w:t xml:space="preserve"> Key findings from the 2024 European School Survey Project on Alcohol and Other Drugs (ESPAD)</w:t>
      </w:r>
      <w:r w:rsidR="002C2558">
        <w:t>:</w:t>
      </w:r>
      <w:r w:rsidRPr="000E1D82">
        <w:t xml:space="preserve">  </w:t>
      </w:r>
      <w:hyperlink r:id="rId80" w:history="1">
        <w:r w:rsidRPr="009C3002">
          <w:rPr>
            <w:rStyle w:val="Hyperlink"/>
          </w:rPr>
          <w:t>www.euda.europa.eu</w:t>
        </w:r>
      </w:hyperlink>
      <w:r>
        <w:t>.</w:t>
      </w:r>
    </w:p>
  </w:footnote>
  <w:footnote w:id="83">
    <w:p w14:paraId="65597C3B" w14:textId="77777777" w:rsidR="00DE54C7" w:rsidRPr="000E1D82" w:rsidRDefault="00DE54C7" w:rsidP="00D8171C">
      <w:pPr>
        <w:pStyle w:val="FootnoteText"/>
      </w:pPr>
      <w:r w:rsidRPr="000E1D82">
        <w:rPr>
          <w:rStyle w:val="FootnoteReference"/>
        </w:rPr>
        <w:footnoteRef/>
      </w:r>
      <w:r w:rsidRPr="000E1D82">
        <w:t xml:space="preserve"> Pre-mixed alcoholic drink designed to mimic the taste of a soft drink but with added alcohol.</w:t>
      </w:r>
    </w:p>
  </w:footnote>
  <w:footnote w:id="84">
    <w:p w14:paraId="34FFDACC" w14:textId="3AADC567" w:rsidR="00DE54C7" w:rsidRDefault="00DE54C7" w:rsidP="00D8171C">
      <w:pPr>
        <w:pStyle w:val="FootnoteText"/>
      </w:pPr>
      <w:r>
        <w:rPr>
          <w:rStyle w:val="FootnoteReference"/>
        </w:rPr>
        <w:footnoteRef/>
      </w:r>
      <w:r>
        <w:t xml:space="preserve"> </w:t>
      </w:r>
      <w:r w:rsidRPr="00C2519D">
        <w:t>Health Promotion and Disease Prevention Knowledge Gatewa</w:t>
      </w:r>
      <w:r>
        <w:t xml:space="preserve">y: </w:t>
      </w:r>
      <w:hyperlink r:id="rId81" w:history="1">
        <w:r w:rsidRPr="0090743D">
          <w:rPr>
            <w:rStyle w:val="Hyperlink"/>
          </w:rPr>
          <w:t>https://knowledge4policy.ec.europa.eu/health-promotion-knowledge-gateway/alcoholic-beverages_en</w:t>
        </w:r>
      </w:hyperlink>
      <w:r>
        <w:rPr>
          <w:lang w:val="en-US"/>
        </w:rPr>
        <w:t>.</w:t>
      </w:r>
    </w:p>
  </w:footnote>
  <w:footnote w:id="85">
    <w:p w14:paraId="5679909C" w14:textId="77777777" w:rsidR="00DE54C7" w:rsidRPr="000E1D82" w:rsidRDefault="00DE54C7" w:rsidP="00D8171C">
      <w:pPr>
        <w:pStyle w:val="FootnoteText"/>
      </w:pPr>
      <w:r w:rsidRPr="000E1D82">
        <w:rPr>
          <w:rStyle w:val="FootnoteReference"/>
        </w:rPr>
        <w:footnoteRef/>
      </w:r>
      <w:r w:rsidRPr="000E1D82">
        <w:t xml:space="preserve"> </w:t>
      </w:r>
      <w:hyperlink r:id="rId82" w:history="1">
        <w:r w:rsidRPr="000E1D82">
          <w:rPr>
            <w:rStyle w:val="Hyperlink"/>
          </w:rPr>
          <w:t>Study on Health Taxes from an EU Perspective - Taxation and Customs Union</w:t>
        </w:r>
      </w:hyperlink>
      <w:r w:rsidRPr="000E1D82">
        <w:t>.</w:t>
      </w:r>
    </w:p>
  </w:footnote>
  <w:footnote w:id="86">
    <w:p w14:paraId="10AD9BF9" w14:textId="77777777" w:rsidR="00DE54C7" w:rsidRPr="000E1D82" w:rsidRDefault="00DE54C7" w:rsidP="00D8171C">
      <w:pPr>
        <w:pStyle w:val="FootnoteText"/>
      </w:pPr>
      <w:r w:rsidRPr="000E1D82">
        <w:rPr>
          <w:rStyle w:val="FootnoteReference"/>
        </w:rPr>
        <w:footnoteRef/>
      </w:r>
      <w:r w:rsidRPr="000E1D82">
        <w:t xml:space="preserve"> Denmark taxes ice-cream and confectionary and Hungary taxes food products containing high levels of salt, in addition to sugar sweetened beverages. </w:t>
      </w:r>
    </w:p>
  </w:footnote>
  <w:footnote w:id="87">
    <w:p w14:paraId="264EB348" w14:textId="13D73767" w:rsidR="006C4648" w:rsidRPr="00236C38" w:rsidRDefault="00E82A17" w:rsidP="00E82A17">
      <w:pPr>
        <w:pStyle w:val="FootnoteText"/>
      </w:pPr>
      <w:r>
        <w:rPr>
          <w:rStyle w:val="FootnoteReference"/>
        </w:rPr>
        <w:footnoteRef/>
      </w:r>
      <w:r>
        <w:t xml:space="preserve"> </w:t>
      </w:r>
      <w:hyperlink r:id="rId83" w:history="1">
        <w:r w:rsidR="006C4648" w:rsidRPr="007E4B00">
          <w:rPr>
            <w:rStyle w:val="Hyperlink"/>
          </w:rPr>
          <w:t>https://europa.eu/eurobarometer/surveys/detail/3380</w:t>
        </w:r>
      </w:hyperlink>
      <w:r w:rsidR="006C4648">
        <w:t>.</w:t>
      </w:r>
    </w:p>
  </w:footnote>
  <w:footnote w:id="88">
    <w:p w14:paraId="06B789FE" w14:textId="701EC180" w:rsidR="006C4648" w:rsidRPr="00521D64" w:rsidRDefault="00E82A17" w:rsidP="00E82A17">
      <w:pPr>
        <w:pStyle w:val="FootnoteText"/>
      </w:pPr>
      <w:r>
        <w:rPr>
          <w:rStyle w:val="FootnoteReference"/>
        </w:rPr>
        <w:footnoteRef/>
      </w:r>
      <w:r>
        <w:t xml:space="preserve"> </w:t>
      </w:r>
      <w:hyperlink r:id="rId84" w:history="1">
        <w:r w:rsidR="006C4648" w:rsidRPr="00452C6E">
          <w:rPr>
            <w:rStyle w:val="Hyperlink"/>
          </w:rPr>
          <w:t>https://data.europa.eu/en/publications/datastories/health-and-well-being-eu-investing-where-it-matters</w:t>
        </w:r>
      </w:hyperlink>
      <w:r w:rsidR="006C4648">
        <w:t>.</w:t>
      </w:r>
    </w:p>
  </w:footnote>
  <w:footnote w:id="89">
    <w:p w14:paraId="7CD9FE76" w14:textId="422714A3" w:rsidR="00F71FEB" w:rsidRPr="00914153" w:rsidRDefault="00F71FEB" w:rsidP="00D8171C">
      <w:pPr>
        <w:pStyle w:val="FootnoteText"/>
        <w:rPr>
          <w:lang w:val="hu-HU"/>
        </w:rPr>
      </w:pPr>
      <w:r>
        <w:rPr>
          <w:rStyle w:val="FootnoteReference"/>
        </w:rPr>
        <w:footnoteRef/>
      </w:r>
      <w:r>
        <w:t xml:space="preserve"> </w:t>
      </w:r>
      <w:hyperlink r:id="rId85" w:history="1">
        <w:r w:rsidR="00DF627F">
          <w:rPr>
            <w:rStyle w:val="Hyperlink"/>
          </w:rPr>
          <w:t>Ultra-Processed Foods and Human Health, The Lancet series.</w:t>
        </w:r>
      </w:hyperlink>
      <w:r>
        <w:t xml:space="preserve"> </w:t>
      </w:r>
    </w:p>
  </w:footnote>
  <w:footnote w:id="90">
    <w:p w14:paraId="0C35478F" w14:textId="77777777" w:rsidR="00DE54C7" w:rsidRDefault="00DE54C7" w:rsidP="00D8171C">
      <w:pPr>
        <w:pStyle w:val="FootnoteText"/>
      </w:pPr>
      <w:r>
        <w:rPr>
          <w:rStyle w:val="FootnoteReference"/>
        </w:rPr>
        <w:footnoteRef/>
      </w:r>
      <w:r>
        <w:t xml:space="preserve"> </w:t>
      </w:r>
      <w:r w:rsidRPr="000E1D82">
        <w:t xml:space="preserve">Starting in June 2026, these initiatives </w:t>
      </w:r>
      <w:r>
        <w:t xml:space="preserve">will </w:t>
      </w:r>
      <w:r w:rsidRPr="000E1D82">
        <w:t>aim to engage millions of Europeans across more than 50,000 events each year, encouraging healthier lifestyles and reducing cardiovascular risk</w:t>
      </w:r>
      <w:r>
        <w:t>.</w:t>
      </w:r>
    </w:p>
  </w:footnote>
  <w:footnote w:id="91">
    <w:p w14:paraId="5226CCBC" w14:textId="668AE31E" w:rsidR="00EF0BA4" w:rsidRPr="00EF0BA4" w:rsidRDefault="00EF0BA4">
      <w:pPr>
        <w:pStyle w:val="FootnoteText"/>
      </w:pPr>
      <w:r>
        <w:rPr>
          <w:rStyle w:val="FootnoteReference"/>
        </w:rPr>
        <w:footnoteRef/>
      </w:r>
      <w:r>
        <w:t xml:space="preserve"> </w:t>
      </w:r>
      <w:hyperlink r:id="rId86" w:history="1">
        <w:r w:rsidR="00F76D92" w:rsidRPr="00F76D92">
          <w:rPr>
            <w:rStyle w:val="Hyperlink"/>
            <w:lang w:val="en-IE"/>
          </w:rPr>
          <w:t>Home - Erasmus+</w:t>
        </w:r>
      </w:hyperlink>
      <w:r w:rsidR="00F76D92">
        <w:t>.</w:t>
      </w:r>
    </w:p>
  </w:footnote>
  <w:footnote w:id="92">
    <w:p w14:paraId="760F9AFE" w14:textId="04AD55E5" w:rsidR="004D317B" w:rsidRPr="004D317B" w:rsidRDefault="004D317B" w:rsidP="00D8171C">
      <w:pPr>
        <w:pStyle w:val="FootnoteText"/>
      </w:pPr>
      <w:r>
        <w:rPr>
          <w:rStyle w:val="FootnoteReference"/>
        </w:rPr>
        <w:footnoteRef/>
      </w:r>
      <w:r>
        <w:t xml:space="preserve"> Study on the evaluation of the </w:t>
      </w:r>
      <w:hyperlink r:id="rId87" w:history="1">
        <w:r w:rsidRPr="0034361C">
          <w:rPr>
            <w:rStyle w:val="Hyperlink"/>
          </w:rPr>
          <w:t>EU Action Plan on Childhood Obesity</w:t>
        </w:r>
      </w:hyperlink>
      <w:r>
        <w:t>.</w:t>
      </w:r>
    </w:p>
  </w:footnote>
  <w:footnote w:id="93">
    <w:p w14:paraId="7306DD5D" w14:textId="77777777" w:rsidR="00DE54C7" w:rsidRDefault="00DE54C7" w:rsidP="00D8171C">
      <w:pPr>
        <w:pStyle w:val="FootnoteText"/>
      </w:pPr>
      <w:r>
        <w:rPr>
          <w:rStyle w:val="FootnoteReference"/>
        </w:rPr>
        <w:footnoteRef/>
      </w:r>
      <w:r>
        <w:t xml:space="preserve"> </w:t>
      </w:r>
      <w:hyperlink r:id="rId88" w:history="1">
        <w:r w:rsidRPr="74C9458B">
          <w:rPr>
            <w:rStyle w:val="Hyperlink"/>
          </w:rPr>
          <w:t>How healthy are children’s eating habits? – WHO/Europe surveillance results</w:t>
        </w:r>
      </w:hyperlink>
      <w:r>
        <w:t>.</w:t>
      </w:r>
    </w:p>
  </w:footnote>
  <w:footnote w:id="94">
    <w:p w14:paraId="60F3E8D8" w14:textId="77777777" w:rsidR="00DE54C7" w:rsidRPr="000E1D82" w:rsidRDefault="00DE54C7" w:rsidP="00D8171C">
      <w:pPr>
        <w:pStyle w:val="FootnoteText"/>
      </w:pPr>
      <w:r w:rsidRPr="000E1D82">
        <w:rPr>
          <w:rStyle w:val="FootnoteReference"/>
        </w:rPr>
        <w:footnoteRef/>
      </w:r>
      <w:r w:rsidRPr="000E1D82">
        <w:t xml:space="preserve"> Funded under the EU4Health programme: </w:t>
      </w:r>
      <w:hyperlink r:id="rId89" w:tgtFrame="_blank" w:tooltip="https://www.dypede.gr/health4eukids/" w:history="1">
        <w:r w:rsidRPr="000E1D82">
          <w:rPr>
            <w:rStyle w:val="Hyperlink"/>
          </w:rPr>
          <w:t>Health4EUKids</w:t>
        </w:r>
      </w:hyperlink>
      <w:r w:rsidRPr="000E1D82">
        <w:t xml:space="preserve">; </w:t>
      </w:r>
      <w:hyperlink r:id="rId90" w:tgtFrame="_blank" w:tooltip="https://schools4health.eu/" w:history="1">
        <w:r w:rsidRPr="000E1D82">
          <w:rPr>
            <w:rStyle w:val="Hyperlink"/>
          </w:rPr>
          <w:t>Schools4Health</w:t>
        </w:r>
      </w:hyperlink>
      <w:r w:rsidRPr="000E1D82">
        <w:t xml:space="preserve">; </w:t>
      </w:r>
      <w:hyperlink r:id="rId91" w:tgtFrame="_blank" w:tooltip="https://site.unibo.it/duse/en/project" w:history="1">
        <w:r w:rsidRPr="000E1D82">
          <w:rPr>
            <w:rStyle w:val="Hyperlink"/>
          </w:rPr>
          <w:t>DUSE</w:t>
        </w:r>
      </w:hyperlink>
      <w:r w:rsidRPr="000E1D82">
        <w:t xml:space="preserve">; </w:t>
      </w:r>
      <w:hyperlink r:id="rId92" w:tgtFrame="_blank" w:tooltip="https://ryhealth.net/" w:history="1">
        <w:r w:rsidRPr="000E1D82">
          <w:rPr>
            <w:rStyle w:val="Hyperlink"/>
          </w:rPr>
          <w:t>RYHEALTH</w:t>
        </w:r>
      </w:hyperlink>
      <w:r w:rsidRPr="000E1D82">
        <w:t>.</w:t>
      </w:r>
    </w:p>
  </w:footnote>
  <w:footnote w:id="95">
    <w:p w14:paraId="08387F6A" w14:textId="75CCCE1A" w:rsidR="00DE54C7" w:rsidRPr="000E1D82" w:rsidRDefault="00DE54C7" w:rsidP="00D8171C">
      <w:pPr>
        <w:pStyle w:val="FootnoteText"/>
      </w:pPr>
      <w:r w:rsidRPr="000E1D82">
        <w:rPr>
          <w:rStyle w:val="FootnoteReference"/>
        </w:rPr>
        <w:footnoteRef/>
      </w:r>
      <w:r w:rsidRPr="000E1D82">
        <w:t xml:space="preserve"> </w:t>
      </w:r>
      <w:hyperlink r:id="rId93" w:history="1">
        <w:r w:rsidRPr="000E1D82">
          <w:rPr>
            <w:rStyle w:val="Hyperlink"/>
          </w:rPr>
          <w:t>BIO-STREAMS</w:t>
        </w:r>
      </w:hyperlink>
      <w:r w:rsidRPr="000E1D82">
        <w:t xml:space="preserve">; </w:t>
      </w:r>
      <w:hyperlink r:id="rId94" w:history="1">
        <w:r w:rsidRPr="000E1D82">
          <w:rPr>
            <w:rStyle w:val="Hyperlink"/>
          </w:rPr>
          <w:t>OBELISK</w:t>
        </w:r>
      </w:hyperlink>
      <w:r w:rsidRPr="000E1D82">
        <w:t xml:space="preserve">; </w:t>
      </w:r>
      <w:hyperlink r:id="rId95" w:history="1">
        <w:r w:rsidRPr="000E1D82">
          <w:rPr>
            <w:rStyle w:val="Hyperlink"/>
          </w:rPr>
          <w:t>PAS GRAS</w:t>
        </w:r>
      </w:hyperlink>
      <w:r w:rsidRPr="000E1D82">
        <w:t xml:space="preserve">; </w:t>
      </w:r>
      <w:hyperlink r:id="rId96" w:history="1">
        <w:r w:rsidRPr="000E1D82">
          <w:rPr>
            <w:rStyle w:val="Hyperlink"/>
          </w:rPr>
          <w:t>HealthyW8</w:t>
        </w:r>
      </w:hyperlink>
      <w:r w:rsidRPr="000E1D82">
        <w:t xml:space="preserve"> (EUR 40 million from Horizon Europe)</w:t>
      </w:r>
      <w:r w:rsidR="00D53EA1">
        <w:t xml:space="preserve">; </w:t>
      </w:r>
      <w:hyperlink r:id="rId97" w:history="1">
        <w:r w:rsidR="00D53EA1" w:rsidRPr="000E1D82">
          <w:rPr>
            <w:rStyle w:val="Hyperlink"/>
          </w:rPr>
          <w:t>The PREVENT Living Labs: A new approach to tackling childhood obesity - PREVENT</w:t>
        </w:r>
      </w:hyperlink>
      <w:r w:rsidRPr="000E1D82">
        <w:t>.</w:t>
      </w:r>
    </w:p>
  </w:footnote>
  <w:footnote w:id="96">
    <w:p w14:paraId="710EB2C8" w14:textId="7ECEEAC0" w:rsidR="00DE54C7" w:rsidRDefault="00DE54C7" w:rsidP="00D8171C">
      <w:pPr>
        <w:pStyle w:val="FootnoteText"/>
      </w:pPr>
      <w:r>
        <w:rPr>
          <w:rStyle w:val="FootnoteReference"/>
        </w:rPr>
        <w:footnoteRef/>
      </w:r>
      <w:r>
        <w:t xml:space="preserve"> </w:t>
      </w:r>
      <w:hyperlink r:id="rId98" w:history="1">
        <w:r w:rsidRPr="00081EE6">
          <w:rPr>
            <w:rStyle w:val="Hyperlink"/>
          </w:rPr>
          <w:t>Zero Hidden Hunger EU</w:t>
        </w:r>
      </w:hyperlink>
      <w:r>
        <w:t xml:space="preserve">; </w:t>
      </w:r>
      <w:hyperlink r:id="rId99" w:history="1">
        <w:r w:rsidRPr="00081EE6">
          <w:rPr>
            <w:rStyle w:val="Hyperlink"/>
          </w:rPr>
          <w:t>PLAN’EAT</w:t>
        </w:r>
      </w:hyperlink>
      <w:r>
        <w:t xml:space="preserve">;  </w:t>
      </w:r>
      <w:hyperlink r:id="rId100" w:history="1">
        <w:r w:rsidRPr="00081EE6">
          <w:rPr>
            <w:rStyle w:val="Hyperlink"/>
          </w:rPr>
          <w:t>Co Diet</w:t>
        </w:r>
      </w:hyperlink>
      <w:r>
        <w:t xml:space="preserve"> (EUR 27 million from Horizon 2020 programme).</w:t>
      </w:r>
    </w:p>
  </w:footnote>
  <w:footnote w:id="97">
    <w:p w14:paraId="5BED9FA3" w14:textId="19684718" w:rsidR="00DE54C7" w:rsidRPr="000E1D82" w:rsidRDefault="00DE54C7" w:rsidP="00D8171C">
      <w:pPr>
        <w:pStyle w:val="FootnoteText"/>
      </w:pPr>
      <w:r w:rsidRPr="000E1D82">
        <w:rPr>
          <w:rStyle w:val="FootnoteReference"/>
        </w:rPr>
        <w:footnoteRef/>
      </w:r>
      <w:r w:rsidRPr="000E1D82">
        <w:t xml:space="preserve"> </w:t>
      </w:r>
      <w:hyperlink r:id="rId101" w:history="1">
        <w:r w:rsidRPr="001007E2">
          <w:rPr>
            <w:rStyle w:val="Hyperlink"/>
          </w:rPr>
          <w:t>Step Up! Tackling the Burden of Insufficient Physical Activity in Europe | OECD</w:t>
        </w:r>
      </w:hyperlink>
      <w:r w:rsidRPr="001007E2">
        <w:rPr>
          <w:rStyle w:val="Hyperlink"/>
        </w:rPr>
        <w:t>.</w:t>
      </w:r>
    </w:p>
  </w:footnote>
  <w:footnote w:id="98">
    <w:p w14:paraId="46120928" w14:textId="0A604E36" w:rsidR="00DE54C7" w:rsidRPr="000E1D82" w:rsidRDefault="00DE54C7" w:rsidP="00D8171C">
      <w:pPr>
        <w:pStyle w:val="FootnoteText"/>
      </w:pPr>
      <w:r w:rsidRPr="000E1D82">
        <w:rPr>
          <w:rStyle w:val="FootnoteReference"/>
        </w:rPr>
        <w:footnoteRef/>
      </w:r>
      <w:r w:rsidRPr="000E1D82">
        <w:t xml:space="preserve"> </w:t>
      </w:r>
      <w:hyperlink r:id="rId102" w:history="1">
        <w:r w:rsidRPr="000E1D82">
          <w:rPr>
            <w:rStyle w:val="Hyperlink"/>
          </w:rPr>
          <w:t xml:space="preserve">Attitudes of Europeans towards tobacco and related </w:t>
        </w:r>
        <w:r w:rsidRPr="0046062A">
          <w:rPr>
            <w:rStyle w:val="Hyperlink"/>
          </w:rPr>
          <w:t>products</w:t>
        </w:r>
        <w:r w:rsidRPr="000E1D82">
          <w:rPr>
            <w:rStyle w:val="Hyperlink"/>
          </w:rPr>
          <w:t xml:space="preserve"> - June 2024 - Eurobarometer survey</w:t>
        </w:r>
      </w:hyperlink>
      <w:r w:rsidRPr="000E1D82">
        <w:t>.</w:t>
      </w:r>
    </w:p>
  </w:footnote>
  <w:footnote w:id="99">
    <w:p w14:paraId="3CF60E4F" w14:textId="329E4004" w:rsidR="00DE54C7" w:rsidRPr="000E1D82" w:rsidRDefault="00DE54C7" w:rsidP="00D8171C">
      <w:pPr>
        <w:pStyle w:val="FootnoteText"/>
      </w:pPr>
      <w:r w:rsidRPr="000E1D82">
        <w:rPr>
          <w:rStyle w:val="FootnoteReference"/>
        </w:rPr>
        <w:footnoteRef/>
      </w:r>
      <w:r w:rsidRPr="000E1D82">
        <w:t xml:space="preserve"> </w:t>
      </w:r>
      <w:hyperlink r:id="rId103" w:history="1">
        <w:r w:rsidR="002431B4">
          <w:rPr>
            <w:rStyle w:val="Hyperlink"/>
          </w:rPr>
          <w:t>Audiovisual Media Services Directive</w:t>
        </w:r>
      </w:hyperlink>
      <w:r w:rsidRPr="000E1D82">
        <w:t>.</w:t>
      </w:r>
    </w:p>
  </w:footnote>
  <w:footnote w:id="100">
    <w:p w14:paraId="1AC2374F" w14:textId="77777777" w:rsidR="000A24BE" w:rsidRPr="000E1D82" w:rsidRDefault="000A24BE" w:rsidP="000A24BE">
      <w:pPr>
        <w:pStyle w:val="FootnoteText"/>
      </w:pPr>
      <w:r w:rsidRPr="000E1D82">
        <w:rPr>
          <w:rStyle w:val="FootnoteReference"/>
        </w:rPr>
        <w:footnoteRef/>
      </w:r>
      <w:r w:rsidRPr="000E1D82">
        <w:t xml:space="preserve"> </w:t>
      </w:r>
      <w:hyperlink r:id="rId104" w:history="1">
        <w:r w:rsidRPr="000E1D82">
          <w:rPr>
            <w:rStyle w:val="Hyperlink"/>
          </w:rPr>
          <w:t>The European Commission and UNICEF announce a new partnership to improve health outcomes for children</w:t>
        </w:r>
      </w:hyperlink>
      <w:r>
        <w:t>.</w:t>
      </w:r>
    </w:p>
  </w:footnote>
  <w:footnote w:id="101">
    <w:p w14:paraId="480E61C2" w14:textId="5ADC8EC9" w:rsidR="00DE54C7" w:rsidRPr="000E1D82" w:rsidRDefault="00DE54C7" w:rsidP="00D8171C">
      <w:pPr>
        <w:pStyle w:val="FootnoteText"/>
      </w:pPr>
      <w:r w:rsidRPr="000E1D82">
        <w:rPr>
          <w:rStyle w:val="FootnoteReference"/>
        </w:rPr>
        <w:footnoteRef/>
      </w:r>
      <w:r w:rsidRPr="000E1D82">
        <w:t xml:space="preserve"> </w:t>
      </w:r>
      <w:hyperlink r:id="rId105" w:history="1">
        <w:r w:rsidR="000D3E80">
          <w:rPr>
            <w:rStyle w:val="Hyperlink"/>
          </w:rPr>
          <w:t>European Climate and Health Observatory</w:t>
        </w:r>
      </w:hyperlink>
      <w:r w:rsidRPr="000E1D82">
        <w:t xml:space="preserve">. </w:t>
      </w:r>
    </w:p>
  </w:footnote>
  <w:footnote w:id="102">
    <w:p w14:paraId="6AC9378D" w14:textId="448AD04F" w:rsidR="00DE54C7" w:rsidRPr="000E1D82" w:rsidRDefault="00DE54C7" w:rsidP="00D8171C">
      <w:pPr>
        <w:pStyle w:val="FootnoteText"/>
      </w:pPr>
      <w:r w:rsidRPr="000E1D82">
        <w:rPr>
          <w:rStyle w:val="FootnoteReference"/>
        </w:rPr>
        <w:footnoteRef/>
      </w:r>
      <w:r w:rsidR="00E20BD7" w:rsidRPr="000E1D82">
        <w:t xml:space="preserve"> </w:t>
      </w:r>
      <w:r w:rsidR="00E20BD7" w:rsidRPr="00CD766E">
        <w:t xml:space="preserve">Heidecker, </w:t>
      </w:r>
      <w:r w:rsidR="00CD766E" w:rsidRPr="00CD766E">
        <w:t>B.,</w:t>
      </w:r>
      <w:r w:rsidR="00E20BD7" w:rsidRPr="00CD766E">
        <w:t xml:space="preserve"> Libby, </w:t>
      </w:r>
      <w:r w:rsidR="00CD766E" w:rsidRPr="00CD766E">
        <w:t>P.,</w:t>
      </w:r>
      <w:r w:rsidR="00E20BD7" w:rsidRPr="00CD766E">
        <w:t xml:space="preserve"> Vassiliou, </w:t>
      </w:r>
      <w:r w:rsidR="00CD766E" w:rsidRPr="00CD766E">
        <w:t>V. S.,</w:t>
      </w:r>
      <w:r w:rsidR="00E20BD7" w:rsidRPr="00CD766E">
        <w:t xml:space="preserve"> Roubille, </w:t>
      </w:r>
      <w:r w:rsidR="00CD766E" w:rsidRPr="00CD766E">
        <w:t>F.,</w:t>
      </w:r>
      <w:r w:rsidR="00E20BD7" w:rsidRPr="00CD766E">
        <w:t xml:space="preserve"> Vardeny, </w:t>
      </w:r>
      <w:r w:rsidR="00CD766E" w:rsidRPr="00CD766E">
        <w:t>O.,</w:t>
      </w:r>
      <w:r w:rsidR="00E20BD7" w:rsidRPr="00CD766E">
        <w:t xml:space="preserve"> Hassager, </w:t>
      </w:r>
      <w:r w:rsidR="00CD766E" w:rsidRPr="00CD766E">
        <w:t>C., et al. (2025).</w:t>
      </w:r>
      <w:r w:rsidR="00E20BD7" w:rsidRPr="00CD766E">
        <w:t xml:space="preserve"> Vaccination as a new form of cardiovascular prevention: </w:t>
      </w:r>
      <w:r w:rsidR="00CD766E" w:rsidRPr="00CD766E">
        <w:t>A</w:t>
      </w:r>
      <w:r w:rsidR="00E20BD7" w:rsidRPr="00CD766E">
        <w:t xml:space="preserve"> European Society of Cardiology clinical consensus statement: With the contribution of the European Association of Preventive Cardiology (EAPC), the Association for Acute CardioVascular Care (ACVC), and the Heart Failure Association (HFA) of the ESC</w:t>
      </w:r>
      <w:r w:rsidR="00CD766E" w:rsidRPr="00CD766E">
        <w:t xml:space="preserve">. </w:t>
      </w:r>
      <w:r w:rsidR="00E20BD7" w:rsidRPr="00A978DD">
        <w:rPr>
          <w:rFonts w:eastAsiaTheme="majorEastAsia"/>
          <w:i/>
        </w:rPr>
        <w:t>European Heart Journal</w:t>
      </w:r>
      <w:r w:rsidR="00E20BD7" w:rsidRPr="00A978DD">
        <w:rPr>
          <w:i/>
        </w:rPr>
        <w:t>, 46</w:t>
      </w:r>
      <w:r w:rsidR="00CD766E" w:rsidRPr="00CD766E">
        <w:t>(</w:t>
      </w:r>
      <w:r w:rsidR="00E20BD7" w:rsidRPr="00CD766E">
        <w:t>36</w:t>
      </w:r>
      <w:r w:rsidR="00CD766E" w:rsidRPr="00CD766E">
        <w:t>),</w:t>
      </w:r>
      <w:r w:rsidR="00E20BD7" w:rsidRPr="00CD766E">
        <w:t xml:space="preserve"> 3518–3531</w:t>
      </w:r>
      <w:r w:rsidR="00CD766E" w:rsidRPr="00CD766E">
        <w:t>.</w:t>
      </w:r>
      <w:r w:rsidR="00E20BD7" w:rsidRPr="00CD766E">
        <w:t xml:space="preserve"> </w:t>
      </w:r>
      <w:hyperlink r:id="rId106" w:history="1">
        <w:r w:rsidR="00CD766E" w:rsidRPr="004A04E7">
          <w:rPr>
            <w:rStyle w:val="Hyperlink"/>
          </w:rPr>
          <w:t>https://doi.org/10.1093/eurheartj/ehaf384</w:t>
        </w:r>
      </w:hyperlink>
      <w:r w:rsidR="00D37A0D">
        <w:t>.</w:t>
      </w:r>
    </w:p>
  </w:footnote>
  <w:footnote w:id="103">
    <w:p w14:paraId="44650187" w14:textId="77072381" w:rsidR="00DE54C7" w:rsidRPr="000E1D82" w:rsidRDefault="00DE54C7" w:rsidP="00D8171C">
      <w:pPr>
        <w:pStyle w:val="FootnoteText"/>
      </w:pPr>
      <w:r w:rsidRPr="000E1D82">
        <w:rPr>
          <w:rStyle w:val="FootnoteReference"/>
        </w:rPr>
        <w:footnoteRef/>
      </w:r>
      <w:r>
        <w:rPr>
          <w:lang w:val="en-IE"/>
        </w:rPr>
        <w:t xml:space="preserve"> Behrouzi</w:t>
      </w:r>
      <w:r w:rsidR="009D0074">
        <w:rPr>
          <w:lang w:val="en-IE"/>
        </w:rPr>
        <w:t>,</w:t>
      </w:r>
      <w:r>
        <w:rPr>
          <w:lang w:val="en-IE"/>
        </w:rPr>
        <w:t xml:space="preserve"> B</w:t>
      </w:r>
      <w:r w:rsidR="009D0074">
        <w:rPr>
          <w:lang w:val="en-IE"/>
        </w:rPr>
        <w:t xml:space="preserve">., </w:t>
      </w:r>
      <w:r>
        <w:rPr>
          <w:lang w:val="en-IE"/>
        </w:rPr>
        <w:t>Bhatt</w:t>
      </w:r>
      <w:r w:rsidR="009D0074">
        <w:rPr>
          <w:lang w:val="en-IE"/>
        </w:rPr>
        <w:t xml:space="preserve">, D. L., </w:t>
      </w:r>
      <w:r>
        <w:rPr>
          <w:lang w:val="en-IE"/>
        </w:rPr>
        <w:t>Cannon</w:t>
      </w:r>
      <w:r w:rsidR="009D0074">
        <w:rPr>
          <w:lang w:val="en-IE"/>
        </w:rPr>
        <w:t>, C. P.,</w:t>
      </w:r>
      <w:r>
        <w:rPr>
          <w:lang w:val="en-IE"/>
        </w:rPr>
        <w:t xml:space="preserve"> et al. </w:t>
      </w:r>
      <w:r w:rsidR="009D0074" w:rsidRPr="009D0074">
        <w:t xml:space="preserve">(2022). Association of influenza vaccination with cardiovascular risk: A meta-analysis. </w:t>
      </w:r>
      <w:r w:rsidRPr="005A0B08">
        <w:rPr>
          <w:i/>
          <w:iCs/>
        </w:rPr>
        <w:t xml:space="preserve">JAMA </w:t>
      </w:r>
      <w:r w:rsidR="009D0074" w:rsidRPr="00956810">
        <w:rPr>
          <w:i/>
          <w:iCs/>
        </w:rPr>
        <w:t>Network</w:t>
      </w:r>
      <w:r w:rsidRPr="005A0B08">
        <w:rPr>
          <w:i/>
          <w:iCs/>
        </w:rPr>
        <w:t xml:space="preserve"> Open</w:t>
      </w:r>
      <w:r w:rsidR="009D0074" w:rsidRPr="00956810">
        <w:rPr>
          <w:i/>
          <w:iCs/>
        </w:rPr>
        <w:t xml:space="preserve">, </w:t>
      </w:r>
      <w:r w:rsidRPr="00956810">
        <w:rPr>
          <w:i/>
        </w:rPr>
        <w:t>5</w:t>
      </w:r>
      <w:r w:rsidRPr="005A0B08">
        <w:t>(4</w:t>
      </w:r>
      <w:r w:rsidR="009D0074" w:rsidRPr="009D0074">
        <w:t xml:space="preserve">), </w:t>
      </w:r>
      <w:r w:rsidRPr="005A0B08">
        <w:t>e228873</w:t>
      </w:r>
      <w:r w:rsidR="009D0074" w:rsidRPr="009D0074">
        <w:t>.</w:t>
      </w:r>
      <w:r w:rsidRPr="000E1D82">
        <w:t xml:space="preserve"> </w:t>
      </w:r>
      <w:hyperlink r:id="rId107" w:history="1">
        <w:r w:rsidR="009D0074" w:rsidRPr="004A04E7">
          <w:rPr>
            <w:rStyle w:val="Hyperlink"/>
          </w:rPr>
          <w:t>https://doi.org/10.1001/jamanetworkopen.2022.8873</w:t>
        </w:r>
      </w:hyperlink>
      <w:r w:rsidR="00956810">
        <w:t xml:space="preserve"> </w:t>
      </w:r>
      <w:r w:rsidR="009D0074">
        <w:t xml:space="preserve"> </w:t>
      </w:r>
    </w:p>
  </w:footnote>
  <w:footnote w:id="104">
    <w:p w14:paraId="71F861B2" w14:textId="77777777" w:rsidR="00DE54C7" w:rsidRPr="000E1D82" w:rsidRDefault="00DE54C7" w:rsidP="00D8171C">
      <w:pPr>
        <w:pStyle w:val="FootnoteText"/>
      </w:pPr>
      <w:r w:rsidRPr="000E1D82">
        <w:rPr>
          <w:rStyle w:val="FootnoteReference"/>
        </w:rPr>
        <w:footnoteRef/>
      </w:r>
      <w:r w:rsidRPr="000E1D82">
        <w:t xml:space="preserve"> A recent </w:t>
      </w:r>
      <w:hyperlink r:id="rId108" w:history="1">
        <w:r w:rsidRPr="000E1D82">
          <w:rPr>
            <w:rStyle w:val="Hyperlink"/>
          </w:rPr>
          <w:t>clinical consensus document</w:t>
        </w:r>
      </w:hyperlink>
      <w:r w:rsidRPr="000E1D82">
        <w:t xml:space="preserve"> from the European Society of Cardiology highlights the importance of immunisation as a preventive strategy that improves survival, reduces hospitalisations, and enhances quality of life.</w:t>
      </w:r>
    </w:p>
  </w:footnote>
  <w:footnote w:id="105">
    <w:p w14:paraId="60C8D8B5" w14:textId="77777777" w:rsidR="00DE54C7" w:rsidRPr="000E1D82" w:rsidRDefault="00DE54C7" w:rsidP="00D8171C">
      <w:pPr>
        <w:pStyle w:val="FootnoteText"/>
      </w:pPr>
      <w:r w:rsidRPr="000E1D82">
        <w:rPr>
          <w:rStyle w:val="FootnoteReference"/>
        </w:rPr>
        <w:footnoteRef/>
      </w:r>
      <w:r w:rsidRPr="000E1D82">
        <w:t xml:space="preserve"> </w:t>
      </w:r>
      <w:hyperlink r:id="rId109" w:history="1">
        <w:r w:rsidRPr="000E1D82">
          <w:rPr>
            <w:rStyle w:val="Hyperlink"/>
          </w:rPr>
          <w:t>European Immunisation Week 2025: EU4Health and Horizon Europe projects protecting the health of people of all ages - European Commission</w:t>
        </w:r>
      </w:hyperlink>
      <w:r w:rsidRPr="000E1D82">
        <w:t>.</w:t>
      </w:r>
    </w:p>
  </w:footnote>
  <w:footnote w:id="106">
    <w:p w14:paraId="142E7917" w14:textId="5368FB56" w:rsidR="00DE54C7" w:rsidRPr="000E1D82" w:rsidRDefault="00DE54C7" w:rsidP="00D8171C">
      <w:pPr>
        <w:pStyle w:val="FootnoteText"/>
      </w:pPr>
      <w:r w:rsidRPr="000E1D82">
        <w:rPr>
          <w:rStyle w:val="FootnoteReference"/>
        </w:rPr>
        <w:footnoteRef/>
      </w:r>
      <w:r w:rsidRPr="000E1D82">
        <w:t xml:space="preserve"> </w:t>
      </w:r>
      <w:hyperlink r:id="rId110" w:history="1">
        <w:r w:rsidR="00E5747F">
          <w:rPr>
            <w:rStyle w:val="Hyperlink"/>
          </w:rPr>
          <w:t>European Vaccination Information Portal</w:t>
        </w:r>
      </w:hyperlink>
      <w:r w:rsidRPr="000E1D82">
        <w:t>.</w:t>
      </w:r>
    </w:p>
  </w:footnote>
  <w:footnote w:id="107">
    <w:p w14:paraId="55E818F5" w14:textId="10738B63" w:rsidR="00DE54C7" w:rsidRPr="000E1D82" w:rsidRDefault="00DE54C7" w:rsidP="00D8171C">
      <w:pPr>
        <w:pStyle w:val="FootnoteText"/>
      </w:pPr>
      <w:r w:rsidRPr="000E1D82">
        <w:rPr>
          <w:rStyle w:val="FootnoteReference"/>
        </w:rPr>
        <w:footnoteRef/>
      </w:r>
      <w:r w:rsidRPr="000E1D82">
        <w:t xml:space="preserve"> </w:t>
      </w:r>
      <w:hyperlink r:id="rId111" w:history="1">
        <w:r w:rsidR="00AE6C6E">
          <w:rPr>
            <w:rStyle w:val="Hyperlink"/>
          </w:rPr>
          <w:t xml:space="preserve">European </w:t>
        </w:r>
        <w:r w:rsidR="00A95CC8">
          <w:rPr>
            <w:rStyle w:val="Hyperlink"/>
          </w:rPr>
          <w:t>Commission</w:t>
        </w:r>
        <w:r w:rsidR="00AE6C6E">
          <w:rPr>
            <w:rStyle w:val="Hyperlink"/>
          </w:rPr>
          <w:t xml:space="preserve"> actions on vaccination.</w:t>
        </w:r>
      </w:hyperlink>
    </w:p>
  </w:footnote>
  <w:footnote w:id="108">
    <w:p w14:paraId="72BF8588" w14:textId="2BA533FA" w:rsidR="006A312F" w:rsidRPr="006A312F" w:rsidRDefault="006A312F">
      <w:pPr>
        <w:pStyle w:val="FootnoteText"/>
      </w:pPr>
      <w:r>
        <w:rPr>
          <w:rStyle w:val="FootnoteReference"/>
        </w:rPr>
        <w:footnoteRef/>
      </w:r>
      <w:r>
        <w:t xml:space="preserve"> </w:t>
      </w:r>
      <w:hyperlink r:id="rId112" w:history="1">
        <w:r w:rsidRPr="006A312F">
          <w:rPr>
            <w:rStyle w:val="Hyperlink"/>
            <w:lang w:val="en-IE"/>
          </w:rPr>
          <w:t>New systematic review and meta-analysis shows an association between shingles vaccination and lower risk of heart attack and stroke</w:t>
        </w:r>
      </w:hyperlink>
      <w:r w:rsidR="00C3314B">
        <w:t>.</w:t>
      </w:r>
    </w:p>
  </w:footnote>
  <w:footnote w:id="109">
    <w:p w14:paraId="44125249" w14:textId="6D15FD21" w:rsidR="00DE54C7" w:rsidRPr="000E1D82" w:rsidRDefault="00DE54C7" w:rsidP="00D8171C">
      <w:pPr>
        <w:pStyle w:val="FootnoteText"/>
      </w:pPr>
      <w:r w:rsidRPr="000E1D82">
        <w:rPr>
          <w:rStyle w:val="FootnoteReference"/>
        </w:rPr>
        <w:footnoteRef/>
      </w:r>
      <w:r w:rsidR="00C3239B">
        <w:t xml:space="preserve"> </w:t>
      </w:r>
      <w:r w:rsidRPr="000E1D82">
        <w:t xml:space="preserve">The ability to </w:t>
      </w:r>
      <w:r w:rsidRPr="003C2A4A">
        <w:t>understand</w:t>
      </w:r>
      <w:r w:rsidRPr="000E1D82">
        <w:t>, access and use health information which is essential in the prevention of cardiovascular diseases.</w:t>
      </w:r>
    </w:p>
  </w:footnote>
  <w:footnote w:id="110">
    <w:p w14:paraId="0DEB87D9" w14:textId="72C8FCAD" w:rsidR="00DE54C7" w:rsidRPr="000E1D82" w:rsidRDefault="00DE54C7" w:rsidP="00D8171C">
      <w:pPr>
        <w:pStyle w:val="FootnoteText"/>
      </w:pPr>
      <w:r w:rsidRPr="000E1D82">
        <w:rPr>
          <w:rStyle w:val="FootnoteReference"/>
        </w:rPr>
        <w:footnoteRef/>
      </w:r>
      <w:r w:rsidRPr="000E1D82">
        <w:t xml:space="preserve"> </w:t>
      </w:r>
      <w:hyperlink r:id="rId113" w:history="1">
        <w:r w:rsidRPr="000E1D82">
          <w:rPr>
            <w:rStyle w:val="Hyperlink"/>
          </w:rPr>
          <w:t>Strengthening health literacy to reduce inequalities in cancer and other NCDs. JA PreventNCD</w:t>
        </w:r>
      </w:hyperlink>
      <w:r w:rsidRPr="000E1D82">
        <w:t>.</w:t>
      </w:r>
    </w:p>
  </w:footnote>
  <w:footnote w:id="111">
    <w:p w14:paraId="1FC754B2" w14:textId="139B9AC0" w:rsidR="00DE54C7" w:rsidRPr="000E1D82" w:rsidRDefault="00DE54C7" w:rsidP="00D8171C">
      <w:pPr>
        <w:pStyle w:val="FootnoteText"/>
      </w:pPr>
      <w:r w:rsidRPr="000E1D82">
        <w:rPr>
          <w:rStyle w:val="FootnoteReference"/>
        </w:rPr>
        <w:footnoteRef/>
      </w:r>
      <w:r w:rsidRPr="000E1D82">
        <w:t xml:space="preserve"> </w:t>
      </w:r>
      <w:hyperlink r:id="rId114" w:history="1">
        <w:r w:rsidR="00D5647D">
          <w:rPr>
            <w:rStyle w:val="Hyperlink"/>
          </w:rPr>
          <w:t>ECAC5 project - Revision and update of the European Code against Cancer</w:t>
        </w:r>
      </w:hyperlink>
      <w:r w:rsidRPr="000E1D82">
        <w:t>.</w:t>
      </w:r>
    </w:p>
  </w:footnote>
  <w:footnote w:id="112">
    <w:p w14:paraId="3D08E15E" w14:textId="6B1F7265" w:rsidR="00DE54C7" w:rsidRPr="001D733D" w:rsidRDefault="00DE54C7" w:rsidP="00D8171C">
      <w:pPr>
        <w:pStyle w:val="FootnoteText"/>
      </w:pPr>
      <w:r>
        <w:rPr>
          <w:rStyle w:val="FootnoteReference"/>
        </w:rPr>
        <w:footnoteRef/>
      </w:r>
      <w:r>
        <w:t xml:space="preserve"> </w:t>
      </w:r>
      <w:hyperlink r:id="rId115" w:history="1">
        <w:r w:rsidRPr="009953C8">
          <w:rPr>
            <w:rStyle w:val="Hyperlink"/>
          </w:rPr>
          <w:t>POCCardio</w:t>
        </w:r>
      </w:hyperlink>
      <w:r w:rsidRPr="00B6778A">
        <w:t xml:space="preserve"> project</w:t>
      </w:r>
      <w:r>
        <w:t>,</w:t>
      </w:r>
      <w:r w:rsidRPr="00B6778A">
        <w:t xml:space="preserve"> funded by Horizon Europe (EUR 14 million)</w:t>
      </w:r>
      <w:r>
        <w:t>.</w:t>
      </w:r>
      <w:r w:rsidRPr="00B6778A">
        <w:t xml:space="preserve"> </w:t>
      </w:r>
    </w:p>
  </w:footnote>
  <w:footnote w:id="113">
    <w:p w14:paraId="10D46CA6" w14:textId="431EB05E" w:rsidR="00EF55CD" w:rsidRPr="00E4479F" w:rsidRDefault="00EF55CD">
      <w:pPr>
        <w:pStyle w:val="FootnoteText"/>
        <w:rPr>
          <w:lang w:val="en-IE"/>
        </w:rPr>
      </w:pPr>
      <w:r>
        <w:rPr>
          <w:rStyle w:val="FootnoteReference"/>
        </w:rPr>
        <w:footnoteRef/>
      </w:r>
      <w:r>
        <w:t xml:space="preserve"> </w:t>
      </w:r>
      <w:hyperlink r:id="rId116" w:history="1">
        <w:r w:rsidRPr="00EF55CD">
          <w:rPr>
            <w:rStyle w:val="Hyperlink"/>
            <w:lang w:val="en-IE"/>
          </w:rPr>
          <w:t>Non-discrimination - European Commission</w:t>
        </w:r>
      </w:hyperlink>
      <w:r>
        <w:t>.</w:t>
      </w:r>
    </w:p>
  </w:footnote>
  <w:footnote w:id="114">
    <w:p w14:paraId="62F1A45B" w14:textId="17083AB8" w:rsidR="007E4B00" w:rsidRPr="001D733D" w:rsidRDefault="00DE54C7" w:rsidP="00D8171C">
      <w:pPr>
        <w:pStyle w:val="FootnoteText"/>
      </w:pPr>
      <w:r w:rsidRPr="000E1D82">
        <w:rPr>
          <w:rStyle w:val="FootnoteReference"/>
        </w:rPr>
        <w:footnoteRef/>
      </w:r>
      <w:hyperlink r:id="rId117" w:history="1">
        <w:r w:rsidRPr="00914153">
          <w:t xml:space="preserve"> </w:t>
        </w:r>
      </w:hyperlink>
      <w:r w:rsidR="00042477" w:rsidRPr="00E4479F">
        <w:t xml:space="preserve">SCORE2 risk prediction algorithms: new models to estimate 10-year risk of cardiovascular disease in Europe. </w:t>
      </w:r>
      <w:r w:rsidR="00042477" w:rsidRPr="00E4479F">
        <w:rPr>
          <w:i/>
        </w:rPr>
        <w:t>European Heart Journal</w:t>
      </w:r>
      <w:r w:rsidR="00023AC3">
        <w:t>.</w:t>
      </w:r>
      <w:r w:rsidR="00042477">
        <w:t xml:space="preserve"> </w:t>
      </w:r>
      <w:r w:rsidR="00E72D57">
        <w:t>42 (25)</w:t>
      </w:r>
      <w:r w:rsidR="00A33A80">
        <w:t xml:space="preserve">, </w:t>
      </w:r>
      <w:r w:rsidR="001469B3">
        <w:t>2439-2454.</w:t>
      </w:r>
      <w:r w:rsidR="00A33A80">
        <w:t xml:space="preserve"> </w:t>
      </w:r>
      <w:hyperlink r:id="rId118" w:history="1">
        <w:r w:rsidR="007E4B00" w:rsidRPr="007E4B00">
          <w:rPr>
            <w:rStyle w:val="Hyperlink"/>
          </w:rPr>
          <w:t>https://doi.org/10.1093/eurheartj/ehab309</w:t>
        </w:r>
      </w:hyperlink>
      <w:r w:rsidR="007E4B00">
        <w:t>.</w:t>
      </w:r>
    </w:p>
  </w:footnote>
  <w:footnote w:id="115">
    <w:p w14:paraId="4CECF32F" w14:textId="6B12FE22" w:rsidR="00DE54C7" w:rsidRPr="001D733D" w:rsidRDefault="00DE54C7" w:rsidP="00D8171C">
      <w:pPr>
        <w:pStyle w:val="FootnoteText"/>
      </w:pPr>
      <w:r>
        <w:rPr>
          <w:rStyle w:val="FootnoteReference"/>
        </w:rPr>
        <w:footnoteRef/>
      </w:r>
      <w:r>
        <w:t xml:space="preserve"> </w:t>
      </w:r>
      <w:hyperlink r:id="rId119" w:history="1">
        <w:r w:rsidRPr="00BE65AB">
          <w:rPr>
            <w:rStyle w:val="Hyperlink"/>
          </w:rPr>
          <w:t>FH-EARLY</w:t>
        </w:r>
      </w:hyperlink>
      <w:r w:rsidRPr="000E1D82">
        <w:t xml:space="preserve"> and </w:t>
      </w:r>
      <w:hyperlink r:id="rId120" w:history="1">
        <w:r w:rsidRPr="00856409">
          <w:rPr>
            <w:rStyle w:val="Hyperlink"/>
          </w:rPr>
          <w:t>BIOMARCARE</w:t>
        </w:r>
      </w:hyperlink>
      <w:r w:rsidR="00D53EA1">
        <w:t xml:space="preserve">; </w:t>
      </w:r>
      <w:hyperlink r:id="rId121" w:history="1">
        <w:r w:rsidR="009728B3">
          <w:rPr>
            <w:rStyle w:val="Hyperlink"/>
          </w:rPr>
          <w:t>PERFECTO</w:t>
        </w:r>
      </w:hyperlink>
      <w:r w:rsidR="00D53EA1">
        <w:t>.</w:t>
      </w:r>
    </w:p>
  </w:footnote>
  <w:footnote w:id="116">
    <w:p w14:paraId="47C2CA0C" w14:textId="470552AA" w:rsidR="00DE54C7" w:rsidRPr="00F81B96" w:rsidRDefault="00DE54C7" w:rsidP="00D8171C">
      <w:pPr>
        <w:pStyle w:val="FootnoteText"/>
      </w:pPr>
      <w:r>
        <w:rPr>
          <w:rStyle w:val="FootnoteReference"/>
        </w:rPr>
        <w:footnoteRef/>
      </w:r>
      <w:r w:rsidRPr="00E4479F">
        <w:rPr>
          <w:lang w:val="it-IT"/>
        </w:rPr>
        <w:t xml:space="preserve"> </w:t>
      </w:r>
      <w:r w:rsidR="009424E5" w:rsidRPr="00E4479F">
        <w:rPr>
          <w:lang w:val="it-IT"/>
        </w:rPr>
        <w:t>Schun</w:t>
      </w:r>
      <w:r w:rsidR="000A05C9" w:rsidRPr="00E4479F">
        <w:rPr>
          <w:lang w:val="it-IT"/>
        </w:rPr>
        <w:t>kert</w:t>
      </w:r>
      <w:r w:rsidR="00304ED5" w:rsidRPr="00E4479F">
        <w:rPr>
          <w:lang w:val="it-IT"/>
        </w:rPr>
        <w:t xml:space="preserve">, H., </w:t>
      </w:r>
      <w:r w:rsidR="00CB46D6" w:rsidRPr="00E4479F">
        <w:rPr>
          <w:lang w:val="it-IT"/>
        </w:rPr>
        <w:t>Di Angelantonio</w:t>
      </w:r>
      <w:r w:rsidR="00665AAB" w:rsidRPr="00E4479F">
        <w:rPr>
          <w:lang w:val="it-IT"/>
        </w:rPr>
        <w:t>, E.</w:t>
      </w:r>
      <w:r w:rsidR="00C50F03" w:rsidRPr="00E4479F">
        <w:rPr>
          <w:lang w:val="it-IT"/>
        </w:rPr>
        <w:t xml:space="preserve">, </w:t>
      </w:r>
      <w:r w:rsidR="000C0F53" w:rsidRPr="00E4479F">
        <w:rPr>
          <w:lang w:val="it-IT"/>
        </w:rPr>
        <w:t>Inouye</w:t>
      </w:r>
      <w:r w:rsidR="006E5DE5" w:rsidRPr="00E4479F">
        <w:rPr>
          <w:lang w:val="it-IT"/>
        </w:rPr>
        <w:t xml:space="preserve">, M., </w:t>
      </w:r>
      <w:r w:rsidR="00404401" w:rsidRPr="00E4479F">
        <w:rPr>
          <w:lang w:val="it-IT"/>
        </w:rPr>
        <w:t>Patel, R. S.</w:t>
      </w:r>
      <w:r w:rsidR="00136E87" w:rsidRPr="00E4479F">
        <w:rPr>
          <w:lang w:val="it-IT"/>
        </w:rPr>
        <w:t xml:space="preserve">, </w:t>
      </w:r>
      <w:r w:rsidR="00930A32" w:rsidRPr="00E4479F">
        <w:rPr>
          <w:lang w:val="it-IT"/>
        </w:rPr>
        <w:t xml:space="preserve">et al. </w:t>
      </w:r>
      <w:r w:rsidR="009713FA" w:rsidRPr="00E4479F">
        <w:rPr>
          <w:lang w:val="en-IE"/>
        </w:rPr>
        <w:t>(2</w:t>
      </w:r>
      <w:r w:rsidR="009713FA">
        <w:rPr>
          <w:lang w:val="en-IE"/>
        </w:rPr>
        <w:t>025)</w:t>
      </w:r>
      <w:r w:rsidR="00CF7FB8">
        <w:rPr>
          <w:lang w:val="en-IE"/>
        </w:rPr>
        <w:t xml:space="preserve">. </w:t>
      </w:r>
      <w:hyperlink r:id="rId122" w:history="1">
        <w:r w:rsidRPr="0080477E">
          <w:rPr>
            <w:rStyle w:val="Hyperlink"/>
          </w:rPr>
          <w:t xml:space="preserve">Clinical utility and implementation of polygenic risk scores for predicting cardiovascular disease, </w:t>
        </w:r>
        <w:r w:rsidRPr="00E4479F">
          <w:rPr>
            <w:rStyle w:val="Hyperlink"/>
            <w:i/>
          </w:rPr>
          <w:t>European Heart Journal</w:t>
        </w:r>
        <w:r w:rsidRPr="0080477E">
          <w:rPr>
            <w:rStyle w:val="Hyperlink"/>
          </w:rPr>
          <w:t>, Oxford Academic.</w:t>
        </w:r>
      </w:hyperlink>
      <w:r w:rsidRPr="00914153">
        <w:t xml:space="preserve"> </w:t>
      </w:r>
      <w:r w:rsidR="00F05C54">
        <w:t>46(15)</w:t>
      </w:r>
      <w:r w:rsidR="00E91391">
        <w:t>, 1372-1383</w:t>
      </w:r>
      <w:r w:rsidR="009E1722">
        <w:t xml:space="preserve">. </w:t>
      </w:r>
      <w:r w:rsidR="009E1722" w:rsidRPr="009E1722">
        <w:t>https://doi.org/10.1093/eurheartj/ehae649</w:t>
      </w:r>
      <w:r>
        <w:t>.</w:t>
      </w:r>
    </w:p>
  </w:footnote>
  <w:footnote w:id="117">
    <w:p w14:paraId="16CE0235" w14:textId="2D66F77E" w:rsidR="00DE54C7" w:rsidRPr="001D733D" w:rsidRDefault="00DE54C7" w:rsidP="00D8171C">
      <w:pPr>
        <w:pStyle w:val="FootnoteText"/>
      </w:pPr>
      <w:r>
        <w:rPr>
          <w:rStyle w:val="FootnoteReference"/>
        </w:rPr>
        <w:footnoteRef/>
      </w:r>
      <w:r w:rsidRPr="004A4729">
        <w:t xml:space="preserve"> </w:t>
      </w:r>
      <w:hyperlink r:id="rId123" w:history="1">
        <w:r w:rsidRPr="007C0607">
          <w:rPr>
            <w:rStyle w:val="Hyperlink"/>
          </w:rPr>
          <w:t>Virtual Human Twins initiative for health and care</w:t>
        </w:r>
      </w:hyperlink>
      <w:r w:rsidRPr="007C0607">
        <w:rPr>
          <w:rStyle w:val="Hyperlink"/>
        </w:rPr>
        <w:t>.</w:t>
      </w:r>
      <w:r w:rsidRPr="005B2D05">
        <w:t xml:space="preserve"> </w:t>
      </w:r>
    </w:p>
  </w:footnote>
  <w:footnote w:id="118">
    <w:p w14:paraId="025D4BE5" w14:textId="31A2F027" w:rsidR="00057F97" w:rsidRPr="00695AB7" w:rsidRDefault="00057F97" w:rsidP="00D8171C">
      <w:pPr>
        <w:pStyle w:val="FootnoteText"/>
        <w:rPr>
          <w:lang w:val="es-ES"/>
        </w:rPr>
      </w:pPr>
      <w:r>
        <w:rPr>
          <w:rStyle w:val="FootnoteReference"/>
        </w:rPr>
        <w:footnoteRef/>
      </w:r>
      <w:r w:rsidRPr="00695AB7">
        <w:rPr>
          <w:lang w:val="es-ES"/>
        </w:rPr>
        <w:t xml:space="preserve"> </w:t>
      </w:r>
      <w:hyperlink r:id="rId124" w:history="1">
        <w:r w:rsidRPr="00695AB7">
          <w:rPr>
            <w:rStyle w:val="Hyperlink"/>
            <w:lang w:val="es-ES"/>
          </w:rPr>
          <w:t>EUCanScreen</w:t>
        </w:r>
      </w:hyperlink>
      <w:r w:rsidR="00C3239B">
        <w:rPr>
          <w:lang w:val="es-ES"/>
        </w:rPr>
        <w:t>,</w:t>
      </w:r>
      <w:r w:rsidRPr="00695AB7">
        <w:rPr>
          <w:lang w:val="es-ES"/>
        </w:rPr>
        <w:t xml:space="preserve"> </w:t>
      </w:r>
      <w:hyperlink r:id="rId125" w:history="1">
        <w:r w:rsidR="009C0C12" w:rsidRPr="00695AB7">
          <w:rPr>
            <w:rStyle w:val="Hyperlink"/>
            <w:lang w:val="es-ES"/>
          </w:rPr>
          <w:t>Solace</w:t>
        </w:r>
      </w:hyperlink>
      <w:r w:rsidR="009C0C12" w:rsidRPr="00695AB7">
        <w:rPr>
          <w:lang w:val="es-ES"/>
        </w:rPr>
        <w:t xml:space="preserve">, </w:t>
      </w:r>
      <w:hyperlink r:id="rId126" w:history="1">
        <w:r w:rsidR="009C0C12" w:rsidRPr="00695AB7">
          <w:rPr>
            <w:rStyle w:val="Hyperlink"/>
            <w:lang w:val="es-ES"/>
          </w:rPr>
          <w:t>Oncoscreen</w:t>
        </w:r>
      </w:hyperlink>
      <w:r w:rsidR="003B4FFD" w:rsidRPr="00695AB7">
        <w:rPr>
          <w:lang w:val="es-ES"/>
        </w:rPr>
        <w:t>.</w:t>
      </w:r>
    </w:p>
  </w:footnote>
  <w:footnote w:id="119">
    <w:p w14:paraId="5CCB2C73" w14:textId="2D5C6FB2" w:rsidR="00DE54C7" w:rsidRPr="000E1D82" w:rsidRDefault="00DE54C7" w:rsidP="00D8171C">
      <w:pPr>
        <w:pStyle w:val="FootnoteText"/>
      </w:pPr>
      <w:r w:rsidRPr="000E1D82">
        <w:rPr>
          <w:rStyle w:val="FootnoteReference"/>
        </w:rPr>
        <w:footnoteRef/>
      </w:r>
      <w:r w:rsidRPr="00695AB7" w:rsidDel="007D2CA7">
        <w:rPr>
          <w:lang w:val="es-ES"/>
        </w:rPr>
        <w:t xml:space="preserve"> </w:t>
      </w:r>
      <w:r w:rsidRPr="00695AB7">
        <w:rPr>
          <w:lang w:val="es-ES"/>
        </w:rPr>
        <w:t>Casassus,</w:t>
      </w:r>
      <w:r w:rsidR="00E11EF4" w:rsidRPr="00695AB7">
        <w:rPr>
          <w:lang w:val="es-ES"/>
        </w:rPr>
        <w:t xml:space="preserve"> </w:t>
      </w:r>
      <w:r w:rsidRPr="00695AB7">
        <w:rPr>
          <w:lang w:val="es-ES"/>
        </w:rPr>
        <w:t>B</w:t>
      </w:r>
      <w:r w:rsidR="00E11EF4" w:rsidRPr="00695AB7">
        <w:rPr>
          <w:lang w:val="es-ES"/>
        </w:rPr>
        <w:t xml:space="preserve">. (2025). </w:t>
      </w:r>
      <w:r>
        <w:t xml:space="preserve">Patients with chronic diseases do better with personalised care, international survey </w:t>
      </w:r>
      <w:r w:rsidR="00E11EF4">
        <w:t>finds.</w:t>
      </w:r>
      <w:r>
        <w:t xml:space="preserve"> </w:t>
      </w:r>
      <w:r>
        <w:rPr>
          <w:rStyle w:val="Emphasis"/>
          <w:rFonts w:eastAsiaTheme="majorEastAsia"/>
        </w:rPr>
        <w:t xml:space="preserve">BMJ, </w:t>
      </w:r>
      <w:r w:rsidR="00E11EF4">
        <w:rPr>
          <w:rStyle w:val="Emphasis"/>
          <w:rFonts w:eastAsiaTheme="majorEastAsia"/>
        </w:rPr>
        <w:t>388</w:t>
      </w:r>
      <w:r w:rsidR="00E11EF4">
        <w:t>, r365.</w:t>
      </w:r>
      <w:r>
        <w:t xml:space="preserve"> </w:t>
      </w:r>
      <w:hyperlink r:id="rId127" w:history="1">
        <w:r w:rsidR="00E11EF4" w:rsidRPr="004A04E7">
          <w:rPr>
            <w:rStyle w:val="Hyperlink"/>
          </w:rPr>
          <w:t>https://doi.org/10.1136/bmj.r365</w:t>
        </w:r>
      </w:hyperlink>
      <w:r w:rsidR="00FE3F02">
        <w:t>.</w:t>
      </w:r>
    </w:p>
  </w:footnote>
  <w:footnote w:id="120">
    <w:p w14:paraId="135AA2C5" w14:textId="06993676" w:rsidR="003F03F6" w:rsidRDefault="00DE54C7" w:rsidP="00B44C6A">
      <w:pPr>
        <w:pStyle w:val="FootnoteText"/>
      </w:pPr>
      <w:r>
        <w:rPr>
          <w:rStyle w:val="FootnoteReference"/>
        </w:rPr>
        <w:footnoteRef/>
      </w:r>
      <w:r>
        <w:t xml:space="preserve"> </w:t>
      </w:r>
      <w:hyperlink r:id="rId128" w:history="1">
        <w:r w:rsidRPr="00795DF9">
          <w:rPr>
            <w:rStyle w:val="Hyperlink"/>
          </w:rPr>
          <w:t>HT-ADVANCE</w:t>
        </w:r>
        <w:r w:rsidRPr="00795DF9">
          <w:rPr>
            <w:rStyle w:val="Hyperlink"/>
          </w:rPr>
          <w:footnoteRef/>
        </w:r>
      </w:hyperlink>
      <w:r w:rsidRPr="00914153">
        <w:t>, a project funded under Horizon Europe</w:t>
      </w:r>
      <w:r w:rsidR="00B44C6A">
        <w:t>; Shorbaji, A., Pushparaj, P. N., Al-Ghafari, A. B. et al. A narrative review of research advancements in pharmacogenetics of cardiovascular disease and impact on clinical implications. (2025). </w:t>
      </w:r>
      <w:r w:rsidR="00B44C6A">
        <w:rPr>
          <w:i/>
          <w:iCs/>
        </w:rPr>
        <w:t>NPJ Genom</w:t>
      </w:r>
      <w:r w:rsidR="00B44C6A">
        <w:t xml:space="preserve">. </w:t>
      </w:r>
      <w:r w:rsidR="00B44C6A">
        <w:rPr>
          <w:i/>
          <w:iCs/>
        </w:rPr>
        <w:t>Med.</w:t>
      </w:r>
      <w:r w:rsidR="00B44C6A">
        <w:t xml:space="preserve"> 10, 54. </w:t>
      </w:r>
      <w:hyperlink r:id="rId129" w:history="1">
        <w:r w:rsidR="00B44C6A">
          <w:rPr>
            <w:rStyle w:val="Hyperlink"/>
            <w:u w:val="none"/>
          </w:rPr>
          <w:t>https://pubmed.ncbi.nlm.nih.gov/40640196/</w:t>
        </w:r>
      </w:hyperlink>
      <w:r w:rsidR="00FE3F02">
        <w:t>.</w:t>
      </w:r>
    </w:p>
  </w:footnote>
  <w:footnote w:id="121">
    <w:p w14:paraId="1C1A8D10" w14:textId="215A4664" w:rsidR="00DE54C7" w:rsidRPr="00B479F4" w:rsidRDefault="00DE54C7" w:rsidP="00D8171C">
      <w:pPr>
        <w:pStyle w:val="FootnoteText"/>
        <w:rPr>
          <w:szCs w:val="20"/>
          <w:lang w:val="en-IE"/>
        </w:rPr>
      </w:pPr>
      <w:r w:rsidRPr="00B479F4">
        <w:rPr>
          <w:rStyle w:val="FootnoteReference"/>
          <w:szCs w:val="20"/>
        </w:rPr>
        <w:footnoteRef/>
      </w:r>
      <w:r w:rsidRPr="00B479F4">
        <w:rPr>
          <w:szCs w:val="20"/>
          <w:lang w:val="en-IE"/>
        </w:rPr>
        <w:t xml:space="preserve"> </w:t>
      </w:r>
      <w:r w:rsidRPr="00B479F4">
        <w:rPr>
          <w:rStyle w:val="FootnoteReference"/>
          <w:szCs w:val="20"/>
          <w:vertAlign w:val="baseline"/>
          <w:lang w:val="en-IE"/>
        </w:rPr>
        <w:t xml:space="preserve">OECD report </w:t>
      </w:r>
      <w:r w:rsidR="007202B1" w:rsidRPr="00B479F4">
        <w:rPr>
          <w:rStyle w:val="FootnoteReference"/>
          <w:szCs w:val="20"/>
          <w:vertAlign w:val="baseline"/>
        </w:rPr>
        <w:t>(</w:t>
      </w:r>
      <w:r w:rsidR="007202B1" w:rsidRPr="00B479F4">
        <w:rPr>
          <w:szCs w:val="20"/>
        </w:rPr>
        <w:t>2025)</w:t>
      </w:r>
      <w:r w:rsidR="007202B1" w:rsidRPr="00B479F4">
        <w:rPr>
          <w:rStyle w:val="FootnoteReference"/>
          <w:szCs w:val="20"/>
          <w:vertAlign w:val="baseline"/>
        </w:rPr>
        <w:t>‘</w:t>
      </w:r>
      <w:hyperlink r:id="rId130" w:history="1">
        <w:r w:rsidR="007202B1" w:rsidRPr="00B479F4">
          <w:rPr>
            <w:rStyle w:val="Hyperlink"/>
            <w:szCs w:val="20"/>
          </w:rPr>
          <w:t>The state of cardiovascular health in the EU’</w:t>
        </w:r>
      </w:hyperlink>
      <w:r w:rsidR="007202B1" w:rsidRPr="00B479F4">
        <w:rPr>
          <w:rStyle w:val="FootnoteReference"/>
          <w:szCs w:val="20"/>
          <w:vertAlign w:val="baseline"/>
        </w:rPr>
        <w:t>.</w:t>
      </w:r>
      <w:r w:rsidR="007202B1" w:rsidRPr="00B479F4">
        <w:rPr>
          <w:rStyle w:val="FootnoteReference"/>
          <w:szCs w:val="20"/>
          <w:vertAlign w:val="baseline"/>
          <w:lang w:val="en-IE"/>
        </w:rPr>
        <w:t xml:space="preserve"> </w:t>
      </w:r>
    </w:p>
  </w:footnote>
  <w:footnote w:id="122">
    <w:p w14:paraId="41A25549" w14:textId="77777777" w:rsidR="00DE54C7" w:rsidRPr="000E1D82" w:rsidRDefault="00DE54C7" w:rsidP="00DE54C7">
      <w:pPr>
        <w:spacing w:after="0" w:line="240" w:lineRule="auto"/>
        <w:rPr>
          <w:rFonts w:eastAsia="Times New Roman" w:cs="Times New Roman"/>
          <w:color w:val="333333"/>
          <w:sz w:val="20"/>
          <w:szCs w:val="20"/>
        </w:rPr>
      </w:pPr>
      <w:r w:rsidRPr="000E1D82">
        <w:rPr>
          <w:rStyle w:val="FootnoteReference"/>
          <w:rFonts w:eastAsiaTheme="minorEastAsia" w:cs="Times New Roman"/>
          <w:sz w:val="20"/>
          <w:szCs w:val="20"/>
        </w:rPr>
        <w:footnoteRef/>
      </w:r>
      <w:r>
        <w:rPr>
          <w:sz w:val="20"/>
          <w:szCs w:val="20"/>
        </w:rPr>
        <w:t xml:space="preserve"> </w:t>
      </w:r>
      <w:hyperlink r:id="rId131" w:history="1">
        <w:r w:rsidRPr="00795DF9">
          <w:rPr>
            <w:rStyle w:val="Hyperlink"/>
            <w:rFonts w:eastAsia="Times New Roman" w:cs="Times New Roman"/>
            <w:kern w:val="2"/>
            <w:sz w:val="20"/>
            <w:szCs w:val="20"/>
            <w:lang w:val="en-GB"/>
            <w14:ligatures w14:val="standardContextual"/>
          </w:rPr>
          <w:t>eCAN – Joint Action</w:t>
        </w:r>
      </w:hyperlink>
      <w:r w:rsidRPr="00795DF9">
        <w:rPr>
          <w:sz w:val="20"/>
          <w:szCs w:val="20"/>
        </w:rPr>
        <w:t>.</w:t>
      </w:r>
    </w:p>
  </w:footnote>
  <w:footnote w:id="123">
    <w:p w14:paraId="0BAEAD63" w14:textId="70B65F19" w:rsidR="00DE54C7" w:rsidRPr="00B479F4" w:rsidRDefault="00DE54C7" w:rsidP="00D8171C">
      <w:pPr>
        <w:pStyle w:val="FootnoteText"/>
        <w:rPr>
          <w:szCs w:val="20"/>
        </w:rPr>
      </w:pPr>
      <w:r w:rsidRPr="00B479F4">
        <w:rPr>
          <w:rStyle w:val="FootnoteReference"/>
          <w:szCs w:val="20"/>
        </w:rPr>
        <w:footnoteRef/>
      </w:r>
      <w:r w:rsidRPr="00B479F4">
        <w:rPr>
          <w:szCs w:val="20"/>
        </w:rPr>
        <w:t xml:space="preserve"> </w:t>
      </w:r>
      <w:hyperlink r:id="rId132" w:history="1">
        <w:r w:rsidRPr="00B479F4">
          <w:rPr>
            <w:rStyle w:val="Hyperlink"/>
            <w:szCs w:val="20"/>
          </w:rPr>
          <w:t>INCAREHEART</w:t>
        </w:r>
      </w:hyperlink>
      <w:r w:rsidRPr="00B479F4">
        <w:rPr>
          <w:szCs w:val="20"/>
        </w:rPr>
        <w:t xml:space="preserve"> project funded under Horizon 2020. </w:t>
      </w:r>
    </w:p>
  </w:footnote>
  <w:footnote w:id="124">
    <w:p w14:paraId="473E569A" w14:textId="059E8A9D" w:rsidR="00DE54C7" w:rsidRPr="00B479F4" w:rsidRDefault="00DE54C7" w:rsidP="00D8171C">
      <w:pPr>
        <w:pStyle w:val="FootnoteText"/>
        <w:rPr>
          <w:szCs w:val="20"/>
        </w:rPr>
      </w:pPr>
      <w:r w:rsidRPr="00B479F4">
        <w:rPr>
          <w:rStyle w:val="FootnoteReference"/>
          <w:szCs w:val="20"/>
        </w:rPr>
        <w:footnoteRef/>
      </w:r>
      <w:r w:rsidRPr="00B479F4">
        <w:rPr>
          <w:szCs w:val="20"/>
        </w:rPr>
        <w:t xml:space="preserve"> This will build on projects such as </w:t>
      </w:r>
      <w:hyperlink r:id="rId133" w:history="1">
        <w:r w:rsidRPr="00B479F4">
          <w:rPr>
            <w:rStyle w:val="Hyperlink"/>
            <w:szCs w:val="20"/>
          </w:rPr>
          <w:t>JACARDI</w:t>
        </w:r>
      </w:hyperlink>
      <w:r w:rsidRPr="00B479F4">
        <w:rPr>
          <w:szCs w:val="20"/>
        </w:rPr>
        <w:t xml:space="preserve"> and stakeholder-led projects.</w:t>
      </w:r>
    </w:p>
  </w:footnote>
  <w:footnote w:id="125">
    <w:p w14:paraId="3D8D2F28" w14:textId="677D3CD7" w:rsidR="00DE54C7" w:rsidRPr="00B479F4" w:rsidRDefault="00DE54C7" w:rsidP="00D8171C">
      <w:pPr>
        <w:pStyle w:val="FootnoteText"/>
        <w:rPr>
          <w:szCs w:val="20"/>
        </w:rPr>
      </w:pPr>
      <w:r w:rsidRPr="00B479F4">
        <w:rPr>
          <w:rStyle w:val="FootnoteReference"/>
          <w:szCs w:val="20"/>
        </w:rPr>
        <w:footnoteRef/>
      </w:r>
      <w:r w:rsidRPr="00B479F4">
        <w:rPr>
          <w:szCs w:val="20"/>
        </w:rPr>
        <w:t xml:space="preserve"> </w:t>
      </w:r>
      <w:hyperlink r:id="rId134" w:history="1">
        <w:r w:rsidR="006279FF" w:rsidRPr="00B479F4">
          <w:rPr>
            <w:rStyle w:val="Hyperlink"/>
            <w:szCs w:val="20"/>
          </w:rPr>
          <w:t>EU comprehensive approach to mental health</w:t>
        </w:r>
      </w:hyperlink>
      <w:r w:rsidRPr="00B479F4">
        <w:rPr>
          <w:szCs w:val="20"/>
        </w:rPr>
        <w:t>.</w:t>
      </w:r>
    </w:p>
  </w:footnote>
  <w:footnote w:id="126">
    <w:p w14:paraId="6C56E9DF" w14:textId="77777777" w:rsidR="00DE54C7" w:rsidRPr="00B479F4" w:rsidRDefault="00DE54C7" w:rsidP="00D8171C">
      <w:pPr>
        <w:pStyle w:val="FootnoteText"/>
        <w:rPr>
          <w:szCs w:val="20"/>
          <w:lang w:val="fr-FR"/>
        </w:rPr>
      </w:pPr>
      <w:r w:rsidRPr="00B479F4">
        <w:rPr>
          <w:rStyle w:val="FootnoteReference"/>
          <w:szCs w:val="20"/>
        </w:rPr>
        <w:footnoteRef/>
      </w:r>
      <w:r w:rsidRPr="00B479F4">
        <w:rPr>
          <w:szCs w:val="20"/>
          <w:lang w:val="fr-FR"/>
        </w:rPr>
        <w:t xml:space="preserve"> </w:t>
      </w:r>
      <w:hyperlink r:id="rId135" w:history="1">
        <w:r w:rsidRPr="00B479F4">
          <w:rPr>
            <w:rStyle w:val="Hyperlink"/>
            <w:szCs w:val="20"/>
            <w:lang w:val="fr-FR"/>
          </w:rPr>
          <w:t>EU-PROMENS Project Page - EU-PROMENS</w:t>
        </w:r>
      </w:hyperlink>
      <w:r w:rsidRPr="00B479F4">
        <w:rPr>
          <w:szCs w:val="20"/>
          <w:lang w:val="fr-FR"/>
        </w:rPr>
        <w:t>.</w:t>
      </w:r>
    </w:p>
  </w:footnote>
  <w:footnote w:id="127">
    <w:p w14:paraId="35D2CC5E" w14:textId="3588A74E" w:rsidR="007E4B00" w:rsidRPr="007E4B00" w:rsidRDefault="007E4B00">
      <w:pPr>
        <w:pStyle w:val="FootnoteText"/>
      </w:pPr>
      <w:r>
        <w:rPr>
          <w:rStyle w:val="FootnoteReference"/>
        </w:rPr>
        <w:footnoteRef/>
      </w:r>
      <w:r>
        <w:t xml:space="preserve"> </w:t>
      </w:r>
      <w:hyperlink r:id="rId136" w:history="1">
        <w:r w:rsidRPr="007E4B00">
          <w:rPr>
            <w:rStyle w:val="Hyperlink"/>
          </w:rPr>
          <w:t>EUTOPIA Alliance</w:t>
        </w:r>
      </w:hyperlink>
      <w:r w:rsidRPr="007E4B00">
        <w:rPr>
          <w:u w:val="single"/>
        </w:rPr>
        <w:t>, </w:t>
      </w:r>
      <w:hyperlink r:id="rId137" w:history="1">
        <w:r w:rsidRPr="007E4B00">
          <w:rPr>
            <w:rStyle w:val="Hyperlink"/>
          </w:rPr>
          <w:t>CIVIS European University Alliance</w:t>
        </w:r>
      </w:hyperlink>
      <w:r w:rsidRPr="007E4B00">
        <w:rPr>
          <w:u w:val="single"/>
        </w:rPr>
        <w:t xml:space="preserve">, </w:t>
      </w:r>
      <w:hyperlink r:id="rId138" w:history="1">
        <w:r w:rsidRPr="007E4B00">
          <w:rPr>
            <w:rStyle w:val="Hyperlink"/>
          </w:rPr>
          <w:t>European University Alliance for Global Health</w:t>
        </w:r>
      </w:hyperlink>
      <w:r w:rsidRPr="007E4B00">
        <w:rPr>
          <w:u w:val="single"/>
        </w:rPr>
        <w:t>, and </w:t>
      </w:r>
      <w:hyperlink r:id="rId139" w:history="1">
        <w:r w:rsidRPr="007E4B00">
          <w:rPr>
            <w:rStyle w:val="Hyperlink"/>
          </w:rPr>
          <w:t>EC2U Alliance </w:t>
        </w:r>
      </w:hyperlink>
      <w:r w:rsidRPr="007E4B00">
        <w:rPr>
          <w:u w:val="single"/>
        </w:rPr>
        <w:t xml:space="preserve"> offers education and training relevant to public health</w:t>
      </w:r>
      <w:r>
        <w:rPr>
          <w:u w:val="single"/>
        </w:rPr>
        <w:t>.</w:t>
      </w:r>
    </w:p>
  </w:footnote>
  <w:footnote w:id="128">
    <w:p w14:paraId="5D56EFC5" w14:textId="2DB2338F" w:rsidR="00DE54C7" w:rsidRPr="00A313E9" w:rsidRDefault="00DE54C7" w:rsidP="00D8171C">
      <w:pPr>
        <w:pStyle w:val="FootnoteText"/>
        <w:rPr>
          <w:szCs w:val="20"/>
          <w:lang w:val="en-IE"/>
        </w:rPr>
      </w:pPr>
      <w:r w:rsidRPr="00B479F4">
        <w:rPr>
          <w:rStyle w:val="FootnoteReference"/>
          <w:szCs w:val="20"/>
        </w:rPr>
        <w:footnoteRef/>
      </w:r>
      <w:r w:rsidRPr="00B479F4">
        <w:rPr>
          <w:szCs w:val="20"/>
          <w:lang w:val="en-IE"/>
        </w:rPr>
        <w:t xml:space="preserve"> </w:t>
      </w:r>
      <w:hyperlink r:id="rId140" w:history="1">
        <w:r>
          <w:rPr>
            <w:rStyle w:val="Hyperlink"/>
            <w:szCs w:val="20"/>
            <w:lang w:val="en-US"/>
          </w:rPr>
          <w:t xml:space="preserve">Proposal for a Regulation </w:t>
        </w:r>
        <w:r>
          <w:rPr>
            <w:lang w:val="en-US"/>
          </w:rPr>
          <w:t xml:space="preserve">of the European Parliament and of the Council </w:t>
        </w:r>
        <w:r>
          <w:rPr>
            <w:rStyle w:val="Hyperlink"/>
            <w:szCs w:val="20"/>
            <w:lang w:val="en-US"/>
          </w:rPr>
          <w:t>amending Regulations (EU) 2017/745 and (EU) 2017/746 as regards simplifying and reducing the burden of the rules on medical devices and in vitro diagnostic medical devices, and amending Regulation (EU) 2022/123 as regards the support of the European Medicines Agency for the expert panels on medical devices and Regulation (EU) 2024/1689 as regards the list of Union harmonisation legislation referred to in its Annex I</w:t>
        </w:r>
        <w:r w:rsidR="00710D1E" w:rsidRPr="00A313E9">
          <w:rPr>
            <w:rStyle w:val="Hyperlink"/>
            <w:szCs w:val="20"/>
            <w:lang w:val="en-IE"/>
          </w:rPr>
          <w:t>.</w:t>
        </w:r>
      </w:hyperlink>
    </w:p>
  </w:footnote>
  <w:footnote w:id="129">
    <w:p w14:paraId="6B3937CC" w14:textId="69A6267F" w:rsidR="00DE54C7" w:rsidRPr="00E86653" w:rsidRDefault="00DE54C7" w:rsidP="00D8171C">
      <w:pPr>
        <w:pStyle w:val="FootnoteText"/>
        <w:rPr>
          <w:lang w:val="en-IE"/>
        </w:rPr>
      </w:pPr>
      <w:r w:rsidRPr="00B479F4">
        <w:rPr>
          <w:rStyle w:val="FootnoteReference"/>
          <w:szCs w:val="20"/>
        </w:rPr>
        <w:footnoteRef/>
      </w:r>
      <w:r w:rsidRPr="00B479F4">
        <w:rPr>
          <w:szCs w:val="20"/>
          <w:lang w:val="en-IE"/>
        </w:rPr>
        <w:t xml:space="preserve"> </w:t>
      </w:r>
      <w:hyperlink r:id="rId141" w:tgtFrame="_blank" w:history="1">
        <w:r w:rsidR="0036121B" w:rsidRPr="00B479F4">
          <w:rPr>
            <w:rStyle w:val="Hyperlink"/>
            <w:szCs w:val="20"/>
            <w:lang w:val="en-IE"/>
          </w:rPr>
          <w:t>Regulation (EU) 2017/746 of the European Parliament and of the Council of 5 April 2017 on in vitro diagnostic medical devices</w:t>
        </w:r>
        <w:r w:rsidR="00D303EB" w:rsidRPr="00B479F4">
          <w:rPr>
            <w:rStyle w:val="Hyperlink"/>
            <w:szCs w:val="20"/>
            <w:lang w:val="en-IE"/>
          </w:rPr>
          <w:t>, OJ L 117, 5.5.2017, p. 176–332</w:t>
        </w:r>
        <w:r w:rsidR="0036121B" w:rsidRPr="00B479F4">
          <w:rPr>
            <w:rStyle w:val="Hyperlink"/>
            <w:szCs w:val="20"/>
            <w:lang w:val="en-IE"/>
          </w:rPr>
          <w:t>.</w:t>
        </w:r>
      </w:hyperlink>
    </w:p>
  </w:footnote>
  <w:footnote w:id="130">
    <w:p w14:paraId="0D1E8825" w14:textId="20363456" w:rsidR="00DE54C7" w:rsidRPr="00E86653" w:rsidRDefault="00DE54C7" w:rsidP="00D8171C">
      <w:pPr>
        <w:pStyle w:val="FootnoteText"/>
        <w:rPr>
          <w:lang w:val="en-IE"/>
        </w:rPr>
      </w:pPr>
      <w:r w:rsidRPr="000E1D82">
        <w:rPr>
          <w:rStyle w:val="FootnoteReference"/>
        </w:rPr>
        <w:footnoteRef/>
      </w:r>
      <w:hyperlink r:id="rId142" w:history="1">
        <w:r w:rsidR="00C624AC" w:rsidRPr="000E1D82">
          <w:rPr>
            <w:rStyle w:val="Hyperlink"/>
          </w:rPr>
          <w:t xml:space="preserve">Critical medicines </w:t>
        </w:r>
        <w:r w:rsidR="00C624AC">
          <w:rPr>
            <w:rStyle w:val="Hyperlink"/>
          </w:rPr>
          <w:t>a</w:t>
        </w:r>
        <w:r w:rsidR="00C624AC" w:rsidRPr="000E1D82">
          <w:rPr>
            <w:rStyle w:val="Hyperlink"/>
          </w:rPr>
          <w:t>ct - Public Health - European Commission</w:t>
        </w:r>
      </w:hyperlink>
      <w:r w:rsidR="00C624AC">
        <w:t>.</w:t>
      </w:r>
    </w:p>
  </w:footnote>
  <w:footnote w:id="131">
    <w:p w14:paraId="6759B0CE" w14:textId="5A5E3B12" w:rsidR="00DE54C7" w:rsidRPr="000E1D82" w:rsidRDefault="00DE54C7" w:rsidP="00D8171C">
      <w:pPr>
        <w:pStyle w:val="FootnoteText"/>
      </w:pPr>
      <w:r w:rsidRPr="000E1D82">
        <w:rPr>
          <w:rStyle w:val="FootnoteReference"/>
        </w:rPr>
        <w:footnoteRef/>
      </w:r>
      <w:r w:rsidRPr="000E1D82">
        <w:t xml:space="preserve"> The current EU List of Critical Medicines includes medicines that are relevant for cardiovascular care</w:t>
      </w:r>
      <w:r w:rsidR="008811E9">
        <w:t>.</w:t>
      </w:r>
      <w:r w:rsidRPr="000E1D82">
        <w:t xml:space="preserve"> </w:t>
      </w:r>
      <w:hyperlink r:id="rId143" w:history="1">
        <w:r w:rsidRPr="000E1D82">
          <w:rPr>
            <w:rStyle w:val="Hyperlink"/>
          </w:rPr>
          <w:t>European Medicines Agency (EMA)</w:t>
        </w:r>
      </w:hyperlink>
      <w:r w:rsidRPr="000E1D82">
        <w:t>.</w:t>
      </w:r>
    </w:p>
  </w:footnote>
  <w:footnote w:id="132">
    <w:p w14:paraId="599FF94D" w14:textId="40780D49" w:rsidR="0033265A" w:rsidRPr="00967957" w:rsidRDefault="0033265A">
      <w:pPr>
        <w:pStyle w:val="FootnoteText"/>
      </w:pPr>
      <w:r>
        <w:rPr>
          <w:rStyle w:val="FootnoteReference"/>
        </w:rPr>
        <w:footnoteRef/>
      </w:r>
      <w:r>
        <w:t xml:space="preserve"> </w:t>
      </w:r>
      <w:r>
        <w:rPr>
          <w:lang w:val="en-IE"/>
        </w:rPr>
        <w:t>COM(2025) 1022 [</w:t>
      </w:r>
      <w:r>
        <w:rPr>
          <w:lang w:val="en-US"/>
        </w:rPr>
        <w:t>Proposal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w:t>
      </w:r>
      <w:r>
        <w:rPr>
          <w:lang w:val="en-IE"/>
        </w:rPr>
        <w:t>];</w:t>
      </w:r>
      <w:r w:rsidR="00C35C72">
        <w:rPr>
          <w:lang w:val="en-IE"/>
        </w:rPr>
        <w:t xml:space="preserve"> </w:t>
      </w:r>
      <w:r>
        <w:rPr>
          <w:lang w:val="en-IE"/>
        </w:rPr>
        <w:t>COM(2025) 1031[</w:t>
      </w:r>
      <w:r>
        <w:rPr>
          <w:lang w:val="en-US"/>
        </w:rPr>
        <w:t>Proposal for a Directive of the European Parliament and of the Council amending Directives 2001/18/EC and 2010/53/EU as regards the placing on the market of genetically modified micro-organisms and the processing of organs</w:t>
      </w:r>
      <w:r>
        <w:rPr>
          <w:lang w:val="en-IE"/>
        </w:rPr>
        <w:t>]</w:t>
      </w:r>
      <w:r>
        <w:rPr>
          <w:lang w:val="en-US"/>
        </w:rPr>
        <w:t>.</w:t>
      </w:r>
    </w:p>
  </w:footnote>
  <w:footnote w:id="133">
    <w:p w14:paraId="7FB059D3" w14:textId="386437CF" w:rsidR="00B83D76" w:rsidRPr="00B83D76" w:rsidRDefault="00B83D76">
      <w:pPr>
        <w:pStyle w:val="FootnoteText"/>
      </w:pPr>
      <w:r>
        <w:rPr>
          <w:rStyle w:val="FootnoteReference"/>
        </w:rPr>
        <w:footnoteRef/>
      </w:r>
      <w:r>
        <w:t xml:space="preserve"> </w:t>
      </w:r>
      <w:hyperlink r:id="rId144" w:history="1">
        <w:r w:rsidRPr="00B83D76">
          <w:rPr>
            <w:rStyle w:val="Hyperlink"/>
            <w:lang w:val="en-IE"/>
          </w:rPr>
          <w:t>Strategy for European Life Sciences - Research and innovation</w:t>
        </w:r>
      </w:hyperlink>
      <w:r>
        <w:t xml:space="preserve">. </w:t>
      </w:r>
    </w:p>
  </w:footnote>
  <w:footnote w:id="134">
    <w:p w14:paraId="305F7108" w14:textId="0CD8635D" w:rsidR="00DE54C7" w:rsidRPr="008E2BC8" w:rsidRDefault="00DE54C7" w:rsidP="00D8171C">
      <w:pPr>
        <w:pStyle w:val="FootnoteText"/>
      </w:pPr>
      <w:r w:rsidRPr="000E1D82">
        <w:rPr>
          <w:rStyle w:val="FootnoteReference"/>
        </w:rPr>
        <w:footnoteRef/>
      </w:r>
      <w:r w:rsidRPr="008E2BC8">
        <w:t xml:space="preserve"> </w:t>
      </w:r>
      <w:hyperlink r:id="rId145" w:history="1">
        <w:r w:rsidR="00BC171B">
          <w:rPr>
            <w:rStyle w:val="Hyperlink"/>
          </w:rPr>
          <w:t>Recommendation paper on decentralised elements in clinical trials</w:t>
        </w:r>
      </w:hyperlink>
      <w:r w:rsidRPr="008E2BC8">
        <w:t>.</w:t>
      </w:r>
    </w:p>
  </w:footnote>
  <w:footnote w:id="135">
    <w:p w14:paraId="58800E21" w14:textId="5EA448BC" w:rsidR="00DE54C7" w:rsidRDefault="00DE54C7" w:rsidP="00D8171C">
      <w:pPr>
        <w:pStyle w:val="FootnoteText"/>
      </w:pPr>
      <w:r>
        <w:rPr>
          <w:rStyle w:val="FootnoteReference"/>
        </w:rPr>
        <w:footnoteRef/>
      </w:r>
      <w:r>
        <w:t xml:space="preserve"> </w:t>
      </w:r>
      <w:r w:rsidR="009871BB" w:rsidRPr="009871BB">
        <w:t xml:space="preserve">Regulation (EU) 2021/2282 of the European Parliament and of the Council of 15 December 2021 on </w:t>
      </w:r>
      <w:hyperlink r:id="rId146" w:history="1">
        <w:r w:rsidR="009871BB" w:rsidRPr="004F37FA">
          <w:rPr>
            <w:rStyle w:val="Hyperlink"/>
          </w:rPr>
          <w:t>health technology assessment</w:t>
        </w:r>
      </w:hyperlink>
      <w:r w:rsidR="009871BB" w:rsidRPr="009871BB">
        <w:t>, OJ L 458, 22.12.2021, p. 1–32.</w:t>
      </w:r>
    </w:p>
  </w:footnote>
  <w:footnote w:id="136">
    <w:p w14:paraId="1149A9CA" w14:textId="77777777" w:rsidR="00DE54C7" w:rsidRPr="00E86653" w:rsidRDefault="00DE54C7" w:rsidP="00D8171C">
      <w:pPr>
        <w:pStyle w:val="FootnoteText"/>
        <w:rPr>
          <w:lang w:val="en-IE"/>
        </w:rPr>
      </w:pPr>
      <w:r>
        <w:rPr>
          <w:rStyle w:val="FootnoteReference"/>
        </w:rPr>
        <w:footnoteRef/>
      </w:r>
      <w:r w:rsidRPr="00E86653">
        <w:rPr>
          <w:lang w:val="en-IE"/>
        </w:rPr>
        <w:t xml:space="preserve"> </w:t>
      </w:r>
      <w:hyperlink r:id="rId147" w:history="1">
        <w:r w:rsidRPr="00E86653">
          <w:rPr>
            <w:rStyle w:val="Hyperlink"/>
            <w:lang w:val="en-IE"/>
          </w:rPr>
          <w:t>Technical Support Instrument (TSI)</w:t>
        </w:r>
      </w:hyperlink>
      <w:r w:rsidRPr="00E86653">
        <w:rPr>
          <w:lang w:val="en-IE"/>
        </w:rPr>
        <w:t>.</w:t>
      </w:r>
    </w:p>
  </w:footnote>
  <w:footnote w:id="137">
    <w:p w14:paraId="520364E7" w14:textId="1A903AE5" w:rsidR="00DE54C7" w:rsidRPr="00E86653" w:rsidRDefault="00DE54C7" w:rsidP="00D8171C">
      <w:pPr>
        <w:pStyle w:val="FootnoteText"/>
        <w:rPr>
          <w:lang w:val="en-IE"/>
        </w:rPr>
      </w:pPr>
      <w:r>
        <w:rPr>
          <w:rStyle w:val="FootnoteReference"/>
        </w:rPr>
        <w:footnoteRef/>
      </w:r>
      <w:r w:rsidRPr="00E86653">
        <w:rPr>
          <w:lang w:val="en-IE"/>
        </w:rPr>
        <w:t xml:space="preserve"> </w:t>
      </w:r>
      <w:hyperlink r:id="rId148" w:history="1">
        <w:r w:rsidR="00A7038D">
          <w:rPr>
            <w:rStyle w:val="Hyperlink"/>
          </w:rPr>
          <w:t>Regulation (E</w:t>
        </w:r>
        <w:r w:rsidR="00096C93">
          <w:rPr>
            <w:rStyle w:val="Hyperlink"/>
          </w:rPr>
          <w:t>U</w:t>
        </w:r>
        <w:r w:rsidR="00A7038D">
          <w:rPr>
            <w:rStyle w:val="Hyperlink"/>
          </w:rPr>
          <w:t xml:space="preserve">) 2021/240 </w:t>
        </w:r>
        <w:r w:rsidR="00D221D9">
          <w:rPr>
            <w:rStyle w:val="Hyperlink"/>
          </w:rPr>
          <w:t>of the</w:t>
        </w:r>
        <w:r w:rsidR="00A7038D">
          <w:rPr>
            <w:rStyle w:val="Hyperlink"/>
          </w:rPr>
          <w:t xml:space="preserve"> European Parliament </w:t>
        </w:r>
        <w:r w:rsidR="00D221D9">
          <w:rPr>
            <w:rStyle w:val="Hyperlink"/>
          </w:rPr>
          <w:t>and of the</w:t>
        </w:r>
        <w:r w:rsidR="00A7038D">
          <w:rPr>
            <w:rStyle w:val="Hyperlink"/>
          </w:rPr>
          <w:t xml:space="preserve"> Council </w:t>
        </w:r>
        <w:r w:rsidR="00D221D9">
          <w:rPr>
            <w:rStyle w:val="Hyperlink"/>
          </w:rPr>
          <w:t>of</w:t>
        </w:r>
        <w:r w:rsidR="00A7038D">
          <w:rPr>
            <w:rStyle w:val="Hyperlink"/>
          </w:rPr>
          <w:t xml:space="preserve"> 10 February 2021 </w:t>
        </w:r>
        <w:r w:rsidR="00D221D9">
          <w:rPr>
            <w:rStyle w:val="Hyperlink"/>
          </w:rPr>
          <w:t>establishing a</w:t>
        </w:r>
        <w:r w:rsidR="00A7038D">
          <w:rPr>
            <w:rStyle w:val="Hyperlink"/>
          </w:rPr>
          <w:t xml:space="preserve"> Technical Support Instrument</w:t>
        </w:r>
        <w:r w:rsidR="00AC00D1">
          <w:rPr>
            <w:rStyle w:val="Hyperlink"/>
          </w:rPr>
          <w:t>, OJ L 57</w:t>
        </w:r>
        <w:r w:rsidR="002769F8">
          <w:rPr>
            <w:rStyle w:val="Hyperlink"/>
          </w:rPr>
          <w:t>, 18.2.2021, p. 1-16</w:t>
        </w:r>
        <w:r w:rsidR="00A7038D">
          <w:rPr>
            <w:rStyle w:val="Hyperlink"/>
          </w:rPr>
          <w:t>.</w:t>
        </w:r>
      </w:hyperlink>
    </w:p>
  </w:footnote>
  <w:footnote w:id="138">
    <w:p w14:paraId="6742C66F" w14:textId="3A02A9B5" w:rsidR="00DE54C7" w:rsidRPr="001D733D" w:rsidRDefault="00DE54C7" w:rsidP="00D8171C">
      <w:pPr>
        <w:pStyle w:val="FootnoteText"/>
      </w:pPr>
      <w:r>
        <w:rPr>
          <w:rStyle w:val="FootnoteReference"/>
        </w:rPr>
        <w:footnoteRef/>
      </w:r>
      <w:r>
        <w:t xml:space="preserve"> A</w:t>
      </w:r>
      <w:r w:rsidRPr="008F030A">
        <w:t>lso connecting it to other relevant European dataspaces such as the Green Deal dataspace.</w:t>
      </w:r>
    </w:p>
  </w:footnote>
  <w:footnote w:id="139">
    <w:p w14:paraId="07C38C56" w14:textId="64F2BCD4" w:rsidR="00DE54C7" w:rsidRDefault="00DE54C7" w:rsidP="00D8171C">
      <w:pPr>
        <w:pStyle w:val="FootnoteText"/>
      </w:pPr>
      <w:r>
        <w:rPr>
          <w:rStyle w:val="FootnoteReference"/>
        </w:rPr>
        <w:footnoteRef/>
      </w:r>
      <w:r>
        <w:t xml:space="preserve"> For example, the project </w:t>
      </w:r>
      <w:hyperlink r:id="rId149" w:history="1">
        <w:r w:rsidRPr="00BA39FD">
          <w:rPr>
            <w:rStyle w:val="Hyperlink"/>
            <w:rFonts w:eastAsia="Calibri"/>
          </w:rPr>
          <w:t>CARAMEL</w:t>
        </w:r>
      </w:hyperlink>
      <w:r w:rsidRPr="00A87428">
        <w:rPr>
          <w:rFonts w:eastAsia="Calibri"/>
        </w:rPr>
        <w:t xml:space="preserve"> </w:t>
      </w:r>
      <w:r>
        <w:rPr>
          <w:rFonts w:eastAsia="Calibri"/>
        </w:rPr>
        <w:t xml:space="preserve">funded under </w:t>
      </w:r>
      <w:r w:rsidRPr="00A87428">
        <w:rPr>
          <w:rFonts w:eastAsia="Calibri"/>
        </w:rPr>
        <w:t>Horizon Europe</w:t>
      </w:r>
      <w:r>
        <w:rPr>
          <w:rFonts w:eastAsia="Calibri"/>
        </w:rPr>
        <w:t xml:space="preserve">. </w:t>
      </w:r>
    </w:p>
  </w:footnote>
  <w:footnote w:id="140">
    <w:p w14:paraId="73EB63F4" w14:textId="48C66114" w:rsidR="00DE54C7" w:rsidRPr="000E1D82" w:rsidRDefault="00DE54C7" w:rsidP="00D8171C">
      <w:pPr>
        <w:pStyle w:val="FootnoteText"/>
      </w:pPr>
      <w:r w:rsidRPr="000E1D82">
        <w:rPr>
          <w:rStyle w:val="FootnoteReference"/>
        </w:rPr>
        <w:footnoteRef/>
      </w:r>
      <w:r w:rsidRPr="000E1D82">
        <w:t xml:space="preserve"> </w:t>
      </w:r>
      <w:hyperlink r:id="rId150" w:history="1">
        <w:r w:rsidRPr="00D638D6">
          <w:rPr>
            <w:rStyle w:val="Hyperlink"/>
          </w:rPr>
          <w:t>European '1+ Million Genomes' initiative</w:t>
        </w:r>
        <w:r w:rsidR="00947ABF">
          <w:rPr>
            <w:rStyle w:val="Hyperlink"/>
          </w:rPr>
          <w:t>.</w:t>
        </w:r>
      </w:hyperlink>
    </w:p>
  </w:footnote>
  <w:footnote w:id="141">
    <w:p w14:paraId="286687FF" w14:textId="0549C9B2" w:rsidR="00DE54C7" w:rsidRPr="000E1D82" w:rsidRDefault="00DE54C7" w:rsidP="00D8171C">
      <w:pPr>
        <w:pStyle w:val="FootnoteText"/>
      </w:pPr>
      <w:r w:rsidRPr="000E1D82">
        <w:rPr>
          <w:rStyle w:val="FootnoteReference"/>
        </w:rPr>
        <w:footnoteRef/>
      </w:r>
      <w:r w:rsidRPr="000E1D82">
        <w:t xml:space="preserve"> </w:t>
      </w:r>
      <w:hyperlink r:id="rId151" w:history="1">
        <w:r w:rsidRPr="00D638D6">
          <w:rPr>
            <w:rStyle w:val="Hyperlink"/>
          </w:rPr>
          <w:t>Genome of Europe project launched: the first step towards a European reference genome</w:t>
        </w:r>
        <w:r w:rsidR="00947ABF">
          <w:rPr>
            <w:rStyle w:val="Hyperlink"/>
          </w:rPr>
          <w:t>.</w:t>
        </w:r>
      </w:hyperlink>
    </w:p>
  </w:footnote>
  <w:footnote w:id="142">
    <w:p w14:paraId="2F57611F" w14:textId="540CF449" w:rsidR="00DE54C7" w:rsidRPr="000E1D82" w:rsidRDefault="00DE54C7" w:rsidP="00D8171C">
      <w:pPr>
        <w:pStyle w:val="FootnoteText"/>
      </w:pPr>
      <w:r w:rsidRPr="000E1D82">
        <w:rPr>
          <w:rStyle w:val="FootnoteReference"/>
        </w:rPr>
        <w:footnoteRef/>
      </w:r>
      <w:r w:rsidRPr="000E1D82">
        <w:t xml:space="preserve"> </w:t>
      </w:r>
      <w:hyperlink r:id="rId152" w:history="1">
        <w:r w:rsidRPr="00D638D6">
          <w:rPr>
            <w:rStyle w:val="Hyperlink"/>
          </w:rPr>
          <w:t>The AI Continent Action Plan</w:t>
        </w:r>
        <w:r w:rsidR="00723A10">
          <w:rPr>
            <w:rStyle w:val="Hyperlink"/>
          </w:rPr>
          <w:t>.</w:t>
        </w:r>
      </w:hyperlink>
    </w:p>
  </w:footnote>
  <w:footnote w:id="143">
    <w:p w14:paraId="4635AD1E" w14:textId="0822B0CC" w:rsidR="00DE54C7" w:rsidRPr="001D733D" w:rsidRDefault="00DE54C7" w:rsidP="00D8171C">
      <w:pPr>
        <w:pStyle w:val="FootnoteText"/>
      </w:pPr>
      <w:r>
        <w:rPr>
          <w:rStyle w:val="FootnoteReference"/>
        </w:rPr>
        <w:footnoteRef/>
      </w:r>
      <w:hyperlink r:id="rId153" w:history="1">
        <w:r w:rsidR="00723A10">
          <w:rPr>
            <w:rStyle w:val="Hyperlink"/>
          </w:rPr>
          <w:t>Apply AI Strategy.</w:t>
        </w:r>
      </w:hyperlink>
    </w:p>
  </w:footnote>
  <w:footnote w:id="144">
    <w:p w14:paraId="143F287D" w14:textId="77777777" w:rsidR="00DE54C7" w:rsidRPr="000E1D82" w:rsidRDefault="00DE54C7" w:rsidP="00D8171C">
      <w:pPr>
        <w:pStyle w:val="FootnoteText"/>
      </w:pPr>
      <w:r w:rsidRPr="000E1D82">
        <w:rPr>
          <w:rStyle w:val="FootnoteReference"/>
        </w:rPr>
        <w:footnoteRef/>
      </w:r>
      <w:r w:rsidRPr="000E1D82">
        <w:t xml:space="preserve"> </w:t>
      </w:r>
      <w:hyperlink r:id="rId154" w:history="1">
        <w:r w:rsidRPr="000E1D82">
          <w:rPr>
            <w:rStyle w:val="Hyperlink"/>
          </w:rPr>
          <w:t>SHAIPED</w:t>
        </w:r>
      </w:hyperlink>
      <w:r>
        <w:t xml:space="preserve"> is</w:t>
      </w:r>
      <w:r w:rsidRPr="000E1D82">
        <w:t xml:space="preserve"> funded under </w:t>
      </w:r>
      <w:r>
        <w:t xml:space="preserve">the </w:t>
      </w:r>
      <w:r w:rsidRPr="000E1D82">
        <w:t>Digital Europe Programme.</w:t>
      </w:r>
    </w:p>
  </w:footnote>
  <w:footnote w:id="145">
    <w:p w14:paraId="5600F144" w14:textId="2A302548" w:rsidR="00DE54C7" w:rsidRPr="00DF6469" w:rsidRDefault="00DE54C7" w:rsidP="00D8171C">
      <w:pPr>
        <w:pStyle w:val="FootnoteText"/>
      </w:pPr>
      <w:r>
        <w:rPr>
          <w:rStyle w:val="FootnoteReference"/>
        </w:rPr>
        <w:footnoteRef/>
      </w:r>
      <w:r>
        <w:t xml:space="preserve"> </w:t>
      </w:r>
      <w:r w:rsidRPr="00F17293">
        <w:t>European Commission: Joint Research Centre</w:t>
      </w:r>
      <w:r w:rsidR="007E4B00">
        <w:t xml:space="preserve"> (2025(</w:t>
      </w:r>
      <w:r w:rsidRPr="00F17293">
        <w:t xml:space="preserve">, </w:t>
      </w:r>
      <w:hyperlink r:id="rId155" w:history="1">
        <w:r w:rsidRPr="006B7AD7">
          <w:rPr>
            <w:rStyle w:val="Hyperlink"/>
            <w:i/>
            <w:iCs/>
          </w:rPr>
          <w:t>AI-driven innovation in medical imaging – Focus on lung cancer and cardiovascular diseases</w:t>
        </w:r>
      </w:hyperlink>
      <w:r w:rsidR="00B56EEC">
        <w:t xml:space="preserve">; </w:t>
      </w:r>
      <w:r>
        <w:t xml:space="preserve"> </w:t>
      </w:r>
      <w:r w:rsidR="00B56EEC" w:rsidRPr="000E1D82">
        <w:rPr>
          <w:lang w:eastAsia="de-DE"/>
        </w:rPr>
        <w:t xml:space="preserve">Targeted initiatives will build on projects </w:t>
      </w:r>
      <w:r w:rsidR="00B56EEC">
        <w:rPr>
          <w:lang w:eastAsia="de-DE"/>
        </w:rPr>
        <w:t xml:space="preserve">e.g. </w:t>
      </w:r>
      <w:hyperlink r:id="rId156" w:history="1">
        <w:r w:rsidR="00B56EEC" w:rsidRPr="00F262CF">
          <w:rPr>
            <w:rStyle w:val="Hyperlink"/>
            <w:lang w:eastAsia="de-DE"/>
          </w:rPr>
          <w:t>COMPASS AI</w:t>
        </w:r>
      </w:hyperlink>
      <w:r w:rsidR="00B56EEC">
        <w:rPr>
          <w:lang w:eastAsia="de-DE"/>
        </w:rPr>
        <w:t>,</w:t>
      </w:r>
      <w:r w:rsidR="00B56EEC" w:rsidRPr="000E1D82">
        <w:rPr>
          <w:lang w:eastAsia="de-DE"/>
        </w:rPr>
        <w:t xml:space="preserve"> the </w:t>
      </w:r>
      <w:hyperlink r:id="rId157" w:history="1">
        <w:r w:rsidR="00B56EEC" w:rsidRPr="00C22D58">
          <w:rPr>
            <w:rStyle w:val="Hyperlink"/>
            <w:lang w:eastAsia="de-DE"/>
          </w:rPr>
          <w:t>EHDS</w:t>
        </w:r>
      </w:hyperlink>
      <w:r w:rsidR="00B56EEC" w:rsidRPr="000E1D82">
        <w:rPr>
          <w:lang w:eastAsia="de-DE"/>
        </w:rPr>
        <w:t xml:space="preserve"> infrastructures, </w:t>
      </w:r>
      <w:hyperlink r:id="rId158" w:history="1">
        <w:r w:rsidR="00B56EEC" w:rsidRPr="00143164">
          <w:rPr>
            <w:rStyle w:val="Hyperlink"/>
            <w:lang w:eastAsia="de-DE"/>
          </w:rPr>
          <w:t>ICUdata4EU</w:t>
        </w:r>
      </w:hyperlink>
      <w:r w:rsidR="00B56EEC" w:rsidRPr="000E1D82">
        <w:rPr>
          <w:lang w:eastAsia="de-DE"/>
        </w:rPr>
        <w:t xml:space="preserve"> and </w:t>
      </w:r>
      <w:hyperlink r:id="rId159" w:history="1">
        <w:r w:rsidR="00B56EEC" w:rsidRPr="00DF0AF1">
          <w:rPr>
            <w:rStyle w:val="Hyperlink"/>
            <w:lang w:eastAsia="de-DE"/>
          </w:rPr>
          <w:t>INDICATE</w:t>
        </w:r>
      </w:hyperlink>
      <w:r w:rsidR="00B56EEC">
        <w:rPr>
          <w:lang w:eastAsia="de-DE"/>
        </w:rPr>
        <w:t>.</w:t>
      </w:r>
      <w:r w:rsidR="00B56EEC" w:rsidRPr="000E1D82">
        <w:rPr>
          <w:lang w:eastAsia="de-DE"/>
        </w:rPr>
        <w:t xml:space="preserve"> </w:t>
      </w:r>
    </w:p>
  </w:footnote>
  <w:footnote w:id="146">
    <w:p w14:paraId="6697F64D" w14:textId="7B1D169F" w:rsidR="00DE54C7" w:rsidRDefault="00DE54C7" w:rsidP="00D8171C">
      <w:pPr>
        <w:pStyle w:val="FootnoteText"/>
      </w:pPr>
      <w:r>
        <w:rPr>
          <w:rStyle w:val="FootnoteReference"/>
        </w:rPr>
        <w:footnoteRef/>
      </w:r>
      <w:r>
        <w:t xml:space="preserve"> </w:t>
      </w:r>
      <w:hyperlink r:id="rId160" w:history="1">
        <w:r w:rsidR="00F72D18">
          <w:rPr>
            <w:rStyle w:val="Hyperlink"/>
          </w:rPr>
          <w:t>Apply AI Strategy</w:t>
        </w:r>
        <w:r w:rsidR="00484E7C">
          <w:rPr>
            <w:rStyle w:val="Hyperlink"/>
          </w:rPr>
          <w:t xml:space="preserve">; </w:t>
        </w:r>
        <w:hyperlink r:id="rId161" w:history="1">
          <w:r w:rsidR="00484E7C" w:rsidRPr="00484E7C">
            <w:rPr>
              <w:rStyle w:val="Hyperlink"/>
              <w:lang w:val="en-IE"/>
            </w:rPr>
            <w:t>Home - TEF-Health - Testing and Experimentation Facility for Health and Robotics</w:t>
          </w:r>
        </w:hyperlink>
        <w:r w:rsidR="00F72D18">
          <w:rPr>
            <w:rStyle w:val="Hyperlink"/>
          </w:rPr>
          <w:t>.</w:t>
        </w:r>
      </w:hyperlink>
    </w:p>
  </w:footnote>
  <w:footnote w:id="147">
    <w:p w14:paraId="6ED0E6F9" w14:textId="1CFDA7C5" w:rsidR="00DE54C7" w:rsidRPr="007003DB" w:rsidRDefault="00DE54C7" w:rsidP="00D8171C">
      <w:pPr>
        <w:pStyle w:val="FootnoteText"/>
        <w:rPr>
          <w:szCs w:val="20"/>
        </w:rPr>
      </w:pPr>
      <w:r w:rsidRPr="000E1D82">
        <w:rPr>
          <w:rStyle w:val="FootnoteReference"/>
        </w:rPr>
        <w:footnoteRef/>
      </w:r>
      <w:r w:rsidRPr="000E1D82">
        <w:t xml:space="preserve"> </w:t>
      </w:r>
      <w:hyperlink r:id="rId162" w:history="1">
        <w:r w:rsidRPr="007003DB">
          <w:rPr>
            <w:rStyle w:val="Hyperlink"/>
            <w:szCs w:val="20"/>
          </w:rPr>
          <w:t>EU4Health 2025 work programme</w:t>
        </w:r>
      </w:hyperlink>
      <w:r w:rsidRPr="007003DB">
        <w:rPr>
          <w:szCs w:val="20"/>
        </w:rPr>
        <w:t xml:space="preserve">. </w:t>
      </w:r>
    </w:p>
  </w:footnote>
  <w:footnote w:id="148">
    <w:p w14:paraId="5F39DA16" w14:textId="16176D8D" w:rsidR="00DE54C7" w:rsidRPr="00E4479F" w:rsidRDefault="00DE54C7" w:rsidP="00D8171C">
      <w:pPr>
        <w:pStyle w:val="FootnoteText"/>
        <w:rPr>
          <w:szCs w:val="20"/>
          <w:lang w:val="it-IT"/>
        </w:rPr>
      </w:pPr>
      <w:r w:rsidRPr="007003DB">
        <w:rPr>
          <w:rStyle w:val="FootnoteReference"/>
          <w:szCs w:val="20"/>
        </w:rPr>
        <w:footnoteRef/>
      </w:r>
      <w:r w:rsidR="00042019" w:rsidRPr="0086514B">
        <w:rPr>
          <w:szCs w:val="20"/>
          <w:lang w:val="en-IE"/>
        </w:rPr>
        <w:t xml:space="preserve"> Zannad, F., Berwanger, O., Corda, S., et al. </w:t>
      </w:r>
      <w:r w:rsidR="00042019" w:rsidRPr="007003DB">
        <w:rPr>
          <w:szCs w:val="20"/>
        </w:rPr>
        <w:t xml:space="preserve">(2024). How to make cardiology clinical trials more inclusive. </w:t>
      </w:r>
      <w:r w:rsidR="00042019" w:rsidRPr="00E4479F">
        <w:rPr>
          <w:i/>
          <w:szCs w:val="20"/>
          <w:lang w:val="it-IT"/>
        </w:rPr>
        <w:t>Nature Medicine, 30</w:t>
      </w:r>
      <w:r w:rsidR="00042019" w:rsidRPr="00E4479F">
        <w:rPr>
          <w:szCs w:val="20"/>
          <w:lang w:val="it-IT"/>
        </w:rPr>
        <w:t xml:space="preserve">, 2745–2755. </w:t>
      </w:r>
      <w:hyperlink r:id="rId163" w:history="1">
        <w:r w:rsidR="00042019" w:rsidRPr="00E4479F">
          <w:rPr>
            <w:rStyle w:val="Hyperlink"/>
            <w:szCs w:val="20"/>
            <w:lang w:val="it-IT"/>
          </w:rPr>
          <w:t>https://doi.org/10.1038/s41591-024-03273-3</w:t>
        </w:r>
      </w:hyperlink>
      <w:r w:rsidR="007E4B00">
        <w:rPr>
          <w:lang w:val="sv-SE"/>
        </w:rPr>
        <w:t>.</w:t>
      </w:r>
      <w:r w:rsidR="00042019" w:rsidRPr="00E4479F">
        <w:rPr>
          <w:szCs w:val="20"/>
          <w:lang w:val="it-IT"/>
        </w:rPr>
        <w:t xml:space="preserve"> </w:t>
      </w:r>
    </w:p>
  </w:footnote>
  <w:footnote w:id="149">
    <w:p w14:paraId="4970731B" w14:textId="1412F694" w:rsidR="00DE54C7" w:rsidRPr="007003DB" w:rsidRDefault="00DE54C7" w:rsidP="00D8171C">
      <w:pPr>
        <w:pStyle w:val="FootnoteText"/>
        <w:rPr>
          <w:szCs w:val="20"/>
          <w:lang w:val="en-IE"/>
        </w:rPr>
      </w:pPr>
      <w:r w:rsidRPr="007003DB">
        <w:rPr>
          <w:rStyle w:val="FootnoteReference"/>
          <w:szCs w:val="20"/>
        </w:rPr>
        <w:footnoteRef/>
      </w:r>
      <w:r w:rsidRPr="00E4479F">
        <w:rPr>
          <w:szCs w:val="20"/>
          <w:lang w:val="it-IT"/>
        </w:rPr>
        <w:t xml:space="preserve"> </w:t>
      </w:r>
      <w:r w:rsidR="00520F1A" w:rsidRPr="00E4479F">
        <w:rPr>
          <w:szCs w:val="20"/>
          <w:lang w:val="it-IT"/>
        </w:rPr>
        <w:t xml:space="preserve">El Bassiri, Y., Azeem, A., Sharma, A. C., Hassan, M., Hassan, M., &amp; Omari, I. (2025). </w:t>
      </w:r>
      <w:r w:rsidR="00520F1A" w:rsidRPr="007003DB">
        <w:rPr>
          <w:szCs w:val="20"/>
          <w:lang w:val="en-IE"/>
        </w:rPr>
        <w:t xml:space="preserve">Gender disparities in ischemic heart disease management: Underdiagnosis in women and differences in treatment. </w:t>
      </w:r>
      <w:r w:rsidR="00520F1A" w:rsidRPr="007003DB">
        <w:rPr>
          <w:i/>
          <w:szCs w:val="20"/>
          <w:lang w:val="en-IE"/>
        </w:rPr>
        <w:t>Cureus, 17</w:t>
      </w:r>
      <w:r w:rsidR="00520F1A" w:rsidRPr="007003DB">
        <w:rPr>
          <w:szCs w:val="20"/>
          <w:lang w:val="en-IE"/>
        </w:rPr>
        <w:t xml:space="preserve">(8), e89912. </w:t>
      </w:r>
      <w:hyperlink r:id="rId164" w:history="1">
        <w:r w:rsidR="00520F1A" w:rsidRPr="007003DB">
          <w:rPr>
            <w:rStyle w:val="Hyperlink"/>
            <w:szCs w:val="20"/>
            <w:lang w:val="en-IE"/>
          </w:rPr>
          <w:t>https://doi.org/10.7759/cureus.89912</w:t>
        </w:r>
      </w:hyperlink>
      <w:r w:rsidR="00F6557C" w:rsidRPr="007003DB">
        <w:rPr>
          <w:szCs w:val="20"/>
          <w:lang w:val="en-IE"/>
        </w:rPr>
        <w:t xml:space="preserve">; </w:t>
      </w:r>
      <w:hyperlink r:id="rId165" w:history="1">
        <w:r w:rsidR="00F6557C" w:rsidRPr="007003DB">
          <w:rPr>
            <w:rStyle w:val="Hyperlink"/>
            <w:szCs w:val="20"/>
            <w:lang w:val="en-IE" w:eastAsia="en-IE"/>
          </w:rPr>
          <w:t>Eurostat</w:t>
        </w:r>
      </w:hyperlink>
      <w:r w:rsidR="00F6557C" w:rsidRPr="007003DB">
        <w:rPr>
          <w:szCs w:val="20"/>
          <w:lang w:val="en-IE"/>
        </w:rPr>
        <w:t>;</w:t>
      </w:r>
      <w:r w:rsidR="00F6557C" w:rsidRPr="007003DB">
        <w:rPr>
          <w:szCs w:val="20"/>
        </w:rPr>
        <w:t xml:space="preserve"> </w:t>
      </w:r>
      <w:hyperlink r:id="rId166" w:history="1">
        <w:r w:rsidR="00D5702E" w:rsidRPr="007003DB">
          <w:rPr>
            <w:rStyle w:val="Hyperlink"/>
            <w:szCs w:val="20"/>
            <w:lang w:val="en-IE"/>
          </w:rPr>
          <w:t>ESC Statement - Lancet Commission Report - CVD in Women</w:t>
        </w:r>
        <w:r w:rsidR="007E4B00">
          <w:rPr>
            <w:rStyle w:val="Hyperlink"/>
            <w:szCs w:val="20"/>
            <w:lang w:val="en-IE"/>
          </w:rPr>
          <w:t>.</w:t>
        </w:r>
      </w:hyperlink>
    </w:p>
  </w:footnote>
  <w:footnote w:id="150">
    <w:p w14:paraId="1B0E64A5" w14:textId="2B37EED7" w:rsidR="00DE54C7" w:rsidRPr="007003DB" w:rsidRDefault="00DE54C7" w:rsidP="00DE54C7">
      <w:pPr>
        <w:spacing w:after="0" w:line="240" w:lineRule="auto"/>
        <w:rPr>
          <w:rStyle w:val="FootnoteTextChar"/>
          <w:rFonts w:eastAsiaTheme="minorHAnsi"/>
          <w:szCs w:val="20"/>
        </w:rPr>
      </w:pPr>
      <w:r w:rsidRPr="000E1D82">
        <w:rPr>
          <w:rFonts w:eastAsia="Times New Roman" w:cs="Times New Roman"/>
          <w:sz w:val="20"/>
          <w:szCs w:val="20"/>
          <w:vertAlign w:val="superscript"/>
        </w:rPr>
        <w:footnoteRef/>
      </w:r>
      <w:r w:rsidRPr="004C75BE">
        <w:rPr>
          <w:rFonts w:eastAsia="Times New Roman" w:cs="Times New Roman"/>
          <w:sz w:val="20"/>
          <w:szCs w:val="20"/>
        </w:rPr>
        <w:t xml:space="preserve"> </w:t>
      </w:r>
      <w:r w:rsidR="001C164C" w:rsidRPr="001C164C">
        <w:rPr>
          <w:rFonts w:eastAsia="Times New Roman" w:cs="Times New Roman"/>
          <w:sz w:val="20"/>
          <w:szCs w:val="20"/>
        </w:rPr>
        <w:t xml:space="preserve">Al Hamid, A., Beckett, R., Wilson, M., et al. (2024). Gender bias in diagnosis, prevention, and treatment of cardiovascular diseases: A systematic review. </w:t>
      </w:r>
      <w:r w:rsidR="001C164C" w:rsidRPr="001C164C">
        <w:rPr>
          <w:rFonts w:eastAsia="Times New Roman" w:cs="Times New Roman"/>
          <w:i/>
          <w:iCs/>
          <w:sz w:val="20"/>
          <w:szCs w:val="20"/>
        </w:rPr>
        <w:t>Cureus, 16</w:t>
      </w:r>
      <w:r w:rsidR="001C164C" w:rsidRPr="001C164C">
        <w:rPr>
          <w:rFonts w:eastAsia="Times New Roman" w:cs="Times New Roman"/>
          <w:sz w:val="20"/>
          <w:szCs w:val="20"/>
        </w:rPr>
        <w:t xml:space="preserve">(2), e54264. </w:t>
      </w:r>
      <w:hyperlink r:id="rId167" w:history="1">
        <w:r w:rsidR="001C164C" w:rsidRPr="004A04E7">
          <w:rPr>
            <w:rStyle w:val="Hyperlink"/>
            <w:rFonts w:eastAsia="Times New Roman" w:cs="Times New Roman"/>
            <w:sz w:val="20"/>
            <w:szCs w:val="20"/>
          </w:rPr>
          <w:t>https://doi.org/10.7759/cureus.54264</w:t>
        </w:r>
      </w:hyperlink>
      <w:r w:rsidR="007E4B00">
        <w:rPr>
          <w:sz w:val="20"/>
          <w:szCs w:val="20"/>
        </w:rPr>
        <w:t>.</w:t>
      </w:r>
      <w:r w:rsidR="001C164C">
        <w:rPr>
          <w:rFonts w:eastAsia="Times New Roman" w:cs="Times New Roman"/>
          <w:sz w:val="20"/>
          <w:szCs w:val="20"/>
        </w:rPr>
        <w:t xml:space="preserve"> </w:t>
      </w:r>
    </w:p>
  </w:footnote>
  <w:footnote w:id="151">
    <w:p w14:paraId="1237D0DB" w14:textId="6C4A7E5C" w:rsidR="00DE54C7" w:rsidRPr="007003DB" w:rsidRDefault="00DE54C7" w:rsidP="00D8171C">
      <w:pPr>
        <w:pStyle w:val="FootnoteText"/>
        <w:rPr>
          <w:szCs w:val="20"/>
        </w:rPr>
      </w:pPr>
      <w:r w:rsidRPr="007003DB">
        <w:rPr>
          <w:rStyle w:val="FootnoteReference"/>
          <w:szCs w:val="20"/>
        </w:rPr>
        <w:footnoteRef/>
      </w:r>
      <w:r w:rsidR="005148CB" w:rsidRPr="007003DB">
        <w:rPr>
          <w:szCs w:val="20"/>
          <w:lang w:val="hu-HU"/>
        </w:rPr>
        <w:t xml:space="preserve"> </w:t>
      </w:r>
      <w:r>
        <w:rPr>
          <w:rStyle w:val="FootnoteReference"/>
          <w:vertAlign w:val="baseline"/>
        </w:rPr>
        <w:t>OECD report (</w:t>
      </w:r>
      <w:r>
        <w:t xml:space="preserve">2025) </w:t>
      </w:r>
      <w:r>
        <w:rPr>
          <w:rStyle w:val="FootnoteReference"/>
          <w:vertAlign w:val="baseline"/>
        </w:rPr>
        <w:t>‘</w:t>
      </w:r>
      <w:r>
        <w:t xml:space="preserve">The state of cardiovascular health in the EU’ - </w:t>
      </w:r>
      <w:hyperlink r:id="rId168" w:history="1">
        <w:r>
          <w:rPr>
            <w:rStyle w:val="Hyperlink"/>
            <w:lang w:val="en-IE"/>
          </w:rPr>
          <w:t>Full Report: The State of Cardiovascular Health in the European Union | OECD</w:t>
        </w:r>
      </w:hyperlink>
      <w:r w:rsidR="005148CB" w:rsidRPr="007003DB">
        <w:rPr>
          <w:szCs w:val="20"/>
        </w:rPr>
        <w:t>.</w:t>
      </w:r>
    </w:p>
  </w:footnote>
  <w:footnote w:id="152">
    <w:p w14:paraId="65849786" w14:textId="68DE5A38" w:rsidR="005F76FD" w:rsidRPr="005F76FD" w:rsidRDefault="005F76FD">
      <w:pPr>
        <w:pStyle w:val="FootnoteText"/>
      </w:pPr>
      <w:r>
        <w:rPr>
          <w:rStyle w:val="FootnoteReference"/>
        </w:rPr>
        <w:footnoteRef/>
      </w:r>
      <w:r>
        <w:t xml:space="preserve"> </w:t>
      </w:r>
      <w:hyperlink r:id="rId169" w:history="1">
        <w:r w:rsidR="00B12652" w:rsidRPr="00E4479F">
          <w:rPr>
            <w:rStyle w:val="Hyperlink"/>
          </w:rPr>
          <w:t>European Cancer Inequalities Registry (ECIR)</w:t>
        </w:r>
        <w:r w:rsidR="00B12652" w:rsidRPr="00351878">
          <w:rPr>
            <w:rStyle w:val="Hyperlink"/>
          </w:rPr>
          <w:t>.</w:t>
        </w:r>
      </w:hyperlink>
    </w:p>
  </w:footnote>
  <w:footnote w:id="153">
    <w:p w14:paraId="6FE59E5C" w14:textId="267693A5" w:rsidR="00DE54C7" w:rsidRPr="001D733D" w:rsidRDefault="00DE54C7" w:rsidP="00D8171C">
      <w:pPr>
        <w:pStyle w:val="FootnoteText"/>
      </w:pPr>
      <w:r w:rsidRPr="007003DB">
        <w:rPr>
          <w:rStyle w:val="FootnoteReference"/>
          <w:szCs w:val="20"/>
        </w:rPr>
        <w:footnoteRef/>
      </w:r>
      <w:r w:rsidRPr="007003DB">
        <w:rPr>
          <w:szCs w:val="20"/>
        </w:rPr>
        <w:t xml:space="preserve"> </w:t>
      </w:r>
      <w:hyperlink r:id="rId170" w:history="1">
        <w:r w:rsidRPr="00CE134E">
          <w:rPr>
            <w:rStyle w:val="Hyperlink"/>
            <w:szCs w:val="20"/>
          </w:rPr>
          <w:t>Horizon Europe Cluster 1 2026-2027 work programme</w:t>
        </w:r>
      </w:hyperlink>
      <w:r w:rsidRPr="007003DB">
        <w:rPr>
          <w:szCs w:val="20"/>
        </w:rPr>
        <w:t>: indicative funding EUR 40 million.</w:t>
      </w:r>
    </w:p>
  </w:footnote>
  <w:footnote w:id="154">
    <w:p w14:paraId="56F92476" w14:textId="69989815" w:rsidR="00DE54C7" w:rsidRPr="007003DB" w:rsidRDefault="00DE54C7" w:rsidP="00D8171C">
      <w:pPr>
        <w:pStyle w:val="FootnoteText"/>
        <w:rPr>
          <w:szCs w:val="20"/>
        </w:rPr>
      </w:pPr>
      <w:r>
        <w:rPr>
          <w:rStyle w:val="FootnoteReference"/>
        </w:rPr>
        <w:footnoteRef/>
      </w:r>
      <w:r w:rsidRPr="001D733D">
        <w:t xml:space="preserve"> </w:t>
      </w:r>
      <w:hyperlink r:id="rId171" w:tgtFrame="_blank" w:history="1">
        <w:r w:rsidRPr="007003DB">
          <w:rPr>
            <w:rStyle w:val="Hyperlink"/>
            <w:szCs w:val="20"/>
          </w:rPr>
          <w:t>Horizon 2020</w:t>
        </w:r>
      </w:hyperlink>
      <w:r w:rsidRPr="007003DB">
        <w:rPr>
          <w:szCs w:val="20"/>
          <w:u w:val="single"/>
        </w:rPr>
        <w:t>; </w:t>
      </w:r>
      <w:hyperlink r:id="rId172" w:tgtFrame="_blank" w:history="1">
        <w:r w:rsidRPr="007003DB">
          <w:rPr>
            <w:rStyle w:val="Hyperlink"/>
            <w:szCs w:val="20"/>
          </w:rPr>
          <w:t>Horizon Europe</w:t>
        </w:r>
      </w:hyperlink>
      <w:r w:rsidRPr="007003DB">
        <w:rPr>
          <w:szCs w:val="20"/>
          <w:u w:val="single"/>
        </w:rPr>
        <w:t>.</w:t>
      </w:r>
    </w:p>
  </w:footnote>
  <w:footnote w:id="155">
    <w:p w14:paraId="2EF8A925" w14:textId="366D33F5" w:rsidR="00DE54C7" w:rsidRPr="007003DB" w:rsidRDefault="00DE54C7" w:rsidP="00D8171C">
      <w:pPr>
        <w:pStyle w:val="FootnoteText"/>
        <w:rPr>
          <w:szCs w:val="20"/>
        </w:rPr>
      </w:pPr>
      <w:r w:rsidRPr="007003DB">
        <w:rPr>
          <w:rStyle w:val="FootnoteReference"/>
          <w:szCs w:val="20"/>
        </w:rPr>
        <w:footnoteRef/>
      </w:r>
      <w:r w:rsidRPr="007003DB">
        <w:rPr>
          <w:szCs w:val="20"/>
        </w:rPr>
        <w:t xml:space="preserve"> </w:t>
      </w:r>
      <w:hyperlink r:id="rId173" w:history="1">
        <w:r w:rsidRPr="007003DB">
          <w:rPr>
            <w:rStyle w:val="Hyperlink"/>
            <w:szCs w:val="20"/>
          </w:rPr>
          <w:t>Global Trends in R&amp;D 2024: Activity, productivity, and enablers - IQVIA</w:t>
        </w:r>
      </w:hyperlink>
      <w:r w:rsidR="007E4B00">
        <w:t>.</w:t>
      </w:r>
    </w:p>
  </w:footnote>
  <w:footnote w:id="156">
    <w:p w14:paraId="147DC7F6" w14:textId="21F10BCF" w:rsidR="00DE54C7" w:rsidRPr="007003DB" w:rsidRDefault="00DE54C7" w:rsidP="00D8171C">
      <w:pPr>
        <w:pStyle w:val="FootnoteText"/>
        <w:rPr>
          <w:szCs w:val="20"/>
        </w:rPr>
      </w:pPr>
      <w:r w:rsidRPr="007003DB">
        <w:rPr>
          <w:rStyle w:val="FootnoteReference"/>
          <w:szCs w:val="20"/>
        </w:rPr>
        <w:footnoteRef/>
      </w:r>
      <w:r w:rsidR="00B26B9A" w:rsidRPr="007003DB">
        <w:rPr>
          <w:szCs w:val="20"/>
          <w:lang w:val="fr-FR"/>
        </w:rPr>
        <w:t xml:space="preserve"> Jackson, N., Atar, D., Borentain, M., et al. </w:t>
      </w:r>
      <w:r w:rsidR="00B26B9A" w:rsidRPr="007003DB">
        <w:rPr>
          <w:szCs w:val="20"/>
        </w:rPr>
        <w:t xml:space="preserve">(2016). Improving clinical trials for cardiovascular diseases: A position paper from the Cardiovascular Round Table of the European Society of Cardiology. </w:t>
      </w:r>
      <w:r w:rsidR="00B26B9A" w:rsidRPr="007003DB">
        <w:rPr>
          <w:i/>
          <w:szCs w:val="20"/>
        </w:rPr>
        <w:t>European Heart Journal, 37</w:t>
      </w:r>
      <w:r w:rsidR="00B26B9A" w:rsidRPr="007003DB">
        <w:rPr>
          <w:szCs w:val="20"/>
        </w:rPr>
        <w:t xml:space="preserve">(9), 747–754. </w:t>
      </w:r>
      <w:hyperlink r:id="rId174" w:history="1">
        <w:r w:rsidR="00AD4629" w:rsidRPr="007003DB">
          <w:rPr>
            <w:rStyle w:val="Hyperlink"/>
            <w:szCs w:val="20"/>
          </w:rPr>
          <w:t>https://doi.org/10.1093/eurheartj/ehv213</w:t>
        </w:r>
      </w:hyperlink>
      <w:r w:rsidR="007E4B00">
        <w:rPr>
          <w:szCs w:val="20"/>
        </w:rPr>
        <w:t>.</w:t>
      </w:r>
    </w:p>
  </w:footnote>
  <w:footnote w:id="157">
    <w:p w14:paraId="4420B4CB" w14:textId="7D3927D8" w:rsidR="00DE54C7" w:rsidRPr="007003DB" w:rsidRDefault="00DE54C7" w:rsidP="00D8171C">
      <w:pPr>
        <w:pStyle w:val="FootnoteText"/>
        <w:rPr>
          <w:szCs w:val="20"/>
        </w:rPr>
      </w:pPr>
      <w:r w:rsidRPr="007003DB">
        <w:rPr>
          <w:rStyle w:val="FootnoteReference"/>
          <w:szCs w:val="20"/>
        </w:rPr>
        <w:footnoteRef/>
      </w:r>
      <w:r w:rsidRPr="007003DB">
        <w:rPr>
          <w:szCs w:val="20"/>
        </w:rPr>
        <w:t xml:space="preserve"> </w:t>
      </w:r>
      <w:hyperlink r:id="rId175" w:history="1">
        <w:r w:rsidRPr="007003DB">
          <w:rPr>
            <w:rStyle w:val="Hyperlink"/>
            <w:szCs w:val="20"/>
          </w:rPr>
          <w:t xml:space="preserve">Innovative Health Initiative </w:t>
        </w:r>
        <w:r w:rsidR="00124E20" w:rsidRPr="007003DB">
          <w:rPr>
            <w:rStyle w:val="Hyperlink"/>
            <w:szCs w:val="20"/>
          </w:rPr>
          <w:t>Joint Undertaking</w:t>
        </w:r>
      </w:hyperlink>
      <w:r w:rsidRPr="007003DB">
        <w:rPr>
          <w:szCs w:val="20"/>
        </w:rPr>
        <w:t>.</w:t>
      </w:r>
    </w:p>
  </w:footnote>
  <w:footnote w:id="158">
    <w:p w14:paraId="56EF570A" w14:textId="77777777" w:rsidR="00DE54C7" w:rsidRPr="007003DB" w:rsidRDefault="00DE54C7" w:rsidP="00D8171C">
      <w:pPr>
        <w:pStyle w:val="FootnoteText"/>
        <w:rPr>
          <w:szCs w:val="20"/>
        </w:rPr>
      </w:pPr>
      <w:r w:rsidRPr="007003DB">
        <w:rPr>
          <w:rStyle w:val="FootnoteReference"/>
          <w:szCs w:val="20"/>
        </w:rPr>
        <w:footnoteRef/>
      </w:r>
      <w:r w:rsidRPr="007003DB">
        <w:rPr>
          <w:szCs w:val="20"/>
        </w:rPr>
        <w:t xml:space="preserve"> </w:t>
      </w:r>
      <w:hyperlink r:id="rId176" w:history="1">
        <w:r w:rsidRPr="007003DB">
          <w:rPr>
            <w:rStyle w:val="Hyperlink"/>
            <w:szCs w:val="20"/>
          </w:rPr>
          <w:t>PROPHET</w:t>
        </w:r>
      </w:hyperlink>
      <w:r w:rsidRPr="007003DB">
        <w:rPr>
          <w:szCs w:val="20"/>
        </w:rPr>
        <w:t>.</w:t>
      </w:r>
    </w:p>
  </w:footnote>
  <w:footnote w:id="159">
    <w:p w14:paraId="5CB43E53" w14:textId="5978C502" w:rsidR="009F2A6E" w:rsidRPr="007003DB" w:rsidRDefault="009F2A6E">
      <w:pPr>
        <w:pStyle w:val="FootnoteText"/>
        <w:rPr>
          <w:szCs w:val="20"/>
        </w:rPr>
      </w:pPr>
      <w:r w:rsidRPr="007003DB">
        <w:rPr>
          <w:rStyle w:val="FootnoteReference"/>
          <w:szCs w:val="20"/>
        </w:rPr>
        <w:footnoteRef/>
      </w:r>
      <w:r w:rsidRPr="007003DB">
        <w:rPr>
          <w:szCs w:val="20"/>
        </w:rPr>
        <w:t xml:space="preserve"> </w:t>
      </w:r>
      <w:hyperlink r:id="rId177" w:history="1">
        <w:r w:rsidRPr="007003DB">
          <w:rPr>
            <w:rStyle w:val="Hyperlink"/>
            <w:szCs w:val="20"/>
            <w:lang w:val="en-IE"/>
          </w:rPr>
          <w:t>PROFID PROJECT</w:t>
        </w:r>
      </w:hyperlink>
      <w:r w:rsidRPr="007003DB">
        <w:rPr>
          <w:szCs w:val="20"/>
        </w:rPr>
        <w:t>.</w:t>
      </w:r>
    </w:p>
  </w:footnote>
  <w:footnote w:id="160">
    <w:p w14:paraId="705B047C" w14:textId="4389F837" w:rsidR="00DE54C7" w:rsidRPr="000E1D82" w:rsidRDefault="00DE54C7" w:rsidP="00DE54C7">
      <w:pPr>
        <w:spacing w:after="0"/>
        <w:rPr>
          <w:rFonts w:eastAsia="Times New Roman" w:cs="Times New Roman"/>
          <w:sz w:val="20"/>
          <w:szCs w:val="20"/>
        </w:rPr>
      </w:pPr>
      <w:r w:rsidRPr="000E1D82">
        <w:rPr>
          <w:rStyle w:val="FootnoteReference"/>
          <w:sz w:val="20"/>
          <w:szCs w:val="20"/>
        </w:rPr>
        <w:footnoteRef/>
      </w:r>
      <w:hyperlink r:id="rId178" w:history="1">
        <w:r w:rsidRPr="000E1D82">
          <w:rPr>
            <w:rStyle w:val="Hyperlink"/>
            <w:sz w:val="20"/>
            <w:szCs w:val="20"/>
          </w:rPr>
          <w:t>Virtual Human Twins initiative for health and care</w:t>
        </w:r>
      </w:hyperlink>
      <w:r w:rsidRPr="000E1D82">
        <w:rPr>
          <w:sz w:val="20"/>
          <w:szCs w:val="20"/>
        </w:rPr>
        <w:t>.</w:t>
      </w:r>
    </w:p>
  </w:footnote>
  <w:footnote w:id="161">
    <w:p w14:paraId="6EC80CB1" w14:textId="77777777" w:rsidR="00DE54C7" w:rsidRDefault="00DE54C7" w:rsidP="00D8171C">
      <w:pPr>
        <w:pStyle w:val="FootnoteText"/>
      </w:pPr>
      <w:r>
        <w:rPr>
          <w:rStyle w:val="FootnoteReference"/>
        </w:rPr>
        <w:footnoteRef/>
      </w:r>
      <w:r>
        <w:t xml:space="preserve"> </w:t>
      </w:r>
      <w:hyperlink r:id="rId179" w:history="1">
        <w:r w:rsidRPr="007D7682">
          <w:rPr>
            <w:rStyle w:val="Hyperlink"/>
          </w:rPr>
          <w:t>European Regional Development Fund (ERDF) - European Commission</w:t>
        </w:r>
      </w:hyperlink>
      <w:r>
        <w:t>.</w:t>
      </w:r>
    </w:p>
  </w:footnote>
  <w:footnote w:id="162">
    <w:p w14:paraId="0B9BE80D" w14:textId="77777777" w:rsidR="00DE54C7" w:rsidRDefault="00DE54C7" w:rsidP="00D8171C">
      <w:pPr>
        <w:pStyle w:val="FootnoteText"/>
      </w:pPr>
      <w:r>
        <w:rPr>
          <w:rStyle w:val="FootnoteReference"/>
        </w:rPr>
        <w:footnoteRef/>
      </w:r>
      <w:r>
        <w:t xml:space="preserve"> </w:t>
      </w:r>
      <w:hyperlink r:id="rId180" w:history="1">
        <w:r w:rsidRPr="007D7682">
          <w:rPr>
            <w:rStyle w:val="Hyperlink"/>
          </w:rPr>
          <w:t>Interregional Innovation Investments (I3) Instrument - European Innovation Council and SMEs Executive Agency (EISMEA)</w:t>
        </w:r>
      </w:hyperlink>
      <w:r>
        <w:t>.</w:t>
      </w:r>
    </w:p>
  </w:footnote>
  <w:footnote w:id="163">
    <w:p w14:paraId="7721F709" w14:textId="34A3D718" w:rsidR="00DE54C7" w:rsidRPr="001D733D" w:rsidRDefault="00DE54C7" w:rsidP="00D8171C">
      <w:pPr>
        <w:pStyle w:val="FootnoteText"/>
      </w:pPr>
      <w:r>
        <w:rPr>
          <w:rStyle w:val="FootnoteReference"/>
        </w:rPr>
        <w:footnoteRef/>
      </w:r>
      <w:r>
        <w:t xml:space="preserve"> </w:t>
      </w:r>
      <w:hyperlink r:id="rId181" w:history="1">
        <w:r w:rsidRPr="001A273C">
          <w:rPr>
            <w:rStyle w:val="Hyperlink"/>
          </w:rPr>
          <w:t>Horizon Europe Cluster 1 work programme 2026-2027</w:t>
        </w:r>
      </w:hyperlink>
      <w:r>
        <w:t>: indicative funding EUR 2 million.</w:t>
      </w:r>
    </w:p>
  </w:footnote>
  <w:footnote w:id="164">
    <w:p w14:paraId="6D0F1CF0" w14:textId="48FCDD64" w:rsidR="00DE54C7" w:rsidRPr="001D733D" w:rsidRDefault="00DE54C7" w:rsidP="00D8171C">
      <w:pPr>
        <w:pStyle w:val="FootnoteText"/>
      </w:pPr>
      <w:r>
        <w:rPr>
          <w:rStyle w:val="FootnoteReference"/>
        </w:rPr>
        <w:footnoteRef/>
      </w:r>
      <w:r>
        <w:t xml:space="preserve"> </w:t>
      </w:r>
      <w:hyperlink r:id="rId182" w:history="1">
        <w:r w:rsidRPr="004D24CD">
          <w:rPr>
            <w:rStyle w:val="Hyperlink"/>
          </w:rPr>
          <w:t>Horizon Europe Cluster 1 work programme 2026-2027</w:t>
        </w:r>
      </w:hyperlink>
      <w:r>
        <w:t>: indicative funding EUR 64 million.</w:t>
      </w:r>
    </w:p>
  </w:footnote>
  <w:footnote w:id="165">
    <w:p w14:paraId="77D60903" w14:textId="6A8D6FC3" w:rsidR="00DE54C7" w:rsidRPr="001D733D" w:rsidRDefault="00DE54C7" w:rsidP="00D8171C">
      <w:pPr>
        <w:pStyle w:val="FootnoteText"/>
      </w:pPr>
      <w:r>
        <w:rPr>
          <w:rStyle w:val="FootnoteReference"/>
        </w:rPr>
        <w:footnoteRef/>
      </w:r>
      <w:r>
        <w:t xml:space="preserve"> </w:t>
      </w:r>
      <w:hyperlink r:id="rId183" w:history="1">
        <w:r w:rsidRPr="00947978">
          <w:rPr>
            <w:rStyle w:val="Hyperlink"/>
          </w:rPr>
          <w:t>Horizon Europe Cluster 6 work programme 2026-2027</w:t>
        </w:r>
      </w:hyperlink>
      <w:r>
        <w:t>: indicative funding EUR 12 million.</w:t>
      </w:r>
    </w:p>
  </w:footnote>
  <w:footnote w:id="166">
    <w:p w14:paraId="6924B298" w14:textId="5A362ADE" w:rsidR="00DE54C7" w:rsidRPr="001D733D" w:rsidRDefault="00DE54C7" w:rsidP="00D8171C">
      <w:pPr>
        <w:pStyle w:val="FootnoteText"/>
      </w:pPr>
      <w:r>
        <w:rPr>
          <w:rStyle w:val="FootnoteReference"/>
        </w:rPr>
        <w:footnoteRef/>
      </w:r>
      <w:r>
        <w:t xml:space="preserve"> Horizon Europe: indicative funding EUR 38 million.</w:t>
      </w:r>
    </w:p>
  </w:footnote>
  <w:footnote w:id="167">
    <w:p w14:paraId="0DCAFE2C" w14:textId="4CAF8AF8" w:rsidR="00F8695E" w:rsidRPr="00F8695E" w:rsidRDefault="00F8695E">
      <w:pPr>
        <w:pStyle w:val="FootnoteText"/>
      </w:pPr>
      <w:r>
        <w:rPr>
          <w:rStyle w:val="FootnoteReference"/>
        </w:rPr>
        <w:footnoteRef/>
      </w:r>
      <w:r>
        <w:t xml:space="preserve"> </w:t>
      </w:r>
      <w:r w:rsidRPr="00E4479F">
        <w:t>Horizon Europe Cluster 1 work programme 2026-2027: indicative funding EUR 24.5 million.</w:t>
      </w:r>
    </w:p>
  </w:footnote>
  <w:footnote w:id="168">
    <w:p w14:paraId="39C90EF1" w14:textId="77777777" w:rsidR="00DE54C7" w:rsidRPr="000E1D82" w:rsidRDefault="00DE54C7" w:rsidP="00D8171C">
      <w:pPr>
        <w:pStyle w:val="FootnoteText"/>
      </w:pPr>
      <w:r w:rsidRPr="000E1D82">
        <w:rPr>
          <w:rStyle w:val="FootnoteReference"/>
        </w:rPr>
        <w:footnoteRef/>
      </w:r>
      <w:r w:rsidRPr="000E1D82">
        <w:t xml:space="preserve"> European Partnership fostering a European Research Area for health research (ERA4Health).</w:t>
      </w:r>
    </w:p>
  </w:footnote>
  <w:footnote w:id="169">
    <w:p w14:paraId="714F078B" w14:textId="08453AD2" w:rsidR="00DE54C7" w:rsidRPr="000E1D82" w:rsidRDefault="00DE54C7" w:rsidP="00D8171C">
      <w:pPr>
        <w:pStyle w:val="FootnoteText"/>
      </w:pPr>
      <w:r w:rsidRPr="000E1D82">
        <w:rPr>
          <w:rStyle w:val="FootnoteReference"/>
        </w:rPr>
        <w:footnoteRef/>
      </w:r>
      <w:r w:rsidRPr="000E1D82">
        <w:t xml:space="preserve"> </w:t>
      </w:r>
      <w:hyperlink r:id="rId184" w:history="1">
        <w:r w:rsidRPr="000E1D82">
          <w:rPr>
            <w:rStyle w:val="Hyperlink"/>
          </w:rPr>
          <w:t>JA PreventNCD Youth Advisory Group</w:t>
        </w:r>
        <w:r w:rsidR="00926077">
          <w:rPr>
            <w:rStyle w:val="Hyperlink"/>
          </w:rPr>
          <w:t>.</w:t>
        </w:r>
      </w:hyperlink>
    </w:p>
  </w:footnote>
  <w:footnote w:id="170">
    <w:p w14:paraId="7FE15115" w14:textId="10E1AF46" w:rsidR="00DE54C7" w:rsidRPr="00BD32FC" w:rsidRDefault="00DE54C7" w:rsidP="00D8171C">
      <w:pPr>
        <w:pStyle w:val="FootnoteText"/>
      </w:pPr>
      <w:r w:rsidRPr="000E1D82">
        <w:rPr>
          <w:rStyle w:val="FootnoteReference"/>
        </w:rPr>
        <w:footnoteRef/>
      </w:r>
      <w:r w:rsidRPr="000E1D82">
        <w:t xml:space="preserve"> The Commission held a discussion with a group of young people with lived experience who shared their personal stories on living with cardiovascular diseases or related conditions - </w:t>
      </w:r>
      <w:hyperlink r:id="rId185" w:history="1">
        <w:r w:rsidRPr="000E1D82">
          <w:rPr>
            <w:rStyle w:val="Hyperlink"/>
          </w:rPr>
          <w:t>Cardiovascular health - Public Health - European Commission</w:t>
        </w:r>
      </w:hyperlink>
      <w:r w:rsidRPr="000E1D82">
        <w:t>.</w:t>
      </w:r>
    </w:p>
  </w:footnote>
  <w:footnote w:id="171">
    <w:p w14:paraId="01F0A0EC" w14:textId="77777777" w:rsidR="00DE54C7" w:rsidRPr="000E1D82" w:rsidRDefault="00DE54C7" w:rsidP="00D8171C">
      <w:pPr>
        <w:pStyle w:val="FootnoteText"/>
      </w:pPr>
      <w:r w:rsidRPr="000E1D82">
        <w:rPr>
          <w:rStyle w:val="FootnoteReference"/>
        </w:rPr>
        <w:footnoteRef/>
      </w:r>
      <w:r w:rsidRPr="000E1D82">
        <w:t xml:space="preserve"> </w:t>
      </w:r>
      <w:hyperlink r:id="rId186" w:history="1">
        <w:r w:rsidRPr="000E1D82">
          <w:rPr>
            <w:rStyle w:val="Hyperlink"/>
          </w:rPr>
          <w:t>Expert Group on Public Health - Public Health - European Commission</w:t>
        </w:r>
      </w:hyperlink>
      <w:r w:rsidRPr="000E1D82">
        <w:t>.</w:t>
      </w:r>
    </w:p>
  </w:footnote>
  <w:footnote w:id="172">
    <w:p w14:paraId="075A2ED1" w14:textId="77777777" w:rsidR="00DE54C7" w:rsidRPr="000E1D82" w:rsidRDefault="00DE54C7" w:rsidP="00D8171C">
      <w:pPr>
        <w:pStyle w:val="FootnoteText"/>
      </w:pPr>
      <w:r w:rsidRPr="000E1D82">
        <w:rPr>
          <w:rStyle w:val="FootnoteReference"/>
        </w:rPr>
        <w:footnoteRef/>
      </w:r>
      <w:r w:rsidRPr="000E1D82">
        <w:t xml:space="preserve"> Direct grants to Member States funded with EUR 5 million under the EU4Health 2025 work programme.</w:t>
      </w:r>
    </w:p>
  </w:footnote>
  <w:footnote w:id="173">
    <w:p w14:paraId="29C2BA6E" w14:textId="77777777" w:rsidR="00DE54C7" w:rsidRPr="000E1D82" w:rsidRDefault="00DE54C7" w:rsidP="00D8171C">
      <w:pPr>
        <w:pStyle w:val="FootnoteText"/>
      </w:pPr>
      <w:r w:rsidRPr="000E1D82">
        <w:rPr>
          <w:rStyle w:val="FootnoteReference"/>
        </w:rPr>
        <w:footnoteRef/>
      </w:r>
      <w:r w:rsidRPr="000E1D82">
        <w:t xml:space="preserve"> </w:t>
      </w:r>
      <w:r>
        <w:t>These a</w:t>
      </w:r>
      <w:r w:rsidRPr="000E1D82">
        <w:t>ction grants</w:t>
      </w:r>
      <w:r>
        <w:t xml:space="preserve"> will receive </w:t>
      </w:r>
      <w:r w:rsidRPr="000E1D82">
        <w:t xml:space="preserve">EUR 2 million </w:t>
      </w:r>
      <w:r>
        <w:t xml:space="preserve">in funding </w:t>
      </w:r>
      <w:r w:rsidRPr="000E1D82">
        <w:t>under EU4Health 2025 work programme.</w:t>
      </w:r>
    </w:p>
  </w:footnote>
  <w:footnote w:id="174">
    <w:p w14:paraId="3E89E12A" w14:textId="11AB6B74" w:rsidR="008B3E96" w:rsidRPr="008B3E96" w:rsidRDefault="008B3E96">
      <w:pPr>
        <w:pStyle w:val="FootnoteText"/>
        <w:rPr>
          <w:lang w:val="en-IE"/>
        </w:rPr>
      </w:pPr>
      <w:r>
        <w:rPr>
          <w:rStyle w:val="FootnoteReference"/>
        </w:rPr>
        <w:footnoteRef/>
      </w:r>
      <w:r>
        <w:t xml:space="preserve"> </w:t>
      </w:r>
      <w:hyperlink r:id="rId187" w:history="1">
        <w:r w:rsidRPr="008B3E96">
          <w:rPr>
            <w:rStyle w:val="Hyperlink"/>
            <w:lang w:val="en-IE"/>
          </w:rPr>
          <w:t>EU Health Policy Platform - EU Health Policy Platform</w:t>
        </w:r>
      </w:hyperlink>
      <w:r>
        <w:t>.</w:t>
      </w:r>
    </w:p>
  </w:footnote>
  <w:footnote w:id="175">
    <w:p w14:paraId="2E76E8C4" w14:textId="77777777" w:rsidR="00DE54C7" w:rsidRPr="000E1D82" w:rsidRDefault="00DE54C7" w:rsidP="00D8171C">
      <w:pPr>
        <w:pStyle w:val="FootnoteText"/>
      </w:pPr>
      <w:r w:rsidRPr="000E1D82">
        <w:rPr>
          <w:rStyle w:val="FootnoteReference"/>
        </w:rPr>
        <w:footnoteRef/>
      </w:r>
      <w:r w:rsidRPr="000E1D82">
        <w:t xml:space="preserve"> </w:t>
      </w:r>
      <w:hyperlink r:id="rId188" w:history="1">
        <w:r w:rsidRPr="000E1D82">
          <w:rPr>
            <w:rStyle w:val="Hyperlink"/>
          </w:rPr>
          <w:t>Best practices Portal</w:t>
        </w:r>
      </w:hyperlink>
      <w:r w:rsidRPr="000E1D82">
        <w:t>.</w:t>
      </w:r>
    </w:p>
  </w:footnote>
  <w:footnote w:id="176">
    <w:p w14:paraId="70D2D9C4" w14:textId="29BB420A" w:rsidR="00123448" w:rsidRPr="00E4479F" w:rsidRDefault="00123448">
      <w:pPr>
        <w:pStyle w:val="FootnoteText"/>
        <w:rPr>
          <w:lang w:val="en-IE"/>
        </w:rPr>
      </w:pPr>
      <w:r>
        <w:rPr>
          <w:rStyle w:val="FootnoteReference"/>
        </w:rPr>
        <w:footnoteRef/>
      </w:r>
      <w:r>
        <w:t xml:space="preserve"> </w:t>
      </w:r>
      <w:hyperlink r:id="rId189" w:history="1">
        <w:r>
          <w:rPr>
            <w:rStyle w:val="Hyperlink"/>
            <w:lang w:val="en-IE"/>
          </w:rPr>
          <w:t>Global Alliance for Chronic Diseases (GACD).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64F10" w14:textId="77777777" w:rsidR="0082449A" w:rsidRPr="0082449A" w:rsidRDefault="0082449A" w:rsidP="008244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F6828" w14:textId="77777777" w:rsidR="0082449A" w:rsidRPr="0082449A" w:rsidRDefault="0082449A" w:rsidP="008244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97B79" w14:textId="77777777" w:rsidR="0082449A" w:rsidRPr="0082449A" w:rsidRDefault="0082449A" w:rsidP="008244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B488B" w14:textId="77777777" w:rsidR="00FD1799" w:rsidRDefault="00FD17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2820" w14:textId="77777777" w:rsidR="00132AE2" w:rsidRDefault="00132AE2" w:rsidP="001A0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4C6A" w14:textId="77777777" w:rsidR="00AF7935" w:rsidRDefault="00AF7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2CB8"/>
    <w:multiLevelType w:val="hybridMultilevel"/>
    <w:tmpl w:val="EAEAD386"/>
    <w:lvl w:ilvl="0" w:tplc="651ECA74">
      <w:start w:val="1"/>
      <w:numFmt w:val="decimal"/>
      <w:lvlText w:val="%1."/>
      <w:lvlJc w:val="left"/>
      <w:pPr>
        <w:ind w:left="720" w:hanging="360"/>
      </w:pPr>
      <w:rPr>
        <w:rFonts w:ascii="Aptos" w:eastAsia="Aptos" w:hAnsi="Aptos" w:cs="Calibri"/>
        <w:b/>
        <w: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0C654B1"/>
    <w:multiLevelType w:val="hybridMultilevel"/>
    <w:tmpl w:val="9274028A"/>
    <w:lvl w:ilvl="0" w:tplc="1809000B">
      <w:start w:val="1"/>
      <w:numFmt w:val="bullet"/>
      <w:lvlText w:val=""/>
      <w:lvlJc w:val="left"/>
      <w:pPr>
        <w:ind w:left="781" w:hanging="360"/>
      </w:pPr>
      <w:rPr>
        <w:rFonts w:ascii="Wingdings" w:hAnsi="Wingdings"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2" w15:restartNumberingAfterBreak="0">
    <w:nsid w:val="049A3B6A"/>
    <w:multiLevelType w:val="hybridMultilevel"/>
    <w:tmpl w:val="33A23DDE"/>
    <w:lvl w:ilvl="0" w:tplc="C49AD9C2">
      <w:start w:val="1"/>
      <w:numFmt w:val="decimal"/>
      <w:lvlText w:val="%1)"/>
      <w:lvlJc w:val="left"/>
      <w:pPr>
        <w:ind w:left="720" w:hanging="360"/>
      </w:pPr>
    </w:lvl>
    <w:lvl w:ilvl="1" w:tplc="697A08CC">
      <w:start w:val="1"/>
      <w:numFmt w:val="decimal"/>
      <w:lvlText w:val="%2)"/>
      <w:lvlJc w:val="left"/>
      <w:pPr>
        <w:ind w:left="720" w:hanging="360"/>
      </w:pPr>
    </w:lvl>
    <w:lvl w:ilvl="2" w:tplc="C6507594">
      <w:start w:val="1"/>
      <w:numFmt w:val="decimal"/>
      <w:lvlText w:val="%3)"/>
      <w:lvlJc w:val="left"/>
      <w:pPr>
        <w:ind w:left="720" w:hanging="360"/>
      </w:pPr>
    </w:lvl>
    <w:lvl w:ilvl="3" w:tplc="3170062A">
      <w:start w:val="1"/>
      <w:numFmt w:val="decimal"/>
      <w:lvlText w:val="%4)"/>
      <w:lvlJc w:val="left"/>
      <w:pPr>
        <w:ind w:left="720" w:hanging="360"/>
      </w:pPr>
    </w:lvl>
    <w:lvl w:ilvl="4" w:tplc="E4A2D94C">
      <w:start w:val="1"/>
      <w:numFmt w:val="decimal"/>
      <w:lvlText w:val="%5)"/>
      <w:lvlJc w:val="left"/>
      <w:pPr>
        <w:ind w:left="720" w:hanging="360"/>
      </w:pPr>
    </w:lvl>
    <w:lvl w:ilvl="5" w:tplc="EA1CE582">
      <w:start w:val="1"/>
      <w:numFmt w:val="decimal"/>
      <w:lvlText w:val="%6)"/>
      <w:lvlJc w:val="left"/>
      <w:pPr>
        <w:ind w:left="720" w:hanging="360"/>
      </w:pPr>
    </w:lvl>
    <w:lvl w:ilvl="6" w:tplc="682E42DA">
      <w:start w:val="1"/>
      <w:numFmt w:val="decimal"/>
      <w:lvlText w:val="%7)"/>
      <w:lvlJc w:val="left"/>
      <w:pPr>
        <w:ind w:left="720" w:hanging="360"/>
      </w:pPr>
    </w:lvl>
    <w:lvl w:ilvl="7" w:tplc="26168B28">
      <w:start w:val="1"/>
      <w:numFmt w:val="decimal"/>
      <w:lvlText w:val="%8)"/>
      <w:lvlJc w:val="left"/>
      <w:pPr>
        <w:ind w:left="720" w:hanging="360"/>
      </w:pPr>
    </w:lvl>
    <w:lvl w:ilvl="8" w:tplc="2354C2F2">
      <w:start w:val="1"/>
      <w:numFmt w:val="decimal"/>
      <w:lvlText w:val="%9)"/>
      <w:lvlJc w:val="left"/>
      <w:pPr>
        <w:ind w:left="720" w:hanging="360"/>
      </w:pPr>
    </w:lvl>
  </w:abstractNum>
  <w:abstractNum w:abstractNumId="3" w15:restartNumberingAfterBreak="0">
    <w:nsid w:val="04D2220E"/>
    <w:multiLevelType w:val="hybridMultilevel"/>
    <w:tmpl w:val="6CBA9C28"/>
    <w:lvl w:ilvl="0" w:tplc="54AA4FBA">
      <w:start w:val="1"/>
      <w:numFmt w:val="decimal"/>
      <w:lvlText w:val="%1."/>
      <w:lvlJc w:val="left"/>
      <w:pPr>
        <w:ind w:left="720" w:hanging="360"/>
      </w:pPr>
    </w:lvl>
    <w:lvl w:ilvl="1" w:tplc="1F3E003C">
      <w:start w:val="1"/>
      <w:numFmt w:val="decimal"/>
      <w:lvlText w:val="%2."/>
      <w:lvlJc w:val="left"/>
      <w:pPr>
        <w:ind w:left="720" w:hanging="360"/>
      </w:pPr>
    </w:lvl>
    <w:lvl w:ilvl="2" w:tplc="76A8A7E2">
      <w:start w:val="1"/>
      <w:numFmt w:val="decimal"/>
      <w:lvlText w:val="%3."/>
      <w:lvlJc w:val="left"/>
      <w:pPr>
        <w:ind w:left="720" w:hanging="360"/>
      </w:pPr>
    </w:lvl>
    <w:lvl w:ilvl="3" w:tplc="FC4C85EE">
      <w:start w:val="1"/>
      <w:numFmt w:val="decimal"/>
      <w:lvlText w:val="%4."/>
      <w:lvlJc w:val="left"/>
      <w:pPr>
        <w:ind w:left="720" w:hanging="360"/>
      </w:pPr>
    </w:lvl>
    <w:lvl w:ilvl="4" w:tplc="8156665E">
      <w:start w:val="1"/>
      <w:numFmt w:val="decimal"/>
      <w:lvlText w:val="%5."/>
      <w:lvlJc w:val="left"/>
      <w:pPr>
        <w:ind w:left="720" w:hanging="360"/>
      </w:pPr>
    </w:lvl>
    <w:lvl w:ilvl="5" w:tplc="7D20B042">
      <w:start w:val="1"/>
      <w:numFmt w:val="decimal"/>
      <w:lvlText w:val="%6."/>
      <w:lvlJc w:val="left"/>
      <w:pPr>
        <w:ind w:left="720" w:hanging="360"/>
      </w:pPr>
    </w:lvl>
    <w:lvl w:ilvl="6" w:tplc="79BED380">
      <w:start w:val="1"/>
      <w:numFmt w:val="decimal"/>
      <w:lvlText w:val="%7."/>
      <w:lvlJc w:val="left"/>
      <w:pPr>
        <w:ind w:left="720" w:hanging="360"/>
      </w:pPr>
    </w:lvl>
    <w:lvl w:ilvl="7" w:tplc="505689B2">
      <w:start w:val="1"/>
      <w:numFmt w:val="decimal"/>
      <w:lvlText w:val="%8."/>
      <w:lvlJc w:val="left"/>
      <w:pPr>
        <w:ind w:left="720" w:hanging="360"/>
      </w:pPr>
    </w:lvl>
    <w:lvl w:ilvl="8" w:tplc="EBEC796C">
      <w:start w:val="1"/>
      <w:numFmt w:val="decimal"/>
      <w:lvlText w:val="%9."/>
      <w:lvlJc w:val="left"/>
      <w:pPr>
        <w:ind w:left="720" w:hanging="360"/>
      </w:pPr>
    </w:lvl>
  </w:abstractNum>
  <w:abstractNum w:abstractNumId="4" w15:restartNumberingAfterBreak="0">
    <w:nsid w:val="05901942"/>
    <w:multiLevelType w:val="hybridMultilevel"/>
    <w:tmpl w:val="415A781E"/>
    <w:lvl w:ilvl="0" w:tplc="8AFA3702">
      <w:start w:val="1"/>
      <w:numFmt w:val="decimal"/>
      <w:lvlText w:val="%1."/>
      <w:lvlJc w:val="left"/>
      <w:pPr>
        <w:ind w:left="1440" w:hanging="360"/>
      </w:pPr>
    </w:lvl>
    <w:lvl w:ilvl="1" w:tplc="A9FA5994">
      <w:start w:val="1"/>
      <w:numFmt w:val="decimal"/>
      <w:lvlText w:val="%2."/>
      <w:lvlJc w:val="left"/>
      <w:pPr>
        <w:ind w:left="1440" w:hanging="360"/>
      </w:pPr>
    </w:lvl>
    <w:lvl w:ilvl="2" w:tplc="F46A51C2">
      <w:start w:val="1"/>
      <w:numFmt w:val="decimal"/>
      <w:lvlText w:val="%3."/>
      <w:lvlJc w:val="left"/>
      <w:pPr>
        <w:ind w:left="1440" w:hanging="360"/>
      </w:pPr>
    </w:lvl>
    <w:lvl w:ilvl="3" w:tplc="F6803000">
      <w:start w:val="1"/>
      <w:numFmt w:val="decimal"/>
      <w:lvlText w:val="%4."/>
      <w:lvlJc w:val="left"/>
      <w:pPr>
        <w:ind w:left="1440" w:hanging="360"/>
      </w:pPr>
    </w:lvl>
    <w:lvl w:ilvl="4" w:tplc="E9AABCD8">
      <w:start w:val="1"/>
      <w:numFmt w:val="decimal"/>
      <w:lvlText w:val="%5."/>
      <w:lvlJc w:val="left"/>
      <w:pPr>
        <w:ind w:left="1440" w:hanging="360"/>
      </w:pPr>
    </w:lvl>
    <w:lvl w:ilvl="5" w:tplc="49603B5E">
      <w:start w:val="1"/>
      <w:numFmt w:val="decimal"/>
      <w:lvlText w:val="%6."/>
      <w:lvlJc w:val="left"/>
      <w:pPr>
        <w:ind w:left="1440" w:hanging="360"/>
      </w:pPr>
    </w:lvl>
    <w:lvl w:ilvl="6" w:tplc="F2D221F8">
      <w:start w:val="1"/>
      <w:numFmt w:val="decimal"/>
      <w:lvlText w:val="%7."/>
      <w:lvlJc w:val="left"/>
      <w:pPr>
        <w:ind w:left="1440" w:hanging="360"/>
      </w:pPr>
    </w:lvl>
    <w:lvl w:ilvl="7" w:tplc="7164796C">
      <w:start w:val="1"/>
      <w:numFmt w:val="decimal"/>
      <w:lvlText w:val="%8."/>
      <w:lvlJc w:val="left"/>
      <w:pPr>
        <w:ind w:left="1440" w:hanging="360"/>
      </w:pPr>
    </w:lvl>
    <w:lvl w:ilvl="8" w:tplc="AF84CB3C">
      <w:start w:val="1"/>
      <w:numFmt w:val="decimal"/>
      <w:lvlText w:val="%9."/>
      <w:lvlJc w:val="left"/>
      <w:pPr>
        <w:ind w:left="1440" w:hanging="360"/>
      </w:pPr>
    </w:lvl>
  </w:abstractNum>
  <w:abstractNum w:abstractNumId="5" w15:restartNumberingAfterBreak="0">
    <w:nsid w:val="059E32AF"/>
    <w:multiLevelType w:val="hybridMultilevel"/>
    <w:tmpl w:val="3224F49A"/>
    <w:lvl w:ilvl="0" w:tplc="78BAD9E6">
      <w:start w:val="1"/>
      <w:numFmt w:val="bullet"/>
      <w:lvlText w:val=""/>
      <w:lvlJc w:val="left"/>
      <w:pPr>
        <w:ind w:left="2040" w:hanging="360"/>
      </w:pPr>
      <w:rPr>
        <w:rFonts w:ascii="Symbol" w:hAnsi="Symbol"/>
      </w:rPr>
    </w:lvl>
    <w:lvl w:ilvl="1" w:tplc="F3D4C51A">
      <w:start w:val="1"/>
      <w:numFmt w:val="bullet"/>
      <w:lvlText w:val=""/>
      <w:lvlJc w:val="left"/>
      <w:pPr>
        <w:ind w:left="2040" w:hanging="360"/>
      </w:pPr>
      <w:rPr>
        <w:rFonts w:ascii="Symbol" w:hAnsi="Symbol"/>
      </w:rPr>
    </w:lvl>
    <w:lvl w:ilvl="2" w:tplc="FB12A26E">
      <w:start w:val="1"/>
      <w:numFmt w:val="bullet"/>
      <w:lvlText w:val=""/>
      <w:lvlJc w:val="left"/>
      <w:pPr>
        <w:ind w:left="2040" w:hanging="360"/>
      </w:pPr>
      <w:rPr>
        <w:rFonts w:ascii="Symbol" w:hAnsi="Symbol"/>
      </w:rPr>
    </w:lvl>
    <w:lvl w:ilvl="3" w:tplc="D9AC52E8">
      <w:start w:val="1"/>
      <w:numFmt w:val="bullet"/>
      <w:lvlText w:val=""/>
      <w:lvlJc w:val="left"/>
      <w:pPr>
        <w:ind w:left="2040" w:hanging="360"/>
      </w:pPr>
      <w:rPr>
        <w:rFonts w:ascii="Symbol" w:hAnsi="Symbol"/>
      </w:rPr>
    </w:lvl>
    <w:lvl w:ilvl="4" w:tplc="F77C07AC">
      <w:start w:val="1"/>
      <w:numFmt w:val="bullet"/>
      <w:lvlText w:val=""/>
      <w:lvlJc w:val="left"/>
      <w:pPr>
        <w:ind w:left="2040" w:hanging="360"/>
      </w:pPr>
      <w:rPr>
        <w:rFonts w:ascii="Symbol" w:hAnsi="Symbol"/>
      </w:rPr>
    </w:lvl>
    <w:lvl w:ilvl="5" w:tplc="AB28D31E">
      <w:start w:val="1"/>
      <w:numFmt w:val="bullet"/>
      <w:lvlText w:val=""/>
      <w:lvlJc w:val="left"/>
      <w:pPr>
        <w:ind w:left="2040" w:hanging="360"/>
      </w:pPr>
      <w:rPr>
        <w:rFonts w:ascii="Symbol" w:hAnsi="Symbol"/>
      </w:rPr>
    </w:lvl>
    <w:lvl w:ilvl="6" w:tplc="BED45EF2">
      <w:start w:val="1"/>
      <w:numFmt w:val="bullet"/>
      <w:lvlText w:val=""/>
      <w:lvlJc w:val="left"/>
      <w:pPr>
        <w:ind w:left="2040" w:hanging="360"/>
      </w:pPr>
      <w:rPr>
        <w:rFonts w:ascii="Symbol" w:hAnsi="Symbol"/>
      </w:rPr>
    </w:lvl>
    <w:lvl w:ilvl="7" w:tplc="BF92CC8C">
      <w:start w:val="1"/>
      <w:numFmt w:val="bullet"/>
      <w:lvlText w:val=""/>
      <w:lvlJc w:val="left"/>
      <w:pPr>
        <w:ind w:left="2040" w:hanging="360"/>
      </w:pPr>
      <w:rPr>
        <w:rFonts w:ascii="Symbol" w:hAnsi="Symbol"/>
      </w:rPr>
    </w:lvl>
    <w:lvl w:ilvl="8" w:tplc="96E8DA40">
      <w:start w:val="1"/>
      <w:numFmt w:val="bullet"/>
      <w:lvlText w:val=""/>
      <w:lvlJc w:val="left"/>
      <w:pPr>
        <w:ind w:left="2040" w:hanging="360"/>
      </w:pPr>
      <w:rPr>
        <w:rFonts w:ascii="Symbol" w:hAnsi="Symbol"/>
      </w:rPr>
    </w:lvl>
  </w:abstractNum>
  <w:abstractNum w:abstractNumId="6" w15:restartNumberingAfterBreak="0">
    <w:nsid w:val="05F66FAF"/>
    <w:multiLevelType w:val="multilevel"/>
    <w:tmpl w:val="79B81B5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theme="minorBidi"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D3741D"/>
    <w:multiLevelType w:val="multilevel"/>
    <w:tmpl w:val="BA56EA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480481"/>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F03BE7"/>
    <w:multiLevelType w:val="hybridMultilevel"/>
    <w:tmpl w:val="B068F30E"/>
    <w:lvl w:ilvl="0" w:tplc="29A2AA38">
      <w:start w:val="1"/>
      <w:numFmt w:val="decimal"/>
      <w:lvlText w:val="%1."/>
      <w:lvlJc w:val="left"/>
      <w:pPr>
        <w:ind w:left="1440" w:hanging="360"/>
      </w:pPr>
    </w:lvl>
    <w:lvl w:ilvl="1" w:tplc="AB4AE938">
      <w:start w:val="1"/>
      <w:numFmt w:val="decimal"/>
      <w:lvlText w:val="%2."/>
      <w:lvlJc w:val="left"/>
      <w:pPr>
        <w:ind w:left="1440" w:hanging="360"/>
      </w:pPr>
    </w:lvl>
    <w:lvl w:ilvl="2" w:tplc="86784434">
      <w:start w:val="1"/>
      <w:numFmt w:val="decimal"/>
      <w:lvlText w:val="%3."/>
      <w:lvlJc w:val="left"/>
      <w:pPr>
        <w:ind w:left="1440" w:hanging="360"/>
      </w:pPr>
    </w:lvl>
    <w:lvl w:ilvl="3" w:tplc="FE2C89FC">
      <w:start w:val="1"/>
      <w:numFmt w:val="decimal"/>
      <w:lvlText w:val="%4."/>
      <w:lvlJc w:val="left"/>
      <w:pPr>
        <w:ind w:left="1440" w:hanging="360"/>
      </w:pPr>
    </w:lvl>
    <w:lvl w:ilvl="4" w:tplc="F362ADB2">
      <w:start w:val="1"/>
      <w:numFmt w:val="decimal"/>
      <w:lvlText w:val="%5."/>
      <w:lvlJc w:val="left"/>
      <w:pPr>
        <w:ind w:left="1440" w:hanging="360"/>
      </w:pPr>
    </w:lvl>
    <w:lvl w:ilvl="5" w:tplc="07EC3AEA">
      <w:start w:val="1"/>
      <w:numFmt w:val="decimal"/>
      <w:lvlText w:val="%6."/>
      <w:lvlJc w:val="left"/>
      <w:pPr>
        <w:ind w:left="1440" w:hanging="360"/>
      </w:pPr>
    </w:lvl>
    <w:lvl w:ilvl="6" w:tplc="7DD83210">
      <w:start w:val="1"/>
      <w:numFmt w:val="decimal"/>
      <w:lvlText w:val="%7."/>
      <w:lvlJc w:val="left"/>
      <w:pPr>
        <w:ind w:left="1440" w:hanging="360"/>
      </w:pPr>
    </w:lvl>
    <w:lvl w:ilvl="7" w:tplc="169E17F4">
      <w:start w:val="1"/>
      <w:numFmt w:val="decimal"/>
      <w:lvlText w:val="%8."/>
      <w:lvlJc w:val="left"/>
      <w:pPr>
        <w:ind w:left="1440" w:hanging="360"/>
      </w:pPr>
    </w:lvl>
    <w:lvl w:ilvl="8" w:tplc="636ED500">
      <w:start w:val="1"/>
      <w:numFmt w:val="decimal"/>
      <w:lvlText w:val="%9."/>
      <w:lvlJc w:val="left"/>
      <w:pPr>
        <w:ind w:left="1440" w:hanging="360"/>
      </w:pPr>
    </w:lvl>
  </w:abstractNum>
  <w:abstractNum w:abstractNumId="10" w15:restartNumberingAfterBreak="0">
    <w:nsid w:val="09874292"/>
    <w:multiLevelType w:val="hybridMultilevel"/>
    <w:tmpl w:val="48EA8ECA"/>
    <w:lvl w:ilvl="0" w:tplc="5FF8349C">
      <w:start w:val="1"/>
      <w:numFmt w:val="bullet"/>
      <w:lvlText w:val=""/>
      <w:lvlJc w:val="left"/>
      <w:pPr>
        <w:ind w:left="2040" w:hanging="360"/>
      </w:pPr>
      <w:rPr>
        <w:rFonts w:ascii="Symbol" w:hAnsi="Symbol"/>
      </w:rPr>
    </w:lvl>
    <w:lvl w:ilvl="1" w:tplc="AF20CB6A">
      <w:start w:val="1"/>
      <w:numFmt w:val="bullet"/>
      <w:lvlText w:val=""/>
      <w:lvlJc w:val="left"/>
      <w:pPr>
        <w:ind w:left="2040" w:hanging="360"/>
      </w:pPr>
      <w:rPr>
        <w:rFonts w:ascii="Symbol" w:hAnsi="Symbol"/>
      </w:rPr>
    </w:lvl>
    <w:lvl w:ilvl="2" w:tplc="49C2037E">
      <w:start w:val="1"/>
      <w:numFmt w:val="bullet"/>
      <w:lvlText w:val=""/>
      <w:lvlJc w:val="left"/>
      <w:pPr>
        <w:ind w:left="2040" w:hanging="360"/>
      </w:pPr>
      <w:rPr>
        <w:rFonts w:ascii="Symbol" w:hAnsi="Symbol"/>
      </w:rPr>
    </w:lvl>
    <w:lvl w:ilvl="3" w:tplc="5F64F302">
      <w:start w:val="1"/>
      <w:numFmt w:val="bullet"/>
      <w:lvlText w:val=""/>
      <w:lvlJc w:val="left"/>
      <w:pPr>
        <w:ind w:left="2040" w:hanging="360"/>
      </w:pPr>
      <w:rPr>
        <w:rFonts w:ascii="Symbol" w:hAnsi="Symbol"/>
      </w:rPr>
    </w:lvl>
    <w:lvl w:ilvl="4" w:tplc="2D4E560E">
      <w:start w:val="1"/>
      <w:numFmt w:val="bullet"/>
      <w:lvlText w:val=""/>
      <w:lvlJc w:val="left"/>
      <w:pPr>
        <w:ind w:left="2040" w:hanging="360"/>
      </w:pPr>
      <w:rPr>
        <w:rFonts w:ascii="Symbol" w:hAnsi="Symbol"/>
      </w:rPr>
    </w:lvl>
    <w:lvl w:ilvl="5" w:tplc="D0BEA5AA">
      <w:start w:val="1"/>
      <w:numFmt w:val="bullet"/>
      <w:lvlText w:val=""/>
      <w:lvlJc w:val="left"/>
      <w:pPr>
        <w:ind w:left="2040" w:hanging="360"/>
      </w:pPr>
      <w:rPr>
        <w:rFonts w:ascii="Symbol" w:hAnsi="Symbol"/>
      </w:rPr>
    </w:lvl>
    <w:lvl w:ilvl="6" w:tplc="00BA3D64">
      <w:start w:val="1"/>
      <w:numFmt w:val="bullet"/>
      <w:lvlText w:val=""/>
      <w:lvlJc w:val="left"/>
      <w:pPr>
        <w:ind w:left="2040" w:hanging="360"/>
      </w:pPr>
      <w:rPr>
        <w:rFonts w:ascii="Symbol" w:hAnsi="Symbol"/>
      </w:rPr>
    </w:lvl>
    <w:lvl w:ilvl="7" w:tplc="7A8E3F1C">
      <w:start w:val="1"/>
      <w:numFmt w:val="bullet"/>
      <w:lvlText w:val=""/>
      <w:lvlJc w:val="left"/>
      <w:pPr>
        <w:ind w:left="2040" w:hanging="360"/>
      </w:pPr>
      <w:rPr>
        <w:rFonts w:ascii="Symbol" w:hAnsi="Symbol"/>
      </w:rPr>
    </w:lvl>
    <w:lvl w:ilvl="8" w:tplc="92042FF4">
      <w:start w:val="1"/>
      <w:numFmt w:val="bullet"/>
      <w:lvlText w:val=""/>
      <w:lvlJc w:val="left"/>
      <w:pPr>
        <w:ind w:left="2040" w:hanging="360"/>
      </w:pPr>
      <w:rPr>
        <w:rFonts w:ascii="Symbol" w:hAnsi="Symbol"/>
      </w:rPr>
    </w:lvl>
  </w:abstractNum>
  <w:abstractNum w:abstractNumId="11" w15:restartNumberingAfterBreak="0">
    <w:nsid w:val="09BA55D2"/>
    <w:multiLevelType w:val="hybridMultilevel"/>
    <w:tmpl w:val="4FE20740"/>
    <w:lvl w:ilvl="0" w:tplc="6D5E0FDC">
      <w:start w:val="1"/>
      <w:numFmt w:val="bullet"/>
      <w:lvlText w:val=""/>
      <w:lvlJc w:val="left"/>
      <w:pPr>
        <w:ind w:left="2040" w:hanging="360"/>
      </w:pPr>
      <w:rPr>
        <w:rFonts w:ascii="Symbol" w:hAnsi="Symbol"/>
      </w:rPr>
    </w:lvl>
    <w:lvl w:ilvl="1" w:tplc="EBF6D054">
      <w:start w:val="1"/>
      <w:numFmt w:val="bullet"/>
      <w:lvlText w:val=""/>
      <w:lvlJc w:val="left"/>
      <w:pPr>
        <w:ind w:left="2040" w:hanging="360"/>
      </w:pPr>
      <w:rPr>
        <w:rFonts w:ascii="Symbol" w:hAnsi="Symbol"/>
      </w:rPr>
    </w:lvl>
    <w:lvl w:ilvl="2" w:tplc="E3327FE6">
      <w:start w:val="1"/>
      <w:numFmt w:val="bullet"/>
      <w:lvlText w:val=""/>
      <w:lvlJc w:val="left"/>
      <w:pPr>
        <w:ind w:left="2040" w:hanging="360"/>
      </w:pPr>
      <w:rPr>
        <w:rFonts w:ascii="Symbol" w:hAnsi="Symbol"/>
      </w:rPr>
    </w:lvl>
    <w:lvl w:ilvl="3" w:tplc="2DC2E970">
      <w:start w:val="1"/>
      <w:numFmt w:val="bullet"/>
      <w:lvlText w:val=""/>
      <w:lvlJc w:val="left"/>
      <w:pPr>
        <w:ind w:left="2040" w:hanging="360"/>
      </w:pPr>
      <w:rPr>
        <w:rFonts w:ascii="Symbol" w:hAnsi="Symbol"/>
      </w:rPr>
    </w:lvl>
    <w:lvl w:ilvl="4" w:tplc="084C9692">
      <w:start w:val="1"/>
      <w:numFmt w:val="bullet"/>
      <w:lvlText w:val=""/>
      <w:lvlJc w:val="left"/>
      <w:pPr>
        <w:ind w:left="2040" w:hanging="360"/>
      </w:pPr>
      <w:rPr>
        <w:rFonts w:ascii="Symbol" w:hAnsi="Symbol"/>
      </w:rPr>
    </w:lvl>
    <w:lvl w:ilvl="5" w:tplc="DF185B44">
      <w:start w:val="1"/>
      <w:numFmt w:val="bullet"/>
      <w:lvlText w:val=""/>
      <w:lvlJc w:val="left"/>
      <w:pPr>
        <w:ind w:left="2040" w:hanging="360"/>
      </w:pPr>
      <w:rPr>
        <w:rFonts w:ascii="Symbol" w:hAnsi="Symbol"/>
      </w:rPr>
    </w:lvl>
    <w:lvl w:ilvl="6" w:tplc="CC0C7D64">
      <w:start w:val="1"/>
      <w:numFmt w:val="bullet"/>
      <w:lvlText w:val=""/>
      <w:lvlJc w:val="left"/>
      <w:pPr>
        <w:ind w:left="2040" w:hanging="360"/>
      </w:pPr>
      <w:rPr>
        <w:rFonts w:ascii="Symbol" w:hAnsi="Symbol"/>
      </w:rPr>
    </w:lvl>
    <w:lvl w:ilvl="7" w:tplc="D24891F8">
      <w:start w:val="1"/>
      <w:numFmt w:val="bullet"/>
      <w:lvlText w:val=""/>
      <w:lvlJc w:val="left"/>
      <w:pPr>
        <w:ind w:left="2040" w:hanging="360"/>
      </w:pPr>
      <w:rPr>
        <w:rFonts w:ascii="Symbol" w:hAnsi="Symbol"/>
      </w:rPr>
    </w:lvl>
    <w:lvl w:ilvl="8" w:tplc="5CB624AC">
      <w:start w:val="1"/>
      <w:numFmt w:val="bullet"/>
      <w:lvlText w:val=""/>
      <w:lvlJc w:val="left"/>
      <w:pPr>
        <w:ind w:left="2040" w:hanging="360"/>
      </w:pPr>
      <w:rPr>
        <w:rFonts w:ascii="Symbol" w:hAnsi="Symbol"/>
      </w:rPr>
    </w:lvl>
  </w:abstractNum>
  <w:abstractNum w:abstractNumId="12" w15:restartNumberingAfterBreak="0">
    <w:nsid w:val="0A2A1600"/>
    <w:multiLevelType w:val="hybridMultilevel"/>
    <w:tmpl w:val="7D6642D0"/>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A922BDC"/>
    <w:multiLevelType w:val="hybridMultilevel"/>
    <w:tmpl w:val="9202CB96"/>
    <w:lvl w:ilvl="0" w:tplc="CE263F94">
      <w:start w:val="1"/>
      <w:numFmt w:val="decimal"/>
      <w:lvlText w:val="%1."/>
      <w:lvlJc w:val="left"/>
      <w:pPr>
        <w:ind w:left="720" w:hanging="360"/>
      </w:pPr>
    </w:lvl>
    <w:lvl w:ilvl="1" w:tplc="A4CCC048">
      <w:start w:val="1"/>
      <w:numFmt w:val="decimal"/>
      <w:lvlText w:val="%2."/>
      <w:lvlJc w:val="left"/>
      <w:pPr>
        <w:ind w:left="720" w:hanging="360"/>
      </w:pPr>
    </w:lvl>
    <w:lvl w:ilvl="2" w:tplc="44340160">
      <w:start w:val="1"/>
      <w:numFmt w:val="decimal"/>
      <w:lvlText w:val="%3."/>
      <w:lvlJc w:val="left"/>
      <w:pPr>
        <w:ind w:left="720" w:hanging="360"/>
      </w:pPr>
    </w:lvl>
    <w:lvl w:ilvl="3" w:tplc="0DBC39DE">
      <w:start w:val="1"/>
      <w:numFmt w:val="decimal"/>
      <w:lvlText w:val="%4."/>
      <w:lvlJc w:val="left"/>
      <w:pPr>
        <w:ind w:left="720" w:hanging="360"/>
      </w:pPr>
    </w:lvl>
    <w:lvl w:ilvl="4" w:tplc="6394B99E">
      <w:start w:val="1"/>
      <w:numFmt w:val="decimal"/>
      <w:lvlText w:val="%5."/>
      <w:lvlJc w:val="left"/>
      <w:pPr>
        <w:ind w:left="720" w:hanging="360"/>
      </w:pPr>
    </w:lvl>
    <w:lvl w:ilvl="5" w:tplc="552C13E8">
      <w:start w:val="1"/>
      <w:numFmt w:val="decimal"/>
      <w:lvlText w:val="%6."/>
      <w:lvlJc w:val="left"/>
      <w:pPr>
        <w:ind w:left="720" w:hanging="360"/>
      </w:pPr>
    </w:lvl>
    <w:lvl w:ilvl="6" w:tplc="3412EBF2">
      <w:start w:val="1"/>
      <w:numFmt w:val="decimal"/>
      <w:lvlText w:val="%7."/>
      <w:lvlJc w:val="left"/>
      <w:pPr>
        <w:ind w:left="720" w:hanging="360"/>
      </w:pPr>
    </w:lvl>
    <w:lvl w:ilvl="7" w:tplc="5D481214">
      <w:start w:val="1"/>
      <w:numFmt w:val="decimal"/>
      <w:lvlText w:val="%8."/>
      <w:lvlJc w:val="left"/>
      <w:pPr>
        <w:ind w:left="720" w:hanging="360"/>
      </w:pPr>
    </w:lvl>
    <w:lvl w:ilvl="8" w:tplc="DC146B5E">
      <w:start w:val="1"/>
      <w:numFmt w:val="decimal"/>
      <w:lvlText w:val="%9."/>
      <w:lvlJc w:val="left"/>
      <w:pPr>
        <w:ind w:left="720" w:hanging="360"/>
      </w:pPr>
    </w:lvl>
  </w:abstractNum>
  <w:abstractNum w:abstractNumId="14" w15:restartNumberingAfterBreak="0">
    <w:nsid w:val="0E1F6ACA"/>
    <w:multiLevelType w:val="hybridMultilevel"/>
    <w:tmpl w:val="3FF63D88"/>
    <w:lvl w:ilvl="0" w:tplc="EF1227F6">
      <w:start w:val="1"/>
      <w:numFmt w:val="decimal"/>
      <w:lvlText w:val="%1)"/>
      <w:lvlJc w:val="left"/>
      <w:pPr>
        <w:ind w:left="1080" w:hanging="360"/>
      </w:pPr>
    </w:lvl>
    <w:lvl w:ilvl="1" w:tplc="5AC6F7DA">
      <w:start w:val="1"/>
      <w:numFmt w:val="decimal"/>
      <w:lvlText w:val="%2)"/>
      <w:lvlJc w:val="left"/>
      <w:pPr>
        <w:ind w:left="1080" w:hanging="360"/>
      </w:pPr>
    </w:lvl>
    <w:lvl w:ilvl="2" w:tplc="292AA1F2">
      <w:start w:val="1"/>
      <w:numFmt w:val="decimal"/>
      <w:lvlText w:val="%3)"/>
      <w:lvlJc w:val="left"/>
      <w:pPr>
        <w:ind w:left="1080" w:hanging="360"/>
      </w:pPr>
    </w:lvl>
    <w:lvl w:ilvl="3" w:tplc="5EAA2B64">
      <w:start w:val="1"/>
      <w:numFmt w:val="decimal"/>
      <w:lvlText w:val="%4)"/>
      <w:lvlJc w:val="left"/>
      <w:pPr>
        <w:ind w:left="1080" w:hanging="360"/>
      </w:pPr>
    </w:lvl>
    <w:lvl w:ilvl="4" w:tplc="FA621734">
      <w:start w:val="1"/>
      <w:numFmt w:val="decimal"/>
      <w:lvlText w:val="%5)"/>
      <w:lvlJc w:val="left"/>
      <w:pPr>
        <w:ind w:left="1080" w:hanging="360"/>
      </w:pPr>
    </w:lvl>
    <w:lvl w:ilvl="5" w:tplc="6930EC64">
      <w:start w:val="1"/>
      <w:numFmt w:val="decimal"/>
      <w:lvlText w:val="%6)"/>
      <w:lvlJc w:val="left"/>
      <w:pPr>
        <w:ind w:left="1080" w:hanging="360"/>
      </w:pPr>
    </w:lvl>
    <w:lvl w:ilvl="6" w:tplc="4E5C9636">
      <w:start w:val="1"/>
      <w:numFmt w:val="decimal"/>
      <w:lvlText w:val="%7)"/>
      <w:lvlJc w:val="left"/>
      <w:pPr>
        <w:ind w:left="1080" w:hanging="360"/>
      </w:pPr>
    </w:lvl>
    <w:lvl w:ilvl="7" w:tplc="37FE9C5A">
      <w:start w:val="1"/>
      <w:numFmt w:val="decimal"/>
      <w:lvlText w:val="%8)"/>
      <w:lvlJc w:val="left"/>
      <w:pPr>
        <w:ind w:left="1080" w:hanging="360"/>
      </w:pPr>
    </w:lvl>
    <w:lvl w:ilvl="8" w:tplc="A1B4F0F0">
      <w:start w:val="1"/>
      <w:numFmt w:val="decimal"/>
      <w:lvlText w:val="%9)"/>
      <w:lvlJc w:val="left"/>
      <w:pPr>
        <w:ind w:left="1080" w:hanging="360"/>
      </w:pPr>
    </w:lvl>
  </w:abstractNum>
  <w:abstractNum w:abstractNumId="15" w15:restartNumberingAfterBreak="0">
    <w:nsid w:val="0EE92BBC"/>
    <w:multiLevelType w:val="hybridMultilevel"/>
    <w:tmpl w:val="B07890BE"/>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F1A1986"/>
    <w:multiLevelType w:val="hybridMultilevel"/>
    <w:tmpl w:val="BCF0F2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F961CBA"/>
    <w:multiLevelType w:val="hybridMultilevel"/>
    <w:tmpl w:val="8EFCC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01062B4"/>
    <w:multiLevelType w:val="hybridMultilevel"/>
    <w:tmpl w:val="D098D188"/>
    <w:lvl w:ilvl="0" w:tplc="F68E58E6">
      <w:start w:val="1"/>
      <w:numFmt w:val="decimal"/>
      <w:lvlText w:val="%1."/>
      <w:lvlJc w:val="left"/>
      <w:pPr>
        <w:ind w:left="720" w:hanging="360"/>
      </w:pPr>
    </w:lvl>
    <w:lvl w:ilvl="1" w:tplc="D30861BE">
      <w:start w:val="1"/>
      <w:numFmt w:val="decimal"/>
      <w:lvlText w:val="%2."/>
      <w:lvlJc w:val="left"/>
      <w:pPr>
        <w:ind w:left="720" w:hanging="360"/>
      </w:pPr>
    </w:lvl>
    <w:lvl w:ilvl="2" w:tplc="21528A8E">
      <w:start w:val="1"/>
      <w:numFmt w:val="decimal"/>
      <w:lvlText w:val="%3."/>
      <w:lvlJc w:val="left"/>
      <w:pPr>
        <w:ind w:left="720" w:hanging="360"/>
      </w:pPr>
    </w:lvl>
    <w:lvl w:ilvl="3" w:tplc="FFD415BC">
      <w:start w:val="1"/>
      <w:numFmt w:val="decimal"/>
      <w:lvlText w:val="%4."/>
      <w:lvlJc w:val="left"/>
      <w:pPr>
        <w:ind w:left="720" w:hanging="360"/>
      </w:pPr>
    </w:lvl>
    <w:lvl w:ilvl="4" w:tplc="4294B278">
      <w:start w:val="1"/>
      <w:numFmt w:val="decimal"/>
      <w:lvlText w:val="%5."/>
      <w:lvlJc w:val="left"/>
      <w:pPr>
        <w:ind w:left="720" w:hanging="360"/>
      </w:pPr>
    </w:lvl>
    <w:lvl w:ilvl="5" w:tplc="2EF8679C">
      <w:start w:val="1"/>
      <w:numFmt w:val="decimal"/>
      <w:lvlText w:val="%6."/>
      <w:lvlJc w:val="left"/>
      <w:pPr>
        <w:ind w:left="720" w:hanging="360"/>
      </w:pPr>
    </w:lvl>
    <w:lvl w:ilvl="6" w:tplc="336E7468">
      <w:start w:val="1"/>
      <w:numFmt w:val="decimal"/>
      <w:lvlText w:val="%7."/>
      <w:lvlJc w:val="left"/>
      <w:pPr>
        <w:ind w:left="720" w:hanging="360"/>
      </w:pPr>
    </w:lvl>
    <w:lvl w:ilvl="7" w:tplc="31366FB4">
      <w:start w:val="1"/>
      <w:numFmt w:val="decimal"/>
      <w:lvlText w:val="%8."/>
      <w:lvlJc w:val="left"/>
      <w:pPr>
        <w:ind w:left="720" w:hanging="360"/>
      </w:pPr>
    </w:lvl>
    <w:lvl w:ilvl="8" w:tplc="B6848A8E">
      <w:start w:val="1"/>
      <w:numFmt w:val="decimal"/>
      <w:lvlText w:val="%9."/>
      <w:lvlJc w:val="left"/>
      <w:pPr>
        <w:ind w:left="720" w:hanging="360"/>
      </w:pPr>
    </w:lvl>
  </w:abstractNum>
  <w:abstractNum w:abstractNumId="19" w15:restartNumberingAfterBreak="0">
    <w:nsid w:val="10582EEC"/>
    <w:multiLevelType w:val="hybridMultilevel"/>
    <w:tmpl w:val="7CBE0DA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0B06E0F"/>
    <w:multiLevelType w:val="hybridMultilevel"/>
    <w:tmpl w:val="3E664EE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12321A0"/>
    <w:multiLevelType w:val="hybridMultilevel"/>
    <w:tmpl w:val="7AFA3FC6"/>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11BD3108"/>
    <w:multiLevelType w:val="hybridMultilevel"/>
    <w:tmpl w:val="F0581F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3BC35F2"/>
    <w:multiLevelType w:val="hybridMultilevel"/>
    <w:tmpl w:val="1D1C432E"/>
    <w:lvl w:ilvl="0" w:tplc="FFFFFFFF">
      <w:start w:val="1"/>
      <w:numFmt w:val="bullet"/>
      <w:lvlText w:val=""/>
      <w:lvlJc w:val="left"/>
      <w:pPr>
        <w:ind w:left="720" w:hanging="360"/>
      </w:pPr>
      <w:rPr>
        <w:rFonts w:ascii="Wingdings" w:hAnsi="Wingdings"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67B15E8"/>
    <w:multiLevelType w:val="hybridMultilevel"/>
    <w:tmpl w:val="152EC4A8"/>
    <w:lvl w:ilvl="0" w:tplc="E004B774">
      <w:start w:val="1"/>
      <w:numFmt w:val="decimal"/>
      <w:lvlText w:val="%1."/>
      <w:lvlJc w:val="left"/>
      <w:pPr>
        <w:ind w:left="720" w:hanging="360"/>
      </w:pPr>
    </w:lvl>
    <w:lvl w:ilvl="1" w:tplc="85F69B98">
      <w:start w:val="1"/>
      <w:numFmt w:val="decimal"/>
      <w:lvlText w:val="%2."/>
      <w:lvlJc w:val="left"/>
      <w:pPr>
        <w:ind w:left="720" w:hanging="360"/>
      </w:pPr>
    </w:lvl>
    <w:lvl w:ilvl="2" w:tplc="B4768434">
      <w:start w:val="1"/>
      <w:numFmt w:val="decimal"/>
      <w:lvlText w:val="%3."/>
      <w:lvlJc w:val="left"/>
      <w:pPr>
        <w:ind w:left="720" w:hanging="360"/>
      </w:pPr>
    </w:lvl>
    <w:lvl w:ilvl="3" w:tplc="42AEA2B8">
      <w:start w:val="1"/>
      <w:numFmt w:val="decimal"/>
      <w:lvlText w:val="%4."/>
      <w:lvlJc w:val="left"/>
      <w:pPr>
        <w:ind w:left="720" w:hanging="360"/>
      </w:pPr>
    </w:lvl>
    <w:lvl w:ilvl="4" w:tplc="FCA271B4">
      <w:start w:val="1"/>
      <w:numFmt w:val="decimal"/>
      <w:lvlText w:val="%5."/>
      <w:lvlJc w:val="left"/>
      <w:pPr>
        <w:ind w:left="720" w:hanging="360"/>
      </w:pPr>
    </w:lvl>
    <w:lvl w:ilvl="5" w:tplc="69009BA6">
      <w:start w:val="1"/>
      <w:numFmt w:val="decimal"/>
      <w:lvlText w:val="%6."/>
      <w:lvlJc w:val="left"/>
      <w:pPr>
        <w:ind w:left="720" w:hanging="360"/>
      </w:pPr>
    </w:lvl>
    <w:lvl w:ilvl="6" w:tplc="98743CE2">
      <w:start w:val="1"/>
      <w:numFmt w:val="decimal"/>
      <w:lvlText w:val="%7."/>
      <w:lvlJc w:val="left"/>
      <w:pPr>
        <w:ind w:left="720" w:hanging="360"/>
      </w:pPr>
    </w:lvl>
    <w:lvl w:ilvl="7" w:tplc="1AEE7712">
      <w:start w:val="1"/>
      <w:numFmt w:val="decimal"/>
      <w:lvlText w:val="%8."/>
      <w:lvlJc w:val="left"/>
      <w:pPr>
        <w:ind w:left="720" w:hanging="360"/>
      </w:pPr>
    </w:lvl>
    <w:lvl w:ilvl="8" w:tplc="48D4626A">
      <w:start w:val="1"/>
      <w:numFmt w:val="decimal"/>
      <w:lvlText w:val="%9."/>
      <w:lvlJc w:val="left"/>
      <w:pPr>
        <w:ind w:left="720" w:hanging="360"/>
      </w:pPr>
    </w:lvl>
  </w:abstractNum>
  <w:abstractNum w:abstractNumId="25" w15:restartNumberingAfterBreak="0">
    <w:nsid w:val="17460F6F"/>
    <w:multiLevelType w:val="hybridMultilevel"/>
    <w:tmpl w:val="BD805252"/>
    <w:lvl w:ilvl="0" w:tplc="E90C03F8">
      <w:numFmt w:val="bullet"/>
      <w:lvlText w:val="-"/>
      <w:lvlJc w:val="left"/>
      <w:pPr>
        <w:ind w:left="1212" w:hanging="360"/>
      </w:pPr>
      <w:rPr>
        <w:rFonts w:ascii="Times New Roman" w:eastAsiaTheme="minorHAnsi" w:hAnsi="Times New Roman" w:cs="Times New Roman" w:hint="default"/>
      </w:rPr>
    </w:lvl>
    <w:lvl w:ilvl="1" w:tplc="18090003" w:tentative="1">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26" w15:restartNumberingAfterBreak="0">
    <w:nsid w:val="17FF590F"/>
    <w:multiLevelType w:val="hybridMultilevel"/>
    <w:tmpl w:val="B15833E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8051B6B"/>
    <w:multiLevelType w:val="hybridMultilevel"/>
    <w:tmpl w:val="31D2BAAC"/>
    <w:lvl w:ilvl="0" w:tplc="E5A444E4">
      <w:start w:val="1"/>
      <w:numFmt w:val="decimal"/>
      <w:lvlText w:val="%1."/>
      <w:lvlJc w:val="left"/>
      <w:pPr>
        <w:ind w:left="1440" w:hanging="360"/>
      </w:pPr>
    </w:lvl>
    <w:lvl w:ilvl="1" w:tplc="6F4404BC">
      <w:start w:val="1"/>
      <w:numFmt w:val="decimal"/>
      <w:lvlText w:val="%2."/>
      <w:lvlJc w:val="left"/>
      <w:pPr>
        <w:ind w:left="1440" w:hanging="360"/>
      </w:pPr>
    </w:lvl>
    <w:lvl w:ilvl="2" w:tplc="0F6E4658">
      <w:start w:val="1"/>
      <w:numFmt w:val="decimal"/>
      <w:lvlText w:val="%3."/>
      <w:lvlJc w:val="left"/>
      <w:pPr>
        <w:ind w:left="1440" w:hanging="360"/>
      </w:pPr>
    </w:lvl>
    <w:lvl w:ilvl="3" w:tplc="EECA5058">
      <w:start w:val="1"/>
      <w:numFmt w:val="decimal"/>
      <w:lvlText w:val="%4."/>
      <w:lvlJc w:val="left"/>
      <w:pPr>
        <w:ind w:left="1440" w:hanging="360"/>
      </w:pPr>
    </w:lvl>
    <w:lvl w:ilvl="4" w:tplc="B68EDA2E">
      <w:start w:val="1"/>
      <w:numFmt w:val="decimal"/>
      <w:lvlText w:val="%5."/>
      <w:lvlJc w:val="left"/>
      <w:pPr>
        <w:ind w:left="1440" w:hanging="360"/>
      </w:pPr>
    </w:lvl>
    <w:lvl w:ilvl="5" w:tplc="DA163FF6">
      <w:start w:val="1"/>
      <w:numFmt w:val="decimal"/>
      <w:lvlText w:val="%6."/>
      <w:lvlJc w:val="left"/>
      <w:pPr>
        <w:ind w:left="1440" w:hanging="360"/>
      </w:pPr>
    </w:lvl>
    <w:lvl w:ilvl="6" w:tplc="468497A6">
      <w:start w:val="1"/>
      <w:numFmt w:val="decimal"/>
      <w:lvlText w:val="%7."/>
      <w:lvlJc w:val="left"/>
      <w:pPr>
        <w:ind w:left="1440" w:hanging="360"/>
      </w:pPr>
    </w:lvl>
    <w:lvl w:ilvl="7" w:tplc="31667216">
      <w:start w:val="1"/>
      <w:numFmt w:val="decimal"/>
      <w:lvlText w:val="%8."/>
      <w:lvlJc w:val="left"/>
      <w:pPr>
        <w:ind w:left="1440" w:hanging="360"/>
      </w:pPr>
    </w:lvl>
    <w:lvl w:ilvl="8" w:tplc="1C928B40">
      <w:start w:val="1"/>
      <w:numFmt w:val="decimal"/>
      <w:lvlText w:val="%9."/>
      <w:lvlJc w:val="left"/>
      <w:pPr>
        <w:ind w:left="1440" w:hanging="360"/>
      </w:pPr>
    </w:lvl>
  </w:abstractNum>
  <w:abstractNum w:abstractNumId="28" w15:restartNumberingAfterBreak="0">
    <w:nsid w:val="18441C7E"/>
    <w:multiLevelType w:val="multilevel"/>
    <w:tmpl w:val="80246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8622F72"/>
    <w:multiLevelType w:val="hybridMultilevel"/>
    <w:tmpl w:val="E7E02A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A9B618F"/>
    <w:multiLevelType w:val="hybridMultilevel"/>
    <w:tmpl w:val="1000376A"/>
    <w:lvl w:ilvl="0" w:tplc="5D62D2D2">
      <w:start w:val="1"/>
      <w:numFmt w:val="decimal"/>
      <w:lvlText w:val="%1)"/>
      <w:lvlJc w:val="left"/>
      <w:pPr>
        <w:ind w:left="1080" w:hanging="360"/>
      </w:pPr>
    </w:lvl>
    <w:lvl w:ilvl="1" w:tplc="39B8AD44">
      <w:start w:val="1"/>
      <w:numFmt w:val="decimal"/>
      <w:lvlText w:val="%2)"/>
      <w:lvlJc w:val="left"/>
      <w:pPr>
        <w:ind w:left="1080" w:hanging="360"/>
      </w:pPr>
    </w:lvl>
    <w:lvl w:ilvl="2" w:tplc="98100F46">
      <w:start w:val="1"/>
      <w:numFmt w:val="decimal"/>
      <w:lvlText w:val="%3)"/>
      <w:lvlJc w:val="left"/>
      <w:pPr>
        <w:ind w:left="1080" w:hanging="360"/>
      </w:pPr>
    </w:lvl>
    <w:lvl w:ilvl="3" w:tplc="667657A4">
      <w:start w:val="1"/>
      <w:numFmt w:val="decimal"/>
      <w:lvlText w:val="%4)"/>
      <w:lvlJc w:val="left"/>
      <w:pPr>
        <w:ind w:left="1080" w:hanging="360"/>
      </w:pPr>
    </w:lvl>
    <w:lvl w:ilvl="4" w:tplc="83A24CCA">
      <w:start w:val="1"/>
      <w:numFmt w:val="decimal"/>
      <w:lvlText w:val="%5)"/>
      <w:lvlJc w:val="left"/>
      <w:pPr>
        <w:ind w:left="1080" w:hanging="360"/>
      </w:pPr>
    </w:lvl>
    <w:lvl w:ilvl="5" w:tplc="42E49608">
      <w:start w:val="1"/>
      <w:numFmt w:val="decimal"/>
      <w:lvlText w:val="%6)"/>
      <w:lvlJc w:val="left"/>
      <w:pPr>
        <w:ind w:left="1080" w:hanging="360"/>
      </w:pPr>
    </w:lvl>
    <w:lvl w:ilvl="6" w:tplc="35E4FCBC">
      <w:start w:val="1"/>
      <w:numFmt w:val="decimal"/>
      <w:lvlText w:val="%7)"/>
      <w:lvlJc w:val="left"/>
      <w:pPr>
        <w:ind w:left="1080" w:hanging="360"/>
      </w:pPr>
    </w:lvl>
    <w:lvl w:ilvl="7" w:tplc="53B223E4">
      <w:start w:val="1"/>
      <w:numFmt w:val="decimal"/>
      <w:lvlText w:val="%8)"/>
      <w:lvlJc w:val="left"/>
      <w:pPr>
        <w:ind w:left="1080" w:hanging="360"/>
      </w:pPr>
    </w:lvl>
    <w:lvl w:ilvl="8" w:tplc="49663F5A">
      <w:start w:val="1"/>
      <w:numFmt w:val="decimal"/>
      <w:lvlText w:val="%9)"/>
      <w:lvlJc w:val="left"/>
      <w:pPr>
        <w:ind w:left="1080" w:hanging="360"/>
      </w:pPr>
    </w:lvl>
  </w:abstractNum>
  <w:abstractNum w:abstractNumId="31" w15:restartNumberingAfterBreak="0">
    <w:nsid w:val="1ED5176C"/>
    <w:multiLevelType w:val="multilevel"/>
    <w:tmpl w:val="1444D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2F7B2B"/>
    <w:multiLevelType w:val="hybridMultilevel"/>
    <w:tmpl w:val="1C3C813E"/>
    <w:lvl w:ilvl="0" w:tplc="FFFFFFFF">
      <w:start w:val="1"/>
      <w:numFmt w:val="bullet"/>
      <w:lvlText w:val=""/>
      <w:lvlJc w:val="left"/>
      <w:pPr>
        <w:ind w:left="720" w:hanging="360"/>
      </w:pPr>
      <w:rPr>
        <w:rFonts w:ascii="Wingdings" w:hAnsi="Wingdings" w:hint="default"/>
      </w:rPr>
    </w:lvl>
    <w:lvl w:ilvl="1" w:tplc="1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175347A"/>
    <w:multiLevelType w:val="multilevel"/>
    <w:tmpl w:val="F5E6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3DE3057"/>
    <w:multiLevelType w:val="multilevel"/>
    <w:tmpl w:val="2738FCE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5" w15:restartNumberingAfterBreak="0">
    <w:nsid w:val="24B601E7"/>
    <w:multiLevelType w:val="hybridMultilevel"/>
    <w:tmpl w:val="64AC74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5BB33E7"/>
    <w:multiLevelType w:val="hybridMultilevel"/>
    <w:tmpl w:val="D708074A"/>
    <w:lvl w:ilvl="0" w:tplc="EC38AF46">
      <w:start w:val="1"/>
      <w:numFmt w:val="decimal"/>
      <w:lvlText w:val="%1."/>
      <w:lvlJc w:val="left"/>
      <w:pPr>
        <w:ind w:left="1440" w:hanging="360"/>
      </w:pPr>
    </w:lvl>
    <w:lvl w:ilvl="1" w:tplc="82E28CA6">
      <w:start w:val="1"/>
      <w:numFmt w:val="decimal"/>
      <w:lvlText w:val="%2."/>
      <w:lvlJc w:val="left"/>
      <w:pPr>
        <w:ind w:left="1440" w:hanging="360"/>
      </w:pPr>
    </w:lvl>
    <w:lvl w:ilvl="2" w:tplc="3702BC46">
      <w:start w:val="1"/>
      <w:numFmt w:val="decimal"/>
      <w:lvlText w:val="%3."/>
      <w:lvlJc w:val="left"/>
      <w:pPr>
        <w:ind w:left="1440" w:hanging="360"/>
      </w:pPr>
    </w:lvl>
    <w:lvl w:ilvl="3" w:tplc="4BBA72D6">
      <w:start w:val="1"/>
      <w:numFmt w:val="decimal"/>
      <w:lvlText w:val="%4."/>
      <w:lvlJc w:val="left"/>
      <w:pPr>
        <w:ind w:left="1440" w:hanging="360"/>
      </w:pPr>
    </w:lvl>
    <w:lvl w:ilvl="4" w:tplc="EF5C352E">
      <w:start w:val="1"/>
      <w:numFmt w:val="decimal"/>
      <w:lvlText w:val="%5."/>
      <w:lvlJc w:val="left"/>
      <w:pPr>
        <w:ind w:left="1440" w:hanging="360"/>
      </w:pPr>
    </w:lvl>
    <w:lvl w:ilvl="5" w:tplc="B484DE98">
      <w:start w:val="1"/>
      <w:numFmt w:val="decimal"/>
      <w:lvlText w:val="%6."/>
      <w:lvlJc w:val="left"/>
      <w:pPr>
        <w:ind w:left="1440" w:hanging="360"/>
      </w:pPr>
    </w:lvl>
    <w:lvl w:ilvl="6" w:tplc="320A278A">
      <w:start w:val="1"/>
      <w:numFmt w:val="decimal"/>
      <w:lvlText w:val="%7."/>
      <w:lvlJc w:val="left"/>
      <w:pPr>
        <w:ind w:left="1440" w:hanging="360"/>
      </w:pPr>
    </w:lvl>
    <w:lvl w:ilvl="7" w:tplc="2398F04C">
      <w:start w:val="1"/>
      <w:numFmt w:val="decimal"/>
      <w:lvlText w:val="%8."/>
      <w:lvlJc w:val="left"/>
      <w:pPr>
        <w:ind w:left="1440" w:hanging="360"/>
      </w:pPr>
    </w:lvl>
    <w:lvl w:ilvl="8" w:tplc="255E107A">
      <w:start w:val="1"/>
      <w:numFmt w:val="decimal"/>
      <w:lvlText w:val="%9."/>
      <w:lvlJc w:val="left"/>
      <w:pPr>
        <w:ind w:left="1440" w:hanging="360"/>
      </w:pPr>
    </w:lvl>
  </w:abstractNum>
  <w:abstractNum w:abstractNumId="37" w15:restartNumberingAfterBreak="0">
    <w:nsid w:val="268F680A"/>
    <w:multiLevelType w:val="hybridMultilevel"/>
    <w:tmpl w:val="1E0CF7E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69B352D"/>
    <w:multiLevelType w:val="hybridMultilevel"/>
    <w:tmpl w:val="6960E76E"/>
    <w:lvl w:ilvl="0" w:tplc="FB8E1E4E">
      <w:start w:val="1"/>
      <w:numFmt w:val="decimal"/>
      <w:lvlText w:val="%1."/>
      <w:lvlJc w:val="left"/>
      <w:pPr>
        <w:ind w:left="720" w:hanging="360"/>
      </w:pPr>
    </w:lvl>
    <w:lvl w:ilvl="1" w:tplc="EAA68E0E">
      <w:start w:val="1"/>
      <w:numFmt w:val="decimal"/>
      <w:lvlText w:val="%2."/>
      <w:lvlJc w:val="left"/>
      <w:pPr>
        <w:ind w:left="720" w:hanging="360"/>
      </w:pPr>
    </w:lvl>
    <w:lvl w:ilvl="2" w:tplc="21FAC54C">
      <w:start w:val="1"/>
      <w:numFmt w:val="decimal"/>
      <w:lvlText w:val="%3."/>
      <w:lvlJc w:val="left"/>
      <w:pPr>
        <w:ind w:left="720" w:hanging="360"/>
      </w:pPr>
    </w:lvl>
    <w:lvl w:ilvl="3" w:tplc="7988B8C8">
      <w:start w:val="1"/>
      <w:numFmt w:val="decimal"/>
      <w:lvlText w:val="%4."/>
      <w:lvlJc w:val="left"/>
      <w:pPr>
        <w:ind w:left="720" w:hanging="360"/>
      </w:pPr>
    </w:lvl>
    <w:lvl w:ilvl="4" w:tplc="44246D36">
      <w:start w:val="1"/>
      <w:numFmt w:val="decimal"/>
      <w:lvlText w:val="%5."/>
      <w:lvlJc w:val="left"/>
      <w:pPr>
        <w:ind w:left="720" w:hanging="360"/>
      </w:pPr>
    </w:lvl>
    <w:lvl w:ilvl="5" w:tplc="49D608D8">
      <w:start w:val="1"/>
      <w:numFmt w:val="decimal"/>
      <w:lvlText w:val="%6."/>
      <w:lvlJc w:val="left"/>
      <w:pPr>
        <w:ind w:left="720" w:hanging="360"/>
      </w:pPr>
    </w:lvl>
    <w:lvl w:ilvl="6" w:tplc="BABEAFFC">
      <w:start w:val="1"/>
      <w:numFmt w:val="decimal"/>
      <w:lvlText w:val="%7."/>
      <w:lvlJc w:val="left"/>
      <w:pPr>
        <w:ind w:left="720" w:hanging="360"/>
      </w:pPr>
    </w:lvl>
    <w:lvl w:ilvl="7" w:tplc="0B18F5B2">
      <w:start w:val="1"/>
      <w:numFmt w:val="decimal"/>
      <w:lvlText w:val="%8."/>
      <w:lvlJc w:val="left"/>
      <w:pPr>
        <w:ind w:left="720" w:hanging="360"/>
      </w:pPr>
    </w:lvl>
    <w:lvl w:ilvl="8" w:tplc="4240E4AC">
      <w:start w:val="1"/>
      <w:numFmt w:val="decimal"/>
      <w:lvlText w:val="%9."/>
      <w:lvlJc w:val="left"/>
      <w:pPr>
        <w:ind w:left="720" w:hanging="360"/>
      </w:pPr>
    </w:lvl>
  </w:abstractNum>
  <w:abstractNum w:abstractNumId="39" w15:restartNumberingAfterBreak="0">
    <w:nsid w:val="26BC2FFB"/>
    <w:multiLevelType w:val="hybridMultilevel"/>
    <w:tmpl w:val="F4262126"/>
    <w:lvl w:ilvl="0" w:tplc="78E2D262">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26BDEC23"/>
    <w:multiLevelType w:val="hybridMultilevel"/>
    <w:tmpl w:val="FFFFFFFF"/>
    <w:lvl w:ilvl="0" w:tplc="E6805544">
      <w:start w:val="1"/>
      <w:numFmt w:val="bullet"/>
      <w:lvlText w:val=""/>
      <w:lvlJc w:val="left"/>
      <w:pPr>
        <w:ind w:left="720" w:hanging="360"/>
      </w:pPr>
      <w:rPr>
        <w:rFonts w:ascii="Wingdings" w:hAnsi="Wingdings" w:hint="default"/>
      </w:rPr>
    </w:lvl>
    <w:lvl w:ilvl="1" w:tplc="62AE030C">
      <w:start w:val="1"/>
      <w:numFmt w:val="bullet"/>
      <w:lvlText w:val="o"/>
      <w:lvlJc w:val="left"/>
      <w:pPr>
        <w:ind w:left="1440" w:hanging="360"/>
      </w:pPr>
      <w:rPr>
        <w:rFonts w:ascii="Courier New" w:hAnsi="Courier New" w:hint="default"/>
      </w:rPr>
    </w:lvl>
    <w:lvl w:ilvl="2" w:tplc="6442BF90">
      <w:start w:val="1"/>
      <w:numFmt w:val="bullet"/>
      <w:lvlText w:val=""/>
      <w:lvlJc w:val="left"/>
      <w:pPr>
        <w:ind w:left="2160" w:hanging="360"/>
      </w:pPr>
      <w:rPr>
        <w:rFonts w:ascii="Wingdings" w:hAnsi="Wingdings" w:hint="default"/>
      </w:rPr>
    </w:lvl>
    <w:lvl w:ilvl="3" w:tplc="95068F6E">
      <w:start w:val="1"/>
      <w:numFmt w:val="bullet"/>
      <w:lvlText w:val=""/>
      <w:lvlJc w:val="left"/>
      <w:pPr>
        <w:ind w:left="2880" w:hanging="360"/>
      </w:pPr>
      <w:rPr>
        <w:rFonts w:ascii="Symbol" w:hAnsi="Symbol" w:hint="default"/>
      </w:rPr>
    </w:lvl>
    <w:lvl w:ilvl="4" w:tplc="EC38B9E4">
      <w:start w:val="1"/>
      <w:numFmt w:val="bullet"/>
      <w:lvlText w:val="o"/>
      <w:lvlJc w:val="left"/>
      <w:pPr>
        <w:ind w:left="3600" w:hanging="360"/>
      </w:pPr>
      <w:rPr>
        <w:rFonts w:ascii="Courier New" w:hAnsi="Courier New" w:hint="default"/>
      </w:rPr>
    </w:lvl>
    <w:lvl w:ilvl="5" w:tplc="F69E974C">
      <w:start w:val="1"/>
      <w:numFmt w:val="bullet"/>
      <w:lvlText w:val=""/>
      <w:lvlJc w:val="left"/>
      <w:pPr>
        <w:ind w:left="4320" w:hanging="360"/>
      </w:pPr>
      <w:rPr>
        <w:rFonts w:ascii="Wingdings" w:hAnsi="Wingdings" w:hint="default"/>
      </w:rPr>
    </w:lvl>
    <w:lvl w:ilvl="6" w:tplc="AF607B9E">
      <w:start w:val="1"/>
      <w:numFmt w:val="bullet"/>
      <w:lvlText w:val=""/>
      <w:lvlJc w:val="left"/>
      <w:pPr>
        <w:ind w:left="5040" w:hanging="360"/>
      </w:pPr>
      <w:rPr>
        <w:rFonts w:ascii="Symbol" w:hAnsi="Symbol" w:hint="default"/>
      </w:rPr>
    </w:lvl>
    <w:lvl w:ilvl="7" w:tplc="D1961262">
      <w:start w:val="1"/>
      <w:numFmt w:val="bullet"/>
      <w:lvlText w:val="o"/>
      <w:lvlJc w:val="left"/>
      <w:pPr>
        <w:ind w:left="5760" w:hanging="360"/>
      </w:pPr>
      <w:rPr>
        <w:rFonts w:ascii="Courier New" w:hAnsi="Courier New" w:hint="default"/>
      </w:rPr>
    </w:lvl>
    <w:lvl w:ilvl="8" w:tplc="AEDE09F6">
      <w:start w:val="1"/>
      <w:numFmt w:val="bullet"/>
      <w:lvlText w:val=""/>
      <w:lvlJc w:val="left"/>
      <w:pPr>
        <w:ind w:left="6480" w:hanging="360"/>
      </w:pPr>
      <w:rPr>
        <w:rFonts w:ascii="Wingdings" w:hAnsi="Wingdings" w:hint="default"/>
      </w:rPr>
    </w:lvl>
  </w:abstractNum>
  <w:abstractNum w:abstractNumId="41" w15:restartNumberingAfterBreak="0">
    <w:nsid w:val="27791615"/>
    <w:multiLevelType w:val="hybridMultilevel"/>
    <w:tmpl w:val="CF7C7C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81A1638"/>
    <w:multiLevelType w:val="hybridMultilevel"/>
    <w:tmpl w:val="C414DDF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2865703B"/>
    <w:multiLevelType w:val="multilevel"/>
    <w:tmpl w:val="2A1600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87F3BA4"/>
    <w:multiLevelType w:val="hybridMultilevel"/>
    <w:tmpl w:val="E1946F3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924009D"/>
    <w:multiLevelType w:val="multilevel"/>
    <w:tmpl w:val="515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A9AF1EF"/>
    <w:multiLevelType w:val="hybridMultilevel"/>
    <w:tmpl w:val="4894DD1A"/>
    <w:lvl w:ilvl="0" w:tplc="C88A1166">
      <w:start w:val="1"/>
      <w:numFmt w:val="bullet"/>
      <w:lvlText w:val=""/>
      <w:lvlJc w:val="left"/>
      <w:pPr>
        <w:ind w:left="720" w:hanging="360"/>
      </w:pPr>
      <w:rPr>
        <w:rFonts w:ascii="Wingdings" w:hAnsi="Wingdings" w:hint="default"/>
      </w:rPr>
    </w:lvl>
    <w:lvl w:ilvl="1" w:tplc="DA56A066">
      <w:start w:val="1"/>
      <w:numFmt w:val="bullet"/>
      <w:lvlText w:val="o"/>
      <w:lvlJc w:val="left"/>
      <w:pPr>
        <w:ind w:left="1440" w:hanging="360"/>
      </w:pPr>
      <w:rPr>
        <w:rFonts w:ascii="Courier New" w:hAnsi="Courier New" w:hint="default"/>
      </w:rPr>
    </w:lvl>
    <w:lvl w:ilvl="2" w:tplc="1938EF30">
      <w:start w:val="1"/>
      <w:numFmt w:val="bullet"/>
      <w:lvlText w:val=""/>
      <w:lvlJc w:val="left"/>
      <w:pPr>
        <w:ind w:left="2160" w:hanging="360"/>
      </w:pPr>
      <w:rPr>
        <w:rFonts w:ascii="Wingdings" w:hAnsi="Wingdings" w:hint="default"/>
      </w:rPr>
    </w:lvl>
    <w:lvl w:ilvl="3" w:tplc="98C06B4A">
      <w:start w:val="1"/>
      <w:numFmt w:val="bullet"/>
      <w:lvlText w:val=""/>
      <w:lvlJc w:val="left"/>
      <w:pPr>
        <w:ind w:left="2880" w:hanging="360"/>
      </w:pPr>
      <w:rPr>
        <w:rFonts w:ascii="Symbol" w:hAnsi="Symbol" w:hint="default"/>
      </w:rPr>
    </w:lvl>
    <w:lvl w:ilvl="4" w:tplc="92AAFE26">
      <w:start w:val="1"/>
      <w:numFmt w:val="bullet"/>
      <w:lvlText w:val="o"/>
      <w:lvlJc w:val="left"/>
      <w:pPr>
        <w:ind w:left="3600" w:hanging="360"/>
      </w:pPr>
      <w:rPr>
        <w:rFonts w:ascii="Courier New" w:hAnsi="Courier New" w:hint="default"/>
      </w:rPr>
    </w:lvl>
    <w:lvl w:ilvl="5" w:tplc="8998F246">
      <w:start w:val="1"/>
      <w:numFmt w:val="bullet"/>
      <w:lvlText w:val=""/>
      <w:lvlJc w:val="left"/>
      <w:pPr>
        <w:ind w:left="4320" w:hanging="360"/>
      </w:pPr>
      <w:rPr>
        <w:rFonts w:ascii="Wingdings" w:hAnsi="Wingdings" w:hint="default"/>
      </w:rPr>
    </w:lvl>
    <w:lvl w:ilvl="6" w:tplc="2DA6A5FE">
      <w:start w:val="1"/>
      <w:numFmt w:val="bullet"/>
      <w:lvlText w:val=""/>
      <w:lvlJc w:val="left"/>
      <w:pPr>
        <w:ind w:left="5040" w:hanging="360"/>
      </w:pPr>
      <w:rPr>
        <w:rFonts w:ascii="Symbol" w:hAnsi="Symbol" w:hint="default"/>
      </w:rPr>
    </w:lvl>
    <w:lvl w:ilvl="7" w:tplc="89D41E60">
      <w:start w:val="1"/>
      <w:numFmt w:val="bullet"/>
      <w:lvlText w:val="o"/>
      <w:lvlJc w:val="left"/>
      <w:pPr>
        <w:ind w:left="5760" w:hanging="360"/>
      </w:pPr>
      <w:rPr>
        <w:rFonts w:ascii="Courier New" w:hAnsi="Courier New" w:hint="default"/>
      </w:rPr>
    </w:lvl>
    <w:lvl w:ilvl="8" w:tplc="C8D6681E">
      <w:start w:val="1"/>
      <w:numFmt w:val="bullet"/>
      <w:lvlText w:val=""/>
      <w:lvlJc w:val="left"/>
      <w:pPr>
        <w:ind w:left="6480" w:hanging="360"/>
      </w:pPr>
      <w:rPr>
        <w:rFonts w:ascii="Wingdings" w:hAnsi="Wingdings" w:hint="default"/>
      </w:rPr>
    </w:lvl>
  </w:abstractNum>
  <w:abstractNum w:abstractNumId="47" w15:restartNumberingAfterBreak="0">
    <w:nsid w:val="2B517CFB"/>
    <w:multiLevelType w:val="hybridMultilevel"/>
    <w:tmpl w:val="1EAC359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2D5557BE"/>
    <w:multiLevelType w:val="hybridMultilevel"/>
    <w:tmpl w:val="D0C6CBC4"/>
    <w:lvl w:ilvl="0" w:tplc="CA8289F8">
      <w:start w:val="1"/>
      <w:numFmt w:val="decimal"/>
      <w:lvlText w:val="%1."/>
      <w:lvlJc w:val="left"/>
      <w:pPr>
        <w:ind w:left="720" w:hanging="360"/>
      </w:pPr>
    </w:lvl>
    <w:lvl w:ilvl="1" w:tplc="7C4017D8">
      <w:start w:val="1"/>
      <w:numFmt w:val="decimal"/>
      <w:lvlText w:val="%2."/>
      <w:lvlJc w:val="left"/>
      <w:pPr>
        <w:ind w:left="720" w:hanging="360"/>
      </w:pPr>
    </w:lvl>
    <w:lvl w:ilvl="2" w:tplc="24986286">
      <w:start w:val="1"/>
      <w:numFmt w:val="decimal"/>
      <w:lvlText w:val="%3."/>
      <w:lvlJc w:val="left"/>
      <w:pPr>
        <w:ind w:left="720" w:hanging="360"/>
      </w:pPr>
    </w:lvl>
    <w:lvl w:ilvl="3" w:tplc="07C2F688">
      <w:start w:val="1"/>
      <w:numFmt w:val="decimal"/>
      <w:lvlText w:val="%4."/>
      <w:lvlJc w:val="left"/>
      <w:pPr>
        <w:ind w:left="720" w:hanging="360"/>
      </w:pPr>
    </w:lvl>
    <w:lvl w:ilvl="4" w:tplc="58E48ABA">
      <w:start w:val="1"/>
      <w:numFmt w:val="decimal"/>
      <w:lvlText w:val="%5."/>
      <w:lvlJc w:val="left"/>
      <w:pPr>
        <w:ind w:left="720" w:hanging="360"/>
      </w:pPr>
    </w:lvl>
    <w:lvl w:ilvl="5" w:tplc="66321484">
      <w:start w:val="1"/>
      <w:numFmt w:val="decimal"/>
      <w:lvlText w:val="%6."/>
      <w:lvlJc w:val="left"/>
      <w:pPr>
        <w:ind w:left="720" w:hanging="360"/>
      </w:pPr>
    </w:lvl>
    <w:lvl w:ilvl="6" w:tplc="489C06A2">
      <w:start w:val="1"/>
      <w:numFmt w:val="decimal"/>
      <w:lvlText w:val="%7."/>
      <w:lvlJc w:val="left"/>
      <w:pPr>
        <w:ind w:left="720" w:hanging="360"/>
      </w:pPr>
    </w:lvl>
    <w:lvl w:ilvl="7" w:tplc="BEFE95CC">
      <w:start w:val="1"/>
      <w:numFmt w:val="decimal"/>
      <w:lvlText w:val="%8."/>
      <w:lvlJc w:val="left"/>
      <w:pPr>
        <w:ind w:left="720" w:hanging="360"/>
      </w:pPr>
    </w:lvl>
    <w:lvl w:ilvl="8" w:tplc="2EE2EF20">
      <w:start w:val="1"/>
      <w:numFmt w:val="decimal"/>
      <w:lvlText w:val="%9."/>
      <w:lvlJc w:val="left"/>
      <w:pPr>
        <w:ind w:left="720" w:hanging="360"/>
      </w:pPr>
    </w:lvl>
  </w:abstractNum>
  <w:abstractNum w:abstractNumId="49" w15:restartNumberingAfterBreak="0">
    <w:nsid w:val="2E540667"/>
    <w:multiLevelType w:val="hybridMultilevel"/>
    <w:tmpl w:val="86026AE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311F2648"/>
    <w:multiLevelType w:val="multilevel"/>
    <w:tmpl w:val="962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19C5E45"/>
    <w:multiLevelType w:val="hybridMultilevel"/>
    <w:tmpl w:val="9B082AB6"/>
    <w:lvl w:ilvl="0" w:tplc="F21EEC40">
      <w:start w:val="1"/>
      <w:numFmt w:val="decimal"/>
      <w:lvlText w:val="%1."/>
      <w:lvlJc w:val="left"/>
      <w:pPr>
        <w:ind w:left="1440" w:hanging="360"/>
      </w:pPr>
    </w:lvl>
    <w:lvl w:ilvl="1" w:tplc="165E5798">
      <w:start w:val="1"/>
      <w:numFmt w:val="decimal"/>
      <w:lvlText w:val="%2."/>
      <w:lvlJc w:val="left"/>
      <w:pPr>
        <w:ind w:left="1440" w:hanging="360"/>
      </w:pPr>
    </w:lvl>
    <w:lvl w:ilvl="2" w:tplc="C6264F42">
      <w:start w:val="1"/>
      <w:numFmt w:val="decimal"/>
      <w:lvlText w:val="%3."/>
      <w:lvlJc w:val="left"/>
      <w:pPr>
        <w:ind w:left="1440" w:hanging="360"/>
      </w:pPr>
    </w:lvl>
    <w:lvl w:ilvl="3" w:tplc="0BF27DE0">
      <w:start w:val="1"/>
      <w:numFmt w:val="decimal"/>
      <w:lvlText w:val="%4."/>
      <w:lvlJc w:val="left"/>
      <w:pPr>
        <w:ind w:left="1440" w:hanging="360"/>
      </w:pPr>
    </w:lvl>
    <w:lvl w:ilvl="4" w:tplc="6D667228">
      <w:start w:val="1"/>
      <w:numFmt w:val="decimal"/>
      <w:lvlText w:val="%5."/>
      <w:lvlJc w:val="left"/>
      <w:pPr>
        <w:ind w:left="1440" w:hanging="360"/>
      </w:pPr>
    </w:lvl>
    <w:lvl w:ilvl="5" w:tplc="0A2A6E5E">
      <w:start w:val="1"/>
      <w:numFmt w:val="decimal"/>
      <w:lvlText w:val="%6."/>
      <w:lvlJc w:val="left"/>
      <w:pPr>
        <w:ind w:left="1440" w:hanging="360"/>
      </w:pPr>
    </w:lvl>
    <w:lvl w:ilvl="6" w:tplc="9E605F96">
      <w:start w:val="1"/>
      <w:numFmt w:val="decimal"/>
      <w:lvlText w:val="%7."/>
      <w:lvlJc w:val="left"/>
      <w:pPr>
        <w:ind w:left="1440" w:hanging="360"/>
      </w:pPr>
    </w:lvl>
    <w:lvl w:ilvl="7" w:tplc="8A1CC476">
      <w:start w:val="1"/>
      <w:numFmt w:val="decimal"/>
      <w:lvlText w:val="%8."/>
      <w:lvlJc w:val="left"/>
      <w:pPr>
        <w:ind w:left="1440" w:hanging="360"/>
      </w:pPr>
    </w:lvl>
    <w:lvl w:ilvl="8" w:tplc="66321B72">
      <w:start w:val="1"/>
      <w:numFmt w:val="decimal"/>
      <w:lvlText w:val="%9."/>
      <w:lvlJc w:val="left"/>
      <w:pPr>
        <w:ind w:left="1440" w:hanging="360"/>
      </w:pPr>
    </w:lvl>
  </w:abstractNum>
  <w:abstractNum w:abstractNumId="53" w15:restartNumberingAfterBreak="0">
    <w:nsid w:val="31B82EDC"/>
    <w:multiLevelType w:val="hybridMultilevel"/>
    <w:tmpl w:val="BCA21E40"/>
    <w:lvl w:ilvl="0" w:tplc="CEA08934">
      <w:start w:val="1"/>
      <w:numFmt w:val="bullet"/>
      <w:lvlText w:val=""/>
      <w:lvlJc w:val="left"/>
      <w:pPr>
        <w:ind w:left="2040" w:hanging="360"/>
      </w:pPr>
      <w:rPr>
        <w:rFonts w:ascii="Symbol" w:hAnsi="Symbol"/>
      </w:rPr>
    </w:lvl>
    <w:lvl w:ilvl="1" w:tplc="3684CD8A">
      <w:start w:val="1"/>
      <w:numFmt w:val="bullet"/>
      <w:lvlText w:val=""/>
      <w:lvlJc w:val="left"/>
      <w:pPr>
        <w:ind w:left="2040" w:hanging="360"/>
      </w:pPr>
      <w:rPr>
        <w:rFonts w:ascii="Symbol" w:hAnsi="Symbol"/>
      </w:rPr>
    </w:lvl>
    <w:lvl w:ilvl="2" w:tplc="A91C1FDE">
      <w:start w:val="1"/>
      <w:numFmt w:val="bullet"/>
      <w:lvlText w:val=""/>
      <w:lvlJc w:val="left"/>
      <w:pPr>
        <w:ind w:left="2040" w:hanging="360"/>
      </w:pPr>
      <w:rPr>
        <w:rFonts w:ascii="Symbol" w:hAnsi="Symbol"/>
      </w:rPr>
    </w:lvl>
    <w:lvl w:ilvl="3" w:tplc="EEB671DC">
      <w:start w:val="1"/>
      <w:numFmt w:val="bullet"/>
      <w:lvlText w:val=""/>
      <w:lvlJc w:val="left"/>
      <w:pPr>
        <w:ind w:left="2040" w:hanging="360"/>
      </w:pPr>
      <w:rPr>
        <w:rFonts w:ascii="Symbol" w:hAnsi="Symbol"/>
      </w:rPr>
    </w:lvl>
    <w:lvl w:ilvl="4" w:tplc="A8A2CEB0">
      <w:start w:val="1"/>
      <w:numFmt w:val="bullet"/>
      <w:lvlText w:val=""/>
      <w:lvlJc w:val="left"/>
      <w:pPr>
        <w:ind w:left="2040" w:hanging="360"/>
      </w:pPr>
      <w:rPr>
        <w:rFonts w:ascii="Symbol" w:hAnsi="Symbol"/>
      </w:rPr>
    </w:lvl>
    <w:lvl w:ilvl="5" w:tplc="CB26FF78">
      <w:start w:val="1"/>
      <w:numFmt w:val="bullet"/>
      <w:lvlText w:val=""/>
      <w:lvlJc w:val="left"/>
      <w:pPr>
        <w:ind w:left="2040" w:hanging="360"/>
      </w:pPr>
      <w:rPr>
        <w:rFonts w:ascii="Symbol" w:hAnsi="Symbol"/>
      </w:rPr>
    </w:lvl>
    <w:lvl w:ilvl="6" w:tplc="295CF3E4">
      <w:start w:val="1"/>
      <w:numFmt w:val="bullet"/>
      <w:lvlText w:val=""/>
      <w:lvlJc w:val="left"/>
      <w:pPr>
        <w:ind w:left="2040" w:hanging="360"/>
      </w:pPr>
      <w:rPr>
        <w:rFonts w:ascii="Symbol" w:hAnsi="Symbol"/>
      </w:rPr>
    </w:lvl>
    <w:lvl w:ilvl="7" w:tplc="00A05D16">
      <w:start w:val="1"/>
      <w:numFmt w:val="bullet"/>
      <w:lvlText w:val=""/>
      <w:lvlJc w:val="left"/>
      <w:pPr>
        <w:ind w:left="2040" w:hanging="360"/>
      </w:pPr>
      <w:rPr>
        <w:rFonts w:ascii="Symbol" w:hAnsi="Symbol"/>
      </w:rPr>
    </w:lvl>
    <w:lvl w:ilvl="8" w:tplc="982656B4">
      <w:start w:val="1"/>
      <w:numFmt w:val="bullet"/>
      <w:lvlText w:val=""/>
      <w:lvlJc w:val="left"/>
      <w:pPr>
        <w:ind w:left="2040" w:hanging="360"/>
      </w:pPr>
      <w:rPr>
        <w:rFonts w:ascii="Symbol" w:hAnsi="Symbol"/>
      </w:rPr>
    </w:lvl>
  </w:abstractNum>
  <w:abstractNum w:abstractNumId="54" w15:restartNumberingAfterBreak="0">
    <w:nsid w:val="324F4890"/>
    <w:multiLevelType w:val="hybridMultilevel"/>
    <w:tmpl w:val="0CE61356"/>
    <w:lvl w:ilvl="0" w:tplc="09BE38A6">
      <w:start w:val="1"/>
      <w:numFmt w:val="decimal"/>
      <w:lvlText w:val="%1."/>
      <w:lvlJc w:val="left"/>
      <w:pPr>
        <w:ind w:left="1440" w:hanging="360"/>
      </w:pPr>
    </w:lvl>
    <w:lvl w:ilvl="1" w:tplc="87427960">
      <w:start w:val="1"/>
      <w:numFmt w:val="decimal"/>
      <w:lvlText w:val="%2."/>
      <w:lvlJc w:val="left"/>
      <w:pPr>
        <w:ind w:left="1440" w:hanging="360"/>
      </w:pPr>
    </w:lvl>
    <w:lvl w:ilvl="2" w:tplc="C3B47306">
      <w:start w:val="1"/>
      <w:numFmt w:val="decimal"/>
      <w:lvlText w:val="%3."/>
      <w:lvlJc w:val="left"/>
      <w:pPr>
        <w:ind w:left="1440" w:hanging="360"/>
      </w:pPr>
    </w:lvl>
    <w:lvl w:ilvl="3" w:tplc="135AAD52">
      <w:start w:val="1"/>
      <w:numFmt w:val="decimal"/>
      <w:lvlText w:val="%4."/>
      <w:lvlJc w:val="left"/>
      <w:pPr>
        <w:ind w:left="1440" w:hanging="360"/>
      </w:pPr>
    </w:lvl>
    <w:lvl w:ilvl="4" w:tplc="A58EEB6A">
      <w:start w:val="1"/>
      <w:numFmt w:val="decimal"/>
      <w:lvlText w:val="%5."/>
      <w:lvlJc w:val="left"/>
      <w:pPr>
        <w:ind w:left="1440" w:hanging="360"/>
      </w:pPr>
    </w:lvl>
    <w:lvl w:ilvl="5" w:tplc="D6BA56B0">
      <w:start w:val="1"/>
      <w:numFmt w:val="decimal"/>
      <w:lvlText w:val="%6."/>
      <w:lvlJc w:val="left"/>
      <w:pPr>
        <w:ind w:left="1440" w:hanging="360"/>
      </w:pPr>
    </w:lvl>
    <w:lvl w:ilvl="6" w:tplc="2468FBC8">
      <w:start w:val="1"/>
      <w:numFmt w:val="decimal"/>
      <w:lvlText w:val="%7."/>
      <w:lvlJc w:val="left"/>
      <w:pPr>
        <w:ind w:left="1440" w:hanging="360"/>
      </w:pPr>
    </w:lvl>
    <w:lvl w:ilvl="7" w:tplc="DDF83526">
      <w:start w:val="1"/>
      <w:numFmt w:val="decimal"/>
      <w:lvlText w:val="%8."/>
      <w:lvlJc w:val="left"/>
      <w:pPr>
        <w:ind w:left="1440" w:hanging="360"/>
      </w:pPr>
    </w:lvl>
    <w:lvl w:ilvl="8" w:tplc="6E621A9E">
      <w:start w:val="1"/>
      <w:numFmt w:val="decimal"/>
      <w:lvlText w:val="%9."/>
      <w:lvlJc w:val="left"/>
      <w:pPr>
        <w:ind w:left="1440" w:hanging="360"/>
      </w:pPr>
    </w:lvl>
  </w:abstractNum>
  <w:abstractNum w:abstractNumId="55" w15:restartNumberingAfterBreak="0">
    <w:nsid w:val="34875F5F"/>
    <w:multiLevelType w:val="multilevel"/>
    <w:tmpl w:val="21E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8B7FED"/>
    <w:multiLevelType w:val="multilevel"/>
    <w:tmpl w:val="F9DA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53D1F1F"/>
    <w:multiLevelType w:val="hybridMultilevel"/>
    <w:tmpl w:val="37A631EE"/>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8" w15:restartNumberingAfterBreak="0">
    <w:nsid w:val="36481CC1"/>
    <w:multiLevelType w:val="hybridMultilevel"/>
    <w:tmpl w:val="AA88A1F0"/>
    <w:lvl w:ilvl="0" w:tplc="FA66D61C">
      <w:start w:val="1"/>
      <w:numFmt w:val="bullet"/>
      <w:lvlText w:val=""/>
      <w:lvlJc w:val="left"/>
      <w:pPr>
        <w:ind w:left="2040" w:hanging="360"/>
      </w:pPr>
      <w:rPr>
        <w:rFonts w:ascii="Symbol" w:hAnsi="Symbol"/>
      </w:rPr>
    </w:lvl>
    <w:lvl w:ilvl="1" w:tplc="7436D152">
      <w:start w:val="1"/>
      <w:numFmt w:val="bullet"/>
      <w:lvlText w:val=""/>
      <w:lvlJc w:val="left"/>
      <w:pPr>
        <w:ind w:left="2040" w:hanging="360"/>
      </w:pPr>
      <w:rPr>
        <w:rFonts w:ascii="Symbol" w:hAnsi="Symbol"/>
      </w:rPr>
    </w:lvl>
    <w:lvl w:ilvl="2" w:tplc="DAD6D0E6">
      <w:start w:val="1"/>
      <w:numFmt w:val="bullet"/>
      <w:lvlText w:val=""/>
      <w:lvlJc w:val="left"/>
      <w:pPr>
        <w:ind w:left="2040" w:hanging="360"/>
      </w:pPr>
      <w:rPr>
        <w:rFonts w:ascii="Symbol" w:hAnsi="Symbol"/>
      </w:rPr>
    </w:lvl>
    <w:lvl w:ilvl="3" w:tplc="A5042226">
      <w:start w:val="1"/>
      <w:numFmt w:val="bullet"/>
      <w:lvlText w:val=""/>
      <w:lvlJc w:val="left"/>
      <w:pPr>
        <w:ind w:left="2040" w:hanging="360"/>
      </w:pPr>
      <w:rPr>
        <w:rFonts w:ascii="Symbol" w:hAnsi="Symbol"/>
      </w:rPr>
    </w:lvl>
    <w:lvl w:ilvl="4" w:tplc="7B6432D6">
      <w:start w:val="1"/>
      <w:numFmt w:val="bullet"/>
      <w:lvlText w:val=""/>
      <w:lvlJc w:val="left"/>
      <w:pPr>
        <w:ind w:left="2040" w:hanging="360"/>
      </w:pPr>
      <w:rPr>
        <w:rFonts w:ascii="Symbol" w:hAnsi="Symbol"/>
      </w:rPr>
    </w:lvl>
    <w:lvl w:ilvl="5" w:tplc="B7801CF2">
      <w:start w:val="1"/>
      <w:numFmt w:val="bullet"/>
      <w:lvlText w:val=""/>
      <w:lvlJc w:val="left"/>
      <w:pPr>
        <w:ind w:left="2040" w:hanging="360"/>
      </w:pPr>
      <w:rPr>
        <w:rFonts w:ascii="Symbol" w:hAnsi="Symbol"/>
      </w:rPr>
    </w:lvl>
    <w:lvl w:ilvl="6" w:tplc="F362B194">
      <w:start w:val="1"/>
      <w:numFmt w:val="bullet"/>
      <w:lvlText w:val=""/>
      <w:lvlJc w:val="left"/>
      <w:pPr>
        <w:ind w:left="2040" w:hanging="360"/>
      </w:pPr>
      <w:rPr>
        <w:rFonts w:ascii="Symbol" w:hAnsi="Symbol"/>
      </w:rPr>
    </w:lvl>
    <w:lvl w:ilvl="7" w:tplc="2B0235F6">
      <w:start w:val="1"/>
      <w:numFmt w:val="bullet"/>
      <w:lvlText w:val=""/>
      <w:lvlJc w:val="left"/>
      <w:pPr>
        <w:ind w:left="2040" w:hanging="360"/>
      </w:pPr>
      <w:rPr>
        <w:rFonts w:ascii="Symbol" w:hAnsi="Symbol"/>
      </w:rPr>
    </w:lvl>
    <w:lvl w:ilvl="8" w:tplc="9D483FB8">
      <w:start w:val="1"/>
      <w:numFmt w:val="bullet"/>
      <w:lvlText w:val=""/>
      <w:lvlJc w:val="left"/>
      <w:pPr>
        <w:ind w:left="2040" w:hanging="360"/>
      </w:pPr>
      <w:rPr>
        <w:rFonts w:ascii="Symbol" w:hAnsi="Symbol"/>
      </w:rPr>
    </w:lvl>
  </w:abstractNum>
  <w:abstractNum w:abstractNumId="59" w15:restartNumberingAfterBreak="0">
    <w:nsid w:val="36B6247F"/>
    <w:multiLevelType w:val="hybridMultilevel"/>
    <w:tmpl w:val="AA306F0C"/>
    <w:lvl w:ilvl="0" w:tplc="8B780E1A">
      <w:start w:val="1"/>
      <w:numFmt w:val="decimal"/>
      <w:lvlText w:val="%1."/>
      <w:lvlJc w:val="left"/>
      <w:pPr>
        <w:ind w:left="1440" w:hanging="360"/>
      </w:pPr>
    </w:lvl>
    <w:lvl w:ilvl="1" w:tplc="4AF04C04">
      <w:start w:val="1"/>
      <w:numFmt w:val="decimal"/>
      <w:lvlText w:val="%2."/>
      <w:lvlJc w:val="left"/>
      <w:pPr>
        <w:ind w:left="1440" w:hanging="360"/>
      </w:pPr>
    </w:lvl>
    <w:lvl w:ilvl="2" w:tplc="C2C6A7EA">
      <w:start w:val="1"/>
      <w:numFmt w:val="decimal"/>
      <w:lvlText w:val="%3."/>
      <w:lvlJc w:val="left"/>
      <w:pPr>
        <w:ind w:left="1440" w:hanging="360"/>
      </w:pPr>
    </w:lvl>
    <w:lvl w:ilvl="3" w:tplc="404AB43A">
      <w:start w:val="1"/>
      <w:numFmt w:val="decimal"/>
      <w:lvlText w:val="%4."/>
      <w:lvlJc w:val="left"/>
      <w:pPr>
        <w:ind w:left="1440" w:hanging="360"/>
      </w:pPr>
    </w:lvl>
    <w:lvl w:ilvl="4" w:tplc="C39A7F58">
      <w:start w:val="1"/>
      <w:numFmt w:val="decimal"/>
      <w:lvlText w:val="%5."/>
      <w:lvlJc w:val="left"/>
      <w:pPr>
        <w:ind w:left="1440" w:hanging="360"/>
      </w:pPr>
    </w:lvl>
    <w:lvl w:ilvl="5" w:tplc="CE04F5FA">
      <w:start w:val="1"/>
      <w:numFmt w:val="decimal"/>
      <w:lvlText w:val="%6."/>
      <w:lvlJc w:val="left"/>
      <w:pPr>
        <w:ind w:left="1440" w:hanging="360"/>
      </w:pPr>
    </w:lvl>
    <w:lvl w:ilvl="6" w:tplc="0F5A4E18">
      <w:start w:val="1"/>
      <w:numFmt w:val="decimal"/>
      <w:lvlText w:val="%7."/>
      <w:lvlJc w:val="left"/>
      <w:pPr>
        <w:ind w:left="1440" w:hanging="360"/>
      </w:pPr>
    </w:lvl>
    <w:lvl w:ilvl="7" w:tplc="6D4216C4">
      <w:start w:val="1"/>
      <w:numFmt w:val="decimal"/>
      <w:lvlText w:val="%8."/>
      <w:lvlJc w:val="left"/>
      <w:pPr>
        <w:ind w:left="1440" w:hanging="360"/>
      </w:pPr>
    </w:lvl>
    <w:lvl w:ilvl="8" w:tplc="BEC66946">
      <w:start w:val="1"/>
      <w:numFmt w:val="decimal"/>
      <w:lvlText w:val="%9."/>
      <w:lvlJc w:val="left"/>
      <w:pPr>
        <w:ind w:left="1440" w:hanging="360"/>
      </w:pPr>
    </w:lvl>
  </w:abstractNum>
  <w:abstractNum w:abstractNumId="60" w15:restartNumberingAfterBreak="0">
    <w:nsid w:val="36DE1548"/>
    <w:multiLevelType w:val="hybridMultilevel"/>
    <w:tmpl w:val="3EACDAB0"/>
    <w:lvl w:ilvl="0" w:tplc="3598591A">
      <w:start w:val="1"/>
      <w:numFmt w:val="decimal"/>
      <w:lvlText w:val="%1."/>
      <w:lvlJc w:val="left"/>
      <w:pPr>
        <w:ind w:left="720" w:hanging="360"/>
      </w:pPr>
    </w:lvl>
    <w:lvl w:ilvl="1" w:tplc="D0AAC53C">
      <w:start w:val="1"/>
      <w:numFmt w:val="decimal"/>
      <w:lvlText w:val="%2."/>
      <w:lvlJc w:val="left"/>
      <w:pPr>
        <w:ind w:left="720" w:hanging="360"/>
      </w:pPr>
    </w:lvl>
    <w:lvl w:ilvl="2" w:tplc="29F0572A">
      <w:start w:val="1"/>
      <w:numFmt w:val="decimal"/>
      <w:lvlText w:val="%3."/>
      <w:lvlJc w:val="left"/>
      <w:pPr>
        <w:ind w:left="720" w:hanging="360"/>
      </w:pPr>
    </w:lvl>
    <w:lvl w:ilvl="3" w:tplc="73E462EC">
      <w:start w:val="1"/>
      <w:numFmt w:val="decimal"/>
      <w:lvlText w:val="%4."/>
      <w:lvlJc w:val="left"/>
      <w:pPr>
        <w:ind w:left="720" w:hanging="360"/>
      </w:pPr>
    </w:lvl>
    <w:lvl w:ilvl="4" w:tplc="961A0EAA">
      <w:start w:val="1"/>
      <w:numFmt w:val="decimal"/>
      <w:lvlText w:val="%5."/>
      <w:lvlJc w:val="left"/>
      <w:pPr>
        <w:ind w:left="720" w:hanging="360"/>
      </w:pPr>
    </w:lvl>
    <w:lvl w:ilvl="5" w:tplc="FD101C70">
      <w:start w:val="1"/>
      <w:numFmt w:val="decimal"/>
      <w:lvlText w:val="%6."/>
      <w:lvlJc w:val="left"/>
      <w:pPr>
        <w:ind w:left="720" w:hanging="360"/>
      </w:pPr>
    </w:lvl>
    <w:lvl w:ilvl="6" w:tplc="7362FD52">
      <w:start w:val="1"/>
      <w:numFmt w:val="decimal"/>
      <w:lvlText w:val="%7."/>
      <w:lvlJc w:val="left"/>
      <w:pPr>
        <w:ind w:left="720" w:hanging="360"/>
      </w:pPr>
    </w:lvl>
    <w:lvl w:ilvl="7" w:tplc="BD561252">
      <w:start w:val="1"/>
      <w:numFmt w:val="decimal"/>
      <w:lvlText w:val="%8."/>
      <w:lvlJc w:val="left"/>
      <w:pPr>
        <w:ind w:left="720" w:hanging="360"/>
      </w:pPr>
    </w:lvl>
    <w:lvl w:ilvl="8" w:tplc="32988214">
      <w:start w:val="1"/>
      <w:numFmt w:val="decimal"/>
      <w:lvlText w:val="%9."/>
      <w:lvlJc w:val="left"/>
      <w:pPr>
        <w:ind w:left="720" w:hanging="360"/>
      </w:pPr>
    </w:lvl>
  </w:abstractNum>
  <w:abstractNum w:abstractNumId="61" w15:restartNumberingAfterBreak="0">
    <w:nsid w:val="38554A6A"/>
    <w:multiLevelType w:val="hybridMultilevel"/>
    <w:tmpl w:val="E56043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38D27F6F"/>
    <w:multiLevelType w:val="multilevel"/>
    <w:tmpl w:val="3A1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BC1CF9"/>
    <w:multiLevelType w:val="multilevel"/>
    <w:tmpl w:val="C31CA9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B1F4D69"/>
    <w:multiLevelType w:val="hybridMultilevel"/>
    <w:tmpl w:val="DB32A2DA"/>
    <w:lvl w:ilvl="0" w:tplc="D7DA512A">
      <w:start w:val="4"/>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5" w15:restartNumberingAfterBreak="0">
    <w:nsid w:val="3B8E04ED"/>
    <w:multiLevelType w:val="hybridMultilevel"/>
    <w:tmpl w:val="37D07B5E"/>
    <w:lvl w:ilvl="0" w:tplc="64023DFC">
      <w:start w:val="1"/>
      <w:numFmt w:val="decimal"/>
      <w:lvlText w:val="%1."/>
      <w:lvlJc w:val="left"/>
      <w:pPr>
        <w:ind w:left="1440" w:hanging="360"/>
      </w:pPr>
    </w:lvl>
    <w:lvl w:ilvl="1" w:tplc="395C05D2">
      <w:start w:val="1"/>
      <w:numFmt w:val="decimal"/>
      <w:lvlText w:val="%2."/>
      <w:lvlJc w:val="left"/>
      <w:pPr>
        <w:ind w:left="1440" w:hanging="360"/>
      </w:pPr>
    </w:lvl>
    <w:lvl w:ilvl="2" w:tplc="C78CCB28">
      <w:start w:val="1"/>
      <w:numFmt w:val="decimal"/>
      <w:lvlText w:val="%3."/>
      <w:lvlJc w:val="left"/>
      <w:pPr>
        <w:ind w:left="1440" w:hanging="360"/>
      </w:pPr>
    </w:lvl>
    <w:lvl w:ilvl="3" w:tplc="39B68E2C">
      <w:start w:val="1"/>
      <w:numFmt w:val="decimal"/>
      <w:lvlText w:val="%4."/>
      <w:lvlJc w:val="left"/>
      <w:pPr>
        <w:ind w:left="1440" w:hanging="360"/>
      </w:pPr>
    </w:lvl>
    <w:lvl w:ilvl="4" w:tplc="B7FE1E0C">
      <w:start w:val="1"/>
      <w:numFmt w:val="decimal"/>
      <w:lvlText w:val="%5."/>
      <w:lvlJc w:val="left"/>
      <w:pPr>
        <w:ind w:left="1440" w:hanging="360"/>
      </w:pPr>
    </w:lvl>
    <w:lvl w:ilvl="5" w:tplc="28C8DFC0">
      <w:start w:val="1"/>
      <w:numFmt w:val="decimal"/>
      <w:lvlText w:val="%6."/>
      <w:lvlJc w:val="left"/>
      <w:pPr>
        <w:ind w:left="1440" w:hanging="360"/>
      </w:pPr>
    </w:lvl>
    <w:lvl w:ilvl="6" w:tplc="8A903CC6">
      <w:start w:val="1"/>
      <w:numFmt w:val="decimal"/>
      <w:lvlText w:val="%7."/>
      <w:lvlJc w:val="left"/>
      <w:pPr>
        <w:ind w:left="1440" w:hanging="360"/>
      </w:pPr>
    </w:lvl>
    <w:lvl w:ilvl="7" w:tplc="EDCAE828">
      <w:start w:val="1"/>
      <w:numFmt w:val="decimal"/>
      <w:lvlText w:val="%8."/>
      <w:lvlJc w:val="left"/>
      <w:pPr>
        <w:ind w:left="1440" w:hanging="360"/>
      </w:pPr>
    </w:lvl>
    <w:lvl w:ilvl="8" w:tplc="C9F0B5CA">
      <w:start w:val="1"/>
      <w:numFmt w:val="decimal"/>
      <w:lvlText w:val="%9."/>
      <w:lvlJc w:val="left"/>
      <w:pPr>
        <w:ind w:left="1440" w:hanging="360"/>
      </w:pPr>
    </w:lvl>
  </w:abstractNum>
  <w:abstractNum w:abstractNumId="66" w15:restartNumberingAfterBreak="0">
    <w:nsid w:val="3B8F2503"/>
    <w:multiLevelType w:val="hybridMultilevel"/>
    <w:tmpl w:val="546AF54C"/>
    <w:lvl w:ilvl="0" w:tplc="2272ED48">
      <w:start w:val="1"/>
      <w:numFmt w:val="decimal"/>
      <w:lvlText w:val="%1."/>
      <w:lvlJc w:val="left"/>
      <w:pPr>
        <w:ind w:left="720" w:hanging="360"/>
      </w:pPr>
    </w:lvl>
    <w:lvl w:ilvl="1" w:tplc="90A0EE46">
      <w:start w:val="1"/>
      <w:numFmt w:val="decimal"/>
      <w:lvlText w:val="%2."/>
      <w:lvlJc w:val="left"/>
      <w:pPr>
        <w:ind w:left="720" w:hanging="360"/>
      </w:pPr>
    </w:lvl>
    <w:lvl w:ilvl="2" w:tplc="B21C6C0E">
      <w:start w:val="1"/>
      <w:numFmt w:val="decimal"/>
      <w:lvlText w:val="%3."/>
      <w:lvlJc w:val="left"/>
      <w:pPr>
        <w:ind w:left="720" w:hanging="360"/>
      </w:pPr>
    </w:lvl>
    <w:lvl w:ilvl="3" w:tplc="F42CEDD2">
      <w:start w:val="1"/>
      <w:numFmt w:val="decimal"/>
      <w:lvlText w:val="%4."/>
      <w:lvlJc w:val="left"/>
      <w:pPr>
        <w:ind w:left="720" w:hanging="360"/>
      </w:pPr>
    </w:lvl>
    <w:lvl w:ilvl="4" w:tplc="165AEC18">
      <w:start w:val="1"/>
      <w:numFmt w:val="decimal"/>
      <w:lvlText w:val="%5."/>
      <w:lvlJc w:val="left"/>
      <w:pPr>
        <w:ind w:left="720" w:hanging="360"/>
      </w:pPr>
    </w:lvl>
    <w:lvl w:ilvl="5" w:tplc="F5CC2194">
      <w:start w:val="1"/>
      <w:numFmt w:val="decimal"/>
      <w:lvlText w:val="%6."/>
      <w:lvlJc w:val="left"/>
      <w:pPr>
        <w:ind w:left="720" w:hanging="360"/>
      </w:pPr>
    </w:lvl>
    <w:lvl w:ilvl="6" w:tplc="83166E44">
      <w:start w:val="1"/>
      <w:numFmt w:val="decimal"/>
      <w:lvlText w:val="%7."/>
      <w:lvlJc w:val="left"/>
      <w:pPr>
        <w:ind w:left="720" w:hanging="360"/>
      </w:pPr>
    </w:lvl>
    <w:lvl w:ilvl="7" w:tplc="C3648668">
      <w:start w:val="1"/>
      <w:numFmt w:val="decimal"/>
      <w:lvlText w:val="%8."/>
      <w:lvlJc w:val="left"/>
      <w:pPr>
        <w:ind w:left="720" w:hanging="360"/>
      </w:pPr>
    </w:lvl>
    <w:lvl w:ilvl="8" w:tplc="C72099AE">
      <w:start w:val="1"/>
      <w:numFmt w:val="decimal"/>
      <w:lvlText w:val="%9."/>
      <w:lvlJc w:val="left"/>
      <w:pPr>
        <w:ind w:left="720" w:hanging="360"/>
      </w:pPr>
    </w:lvl>
  </w:abstractNum>
  <w:abstractNum w:abstractNumId="67" w15:restartNumberingAfterBreak="0">
    <w:nsid w:val="3C363684"/>
    <w:multiLevelType w:val="hybridMultilevel"/>
    <w:tmpl w:val="635C3A2E"/>
    <w:lvl w:ilvl="0" w:tplc="878A616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3C775C0C"/>
    <w:multiLevelType w:val="hybridMultilevel"/>
    <w:tmpl w:val="6F28DD8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3FC17EBB"/>
    <w:multiLevelType w:val="multilevel"/>
    <w:tmpl w:val="26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70384B"/>
    <w:multiLevelType w:val="hybridMultilevel"/>
    <w:tmpl w:val="75E413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421D09FB"/>
    <w:multiLevelType w:val="multilevel"/>
    <w:tmpl w:val="940C379C"/>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2AD30D1"/>
    <w:multiLevelType w:val="hybridMultilevel"/>
    <w:tmpl w:val="FD7E5A26"/>
    <w:lvl w:ilvl="0" w:tplc="E69EF310">
      <w:start w:val="1"/>
      <w:numFmt w:val="decimal"/>
      <w:lvlText w:val="%1."/>
      <w:lvlJc w:val="left"/>
      <w:pPr>
        <w:ind w:left="1440" w:hanging="360"/>
      </w:pPr>
    </w:lvl>
    <w:lvl w:ilvl="1" w:tplc="4E547C00">
      <w:start w:val="1"/>
      <w:numFmt w:val="decimal"/>
      <w:lvlText w:val="%2."/>
      <w:lvlJc w:val="left"/>
      <w:pPr>
        <w:ind w:left="1440" w:hanging="360"/>
      </w:pPr>
    </w:lvl>
    <w:lvl w:ilvl="2" w:tplc="8696CE94">
      <w:start w:val="1"/>
      <w:numFmt w:val="decimal"/>
      <w:lvlText w:val="%3."/>
      <w:lvlJc w:val="left"/>
      <w:pPr>
        <w:ind w:left="1440" w:hanging="360"/>
      </w:pPr>
    </w:lvl>
    <w:lvl w:ilvl="3" w:tplc="919A67FE">
      <w:start w:val="1"/>
      <w:numFmt w:val="decimal"/>
      <w:lvlText w:val="%4."/>
      <w:lvlJc w:val="left"/>
      <w:pPr>
        <w:ind w:left="1440" w:hanging="360"/>
      </w:pPr>
    </w:lvl>
    <w:lvl w:ilvl="4" w:tplc="FF98F7B0">
      <w:start w:val="1"/>
      <w:numFmt w:val="decimal"/>
      <w:lvlText w:val="%5."/>
      <w:lvlJc w:val="left"/>
      <w:pPr>
        <w:ind w:left="1440" w:hanging="360"/>
      </w:pPr>
    </w:lvl>
    <w:lvl w:ilvl="5" w:tplc="CC56BE30">
      <w:start w:val="1"/>
      <w:numFmt w:val="decimal"/>
      <w:lvlText w:val="%6."/>
      <w:lvlJc w:val="left"/>
      <w:pPr>
        <w:ind w:left="1440" w:hanging="360"/>
      </w:pPr>
    </w:lvl>
    <w:lvl w:ilvl="6" w:tplc="C3F87B0E">
      <w:start w:val="1"/>
      <w:numFmt w:val="decimal"/>
      <w:lvlText w:val="%7."/>
      <w:lvlJc w:val="left"/>
      <w:pPr>
        <w:ind w:left="1440" w:hanging="360"/>
      </w:pPr>
    </w:lvl>
    <w:lvl w:ilvl="7" w:tplc="39A6073C">
      <w:start w:val="1"/>
      <w:numFmt w:val="decimal"/>
      <w:lvlText w:val="%8."/>
      <w:lvlJc w:val="left"/>
      <w:pPr>
        <w:ind w:left="1440" w:hanging="360"/>
      </w:pPr>
    </w:lvl>
    <w:lvl w:ilvl="8" w:tplc="FF74C09A">
      <w:start w:val="1"/>
      <w:numFmt w:val="decimal"/>
      <w:lvlText w:val="%9."/>
      <w:lvlJc w:val="left"/>
      <w:pPr>
        <w:ind w:left="1440" w:hanging="360"/>
      </w:pPr>
    </w:lvl>
  </w:abstractNum>
  <w:abstractNum w:abstractNumId="73" w15:restartNumberingAfterBreak="0">
    <w:nsid w:val="42B25C46"/>
    <w:multiLevelType w:val="hybridMultilevel"/>
    <w:tmpl w:val="F5288044"/>
    <w:lvl w:ilvl="0" w:tplc="FFFFFFFF">
      <w:start w:val="1"/>
      <w:numFmt w:val="bullet"/>
      <w:lvlText w:val=""/>
      <w:lvlJc w:val="left"/>
      <w:pPr>
        <w:ind w:left="720" w:hanging="360"/>
      </w:pPr>
      <w:rPr>
        <w:rFonts w:ascii="Wingdings" w:hAnsi="Wingdings" w:hint="default"/>
      </w:rPr>
    </w:lvl>
    <w:lvl w:ilvl="1" w:tplc="E90C03F8">
      <w:numFmt w:val="bullet"/>
      <w:lvlText w:val="-"/>
      <w:lvlJc w:val="left"/>
      <w:pPr>
        <w:ind w:left="1212"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46647FB"/>
    <w:multiLevelType w:val="hybridMultilevel"/>
    <w:tmpl w:val="6D108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48360C95"/>
    <w:multiLevelType w:val="hybridMultilevel"/>
    <w:tmpl w:val="C1964A0A"/>
    <w:lvl w:ilvl="0" w:tplc="F81AABA6">
      <w:start w:val="1"/>
      <w:numFmt w:val="bullet"/>
      <w:lvlText w:val=""/>
      <w:lvlJc w:val="left"/>
      <w:pPr>
        <w:ind w:left="2040" w:hanging="360"/>
      </w:pPr>
      <w:rPr>
        <w:rFonts w:ascii="Symbol" w:hAnsi="Symbol"/>
      </w:rPr>
    </w:lvl>
    <w:lvl w:ilvl="1" w:tplc="793671A6">
      <w:start w:val="1"/>
      <w:numFmt w:val="bullet"/>
      <w:lvlText w:val=""/>
      <w:lvlJc w:val="left"/>
      <w:pPr>
        <w:ind w:left="2040" w:hanging="360"/>
      </w:pPr>
      <w:rPr>
        <w:rFonts w:ascii="Symbol" w:hAnsi="Symbol"/>
      </w:rPr>
    </w:lvl>
    <w:lvl w:ilvl="2" w:tplc="8E528B2C">
      <w:start w:val="1"/>
      <w:numFmt w:val="bullet"/>
      <w:lvlText w:val=""/>
      <w:lvlJc w:val="left"/>
      <w:pPr>
        <w:ind w:left="2040" w:hanging="360"/>
      </w:pPr>
      <w:rPr>
        <w:rFonts w:ascii="Symbol" w:hAnsi="Symbol"/>
      </w:rPr>
    </w:lvl>
    <w:lvl w:ilvl="3" w:tplc="AB568336">
      <w:start w:val="1"/>
      <w:numFmt w:val="bullet"/>
      <w:lvlText w:val=""/>
      <w:lvlJc w:val="left"/>
      <w:pPr>
        <w:ind w:left="2040" w:hanging="360"/>
      </w:pPr>
      <w:rPr>
        <w:rFonts w:ascii="Symbol" w:hAnsi="Symbol"/>
      </w:rPr>
    </w:lvl>
    <w:lvl w:ilvl="4" w:tplc="1FE052E4">
      <w:start w:val="1"/>
      <w:numFmt w:val="bullet"/>
      <w:lvlText w:val=""/>
      <w:lvlJc w:val="left"/>
      <w:pPr>
        <w:ind w:left="2040" w:hanging="360"/>
      </w:pPr>
      <w:rPr>
        <w:rFonts w:ascii="Symbol" w:hAnsi="Symbol"/>
      </w:rPr>
    </w:lvl>
    <w:lvl w:ilvl="5" w:tplc="6442A398">
      <w:start w:val="1"/>
      <w:numFmt w:val="bullet"/>
      <w:lvlText w:val=""/>
      <w:lvlJc w:val="left"/>
      <w:pPr>
        <w:ind w:left="2040" w:hanging="360"/>
      </w:pPr>
      <w:rPr>
        <w:rFonts w:ascii="Symbol" w:hAnsi="Symbol"/>
      </w:rPr>
    </w:lvl>
    <w:lvl w:ilvl="6" w:tplc="721AAE36">
      <w:start w:val="1"/>
      <w:numFmt w:val="bullet"/>
      <w:lvlText w:val=""/>
      <w:lvlJc w:val="left"/>
      <w:pPr>
        <w:ind w:left="2040" w:hanging="360"/>
      </w:pPr>
      <w:rPr>
        <w:rFonts w:ascii="Symbol" w:hAnsi="Symbol"/>
      </w:rPr>
    </w:lvl>
    <w:lvl w:ilvl="7" w:tplc="D282544C">
      <w:start w:val="1"/>
      <w:numFmt w:val="bullet"/>
      <w:lvlText w:val=""/>
      <w:lvlJc w:val="left"/>
      <w:pPr>
        <w:ind w:left="2040" w:hanging="360"/>
      </w:pPr>
      <w:rPr>
        <w:rFonts w:ascii="Symbol" w:hAnsi="Symbol"/>
      </w:rPr>
    </w:lvl>
    <w:lvl w:ilvl="8" w:tplc="79AAE10C">
      <w:start w:val="1"/>
      <w:numFmt w:val="bullet"/>
      <w:lvlText w:val=""/>
      <w:lvlJc w:val="left"/>
      <w:pPr>
        <w:ind w:left="2040" w:hanging="360"/>
      </w:pPr>
      <w:rPr>
        <w:rFonts w:ascii="Symbol" w:hAnsi="Symbol"/>
      </w:rPr>
    </w:lvl>
  </w:abstractNum>
  <w:abstractNum w:abstractNumId="76" w15:restartNumberingAfterBreak="0">
    <w:nsid w:val="487F6594"/>
    <w:multiLevelType w:val="multilevel"/>
    <w:tmpl w:val="222E85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89832A5"/>
    <w:multiLevelType w:val="hybridMultilevel"/>
    <w:tmpl w:val="34DAFE2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498236EE"/>
    <w:multiLevelType w:val="hybridMultilevel"/>
    <w:tmpl w:val="1E82B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49E401AD"/>
    <w:multiLevelType w:val="hybridMultilevel"/>
    <w:tmpl w:val="E3E2E28E"/>
    <w:lvl w:ilvl="0" w:tplc="E8302F26">
      <w:start w:val="1"/>
      <w:numFmt w:val="decimal"/>
      <w:lvlText w:val="%1)"/>
      <w:lvlJc w:val="left"/>
      <w:pPr>
        <w:ind w:left="1080" w:hanging="360"/>
      </w:pPr>
    </w:lvl>
    <w:lvl w:ilvl="1" w:tplc="3B188B6E">
      <w:start w:val="1"/>
      <w:numFmt w:val="decimal"/>
      <w:lvlText w:val="%2)"/>
      <w:lvlJc w:val="left"/>
      <w:pPr>
        <w:ind w:left="1080" w:hanging="360"/>
      </w:pPr>
    </w:lvl>
    <w:lvl w:ilvl="2" w:tplc="71761874">
      <w:start w:val="1"/>
      <w:numFmt w:val="decimal"/>
      <w:lvlText w:val="%3)"/>
      <w:lvlJc w:val="left"/>
      <w:pPr>
        <w:ind w:left="1080" w:hanging="360"/>
      </w:pPr>
    </w:lvl>
    <w:lvl w:ilvl="3" w:tplc="92CE6AB2">
      <w:start w:val="1"/>
      <w:numFmt w:val="decimal"/>
      <w:lvlText w:val="%4)"/>
      <w:lvlJc w:val="left"/>
      <w:pPr>
        <w:ind w:left="1080" w:hanging="360"/>
      </w:pPr>
    </w:lvl>
    <w:lvl w:ilvl="4" w:tplc="98D0007E">
      <w:start w:val="1"/>
      <w:numFmt w:val="decimal"/>
      <w:lvlText w:val="%5)"/>
      <w:lvlJc w:val="left"/>
      <w:pPr>
        <w:ind w:left="1080" w:hanging="360"/>
      </w:pPr>
    </w:lvl>
    <w:lvl w:ilvl="5" w:tplc="4F06F18E">
      <w:start w:val="1"/>
      <w:numFmt w:val="decimal"/>
      <w:lvlText w:val="%6)"/>
      <w:lvlJc w:val="left"/>
      <w:pPr>
        <w:ind w:left="1080" w:hanging="360"/>
      </w:pPr>
    </w:lvl>
    <w:lvl w:ilvl="6" w:tplc="9412FA46">
      <w:start w:val="1"/>
      <w:numFmt w:val="decimal"/>
      <w:lvlText w:val="%7)"/>
      <w:lvlJc w:val="left"/>
      <w:pPr>
        <w:ind w:left="1080" w:hanging="360"/>
      </w:pPr>
    </w:lvl>
    <w:lvl w:ilvl="7" w:tplc="0AF23A68">
      <w:start w:val="1"/>
      <w:numFmt w:val="decimal"/>
      <w:lvlText w:val="%8)"/>
      <w:lvlJc w:val="left"/>
      <w:pPr>
        <w:ind w:left="1080" w:hanging="360"/>
      </w:pPr>
    </w:lvl>
    <w:lvl w:ilvl="8" w:tplc="1618048E">
      <w:start w:val="1"/>
      <w:numFmt w:val="decimal"/>
      <w:lvlText w:val="%9)"/>
      <w:lvlJc w:val="left"/>
      <w:pPr>
        <w:ind w:left="1080" w:hanging="360"/>
      </w:pPr>
    </w:lvl>
  </w:abstractNum>
  <w:abstractNum w:abstractNumId="80"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81" w15:restartNumberingAfterBreak="0">
    <w:nsid w:val="4E1834D9"/>
    <w:multiLevelType w:val="hybridMultilevel"/>
    <w:tmpl w:val="45288EEE"/>
    <w:lvl w:ilvl="0" w:tplc="ADA0495E">
      <w:start w:val="1"/>
      <w:numFmt w:val="decimal"/>
      <w:lvlText w:val="%1)"/>
      <w:lvlJc w:val="left"/>
      <w:pPr>
        <w:ind w:left="720" w:hanging="360"/>
      </w:pPr>
    </w:lvl>
    <w:lvl w:ilvl="1" w:tplc="09403374">
      <w:start w:val="1"/>
      <w:numFmt w:val="decimal"/>
      <w:lvlText w:val="%2)"/>
      <w:lvlJc w:val="left"/>
      <w:pPr>
        <w:ind w:left="720" w:hanging="360"/>
      </w:pPr>
    </w:lvl>
    <w:lvl w:ilvl="2" w:tplc="7076E130">
      <w:start w:val="1"/>
      <w:numFmt w:val="decimal"/>
      <w:lvlText w:val="%3)"/>
      <w:lvlJc w:val="left"/>
      <w:pPr>
        <w:ind w:left="720" w:hanging="360"/>
      </w:pPr>
    </w:lvl>
    <w:lvl w:ilvl="3" w:tplc="8A406388">
      <w:start w:val="1"/>
      <w:numFmt w:val="decimal"/>
      <w:lvlText w:val="%4)"/>
      <w:lvlJc w:val="left"/>
      <w:pPr>
        <w:ind w:left="720" w:hanging="360"/>
      </w:pPr>
    </w:lvl>
    <w:lvl w:ilvl="4" w:tplc="D2EC415E">
      <w:start w:val="1"/>
      <w:numFmt w:val="decimal"/>
      <w:lvlText w:val="%5)"/>
      <w:lvlJc w:val="left"/>
      <w:pPr>
        <w:ind w:left="720" w:hanging="360"/>
      </w:pPr>
    </w:lvl>
    <w:lvl w:ilvl="5" w:tplc="32BA8EA8">
      <w:start w:val="1"/>
      <w:numFmt w:val="decimal"/>
      <w:lvlText w:val="%6)"/>
      <w:lvlJc w:val="left"/>
      <w:pPr>
        <w:ind w:left="720" w:hanging="360"/>
      </w:pPr>
    </w:lvl>
    <w:lvl w:ilvl="6" w:tplc="30C2E2AE">
      <w:start w:val="1"/>
      <w:numFmt w:val="decimal"/>
      <w:lvlText w:val="%7)"/>
      <w:lvlJc w:val="left"/>
      <w:pPr>
        <w:ind w:left="720" w:hanging="360"/>
      </w:pPr>
    </w:lvl>
    <w:lvl w:ilvl="7" w:tplc="BFAEF110">
      <w:start w:val="1"/>
      <w:numFmt w:val="decimal"/>
      <w:lvlText w:val="%8)"/>
      <w:lvlJc w:val="left"/>
      <w:pPr>
        <w:ind w:left="720" w:hanging="360"/>
      </w:pPr>
    </w:lvl>
    <w:lvl w:ilvl="8" w:tplc="7586FC28">
      <w:start w:val="1"/>
      <w:numFmt w:val="decimal"/>
      <w:lvlText w:val="%9)"/>
      <w:lvlJc w:val="left"/>
      <w:pPr>
        <w:ind w:left="720" w:hanging="360"/>
      </w:pPr>
    </w:lvl>
  </w:abstractNum>
  <w:abstractNum w:abstractNumId="82" w15:restartNumberingAfterBreak="0">
    <w:nsid w:val="4E560F39"/>
    <w:multiLevelType w:val="hybridMultilevel"/>
    <w:tmpl w:val="541C4038"/>
    <w:lvl w:ilvl="0" w:tplc="1EBC6CF6">
      <w:start w:val="1"/>
      <w:numFmt w:val="bullet"/>
      <w:lvlText w:val=""/>
      <w:lvlJc w:val="left"/>
      <w:pPr>
        <w:ind w:left="720" w:hanging="360"/>
      </w:pPr>
      <w:rPr>
        <w:rFonts w:ascii="Symbol" w:hAnsi="Symbol" w:hint="default"/>
      </w:rPr>
    </w:lvl>
    <w:lvl w:ilvl="1" w:tplc="B2FE30E2" w:tentative="1">
      <w:start w:val="1"/>
      <w:numFmt w:val="bullet"/>
      <w:lvlText w:val="o"/>
      <w:lvlJc w:val="left"/>
      <w:pPr>
        <w:ind w:left="1440" w:hanging="360"/>
      </w:pPr>
      <w:rPr>
        <w:rFonts w:ascii="Courier New" w:hAnsi="Courier New" w:hint="default"/>
      </w:rPr>
    </w:lvl>
    <w:lvl w:ilvl="2" w:tplc="CDA4A5D4" w:tentative="1">
      <w:start w:val="1"/>
      <w:numFmt w:val="bullet"/>
      <w:lvlText w:val=""/>
      <w:lvlJc w:val="left"/>
      <w:pPr>
        <w:ind w:left="2160" w:hanging="360"/>
      </w:pPr>
      <w:rPr>
        <w:rFonts w:ascii="Wingdings" w:hAnsi="Wingdings" w:hint="default"/>
      </w:rPr>
    </w:lvl>
    <w:lvl w:ilvl="3" w:tplc="3ADC81FE" w:tentative="1">
      <w:start w:val="1"/>
      <w:numFmt w:val="bullet"/>
      <w:lvlText w:val=""/>
      <w:lvlJc w:val="left"/>
      <w:pPr>
        <w:ind w:left="2880" w:hanging="360"/>
      </w:pPr>
      <w:rPr>
        <w:rFonts w:ascii="Symbol" w:hAnsi="Symbol" w:hint="default"/>
      </w:rPr>
    </w:lvl>
    <w:lvl w:ilvl="4" w:tplc="4F42027C" w:tentative="1">
      <w:start w:val="1"/>
      <w:numFmt w:val="bullet"/>
      <w:lvlText w:val="o"/>
      <w:lvlJc w:val="left"/>
      <w:pPr>
        <w:ind w:left="3600" w:hanging="360"/>
      </w:pPr>
      <w:rPr>
        <w:rFonts w:ascii="Courier New" w:hAnsi="Courier New" w:hint="default"/>
      </w:rPr>
    </w:lvl>
    <w:lvl w:ilvl="5" w:tplc="D188DA16" w:tentative="1">
      <w:start w:val="1"/>
      <w:numFmt w:val="bullet"/>
      <w:lvlText w:val=""/>
      <w:lvlJc w:val="left"/>
      <w:pPr>
        <w:ind w:left="4320" w:hanging="360"/>
      </w:pPr>
      <w:rPr>
        <w:rFonts w:ascii="Wingdings" w:hAnsi="Wingdings" w:hint="default"/>
      </w:rPr>
    </w:lvl>
    <w:lvl w:ilvl="6" w:tplc="F7B6A720" w:tentative="1">
      <w:start w:val="1"/>
      <w:numFmt w:val="bullet"/>
      <w:lvlText w:val=""/>
      <w:lvlJc w:val="left"/>
      <w:pPr>
        <w:ind w:left="5040" w:hanging="360"/>
      </w:pPr>
      <w:rPr>
        <w:rFonts w:ascii="Symbol" w:hAnsi="Symbol" w:hint="default"/>
      </w:rPr>
    </w:lvl>
    <w:lvl w:ilvl="7" w:tplc="1E56446C" w:tentative="1">
      <w:start w:val="1"/>
      <w:numFmt w:val="bullet"/>
      <w:lvlText w:val="o"/>
      <w:lvlJc w:val="left"/>
      <w:pPr>
        <w:ind w:left="5760" w:hanging="360"/>
      </w:pPr>
      <w:rPr>
        <w:rFonts w:ascii="Courier New" w:hAnsi="Courier New" w:hint="default"/>
      </w:rPr>
    </w:lvl>
    <w:lvl w:ilvl="8" w:tplc="7068A46E" w:tentative="1">
      <w:start w:val="1"/>
      <w:numFmt w:val="bullet"/>
      <w:lvlText w:val=""/>
      <w:lvlJc w:val="left"/>
      <w:pPr>
        <w:ind w:left="6480" w:hanging="360"/>
      </w:pPr>
      <w:rPr>
        <w:rFonts w:ascii="Wingdings" w:hAnsi="Wingdings" w:hint="default"/>
      </w:rPr>
    </w:lvl>
  </w:abstractNum>
  <w:abstractNum w:abstractNumId="83" w15:restartNumberingAfterBreak="0">
    <w:nsid w:val="4F2924B4"/>
    <w:multiLevelType w:val="hybridMultilevel"/>
    <w:tmpl w:val="A18263B4"/>
    <w:lvl w:ilvl="0" w:tplc="6ACEB98A">
      <w:start w:val="1"/>
      <w:numFmt w:val="decimal"/>
      <w:lvlText w:val="%1."/>
      <w:lvlJc w:val="left"/>
      <w:pPr>
        <w:ind w:left="720" w:hanging="360"/>
      </w:pPr>
    </w:lvl>
    <w:lvl w:ilvl="1" w:tplc="77B27842">
      <w:start w:val="1"/>
      <w:numFmt w:val="decimal"/>
      <w:lvlText w:val="%2."/>
      <w:lvlJc w:val="left"/>
      <w:pPr>
        <w:ind w:left="720" w:hanging="360"/>
      </w:pPr>
    </w:lvl>
    <w:lvl w:ilvl="2" w:tplc="F0CED49E">
      <w:start w:val="1"/>
      <w:numFmt w:val="decimal"/>
      <w:lvlText w:val="%3."/>
      <w:lvlJc w:val="left"/>
      <w:pPr>
        <w:ind w:left="720" w:hanging="360"/>
      </w:pPr>
    </w:lvl>
    <w:lvl w:ilvl="3" w:tplc="50289958">
      <w:start w:val="1"/>
      <w:numFmt w:val="decimal"/>
      <w:lvlText w:val="%4."/>
      <w:lvlJc w:val="left"/>
      <w:pPr>
        <w:ind w:left="720" w:hanging="360"/>
      </w:pPr>
    </w:lvl>
    <w:lvl w:ilvl="4" w:tplc="36720AE2">
      <w:start w:val="1"/>
      <w:numFmt w:val="decimal"/>
      <w:lvlText w:val="%5."/>
      <w:lvlJc w:val="left"/>
      <w:pPr>
        <w:ind w:left="720" w:hanging="360"/>
      </w:pPr>
    </w:lvl>
    <w:lvl w:ilvl="5" w:tplc="E03885CE">
      <w:start w:val="1"/>
      <w:numFmt w:val="decimal"/>
      <w:lvlText w:val="%6."/>
      <w:lvlJc w:val="left"/>
      <w:pPr>
        <w:ind w:left="720" w:hanging="360"/>
      </w:pPr>
    </w:lvl>
    <w:lvl w:ilvl="6" w:tplc="B868F6A2">
      <w:start w:val="1"/>
      <w:numFmt w:val="decimal"/>
      <w:lvlText w:val="%7."/>
      <w:lvlJc w:val="left"/>
      <w:pPr>
        <w:ind w:left="720" w:hanging="360"/>
      </w:pPr>
    </w:lvl>
    <w:lvl w:ilvl="7" w:tplc="5920AF7E">
      <w:start w:val="1"/>
      <w:numFmt w:val="decimal"/>
      <w:lvlText w:val="%8."/>
      <w:lvlJc w:val="left"/>
      <w:pPr>
        <w:ind w:left="720" w:hanging="360"/>
      </w:pPr>
    </w:lvl>
    <w:lvl w:ilvl="8" w:tplc="FACC24C4">
      <w:start w:val="1"/>
      <w:numFmt w:val="decimal"/>
      <w:lvlText w:val="%9."/>
      <w:lvlJc w:val="left"/>
      <w:pPr>
        <w:ind w:left="720" w:hanging="360"/>
      </w:pPr>
    </w:lvl>
  </w:abstractNum>
  <w:abstractNum w:abstractNumId="84" w15:restartNumberingAfterBreak="0">
    <w:nsid w:val="4F4E23D1"/>
    <w:multiLevelType w:val="hybridMultilevel"/>
    <w:tmpl w:val="FFFFFFFF"/>
    <w:lvl w:ilvl="0" w:tplc="46967CFA">
      <w:start w:val="1"/>
      <w:numFmt w:val="bullet"/>
      <w:lvlText w:val=""/>
      <w:lvlJc w:val="left"/>
      <w:pPr>
        <w:ind w:left="720" w:hanging="360"/>
      </w:pPr>
      <w:rPr>
        <w:rFonts w:ascii="Symbol" w:hAnsi="Symbol" w:hint="default"/>
      </w:rPr>
    </w:lvl>
    <w:lvl w:ilvl="1" w:tplc="F65A6F44">
      <w:start w:val="1"/>
      <w:numFmt w:val="bullet"/>
      <w:lvlText w:val="o"/>
      <w:lvlJc w:val="left"/>
      <w:pPr>
        <w:ind w:left="1440" w:hanging="360"/>
      </w:pPr>
      <w:rPr>
        <w:rFonts w:ascii="Courier New" w:hAnsi="Courier New" w:hint="default"/>
      </w:rPr>
    </w:lvl>
    <w:lvl w:ilvl="2" w:tplc="2240763A">
      <w:start w:val="1"/>
      <w:numFmt w:val="bullet"/>
      <w:lvlText w:val=""/>
      <w:lvlJc w:val="left"/>
      <w:pPr>
        <w:ind w:left="2160" w:hanging="360"/>
      </w:pPr>
      <w:rPr>
        <w:rFonts w:ascii="Wingdings" w:hAnsi="Wingdings" w:hint="default"/>
      </w:rPr>
    </w:lvl>
    <w:lvl w:ilvl="3" w:tplc="126E7D5C">
      <w:start w:val="1"/>
      <w:numFmt w:val="bullet"/>
      <w:lvlText w:val=""/>
      <w:lvlJc w:val="left"/>
      <w:pPr>
        <w:ind w:left="2880" w:hanging="360"/>
      </w:pPr>
      <w:rPr>
        <w:rFonts w:ascii="Symbol" w:hAnsi="Symbol" w:hint="default"/>
      </w:rPr>
    </w:lvl>
    <w:lvl w:ilvl="4" w:tplc="90E40DD2">
      <w:start w:val="1"/>
      <w:numFmt w:val="bullet"/>
      <w:lvlText w:val="o"/>
      <w:lvlJc w:val="left"/>
      <w:pPr>
        <w:ind w:left="3600" w:hanging="360"/>
      </w:pPr>
      <w:rPr>
        <w:rFonts w:ascii="Courier New" w:hAnsi="Courier New" w:hint="default"/>
      </w:rPr>
    </w:lvl>
    <w:lvl w:ilvl="5" w:tplc="A52C2008">
      <w:start w:val="1"/>
      <w:numFmt w:val="bullet"/>
      <w:lvlText w:val=""/>
      <w:lvlJc w:val="left"/>
      <w:pPr>
        <w:ind w:left="4320" w:hanging="360"/>
      </w:pPr>
      <w:rPr>
        <w:rFonts w:ascii="Wingdings" w:hAnsi="Wingdings" w:hint="default"/>
      </w:rPr>
    </w:lvl>
    <w:lvl w:ilvl="6" w:tplc="3036F5B8">
      <w:start w:val="1"/>
      <w:numFmt w:val="bullet"/>
      <w:lvlText w:val=""/>
      <w:lvlJc w:val="left"/>
      <w:pPr>
        <w:ind w:left="5040" w:hanging="360"/>
      </w:pPr>
      <w:rPr>
        <w:rFonts w:ascii="Symbol" w:hAnsi="Symbol" w:hint="default"/>
      </w:rPr>
    </w:lvl>
    <w:lvl w:ilvl="7" w:tplc="2E54D2CC">
      <w:start w:val="1"/>
      <w:numFmt w:val="bullet"/>
      <w:lvlText w:val="o"/>
      <w:lvlJc w:val="left"/>
      <w:pPr>
        <w:ind w:left="5760" w:hanging="360"/>
      </w:pPr>
      <w:rPr>
        <w:rFonts w:ascii="Courier New" w:hAnsi="Courier New" w:hint="default"/>
      </w:rPr>
    </w:lvl>
    <w:lvl w:ilvl="8" w:tplc="71C4E176">
      <w:start w:val="1"/>
      <w:numFmt w:val="bullet"/>
      <w:lvlText w:val=""/>
      <w:lvlJc w:val="left"/>
      <w:pPr>
        <w:ind w:left="6480" w:hanging="360"/>
      </w:pPr>
      <w:rPr>
        <w:rFonts w:ascii="Wingdings" w:hAnsi="Wingdings" w:hint="default"/>
      </w:rPr>
    </w:lvl>
  </w:abstractNum>
  <w:abstractNum w:abstractNumId="85" w15:restartNumberingAfterBreak="0">
    <w:nsid w:val="4FB46CAD"/>
    <w:multiLevelType w:val="hybridMultilevel"/>
    <w:tmpl w:val="E130B4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FCD33E8"/>
    <w:multiLevelType w:val="hybridMultilevel"/>
    <w:tmpl w:val="F98AD51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507607F2"/>
    <w:multiLevelType w:val="hybridMultilevel"/>
    <w:tmpl w:val="F8740792"/>
    <w:lvl w:ilvl="0" w:tplc="EE7C9EBE">
      <w:start w:val="1"/>
      <w:numFmt w:val="decimal"/>
      <w:lvlText w:val="%1."/>
      <w:lvlJc w:val="left"/>
      <w:pPr>
        <w:ind w:left="1440" w:hanging="360"/>
      </w:pPr>
    </w:lvl>
    <w:lvl w:ilvl="1" w:tplc="6810ACB2">
      <w:start w:val="1"/>
      <w:numFmt w:val="decimal"/>
      <w:lvlText w:val="%2."/>
      <w:lvlJc w:val="left"/>
      <w:pPr>
        <w:ind w:left="1440" w:hanging="360"/>
      </w:pPr>
    </w:lvl>
    <w:lvl w:ilvl="2" w:tplc="C3342CD8">
      <w:start w:val="1"/>
      <w:numFmt w:val="decimal"/>
      <w:lvlText w:val="%3."/>
      <w:lvlJc w:val="left"/>
      <w:pPr>
        <w:ind w:left="1440" w:hanging="360"/>
      </w:pPr>
    </w:lvl>
    <w:lvl w:ilvl="3" w:tplc="BB6493B0">
      <w:start w:val="1"/>
      <w:numFmt w:val="decimal"/>
      <w:lvlText w:val="%4."/>
      <w:lvlJc w:val="left"/>
      <w:pPr>
        <w:ind w:left="1440" w:hanging="360"/>
      </w:pPr>
    </w:lvl>
    <w:lvl w:ilvl="4" w:tplc="3F2E4FC6">
      <w:start w:val="1"/>
      <w:numFmt w:val="decimal"/>
      <w:lvlText w:val="%5."/>
      <w:lvlJc w:val="left"/>
      <w:pPr>
        <w:ind w:left="1440" w:hanging="360"/>
      </w:pPr>
    </w:lvl>
    <w:lvl w:ilvl="5" w:tplc="F45C10F4">
      <w:start w:val="1"/>
      <w:numFmt w:val="decimal"/>
      <w:lvlText w:val="%6."/>
      <w:lvlJc w:val="left"/>
      <w:pPr>
        <w:ind w:left="1440" w:hanging="360"/>
      </w:pPr>
    </w:lvl>
    <w:lvl w:ilvl="6" w:tplc="E7C41202">
      <w:start w:val="1"/>
      <w:numFmt w:val="decimal"/>
      <w:lvlText w:val="%7."/>
      <w:lvlJc w:val="left"/>
      <w:pPr>
        <w:ind w:left="1440" w:hanging="360"/>
      </w:pPr>
    </w:lvl>
    <w:lvl w:ilvl="7" w:tplc="5C709B7E">
      <w:start w:val="1"/>
      <w:numFmt w:val="decimal"/>
      <w:lvlText w:val="%8."/>
      <w:lvlJc w:val="left"/>
      <w:pPr>
        <w:ind w:left="1440" w:hanging="360"/>
      </w:pPr>
    </w:lvl>
    <w:lvl w:ilvl="8" w:tplc="BD2CBF54">
      <w:start w:val="1"/>
      <w:numFmt w:val="decimal"/>
      <w:lvlText w:val="%9."/>
      <w:lvlJc w:val="left"/>
      <w:pPr>
        <w:ind w:left="1440" w:hanging="360"/>
      </w:pPr>
    </w:lvl>
  </w:abstractNum>
  <w:abstractNum w:abstractNumId="88" w15:restartNumberingAfterBreak="0">
    <w:nsid w:val="50F353B3"/>
    <w:multiLevelType w:val="hybridMultilevel"/>
    <w:tmpl w:val="8D0C8BB4"/>
    <w:lvl w:ilvl="0" w:tplc="F438C27E">
      <w:start w:val="1"/>
      <w:numFmt w:val="decimal"/>
      <w:lvlText w:val="%1."/>
      <w:lvlJc w:val="left"/>
      <w:pPr>
        <w:ind w:left="1440" w:hanging="360"/>
      </w:pPr>
    </w:lvl>
    <w:lvl w:ilvl="1" w:tplc="0F3EFEC6">
      <w:start w:val="1"/>
      <w:numFmt w:val="decimal"/>
      <w:lvlText w:val="%2."/>
      <w:lvlJc w:val="left"/>
      <w:pPr>
        <w:ind w:left="1440" w:hanging="360"/>
      </w:pPr>
    </w:lvl>
    <w:lvl w:ilvl="2" w:tplc="8CECBA78">
      <w:start w:val="1"/>
      <w:numFmt w:val="decimal"/>
      <w:lvlText w:val="%3."/>
      <w:lvlJc w:val="left"/>
      <w:pPr>
        <w:ind w:left="1440" w:hanging="360"/>
      </w:pPr>
    </w:lvl>
    <w:lvl w:ilvl="3" w:tplc="1E46B798">
      <w:start w:val="1"/>
      <w:numFmt w:val="decimal"/>
      <w:lvlText w:val="%4."/>
      <w:lvlJc w:val="left"/>
      <w:pPr>
        <w:ind w:left="1440" w:hanging="360"/>
      </w:pPr>
    </w:lvl>
    <w:lvl w:ilvl="4" w:tplc="F4BC613C">
      <w:start w:val="1"/>
      <w:numFmt w:val="decimal"/>
      <w:lvlText w:val="%5."/>
      <w:lvlJc w:val="left"/>
      <w:pPr>
        <w:ind w:left="1440" w:hanging="360"/>
      </w:pPr>
    </w:lvl>
    <w:lvl w:ilvl="5" w:tplc="A80EA1F8">
      <w:start w:val="1"/>
      <w:numFmt w:val="decimal"/>
      <w:lvlText w:val="%6."/>
      <w:lvlJc w:val="left"/>
      <w:pPr>
        <w:ind w:left="1440" w:hanging="360"/>
      </w:pPr>
    </w:lvl>
    <w:lvl w:ilvl="6" w:tplc="0F58E33C">
      <w:start w:val="1"/>
      <w:numFmt w:val="decimal"/>
      <w:lvlText w:val="%7."/>
      <w:lvlJc w:val="left"/>
      <w:pPr>
        <w:ind w:left="1440" w:hanging="360"/>
      </w:pPr>
    </w:lvl>
    <w:lvl w:ilvl="7" w:tplc="0882C848">
      <w:start w:val="1"/>
      <w:numFmt w:val="decimal"/>
      <w:lvlText w:val="%8."/>
      <w:lvlJc w:val="left"/>
      <w:pPr>
        <w:ind w:left="1440" w:hanging="360"/>
      </w:pPr>
    </w:lvl>
    <w:lvl w:ilvl="8" w:tplc="160AC01C">
      <w:start w:val="1"/>
      <w:numFmt w:val="decimal"/>
      <w:lvlText w:val="%9."/>
      <w:lvlJc w:val="left"/>
      <w:pPr>
        <w:ind w:left="1440" w:hanging="360"/>
      </w:pPr>
    </w:lvl>
  </w:abstractNum>
  <w:abstractNum w:abstractNumId="89"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90" w15:restartNumberingAfterBreak="0">
    <w:nsid w:val="5258472E"/>
    <w:multiLevelType w:val="multilevel"/>
    <w:tmpl w:val="D84465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25D0F3F"/>
    <w:multiLevelType w:val="hybridMultilevel"/>
    <w:tmpl w:val="5DE8E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5B53B6B"/>
    <w:multiLevelType w:val="hybridMultilevel"/>
    <w:tmpl w:val="68AADE04"/>
    <w:lvl w:ilvl="0" w:tplc="78E2D262">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3" w15:restartNumberingAfterBreak="0">
    <w:nsid w:val="5795337F"/>
    <w:multiLevelType w:val="hybridMultilevel"/>
    <w:tmpl w:val="AB00B022"/>
    <w:lvl w:ilvl="0" w:tplc="9CBA26E8">
      <w:start w:val="1"/>
      <w:numFmt w:val="bullet"/>
      <w:lvlText w:val=""/>
      <w:lvlJc w:val="left"/>
      <w:pPr>
        <w:ind w:left="2040" w:hanging="360"/>
      </w:pPr>
      <w:rPr>
        <w:rFonts w:ascii="Symbol" w:hAnsi="Symbol"/>
      </w:rPr>
    </w:lvl>
    <w:lvl w:ilvl="1" w:tplc="151AD4AE">
      <w:start w:val="1"/>
      <w:numFmt w:val="bullet"/>
      <w:lvlText w:val=""/>
      <w:lvlJc w:val="left"/>
      <w:pPr>
        <w:ind w:left="2040" w:hanging="360"/>
      </w:pPr>
      <w:rPr>
        <w:rFonts w:ascii="Symbol" w:hAnsi="Symbol"/>
      </w:rPr>
    </w:lvl>
    <w:lvl w:ilvl="2" w:tplc="D714C670">
      <w:start w:val="1"/>
      <w:numFmt w:val="bullet"/>
      <w:lvlText w:val=""/>
      <w:lvlJc w:val="left"/>
      <w:pPr>
        <w:ind w:left="2040" w:hanging="360"/>
      </w:pPr>
      <w:rPr>
        <w:rFonts w:ascii="Symbol" w:hAnsi="Symbol"/>
      </w:rPr>
    </w:lvl>
    <w:lvl w:ilvl="3" w:tplc="6046B3F6">
      <w:start w:val="1"/>
      <w:numFmt w:val="bullet"/>
      <w:lvlText w:val=""/>
      <w:lvlJc w:val="left"/>
      <w:pPr>
        <w:ind w:left="2040" w:hanging="360"/>
      </w:pPr>
      <w:rPr>
        <w:rFonts w:ascii="Symbol" w:hAnsi="Symbol"/>
      </w:rPr>
    </w:lvl>
    <w:lvl w:ilvl="4" w:tplc="51BE603C">
      <w:start w:val="1"/>
      <w:numFmt w:val="bullet"/>
      <w:lvlText w:val=""/>
      <w:lvlJc w:val="left"/>
      <w:pPr>
        <w:ind w:left="2040" w:hanging="360"/>
      </w:pPr>
      <w:rPr>
        <w:rFonts w:ascii="Symbol" w:hAnsi="Symbol"/>
      </w:rPr>
    </w:lvl>
    <w:lvl w:ilvl="5" w:tplc="5A001C8C">
      <w:start w:val="1"/>
      <w:numFmt w:val="bullet"/>
      <w:lvlText w:val=""/>
      <w:lvlJc w:val="left"/>
      <w:pPr>
        <w:ind w:left="2040" w:hanging="360"/>
      </w:pPr>
      <w:rPr>
        <w:rFonts w:ascii="Symbol" w:hAnsi="Symbol"/>
      </w:rPr>
    </w:lvl>
    <w:lvl w:ilvl="6" w:tplc="AF967EDC">
      <w:start w:val="1"/>
      <w:numFmt w:val="bullet"/>
      <w:lvlText w:val=""/>
      <w:lvlJc w:val="left"/>
      <w:pPr>
        <w:ind w:left="2040" w:hanging="360"/>
      </w:pPr>
      <w:rPr>
        <w:rFonts w:ascii="Symbol" w:hAnsi="Symbol"/>
      </w:rPr>
    </w:lvl>
    <w:lvl w:ilvl="7" w:tplc="394EEA5C">
      <w:start w:val="1"/>
      <w:numFmt w:val="bullet"/>
      <w:lvlText w:val=""/>
      <w:lvlJc w:val="left"/>
      <w:pPr>
        <w:ind w:left="2040" w:hanging="360"/>
      </w:pPr>
      <w:rPr>
        <w:rFonts w:ascii="Symbol" w:hAnsi="Symbol"/>
      </w:rPr>
    </w:lvl>
    <w:lvl w:ilvl="8" w:tplc="5E6CBCB0">
      <w:start w:val="1"/>
      <w:numFmt w:val="bullet"/>
      <w:lvlText w:val=""/>
      <w:lvlJc w:val="left"/>
      <w:pPr>
        <w:ind w:left="2040" w:hanging="360"/>
      </w:pPr>
      <w:rPr>
        <w:rFonts w:ascii="Symbol" w:hAnsi="Symbol"/>
      </w:rPr>
    </w:lvl>
  </w:abstractNum>
  <w:abstractNum w:abstractNumId="94" w15:restartNumberingAfterBreak="0">
    <w:nsid w:val="589937BE"/>
    <w:multiLevelType w:val="hybridMultilevel"/>
    <w:tmpl w:val="44024D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8D818BE"/>
    <w:multiLevelType w:val="hybridMultilevel"/>
    <w:tmpl w:val="AA6EE93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6" w15:restartNumberingAfterBreak="0">
    <w:nsid w:val="59AB4A28"/>
    <w:multiLevelType w:val="hybridMultilevel"/>
    <w:tmpl w:val="1A92B836"/>
    <w:lvl w:ilvl="0" w:tplc="AEEE756C">
      <w:start w:val="5"/>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5A374359"/>
    <w:multiLevelType w:val="hybridMultilevel"/>
    <w:tmpl w:val="E4EA6B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5B0E0128"/>
    <w:multiLevelType w:val="hybridMultilevel"/>
    <w:tmpl w:val="C1C2B936"/>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5B453D08"/>
    <w:multiLevelType w:val="hybridMultilevel"/>
    <w:tmpl w:val="1C0C68AE"/>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0" w15:restartNumberingAfterBreak="0">
    <w:nsid w:val="5BE81A96"/>
    <w:multiLevelType w:val="hybridMultilevel"/>
    <w:tmpl w:val="49DCD89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1" w15:restartNumberingAfterBreak="0">
    <w:nsid w:val="5E4011A3"/>
    <w:multiLevelType w:val="hybridMultilevel"/>
    <w:tmpl w:val="C144F70E"/>
    <w:lvl w:ilvl="0" w:tplc="88661850">
      <w:start w:val="1"/>
      <w:numFmt w:val="decimal"/>
      <w:lvlText w:val="%1."/>
      <w:lvlJc w:val="left"/>
      <w:pPr>
        <w:ind w:left="1440" w:hanging="360"/>
      </w:pPr>
    </w:lvl>
    <w:lvl w:ilvl="1" w:tplc="0BFACB8A">
      <w:start w:val="1"/>
      <w:numFmt w:val="decimal"/>
      <w:lvlText w:val="%2."/>
      <w:lvlJc w:val="left"/>
      <w:pPr>
        <w:ind w:left="1440" w:hanging="360"/>
      </w:pPr>
    </w:lvl>
    <w:lvl w:ilvl="2" w:tplc="E4261F98">
      <w:start w:val="1"/>
      <w:numFmt w:val="decimal"/>
      <w:lvlText w:val="%3."/>
      <w:lvlJc w:val="left"/>
      <w:pPr>
        <w:ind w:left="1440" w:hanging="360"/>
      </w:pPr>
    </w:lvl>
    <w:lvl w:ilvl="3" w:tplc="89367462">
      <w:start w:val="1"/>
      <w:numFmt w:val="decimal"/>
      <w:lvlText w:val="%4."/>
      <w:lvlJc w:val="left"/>
      <w:pPr>
        <w:ind w:left="1440" w:hanging="360"/>
      </w:pPr>
    </w:lvl>
    <w:lvl w:ilvl="4" w:tplc="7388936A">
      <w:start w:val="1"/>
      <w:numFmt w:val="decimal"/>
      <w:lvlText w:val="%5."/>
      <w:lvlJc w:val="left"/>
      <w:pPr>
        <w:ind w:left="1440" w:hanging="360"/>
      </w:pPr>
    </w:lvl>
    <w:lvl w:ilvl="5" w:tplc="E668DEFC">
      <w:start w:val="1"/>
      <w:numFmt w:val="decimal"/>
      <w:lvlText w:val="%6."/>
      <w:lvlJc w:val="left"/>
      <w:pPr>
        <w:ind w:left="1440" w:hanging="360"/>
      </w:pPr>
    </w:lvl>
    <w:lvl w:ilvl="6" w:tplc="EA3A719C">
      <w:start w:val="1"/>
      <w:numFmt w:val="decimal"/>
      <w:lvlText w:val="%7."/>
      <w:lvlJc w:val="left"/>
      <w:pPr>
        <w:ind w:left="1440" w:hanging="360"/>
      </w:pPr>
    </w:lvl>
    <w:lvl w:ilvl="7" w:tplc="D8E6A324">
      <w:start w:val="1"/>
      <w:numFmt w:val="decimal"/>
      <w:lvlText w:val="%8."/>
      <w:lvlJc w:val="left"/>
      <w:pPr>
        <w:ind w:left="1440" w:hanging="360"/>
      </w:pPr>
    </w:lvl>
    <w:lvl w:ilvl="8" w:tplc="46EC5C02">
      <w:start w:val="1"/>
      <w:numFmt w:val="decimal"/>
      <w:lvlText w:val="%9."/>
      <w:lvlJc w:val="left"/>
      <w:pPr>
        <w:ind w:left="1440" w:hanging="360"/>
      </w:pPr>
    </w:lvl>
  </w:abstractNum>
  <w:abstractNum w:abstractNumId="102" w15:restartNumberingAfterBreak="0">
    <w:nsid w:val="600528A4"/>
    <w:multiLevelType w:val="hybridMultilevel"/>
    <w:tmpl w:val="FFFFFFFF"/>
    <w:lvl w:ilvl="0" w:tplc="814247CE">
      <w:start w:val="1"/>
      <w:numFmt w:val="bullet"/>
      <w:lvlText w:val=""/>
      <w:lvlJc w:val="left"/>
      <w:pPr>
        <w:ind w:left="720" w:hanging="360"/>
      </w:pPr>
      <w:rPr>
        <w:rFonts w:ascii="Symbol" w:hAnsi="Symbol" w:hint="default"/>
      </w:rPr>
    </w:lvl>
    <w:lvl w:ilvl="1" w:tplc="2C18D966">
      <w:start w:val="1"/>
      <w:numFmt w:val="bullet"/>
      <w:lvlText w:val="o"/>
      <w:lvlJc w:val="left"/>
      <w:pPr>
        <w:ind w:left="1440" w:hanging="360"/>
      </w:pPr>
      <w:rPr>
        <w:rFonts w:ascii="Courier New" w:hAnsi="Courier New" w:hint="default"/>
      </w:rPr>
    </w:lvl>
    <w:lvl w:ilvl="2" w:tplc="99C6CA9A">
      <w:start w:val="1"/>
      <w:numFmt w:val="bullet"/>
      <w:lvlText w:val=""/>
      <w:lvlJc w:val="left"/>
      <w:pPr>
        <w:ind w:left="2160" w:hanging="360"/>
      </w:pPr>
      <w:rPr>
        <w:rFonts w:ascii="Wingdings" w:hAnsi="Wingdings" w:hint="default"/>
      </w:rPr>
    </w:lvl>
    <w:lvl w:ilvl="3" w:tplc="3356F488">
      <w:start w:val="1"/>
      <w:numFmt w:val="bullet"/>
      <w:lvlText w:val=""/>
      <w:lvlJc w:val="left"/>
      <w:pPr>
        <w:ind w:left="2880" w:hanging="360"/>
      </w:pPr>
      <w:rPr>
        <w:rFonts w:ascii="Symbol" w:hAnsi="Symbol" w:hint="default"/>
      </w:rPr>
    </w:lvl>
    <w:lvl w:ilvl="4" w:tplc="C44AF102">
      <w:start w:val="1"/>
      <w:numFmt w:val="bullet"/>
      <w:lvlText w:val="o"/>
      <w:lvlJc w:val="left"/>
      <w:pPr>
        <w:ind w:left="3600" w:hanging="360"/>
      </w:pPr>
      <w:rPr>
        <w:rFonts w:ascii="Courier New" w:hAnsi="Courier New" w:hint="default"/>
      </w:rPr>
    </w:lvl>
    <w:lvl w:ilvl="5" w:tplc="6F164244">
      <w:start w:val="1"/>
      <w:numFmt w:val="bullet"/>
      <w:lvlText w:val=""/>
      <w:lvlJc w:val="left"/>
      <w:pPr>
        <w:ind w:left="4320" w:hanging="360"/>
      </w:pPr>
      <w:rPr>
        <w:rFonts w:ascii="Wingdings" w:hAnsi="Wingdings" w:hint="default"/>
      </w:rPr>
    </w:lvl>
    <w:lvl w:ilvl="6" w:tplc="982AF768">
      <w:start w:val="1"/>
      <w:numFmt w:val="bullet"/>
      <w:lvlText w:val=""/>
      <w:lvlJc w:val="left"/>
      <w:pPr>
        <w:ind w:left="5040" w:hanging="360"/>
      </w:pPr>
      <w:rPr>
        <w:rFonts w:ascii="Symbol" w:hAnsi="Symbol" w:hint="default"/>
      </w:rPr>
    </w:lvl>
    <w:lvl w:ilvl="7" w:tplc="1BA61826">
      <w:start w:val="1"/>
      <w:numFmt w:val="bullet"/>
      <w:lvlText w:val="o"/>
      <w:lvlJc w:val="left"/>
      <w:pPr>
        <w:ind w:left="5760" w:hanging="360"/>
      </w:pPr>
      <w:rPr>
        <w:rFonts w:ascii="Courier New" w:hAnsi="Courier New" w:hint="default"/>
      </w:rPr>
    </w:lvl>
    <w:lvl w:ilvl="8" w:tplc="E848C676">
      <w:start w:val="1"/>
      <w:numFmt w:val="bullet"/>
      <w:lvlText w:val=""/>
      <w:lvlJc w:val="left"/>
      <w:pPr>
        <w:ind w:left="6480" w:hanging="360"/>
      </w:pPr>
      <w:rPr>
        <w:rFonts w:ascii="Wingdings" w:hAnsi="Wingdings" w:hint="default"/>
      </w:rPr>
    </w:lvl>
  </w:abstractNum>
  <w:abstractNum w:abstractNumId="103" w15:restartNumberingAfterBreak="0">
    <w:nsid w:val="60393D2F"/>
    <w:multiLevelType w:val="hybridMultilevel"/>
    <w:tmpl w:val="13DA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151390B"/>
    <w:multiLevelType w:val="multilevel"/>
    <w:tmpl w:val="5680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2F645BF"/>
    <w:multiLevelType w:val="multilevel"/>
    <w:tmpl w:val="FE20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4097E43"/>
    <w:multiLevelType w:val="hybridMultilevel"/>
    <w:tmpl w:val="2D961DFC"/>
    <w:lvl w:ilvl="0" w:tplc="B23E8640">
      <w:start w:val="1"/>
      <w:numFmt w:val="decimal"/>
      <w:lvlText w:val="%1."/>
      <w:lvlJc w:val="left"/>
      <w:pPr>
        <w:ind w:left="1440" w:hanging="360"/>
      </w:pPr>
    </w:lvl>
    <w:lvl w:ilvl="1" w:tplc="C1682750">
      <w:start w:val="1"/>
      <w:numFmt w:val="decimal"/>
      <w:lvlText w:val="%2."/>
      <w:lvlJc w:val="left"/>
      <w:pPr>
        <w:ind w:left="1440" w:hanging="360"/>
      </w:pPr>
    </w:lvl>
    <w:lvl w:ilvl="2" w:tplc="B1466562">
      <w:start w:val="1"/>
      <w:numFmt w:val="decimal"/>
      <w:lvlText w:val="%3."/>
      <w:lvlJc w:val="left"/>
      <w:pPr>
        <w:ind w:left="1440" w:hanging="360"/>
      </w:pPr>
    </w:lvl>
    <w:lvl w:ilvl="3" w:tplc="D6725A7A">
      <w:start w:val="1"/>
      <w:numFmt w:val="decimal"/>
      <w:lvlText w:val="%4."/>
      <w:lvlJc w:val="left"/>
      <w:pPr>
        <w:ind w:left="1440" w:hanging="360"/>
      </w:pPr>
    </w:lvl>
    <w:lvl w:ilvl="4" w:tplc="6B8C7332">
      <w:start w:val="1"/>
      <w:numFmt w:val="decimal"/>
      <w:lvlText w:val="%5."/>
      <w:lvlJc w:val="left"/>
      <w:pPr>
        <w:ind w:left="1440" w:hanging="360"/>
      </w:pPr>
    </w:lvl>
    <w:lvl w:ilvl="5" w:tplc="CBA86256">
      <w:start w:val="1"/>
      <w:numFmt w:val="decimal"/>
      <w:lvlText w:val="%6."/>
      <w:lvlJc w:val="left"/>
      <w:pPr>
        <w:ind w:left="1440" w:hanging="360"/>
      </w:pPr>
    </w:lvl>
    <w:lvl w:ilvl="6" w:tplc="D41487C2">
      <w:start w:val="1"/>
      <w:numFmt w:val="decimal"/>
      <w:lvlText w:val="%7."/>
      <w:lvlJc w:val="left"/>
      <w:pPr>
        <w:ind w:left="1440" w:hanging="360"/>
      </w:pPr>
    </w:lvl>
    <w:lvl w:ilvl="7" w:tplc="C1324EB0">
      <w:start w:val="1"/>
      <w:numFmt w:val="decimal"/>
      <w:lvlText w:val="%8."/>
      <w:lvlJc w:val="left"/>
      <w:pPr>
        <w:ind w:left="1440" w:hanging="360"/>
      </w:pPr>
    </w:lvl>
    <w:lvl w:ilvl="8" w:tplc="1A28BF4C">
      <w:start w:val="1"/>
      <w:numFmt w:val="decimal"/>
      <w:lvlText w:val="%9."/>
      <w:lvlJc w:val="left"/>
      <w:pPr>
        <w:ind w:left="1440" w:hanging="360"/>
      </w:pPr>
    </w:lvl>
  </w:abstractNum>
  <w:abstractNum w:abstractNumId="107" w15:restartNumberingAfterBreak="0">
    <w:nsid w:val="6477710A"/>
    <w:multiLevelType w:val="hybridMultilevel"/>
    <w:tmpl w:val="B5A622CA"/>
    <w:lvl w:ilvl="0" w:tplc="F6FA7C80">
      <w:start w:val="1"/>
      <w:numFmt w:val="decimal"/>
      <w:lvlText w:val="%1."/>
      <w:lvlJc w:val="left"/>
      <w:pPr>
        <w:ind w:left="1440" w:hanging="360"/>
      </w:pPr>
    </w:lvl>
    <w:lvl w:ilvl="1" w:tplc="C448B77E">
      <w:start w:val="1"/>
      <w:numFmt w:val="decimal"/>
      <w:lvlText w:val="%2."/>
      <w:lvlJc w:val="left"/>
      <w:pPr>
        <w:ind w:left="1440" w:hanging="360"/>
      </w:pPr>
    </w:lvl>
    <w:lvl w:ilvl="2" w:tplc="07DA8626">
      <w:start w:val="1"/>
      <w:numFmt w:val="decimal"/>
      <w:lvlText w:val="%3."/>
      <w:lvlJc w:val="left"/>
      <w:pPr>
        <w:ind w:left="1440" w:hanging="360"/>
      </w:pPr>
    </w:lvl>
    <w:lvl w:ilvl="3" w:tplc="0568A93C">
      <w:start w:val="1"/>
      <w:numFmt w:val="decimal"/>
      <w:lvlText w:val="%4."/>
      <w:lvlJc w:val="left"/>
      <w:pPr>
        <w:ind w:left="1440" w:hanging="360"/>
      </w:pPr>
    </w:lvl>
    <w:lvl w:ilvl="4" w:tplc="069602CA">
      <w:start w:val="1"/>
      <w:numFmt w:val="decimal"/>
      <w:lvlText w:val="%5."/>
      <w:lvlJc w:val="left"/>
      <w:pPr>
        <w:ind w:left="1440" w:hanging="360"/>
      </w:pPr>
    </w:lvl>
    <w:lvl w:ilvl="5" w:tplc="42169292">
      <w:start w:val="1"/>
      <w:numFmt w:val="decimal"/>
      <w:lvlText w:val="%6."/>
      <w:lvlJc w:val="left"/>
      <w:pPr>
        <w:ind w:left="1440" w:hanging="360"/>
      </w:pPr>
    </w:lvl>
    <w:lvl w:ilvl="6" w:tplc="8438F5AE">
      <w:start w:val="1"/>
      <w:numFmt w:val="decimal"/>
      <w:lvlText w:val="%7."/>
      <w:lvlJc w:val="left"/>
      <w:pPr>
        <w:ind w:left="1440" w:hanging="360"/>
      </w:pPr>
    </w:lvl>
    <w:lvl w:ilvl="7" w:tplc="C94AB7F4">
      <w:start w:val="1"/>
      <w:numFmt w:val="decimal"/>
      <w:lvlText w:val="%8."/>
      <w:lvlJc w:val="left"/>
      <w:pPr>
        <w:ind w:left="1440" w:hanging="360"/>
      </w:pPr>
    </w:lvl>
    <w:lvl w:ilvl="8" w:tplc="C57CCC04">
      <w:start w:val="1"/>
      <w:numFmt w:val="decimal"/>
      <w:lvlText w:val="%9."/>
      <w:lvlJc w:val="left"/>
      <w:pPr>
        <w:ind w:left="1440" w:hanging="360"/>
      </w:pPr>
    </w:lvl>
  </w:abstractNum>
  <w:abstractNum w:abstractNumId="108" w15:restartNumberingAfterBreak="0">
    <w:nsid w:val="65EE24F8"/>
    <w:multiLevelType w:val="hybridMultilevel"/>
    <w:tmpl w:val="CCA805F2"/>
    <w:lvl w:ilvl="0" w:tplc="9580CB90">
      <w:start w:val="1"/>
      <w:numFmt w:val="decimal"/>
      <w:lvlText w:val="%1)"/>
      <w:lvlJc w:val="left"/>
      <w:pPr>
        <w:ind w:left="720" w:hanging="360"/>
      </w:pPr>
    </w:lvl>
    <w:lvl w:ilvl="1" w:tplc="118EEC0C">
      <w:start w:val="1"/>
      <w:numFmt w:val="decimal"/>
      <w:lvlText w:val="%2)"/>
      <w:lvlJc w:val="left"/>
      <w:pPr>
        <w:ind w:left="720" w:hanging="360"/>
      </w:pPr>
    </w:lvl>
    <w:lvl w:ilvl="2" w:tplc="40BCBF94">
      <w:start w:val="1"/>
      <w:numFmt w:val="decimal"/>
      <w:lvlText w:val="%3)"/>
      <w:lvlJc w:val="left"/>
      <w:pPr>
        <w:ind w:left="720" w:hanging="360"/>
      </w:pPr>
    </w:lvl>
    <w:lvl w:ilvl="3" w:tplc="38C65D2A">
      <w:start w:val="1"/>
      <w:numFmt w:val="decimal"/>
      <w:lvlText w:val="%4)"/>
      <w:lvlJc w:val="left"/>
      <w:pPr>
        <w:ind w:left="720" w:hanging="360"/>
      </w:pPr>
    </w:lvl>
    <w:lvl w:ilvl="4" w:tplc="6BCA989C">
      <w:start w:val="1"/>
      <w:numFmt w:val="decimal"/>
      <w:lvlText w:val="%5)"/>
      <w:lvlJc w:val="left"/>
      <w:pPr>
        <w:ind w:left="720" w:hanging="360"/>
      </w:pPr>
    </w:lvl>
    <w:lvl w:ilvl="5" w:tplc="1FD0B216">
      <w:start w:val="1"/>
      <w:numFmt w:val="decimal"/>
      <w:lvlText w:val="%6)"/>
      <w:lvlJc w:val="left"/>
      <w:pPr>
        <w:ind w:left="720" w:hanging="360"/>
      </w:pPr>
    </w:lvl>
    <w:lvl w:ilvl="6" w:tplc="AD783FD2">
      <w:start w:val="1"/>
      <w:numFmt w:val="decimal"/>
      <w:lvlText w:val="%7)"/>
      <w:lvlJc w:val="left"/>
      <w:pPr>
        <w:ind w:left="720" w:hanging="360"/>
      </w:pPr>
    </w:lvl>
    <w:lvl w:ilvl="7" w:tplc="CF8CD2EA">
      <w:start w:val="1"/>
      <w:numFmt w:val="decimal"/>
      <w:lvlText w:val="%8)"/>
      <w:lvlJc w:val="left"/>
      <w:pPr>
        <w:ind w:left="720" w:hanging="360"/>
      </w:pPr>
    </w:lvl>
    <w:lvl w:ilvl="8" w:tplc="154C785E">
      <w:start w:val="1"/>
      <w:numFmt w:val="decimal"/>
      <w:lvlText w:val="%9)"/>
      <w:lvlJc w:val="left"/>
      <w:pPr>
        <w:ind w:left="720" w:hanging="360"/>
      </w:pPr>
    </w:lvl>
  </w:abstractNum>
  <w:abstractNum w:abstractNumId="109" w15:restartNumberingAfterBreak="0">
    <w:nsid w:val="65F36684"/>
    <w:multiLevelType w:val="hybridMultilevel"/>
    <w:tmpl w:val="4000C272"/>
    <w:lvl w:ilvl="0" w:tplc="0E1232C4">
      <w:start w:val="1"/>
      <w:numFmt w:val="decimal"/>
      <w:lvlText w:val="%1)"/>
      <w:lvlJc w:val="left"/>
      <w:pPr>
        <w:ind w:left="1080" w:hanging="360"/>
      </w:pPr>
    </w:lvl>
    <w:lvl w:ilvl="1" w:tplc="DBD28A88">
      <w:start w:val="1"/>
      <w:numFmt w:val="decimal"/>
      <w:lvlText w:val="%2)"/>
      <w:lvlJc w:val="left"/>
      <w:pPr>
        <w:ind w:left="1080" w:hanging="360"/>
      </w:pPr>
    </w:lvl>
    <w:lvl w:ilvl="2" w:tplc="05D0360E">
      <w:start w:val="1"/>
      <w:numFmt w:val="decimal"/>
      <w:lvlText w:val="%3)"/>
      <w:lvlJc w:val="left"/>
      <w:pPr>
        <w:ind w:left="1080" w:hanging="360"/>
      </w:pPr>
    </w:lvl>
    <w:lvl w:ilvl="3" w:tplc="FF9EE5B8">
      <w:start w:val="1"/>
      <w:numFmt w:val="decimal"/>
      <w:lvlText w:val="%4)"/>
      <w:lvlJc w:val="left"/>
      <w:pPr>
        <w:ind w:left="1080" w:hanging="360"/>
      </w:pPr>
    </w:lvl>
    <w:lvl w:ilvl="4" w:tplc="5510AD6E">
      <w:start w:val="1"/>
      <w:numFmt w:val="decimal"/>
      <w:lvlText w:val="%5)"/>
      <w:lvlJc w:val="left"/>
      <w:pPr>
        <w:ind w:left="1080" w:hanging="360"/>
      </w:pPr>
    </w:lvl>
    <w:lvl w:ilvl="5" w:tplc="EA0EC7B4">
      <w:start w:val="1"/>
      <w:numFmt w:val="decimal"/>
      <w:lvlText w:val="%6)"/>
      <w:lvlJc w:val="left"/>
      <w:pPr>
        <w:ind w:left="1080" w:hanging="360"/>
      </w:pPr>
    </w:lvl>
    <w:lvl w:ilvl="6" w:tplc="FC7E1DD4">
      <w:start w:val="1"/>
      <w:numFmt w:val="decimal"/>
      <w:lvlText w:val="%7)"/>
      <w:lvlJc w:val="left"/>
      <w:pPr>
        <w:ind w:left="1080" w:hanging="360"/>
      </w:pPr>
    </w:lvl>
    <w:lvl w:ilvl="7" w:tplc="D53AB1C0">
      <w:start w:val="1"/>
      <w:numFmt w:val="decimal"/>
      <w:lvlText w:val="%8)"/>
      <w:lvlJc w:val="left"/>
      <w:pPr>
        <w:ind w:left="1080" w:hanging="360"/>
      </w:pPr>
    </w:lvl>
    <w:lvl w:ilvl="8" w:tplc="B86C93D0">
      <w:start w:val="1"/>
      <w:numFmt w:val="decimal"/>
      <w:lvlText w:val="%9)"/>
      <w:lvlJc w:val="left"/>
      <w:pPr>
        <w:ind w:left="1080" w:hanging="360"/>
      </w:pPr>
    </w:lvl>
  </w:abstractNum>
  <w:abstractNum w:abstractNumId="110" w15:restartNumberingAfterBreak="0">
    <w:nsid w:val="66841CCA"/>
    <w:multiLevelType w:val="hybridMultilevel"/>
    <w:tmpl w:val="74B2492C"/>
    <w:lvl w:ilvl="0" w:tplc="716476BC">
      <w:start w:val="1"/>
      <w:numFmt w:val="decimal"/>
      <w:lvlText w:val="%1)"/>
      <w:lvlJc w:val="left"/>
      <w:pPr>
        <w:ind w:left="1080" w:hanging="360"/>
      </w:pPr>
    </w:lvl>
    <w:lvl w:ilvl="1" w:tplc="6F08F500">
      <w:start w:val="1"/>
      <w:numFmt w:val="decimal"/>
      <w:lvlText w:val="%2)"/>
      <w:lvlJc w:val="left"/>
      <w:pPr>
        <w:ind w:left="1080" w:hanging="360"/>
      </w:pPr>
    </w:lvl>
    <w:lvl w:ilvl="2" w:tplc="83060176">
      <w:start w:val="1"/>
      <w:numFmt w:val="decimal"/>
      <w:lvlText w:val="%3)"/>
      <w:lvlJc w:val="left"/>
      <w:pPr>
        <w:ind w:left="1080" w:hanging="360"/>
      </w:pPr>
    </w:lvl>
    <w:lvl w:ilvl="3" w:tplc="68D645CC">
      <w:start w:val="1"/>
      <w:numFmt w:val="decimal"/>
      <w:lvlText w:val="%4)"/>
      <w:lvlJc w:val="left"/>
      <w:pPr>
        <w:ind w:left="1080" w:hanging="360"/>
      </w:pPr>
    </w:lvl>
    <w:lvl w:ilvl="4" w:tplc="35125906">
      <w:start w:val="1"/>
      <w:numFmt w:val="decimal"/>
      <w:lvlText w:val="%5)"/>
      <w:lvlJc w:val="left"/>
      <w:pPr>
        <w:ind w:left="1080" w:hanging="360"/>
      </w:pPr>
    </w:lvl>
    <w:lvl w:ilvl="5" w:tplc="BC92C868">
      <w:start w:val="1"/>
      <w:numFmt w:val="decimal"/>
      <w:lvlText w:val="%6)"/>
      <w:lvlJc w:val="left"/>
      <w:pPr>
        <w:ind w:left="1080" w:hanging="360"/>
      </w:pPr>
    </w:lvl>
    <w:lvl w:ilvl="6" w:tplc="B580A032">
      <w:start w:val="1"/>
      <w:numFmt w:val="decimal"/>
      <w:lvlText w:val="%7)"/>
      <w:lvlJc w:val="left"/>
      <w:pPr>
        <w:ind w:left="1080" w:hanging="360"/>
      </w:pPr>
    </w:lvl>
    <w:lvl w:ilvl="7" w:tplc="151E82E8">
      <w:start w:val="1"/>
      <w:numFmt w:val="decimal"/>
      <w:lvlText w:val="%8)"/>
      <w:lvlJc w:val="left"/>
      <w:pPr>
        <w:ind w:left="1080" w:hanging="360"/>
      </w:pPr>
    </w:lvl>
    <w:lvl w:ilvl="8" w:tplc="A6B88B86">
      <w:start w:val="1"/>
      <w:numFmt w:val="decimal"/>
      <w:lvlText w:val="%9)"/>
      <w:lvlJc w:val="left"/>
      <w:pPr>
        <w:ind w:left="1080" w:hanging="360"/>
      </w:pPr>
    </w:lvl>
  </w:abstractNum>
  <w:abstractNum w:abstractNumId="111" w15:restartNumberingAfterBreak="0">
    <w:nsid w:val="69AC2F8C"/>
    <w:multiLevelType w:val="hybridMultilevel"/>
    <w:tmpl w:val="8062930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6A0F1796"/>
    <w:multiLevelType w:val="hybridMultilevel"/>
    <w:tmpl w:val="F320BFC6"/>
    <w:lvl w:ilvl="0" w:tplc="90B84E2C">
      <w:start w:val="1"/>
      <w:numFmt w:val="decimal"/>
      <w:lvlText w:val="%1."/>
      <w:lvlJc w:val="left"/>
      <w:pPr>
        <w:ind w:left="1440" w:hanging="360"/>
      </w:pPr>
    </w:lvl>
    <w:lvl w:ilvl="1" w:tplc="6EB6DA02">
      <w:start w:val="1"/>
      <w:numFmt w:val="decimal"/>
      <w:lvlText w:val="%2."/>
      <w:lvlJc w:val="left"/>
      <w:pPr>
        <w:ind w:left="1440" w:hanging="360"/>
      </w:pPr>
    </w:lvl>
    <w:lvl w:ilvl="2" w:tplc="1A269BF0">
      <w:start w:val="1"/>
      <w:numFmt w:val="decimal"/>
      <w:lvlText w:val="%3."/>
      <w:lvlJc w:val="left"/>
      <w:pPr>
        <w:ind w:left="1440" w:hanging="360"/>
      </w:pPr>
    </w:lvl>
    <w:lvl w:ilvl="3" w:tplc="D7EAD084">
      <w:start w:val="1"/>
      <w:numFmt w:val="decimal"/>
      <w:lvlText w:val="%4."/>
      <w:lvlJc w:val="left"/>
      <w:pPr>
        <w:ind w:left="1440" w:hanging="360"/>
      </w:pPr>
    </w:lvl>
    <w:lvl w:ilvl="4" w:tplc="F05466FC">
      <w:start w:val="1"/>
      <w:numFmt w:val="decimal"/>
      <w:lvlText w:val="%5."/>
      <w:lvlJc w:val="left"/>
      <w:pPr>
        <w:ind w:left="1440" w:hanging="360"/>
      </w:pPr>
    </w:lvl>
    <w:lvl w:ilvl="5" w:tplc="61C8BB14">
      <w:start w:val="1"/>
      <w:numFmt w:val="decimal"/>
      <w:lvlText w:val="%6."/>
      <w:lvlJc w:val="left"/>
      <w:pPr>
        <w:ind w:left="1440" w:hanging="360"/>
      </w:pPr>
    </w:lvl>
    <w:lvl w:ilvl="6" w:tplc="72A6EF5C">
      <w:start w:val="1"/>
      <w:numFmt w:val="decimal"/>
      <w:lvlText w:val="%7."/>
      <w:lvlJc w:val="left"/>
      <w:pPr>
        <w:ind w:left="1440" w:hanging="360"/>
      </w:pPr>
    </w:lvl>
    <w:lvl w:ilvl="7" w:tplc="3D72C100">
      <w:start w:val="1"/>
      <w:numFmt w:val="decimal"/>
      <w:lvlText w:val="%8."/>
      <w:lvlJc w:val="left"/>
      <w:pPr>
        <w:ind w:left="1440" w:hanging="360"/>
      </w:pPr>
    </w:lvl>
    <w:lvl w:ilvl="8" w:tplc="C0147542">
      <w:start w:val="1"/>
      <w:numFmt w:val="decimal"/>
      <w:lvlText w:val="%9."/>
      <w:lvlJc w:val="left"/>
      <w:pPr>
        <w:ind w:left="1440" w:hanging="360"/>
      </w:pPr>
    </w:lvl>
  </w:abstractNum>
  <w:abstractNum w:abstractNumId="113" w15:restartNumberingAfterBreak="0">
    <w:nsid w:val="6A7E3C3F"/>
    <w:multiLevelType w:val="hybridMultilevel"/>
    <w:tmpl w:val="E166B4DA"/>
    <w:lvl w:ilvl="0" w:tplc="BD3AFAAA">
      <w:start w:val="1"/>
      <w:numFmt w:val="decimal"/>
      <w:lvlText w:val="%1."/>
      <w:lvlJc w:val="left"/>
      <w:pPr>
        <w:ind w:left="1440" w:hanging="360"/>
      </w:pPr>
    </w:lvl>
    <w:lvl w:ilvl="1" w:tplc="1876B494">
      <w:start w:val="1"/>
      <w:numFmt w:val="decimal"/>
      <w:lvlText w:val="%2."/>
      <w:lvlJc w:val="left"/>
      <w:pPr>
        <w:ind w:left="1440" w:hanging="360"/>
      </w:pPr>
    </w:lvl>
    <w:lvl w:ilvl="2" w:tplc="2D269754">
      <w:start w:val="1"/>
      <w:numFmt w:val="decimal"/>
      <w:lvlText w:val="%3."/>
      <w:lvlJc w:val="left"/>
      <w:pPr>
        <w:ind w:left="1440" w:hanging="360"/>
      </w:pPr>
    </w:lvl>
    <w:lvl w:ilvl="3" w:tplc="06C65DAC">
      <w:start w:val="1"/>
      <w:numFmt w:val="decimal"/>
      <w:lvlText w:val="%4."/>
      <w:lvlJc w:val="left"/>
      <w:pPr>
        <w:ind w:left="1440" w:hanging="360"/>
      </w:pPr>
    </w:lvl>
    <w:lvl w:ilvl="4" w:tplc="E1D6677C">
      <w:start w:val="1"/>
      <w:numFmt w:val="decimal"/>
      <w:lvlText w:val="%5."/>
      <w:lvlJc w:val="left"/>
      <w:pPr>
        <w:ind w:left="1440" w:hanging="360"/>
      </w:pPr>
    </w:lvl>
    <w:lvl w:ilvl="5" w:tplc="88361D4C">
      <w:start w:val="1"/>
      <w:numFmt w:val="decimal"/>
      <w:lvlText w:val="%6."/>
      <w:lvlJc w:val="left"/>
      <w:pPr>
        <w:ind w:left="1440" w:hanging="360"/>
      </w:pPr>
    </w:lvl>
    <w:lvl w:ilvl="6" w:tplc="69E616F8">
      <w:start w:val="1"/>
      <w:numFmt w:val="decimal"/>
      <w:lvlText w:val="%7."/>
      <w:lvlJc w:val="left"/>
      <w:pPr>
        <w:ind w:left="1440" w:hanging="360"/>
      </w:pPr>
    </w:lvl>
    <w:lvl w:ilvl="7" w:tplc="AF4224D8">
      <w:start w:val="1"/>
      <w:numFmt w:val="decimal"/>
      <w:lvlText w:val="%8."/>
      <w:lvlJc w:val="left"/>
      <w:pPr>
        <w:ind w:left="1440" w:hanging="360"/>
      </w:pPr>
    </w:lvl>
    <w:lvl w:ilvl="8" w:tplc="F49C88F2">
      <w:start w:val="1"/>
      <w:numFmt w:val="decimal"/>
      <w:lvlText w:val="%9."/>
      <w:lvlJc w:val="left"/>
      <w:pPr>
        <w:ind w:left="1440" w:hanging="360"/>
      </w:pPr>
    </w:lvl>
  </w:abstractNum>
  <w:abstractNum w:abstractNumId="114" w15:restartNumberingAfterBreak="0">
    <w:nsid w:val="6CDB511B"/>
    <w:multiLevelType w:val="hybridMultilevel"/>
    <w:tmpl w:val="8C1CB460"/>
    <w:lvl w:ilvl="0" w:tplc="4D9E3230">
      <w:start w:val="1"/>
      <w:numFmt w:val="decimal"/>
      <w:lvlText w:val="%1."/>
      <w:lvlJc w:val="left"/>
      <w:pPr>
        <w:ind w:left="1440" w:hanging="360"/>
      </w:pPr>
    </w:lvl>
    <w:lvl w:ilvl="1" w:tplc="C820F9C0">
      <w:start w:val="1"/>
      <w:numFmt w:val="decimal"/>
      <w:lvlText w:val="%2."/>
      <w:lvlJc w:val="left"/>
      <w:pPr>
        <w:ind w:left="1440" w:hanging="360"/>
      </w:pPr>
    </w:lvl>
    <w:lvl w:ilvl="2" w:tplc="F9A83B1E">
      <w:start w:val="1"/>
      <w:numFmt w:val="decimal"/>
      <w:lvlText w:val="%3."/>
      <w:lvlJc w:val="left"/>
      <w:pPr>
        <w:ind w:left="1440" w:hanging="360"/>
      </w:pPr>
    </w:lvl>
    <w:lvl w:ilvl="3" w:tplc="5C300C32">
      <w:start w:val="1"/>
      <w:numFmt w:val="decimal"/>
      <w:lvlText w:val="%4."/>
      <w:lvlJc w:val="left"/>
      <w:pPr>
        <w:ind w:left="1440" w:hanging="360"/>
      </w:pPr>
    </w:lvl>
    <w:lvl w:ilvl="4" w:tplc="21EA515C">
      <w:start w:val="1"/>
      <w:numFmt w:val="decimal"/>
      <w:lvlText w:val="%5."/>
      <w:lvlJc w:val="left"/>
      <w:pPr>
        <w:ind w:left="1440" w:hanging="360"/>
      </w:pPr>
    </w:lvl>
    <w:lvl w:ilvl="5" w:tplc="CF941AEE">
      <w:start w:val="1"/>
      <w:numFmt w:val="decimal"/>
      <w:lvlText w:val="%6."/>
      <w:lvlJc w:val="left"/>
      <w:pPr>
        <w:ind w:left="1440" w:hanging="360"/>
      </w:pPr>
    </w:lvl>
    <w:lvl w:ilvl="6" w:tplc="78B8A658">
      <w:start w:val="1"/>
      <w:numFmt w:val="decimal"/>
      <w:lvlText w:val="%7."/>
      <w:lvlJc w:val="left"/>
      <w:pPr>
        <w:ind w:left="1440" w:hanging="360"/>
      </w:pPr>
    </w:lvl>
    <w:lvl w:ilvl="7" w:tplc="F0B61458">
      <w:start w:val="1"/>
      <w:numFmt w:val="decimal"/>
      <w:lvlText w:val="%8."/>
      <w:lvlJc w:val="left"/>
      <w:pPr>
        <w:ind w:left="1440" w:hanging="360"/>
      </w:pPr>
    </w:lvl>
    <w:lvl w:ilvl="8" w:tplc="C486BE3C">
      <w:start w:val="1"/>
      <w:numFmt w:val="decimal"/>
      <w:lvlText w:val="%9."/>
      <w:lvlJc w:val="left"/>
      <w:pPr>
        <w:ind w:left="1440" w:hanging="360"/>
      </w:pPr>
    </w:lvl>
  </w:abstractNum>
  <w:abstractNum w:abstractNumId="115" w15:restartNumberingAfterBreak="0">
    <w:nsid w:val="6D2071DD"/>
    <w:multiLevelType w:val="hybridMultilevel"/>
    <w:tmpl w:val="32764D72"/>
    <w:lvl w:ilvl="0" w:tplc="29783326">
      <w:start w:val="1"/>
      <w:numFmt w:val="bullet"/>
      <w:lvlText w:val=""/>
      <w:lvlJc w:val="left"/>
      <w:pPr>
        <w:ind w:left="720" w:hanging="360"/>
      </w:pPr>
      <w:rPr>
        <w:rFonts w:ascii="Symbol" w:hAnsi="Symbol" w:hint="default"/>
      </w:rPr>
    </w:lvl>
    <w:lvl w:ilvl="1" w:tplc="B8ECAECA">
      <w:start w:val="1"/>
      <w:numFmt w:val="bullet"/>
      <w:lvlText w:val="o"/>
      <w:lvlJc w:val="left"/>
      <w:pPr>
        <w:ind w:left="1440" w:hanging="360"/>
      </w:pPr>
      <w:rPr>
        <w:rFonts w:ascii="Courier New" w:hAnsi="Courier New" w:hint="default"/>
      </w:rPr>
    </w:lvl>
    <w:lvl w:ilvl="2" w:tplc="3038429A">
      <w:start w:val="1"/>
      <w:numFmt w:val="bullet"/>
      <w:lvlText w:val=""/>
      <w:lvlJc w:val="left"/>
      <w:pPr>
        <w:ind w:left="2160" w:hanging="360"/>
      </w:pPr>
      <w:rPr>
        <w:rFonts w:ascii="Wingdings" w:hAnsi="Wingdings" w:hint="default"/>
      </w:rPr>
    </w:lvl>
    <w:lvl w:ilvl="3" w:tplc="7444B6D2">
      <w:start w:val="1"/>
      <w:numFmt w:val="bullet"/>
      <w:lvlText w:val=""/>
      <w:lvlJc w:val="left"/>
      <w:pPr>
        <w:ind w:left="2880" w:hanging="360"/>
      </w:pPr>
      <w:rPr>
        <w:rFonts w:ascii="Symbol" w:hAnsi="Symbol" w:hint="default"/>
      </w:rPr>
    </w:lvl>
    <w:lvl w:ilvl="4" w:tplc="11C8ABDC">
      <w:start w:val="1"/>
      <w:numFmt w:val="bullet"/>
      <w:lvlText w:val="o"/>
      <w:lvlJc w:val="left"/>
      <w:pPr>
        <w:ind w:left="3600" w:hanging="360"/>
      </w:pPr>
      <w:rPr>
        <w:rFonts w:ascii="Courier New" w:hAnsi="Courier New" w:hint="default"/>
      </w:rPr>
    </w:lvl>
    <w:lvl w:ilvl="5" w:tplc="B8123972">
      <w:start w:val="1"/>
      <w:numFmt w:val="bullet"/>
      <w:lvlText w:val=""/>
      <w:lvlJc w:val="left"/>
      <w:pPr>
        <w:ind w:left="4320" w:hanging="360"/>
      </w:pPr>
      <w:rPr>
        <w:rFonts w:ascii="Wingdings" w:hAnsi="Wingdings" w:hint="default"/>
      </w:rPr>
    </w:lvl>
    <w:lvl w:ilvl="6" w:tplc="480C5F40">
      <w:start w:val="1"/>
      <w:numFmt w:val="bullet"/>
      <w:lvlText w:val=""/>
      <w:lvlJc w:val="left"/>
      <w:pPr>
        <w:ind w:left="5040" w:hanging="360"/>
      </w:pPr>
      <w:rPr>
        <w:rFonts w:ascii="Symbol" w:hAnsi="Symbol" w:hint="default"/>
      </w:rPr>
    </w:lvl>
    <w:lvl w:ilvl="7" w:tplc="7D661248">
      <w:start w:val="1"/>
      <w:numFmt w:val="bullet"/>
      <w:lvlText w:val="o"/>
      <w:lvlJc w:val="left"/>
      <w:pPr>
        <w:ind w:left="5760" w:hanging="360"/>
      </w:pPr>
      <w:rPr>
        <w:rFonts w:ascii="Courier New" w:hAnsi="Courier New" w:hint="default"/>
      </w:rPr>
    </w:lvl>
    <w:lvl w:ilvl="8" w:tplc="C00C15C8">
      <w:start w:val="1"/>
      <w:numFmt w:val="bullet"/>
      <w:lvlText w:val=""/>
      <w:lvlJc w:val="left"/>
      <w:pPr>
        <w:ind w:left="6480" w:hanging="360"/>
      </w:pPr>
      <w:rPr>
        <w:rFonts w:ascii="Wingdings" w:hAnsi="Wingdings" w:hint="default"/>
      </w:rPr>
    </w:lvl>
  </w:abstractNum>
  <w:abstractNum w:abstractNumId="116" w15:restartNumberingAfterBreak="0">
    <w:nsid w:val="6D6C14F8"/>
    <w:multiLevelType w:val="hybridMultilevel"/>
    <w:tmpl w:val="529EF8CC"/>
    <w:lvl w:ilvl="0" w:tplc="45BE1184">
      <w:start w:val="1"/>
      <w:numFmt w:val="decimal"/>
      <w:lvlText w:val="%1)"/>
      <w:lvlJc w:val="left"/>
      <w:pPr>
        <w:ind w:left="720" w:hanging="360"/>
      </w:pPr>
    </w:lvl>
    <w:lvl w:ilvl="1" w:tplc="645EBF44">
      <w:start w:val="1"/>
      <w:numFmt w:val="decimal"/>
      <w:lvlText w:val="%2)"/>
      <w:lvlJc w:val="left"/>
      <w:pPr>
        <w:ind w:left="720" w:hanging="360"/>
      </w:pPr>
    </w:lvl>
    <w:lvl w:ilvl="2" w:tplc="2124CDA0">
      <w:start w:val="1"/>
      <w:numFmt w:val="decimal"/>
      <w:lvlText w:val="%3)"/>
      <w:lvlJc w:val="left"/>
      <w:pPr>
        <w:ind w:left="720" w:hanging="360"/>
      </w:pPr>
    </w:lvl>
    <w:lvl w:ilvl="3" w:tplc="13644E6A">
      <w:start w:val="1"/>
      <w:numFmt w:val="decimal"/>
      <w:lvlText w:val="%4)"/>
      <w:lvlJc w:val="left"/>
      <w:pPr>
        <w:ind w:left="720" w:hanging="360"/>
      </w:pPr>
    </w:lvl>
    <w:lvl w:ilvl="4" w:tplc="94A0322A">
      <w:start w:val="1"/>
      <w:numFmt w:val="decimal"/>
      <w:lvlText w:val="%5)"/>
      <w:lvlJc w:val="left"/>
      <w:pPr>
        <w:ind w:left="720" w:hanging="360"/>
      </w:pPr>
    </w:lvl>
    <w:lvl w:ilvl="5" w:tplc="F07ED714">
      <w:start w:val="1"/>
      <w:numFmt w:val="decimal"/>
      <w:lvlText w:val="%6)"/>
      <w:lvlJc w:val="left"/>
      <w:pPr>
        <w:ind w:left="720" w:hanging="360"/>
      </w:pPr>
    </w:lvl>
    <w:lvl w:ilvl="6" w:tplc="AB2E9F8A">
      <w:start w:val="1"/>
      <w:numFmt w:val="decimal"/>
      <w:lvlText w:val="%7)"/>
      <w:lvlJc w:val="left"/>
      <w:pPr>
        <w:ind w:left="720" w:hanging="360"/>
      </w:pPr>
    </w:lvl>
    <w:lvl w:ilvl="7" w:tplc="FC0296AC">
      <w:start w:val="1"/>
      <w:numFmt w:val="decimal"/>
      <w:lvlText w:val="%8)"/>
      <w:lvlJc w:val="left"/>
      <w:pPr>
        <w:ind w:left="720" w:hanging="360"/>
      </w:pPr>
    </w:lvl>
    <w:lvl w:ilvl="8" w:tplc="ACF81F2E">
      <w:start w:val="1"/>
      <w:numFmt w:val="decimal"/>
      <w:lvlText w:val="%9)"/>
      <w:lvlJc w:val="left"/>
      <w:pPr>
        <w:ind w:left="720" w:hanging="360"/>
      </w:pPr>
    </w:lvl>
  </w:abstractNum>
  <w:abstractNum w:abstractNumId="117" w15:restartNumberingAfterBreak="0">
    <w:nsid w:val="6EFF7A2D"/>
    <w:multiLevelType w:val="hybridMultilevel"/>
    <w:tmpl w:val="D1E60C2C"/>
    <w:lvl w:ilvl="0" w:tplc="E90C03F8">
      <w:numFmt w:val="bullet"/>
      <w:lvlText w:val="-"/>
      <w:lvlJc w:val="left"/>
      <w:pPr>
        <w:ind w:left="1077" w:hanging="360"/>
      </w:pPr>
      <w:rPr>
        <w:rFonts w:ascii="Times New Roman" w:eastAsiaTheme="minorHAnsi" w:hAnsi="Times New Roman" w:cs="Times New Roman"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8" w15:restartNumberingAfterBreak="0">
    <w:nsid w:val="6FBC5ECD"/>
    <w:multiLevelType w:val="hybridMultilevel"/>
    <w:tmpl w:val="30B05382"/>
    <w:lvl w:ilvl="0" w:tplc="132CFD8A">
      <w:start w:val="1"/>
      <w:numFmt w:val="bullet"/>
      <w:lvlText w:val=""/>
      <w:lvlJc w:val="left"/>
      <w:pPr>
        <w:ind w:left="2040" w:hanging="360"/>
      </w:pPr>
      <w:rPr>
        <w:rFonts w:ascii="Symbol" w:hAnsi="Symbol"/>
      </w:rPr>
    </w:lvl>
    <w:lvl w:ilvl="1" w:tplc="4316FC14">
      <w:start w:val="1"/>
      <w:numFmt w:val="bullet"/>
      <w:lvlText w:val=""/>
      <w:lvlJc w:val="left"/>
      <w:pPr>
        <w:ind w:left="2040" w:hanging="360"/>
      </w:pPr>
      <w:rPr>
        <w:rFonts w:ascii="Symbol" w:hAnsi="Symbol"/>
      </w:rPr>
    </w:lvl>
    <w:lvl w:ilvl="2" w:tplc="42C4C49C">
      <w:start w:val="1"/>
      <w:numFmt w:val="bullet"/>
      <w:lvlText w:val=""/>
      <w:lvlJc w:val="left"/>
      <w:pPr>
        <w:ind w:left="2040" w:hanging="360"/>
      </w:pPr>
      <w:rPr>
        <w:rFonts w:ascii="Symbol" w:hAnsi="Symbol"/>
      </w:rPr>
    </w:lvl>
    <w:lvl w:ilvl="3" w:tplc="348E762E">
      <w:start w:val="1"/>
      <w:numFmt w:val="bullet"/>
      <w:lvlText w:val=""/>
      <w:lvlJc w:val="left"/>
      <w:pPr>
        <w:ind w:left="2040" w:hanging="360"/>
      </w:pPr>
      <w:rPr>
        <w:rFonts w:ascii="Symbol" w:hAnsi="Symbol"/>
      </w:rPr>
    </w:lvl>
    <w:lvl w:ilvl="4" w:tplc="5C8E4FFA">
      <w:start w:val="1"/>
      <w:numFmt w:val="bullet"/>
      <w:lvlText w:val=""/>
      <w:lvlJc w:val="left"/>
      <w:pPr>
        <w:ind w:left="2040" w:hanging="360"/>
      </w:pPr>
      <w:rPr>
        <w:rFonts w:ascii="Symbol" w:hAnsi="Symbol"/>
      </w:rPr>
    </w:lvl>
    <w:lvl w:ilvl="5" w:tplc="7EF4FC98">
      <w:start w:val="1"/>
      <w:numFmt w:val="bullet"/>
      <w:lvlText w:val=""/>
      <w:lvlJc w:val="left"/>
      <w:pPr>
        <w:ind w:left="2040" w:hanging="360"/>
      </w:pPr>
      <w:rPr>
        <w:rFonts w:ascii="Symbol" w:hAnsi="Symbol"/>
      </w:rPr>
    </w:lvl>
    <w:lvl w:ilvl="6" w:tplc="DB44649E">
      <w:start w:val="1"/>
      <w:numFmt w:val="bullet"/>
      <w:lvlText w:val=""/>
      <w:lvlJc w:val="left"/>
      <w:pPr>
        <w:ind w:left="2040" w:hanging="360"/>
      </w:pPr>
      <w:rPr>
        <w:rFonts w:ascii="Symbol" w:hAnsi="Symbol"/>
      </w:rPr>
    </w:lvl>
    <w:lvl w:ilvl="7" w:tplc="602CE24C">
      <w:start w:val="1"/>
      <w:numFmt w:val="bullet"/>
      <w:lvlText w:val=""/>
      <w:lvlJc w:val="left"/>
      <w:pPr>
        <w:ind w:left="2040" w:hanging="360"/>
      </w:pPr>
      <w:rPr>
        <w:rFonts w:ascii="Symbol" w:hAnsi="Symbol"/>
      </w:rPr>
    </w:lvl>
    <w:lvl w:ilvl="8" w:tplc="F9421CBE">
      <w:start w:val="1"/>
      <w:numFmt w:val="bullet"/>
      <w:lvlText w:val=""/>
      <w:lvlJc w:val="left"/>
      <w:pPr>
        <w:ind w:left="2040" w:hanging="360"/>
      </w:pPr>
      <w:rPr>
        <w:rFonts w:ascii="Symbol" w:hAnsi="Symbol"/>
      </w:rPr>
    </w:lvl>
  </w:abstractNum>
  <w:abstractNum w:abstractNumId="119" w15:restartNumberingAfterBreak="0">
    <w:nsid w:val="71580845"/>
    <w:multiLevelType w:val="hybridMultilevel"/>
    <w:tmpl w:val="D430B776"/>
    <w:lvl w:ilvl="0" w:tplc="C64E44B0">
      <w:start w:val="1"/>
      <w:numFmt w:val="decimal"/>
      <w:lvlText w:val="%1)"/>
      <w:lvlJc w:val="left"/>
      <w:pPr>
        <w:ind w:left="720" w:hanging="360"/>
      </w:pPr>
    </w:lvl>
    <w:lvl w:ilvl="1" w:tplc="857ECC92">
      <w:start w:val="1"/>
      <w:numFmt w:val="decimal"/>
      <w:lvlText w:val="%2)"/>
      <w:lvlJc w:val="left"/>
      <w:pPr>
        <w:ind w:left="720" w:hanging="360"/>
      </w:pPr>
    </w:lvl>
    <w:lvl w:ilvl="2" w:tplc="BCE64382">
      <w:start w:val="1"/>
      <w:numFmt w:val="decimal"/>
      <w:lvlText w:val="%3)"/>
      <w:lvlJc w:val="left"/>
      <w:pPr>
        <w:ind w:left="720" w:hanging="360"/>
      </w:pPr>
    </w:lvl>
    <w:lvl w:ilvl="3" w:tplc="2CDA09FC">
      <w:start w:val="1"/>
      <w:numFmt w:val="decimal"/>
      <w:lvlText w:val="%4)"/>
      <w:lvlJc w:val="left"/>
      <w:pPr>
        <w:ind w:left="720" w:hanging="360"/>
      </w:pPr>
    </w:lvl>
    <w:lvl w:ilvl="4" w:tplc="57EC6688">
      <w:start w:val="1"/>
      <w:numFmt w:val="decimal"/>
      <w:lvlText w:val="%5)"/>
      <w:lvlJc w:val="left"/>
      <w:pPr>
        <w:ind w:left="720" w:hanging="360"/>
      </w:pPr>
    </w:lvl>
    <w:lvl w:ilvl="5" w:tplc="068EF356">
      <w:start w:val="1"/>
      <w:numFmt w:val="decimal"/>
      <w:lvlText w:val="%6)"/>
      <w:lvlJc w:val="left"/>
      <w:pPr>
        <w:ind w:left="720" w:hanging="360"/>
      </w:pPr>
    </w:lvl>
    <w:lvl w:ilvl="6" w:tplc="F4F4BAA8">
      <w:start w:val="1"/>
      <w:numFmt w:val="decimal"/>
      <w:lvlText w:val="%7)"/>
      <w:lvlJc w:val="left"/>
      <w:pPr>
        <w:ind w:left="720" w:hanging="360"/>
      </w:pPr>
    </w:lvl>
    <w:lvl w:ilvl="7" w:tplc="438A7FC2">
      <w:start w:val="1"/>
      <w:numFmt w:val="decimal"/>
      <w:lvlText w:val="%8)"/>
      <w:lvlJc w:val="left"/>
      <w:pPr>
        <w:ind w:left="720" w:hanging="360"/>
      </w:pPr>
    </w:lvl>
    <w:lvl w:ilvl="8" w:tplc="A3C2CDC0">
      <w:start w:val="1"/>
      <w:numFmt w:val="decimal"/>
      <w:lvlText w:val="%9)"/>
      <w:lvlJc w:val="left"/>
      <w:pPr>
        <w:ind w:left="720" w:hanging="360"/>
      </w:pPr>
    </w:lvl>
  </w:abstractNum>
  <w:abstractNum w:abstractNumId="120" w15:restartNumberingAfterBreak="0">
    <w:nsid w:val="72092499"/>
    <w:multiLevelType w:val="hybridMultilevel"/>
    <w:tmpl w:val="5DE8E0F4"/>
    <w:lvl w:ilvl="0" w:tplc="AB0679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73E14443"/>
    <w:multiLevelType w:val="multilevel"/>
    <w:tmpl w:val="E2E6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3F2591D"/>
    <w:multiLevelType w:val="hybridMultilevel"/>
    <w:tmpl w:val="ED06BAAC"/>
    <w:lvl w:ilvl="0" w:tplc="0832B7C8">
      <w:start w:val="1"/>
      <w:numFmt w:val="decimal"/>
      <w:lvlText w:val="%1)"/>
      <w:lvlJc w:val="left"/>
      <w:pPr>
        <w:ind w:left="720" w:hanging="360"/>
      </w:pPr>
    </w:lvl>
    <w:lvl w:ilvl="1" w:tplc="020A8678">
      <w:start w:val="1"/>
      <w:numFmt w:val="decimal"/>
      <w:lvlText w:val="%2)"/>
      <w:lvlJc w:val="left"/>
      <w:pPr>
        <w:ind w:left="720" w:hanging="360"/>
      </w:pPr>
    </w:lvl>
    <w:lvl w:ilvl="2" w:tplc="346A1E08">
      <w:start w:val="1"/>
      <w:numFmt w:val="decimal"/>
      <w:lvlText w:val="%3)"/>
      <w:lvlJc w:val="left"/>
      <w:pPr>
        <w:ind w:left="720" w:hanging="360"/>
      </w:pPr>
    </w:lvl>
    <w:lvl w:ilvl="3" w:tplc="85AC79B4">
      <w:start w:val="1"/>
      <w:numFmt w:val="decimal"/>
      <w:lvlText w:val="%4)"/>
      <w:lvlJc w:val="left"/>
      <w:pPr>
        <w:ind w:left="720" w:hanging="360"/>
      </w:pPr>
    </w:lvl>
    <w:lvl w:ilvl="4" w:tplc="9432D0D2">
      <w:start w:val="1"/>
      <w:numFmt w:val="decimal"/>
      <w:lvlText w:val="%5)"/>
      <w:lvlJc w:val="left"/>
      <w:pPr>
        <w:ind w:left="720" w:hanging="360"/>
      </w:pPr>
    </w:lvl>
    <w:lvl w:ilvl="5" w:tplc="C1EE4A0A">
      <w:start w:val="1"/>
      <w:numFmt w:val="decimal"/>
      <w:lvlText w:val="%6)"/>
      <w:lvlJc w:val="left"/>
      <w:pPr>
        <w:ind w:left="720" w:hanging="360"/>
      </w:pPr>
    </w:lvl>
    <w:lvl w:ilvl="6" w:tplc="B90C9EA8">
      <w:start w:val="1"/>
      <w:numFmt w:val="decimal"/>
      <w:lvlText w:val="%7)"/>
      <w:lvlJc w:val="left"/>
      <w:pPr>
        <w:ind w:left="720" w:hanging="360"/>
      </w:pPr>
    </w:lvl>
    <w:lvl w:ilvl="7" w:tplc="3DECD4E0">
      <w:start w:val="1"/>
      <w:numFmt w:val="decimal"/>
      <w:lvlText w:val="%8)"/>
      <w:lvlJc w:val="left"/>
      <w:pPr>
        <w:ind w:left="720" w:hanging="360"/>
      </w:pPr>
    </w:lvl>
    <w:lvl w:ilvl="8" w:tplc="5508673A">
      <w:start w:val="1"/>
      <w:numFmt w:val="decimal"/>
      <w:lvlText w:val="%9)"/>
      <w:lvlJc w:val="left"/>
      <w:pPr>
        <w:ind w:left="720" w:hanging="360"/>
      </w:pPr>
    </w:lvl>
  </w:abstractNum>
  <w:abstractNum w:abstractNumId="123" w15:restartNumberingAfterBreak="0">
    <w:nsid w:val="745D768E"/>
    <w:multiLevelType w:val="multilevel"/>
    <w:tmpl w:val="E094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4AA63B0"/>
    <w:multiLevelType w:val="hybridMultilevel"/>
    <w:tmpl w:val="64880F9C"/>
    <w:lvl w:ilvl="0" w:tplc="5A26EEB2">
      <w:start w:val="1"/>
      <w:numFmt w:val="decimal"/>
      <w:lvlText w:val="%1."/>
      <w:lvlJc w:val="left"/>
      <w:pPr>
        <w:ind w:left="1440" w:hanging="360"/>
      </w:pPr>
    </w:lvl>
    <w:lvl w:ilvl="1" w:tplc="EBB87132">
      <w:start w:val="1"/>
      <w:numFmt w:val="decimal"/>
      <w:lvlText w:val="%2."/>
      <w:lvlJc w:val="left"/>
      <w:pPr>
        <w:ind w:left="1440" w:hanging="360"/>
      </w:pPr>
    </w:lvl>
    <w:lvl w:ilvl="2" w:tplc="0D7A5B38">
      <w:start w:val="1"/>
      <w:numFmt w:val="decimal"/>
      <w:lvlText w:val="%3."/>
      <w:lvlJc w:val="left"/>
      <w:pPr>
        <w:ind w:left="1440" w:hanging="360"/>
      </w:pPr>
    </w:lvl>
    <w:lvl w:ilvl="3" w:tplc="E0EC6552">
      <w:start w:val="1"/>
      <w:numFmt w:val="decimal"/>
      <w:lvlText w:val="%4."/>
      <w:lvlJc w:val="left"/>
      <w:pPr>
        <w:ind w:left="1440" w:hanging="360"/>
      </w:pPr>
    </w:lvl>
    <w:lvl w:ilvl="4" w:tplc="5890252E">
      <w:start w:val="1"/>
      <w:numFmt w:val="decimal"/>
      <w:lvlText w:val="%5."/>
      <w:lvlJc w:val="left"/>
      <w:pPr>
        <w:ind w:left="1440" w:hanging="360"/>
      </w:pPr>
    </w:lvl>
    <w:lvl w:ilvl="5" w:tplc="A1D03B80">
      <w:start w:val="1"/>
      <w:numFmt w:val="decimal"/>
      <w:lvlText w:val="%6."/>
      <w:lvlJc w:val="left"/>
      <w:pPr>
        <w:ind w:left="1440" w:hanging="360"/>
      </w:pPr>
    </w:lvl>
    <w:lvl w:ilvl="6" w:tplc="F01AD908">
      <w:start w:val="1"/>
      <w:numFmt w:val="decimal"/>
      <w:lvlText w:val="%7."/>
      <w:lvlJc w:val="left"/>
      <w:pPr>
        <w:ind w:left="1440" w:hanging="360"/>
      </w:pPr>
    </w:lvl>
    <w:lvl w:ilvl="7" w:tplc="8AA8BDD2">
      <w:start w:val="1"/>
      <w:numFmt w:val="decimal"/>
      <w:lvlText w:val="%8."/>
      <w:lvlJc w:val="left"/>
      <w:pPr>
        <w:ind w:left="1440" w:hanging="360"/>
      </w:pPr>
    </w:lvl>
    <w:lvl w:ilvl="8" w:tplc="AB9CFA86">
      <w:start w:val="1"/>
      <w:numFmt w:val="decimal"/>
      <w:lvlText w:val="%9."/>
      <w:lvlJc w:val="left"/>
      <w:pPr>
        <w:ind w:left="1440" w:hanging="360"/>
      </w:pPr>
    </w:lvl>
  </w:abstractNum>
  <w:abstractNum w:abstractNumId="125" w15:restartNumberingAfterBreak="0">
    <w:nsid w:val="751A40CD"/>
    <w:multiLevelType w:val="hybridMultilevel"/>
    <w:tmpl w:val="82DA76D2"/>
    <w:lvl w:ilvl="0" w:tplc="E90C03F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6" w15:restartNumberingAfterBreak="0">
    <w:nsid w:val="75936B15"/>
    <w:multiLevelType w:val="hybridMultilevel"/>
    <w:tmpl w:val="BD16A490"/>
    <w:lvl w:ilvl="0" w:tplc="A65EF7C2">
      <w:start w:val="1"/>
      <w:numFmt w:val="decimal"/>
      <w:lvlText w:val="%1."/>
      <w:lvlJc w:val="left"/>
      <w:pPr>
        <w:ind w:left="1440" w:hanging="360"/>
      </w:pPr>
    </w:lvl>
    <w:lvl w:ilvl="1" w:tplc="8754215A">
      <w:start w:val="1"/>
      <w:numFmt w:val="decimal"/>
      <w:lvlText w:val="%2."/>
      <w:lvlJc w:val="left"/>
      <w:pPr>
        <w:ind w:left="1440" w:hanging="360"/>
      </w:pPr>
    </w:lvl>
    <w:lvl w:ilvl="2" w:tplc="BADAB9E6">
      <w:start w:val="1"/>
      <w:numFmt w:val="decimal"/>
      <w:lvlText w:val="%3."/>
      <w:lvlJc w:val="left"/>
      <w:pPr>
        <w:ind w:left="1440" w:hanging="360"/>
      </w:pPr>
    </w:lvl>
    <w:lvl w:ilvl="3" w:tplc="251C0356">
      <w:start w:val="1"/>
      <w:numFmt w:val="decimal"/>
      <w:lvlText w:val="%4."/>
      <w:lvlJc w:val="left"/>
      <w:pPr>
        <w:ind w:left="1440" w:hanging="360"/>
      </w:pPr>
    </w:lvl>
    <w:lvl w:ilvl="4" w:tplc="41A48A58">
      <w:start w:val="1"/>
      <w:numFmt w:val="decimal"/>
      <w:lvlText w:val="%5."/>
      <w:lvlJc w:val="left"/>
      <w:pPr>
        <w:ind w:left="1440" w:hanging="360"/>
      </w:pPr>
    </w:lvl>
    <w:lvl w:ilvl="5" w:tplc="DB1097A0">
      <w:start w:val="1"/>
      <w:numFmt w:val="decimal"/>
      <w:lvlText w:val="%6."/>
      <w:lvlJc w:val="left"/>
      <w:pPr>
        <w:ind w:left="1440" w:hanging="360"/>
      </w:pPr>
    </w:lvl>
    <w:lvl w:ilvl="6" w:tplc="51BCF030">
      <w:start w:val="1"/>
      <w:numFmt w:val="decimal"/>
      <w:lvlText w:val="%7."/>
      <w:lvlJc w:val="left"/>
      <w:pPr>
        <w:ind w:left="1440" w:hanging="360"/>
      </w:pPr>
    </w:lvl>
    <w:lvl w:ilvl="7" w:tplc="F8C42416">
      <w:start w:val="1"/>
      <w:numFmt w:val="decimal"/>
      <w:lvlText w:val="%8."/>
      <w:lvlJc w:val="left"/>
      <w:pPr>
        <w:ind w:left="1440" w:hanging="360"/>
      </w:pPr>
    </w:lvl>
    <w:lvl w:ilvl="8" w:tplc="A3DA669C">
      <w:start w:val="1"/>
      <w:numFmt w:val="decimal"/>
      <w:lvlText w:val="%9."/>
      <w:lvlJc w:val="left"/>
      <w:pPr>
        <w:ind w:left="1440" w:hanging="360"/>
      </w:pPr>
    </w:lvl>
  </w:abstractNum>
  <w:abstractNum w:abstractNumId="127" w15:restartNumberingAfterBreak="0">
    <w:nsid w:val="78396D63"/>
    <w:multiLevelType w:val="hybridMultilevel"/>
    <w:tmpl w:val="D9B6AD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8" w15:restartNumberingAfterBreak="0">
    <w:nsid w:val="7A9453FA"/>
    <w:multiLevelType w:val="hybridMultilevel"/>
    <w:tmpl w:val="C01467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7B5823FA"/>
    <w:multiLevelType w:val="hybridMultilevel"/>
    <w:tmpl w:val="CF9C37D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7D586025"/>
    <w:multiLevelType w:val="hybridMultilevel"/>
    <w:tmpl w:val="5BAC3B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1" w15:restartNumberingAfterBreak="0">
    <w:nsid w:val="7F791957"/>
    <w:multiLevelType w:val="hybridMultilevel"/>
    <w:tmpl w:val="DB6C4B48"/>
    <w:lvl w:ilvl="0" w:tplc="78E2D26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0"/>
  </w:num>
  <w:num w:numId="2">
    <w:abstractNumId w:val="89"/>
  </w:num>
  <w:num w:numId="3">
    <w:abstractNumId w:val="129"/>
  </w:num>
  <w:num w:numId="4">
    <w:abstractNumId w:val="25"/>
  </w:num>
  <w:num w:numId="5">
    <w:abstractNumId w:val="76"/>
  </w:num>
  <w:num w:numId="6">
    <w:abstractNumId w:val="35"/>
  </w:num>
  <w:num w:numId="7">
    <w:abstractNumId w:val="40"/>
  </w:num>
  <w:num w:numId="8">
    <w:abstractNumId w:val="46"/>
  </w:num>
  <w:num w:numId="9">
    <w:abstractNumId w:val="8"/>
  </w:num>
  <w:num w:numId="10">
    <w:abstractNumId w:val="115"/>
  </w:num>
  <w:num w:numId="11">
    <w:abstractNumId w:val="102"/>
  </w:num>
  <w:num w:numId="12">
    <w:abstractNumId w:val="82"/>
  </w:num>
  <w:num w:numId="13">
    <w:abstractNumId w:val="44"/>
  </w:num>
  <w:num w:numId="14">
    <w:abstractNumId w:val="70"/>
  </w:num>
  <w:num w:numId="15">
    <w:abstractNumId w:val="103"/>
  </w:num>
  <w:num w:numId="16">
    <w:abstractNumId w:val="74"/>
  </w:num>
  <w:num w:numId="17">
    <w:abstractNumId w:val="17"/>
  </w:num>
  <w:num w:numId="18">
    <w:abstractNumId w:val="78"/>
  </w:num>
  <w:num w:numId="19">
    <w:abstractNumId w:val="64"/>
  </w:num>
  <w:num w:numId="20">
    <w:abstractNumId w:val="96"/>
  </w:num>
  <w:num w:numId="21">
    <w:abstractNumId w:val="22"/>
  </w:num>
  <w:num w:numId="22">
    <w:abstractNumId w:val="111"/>
  </w:num>
  <w:num w:numId="23">
    <w:abstractNumId w:val="49"/>
  </w:num>
  <w:num w:numId="24">
    <w:abstractNumId w:val="131"/>
  </w:num>
  <w:num w:numId="25">
    <w:abstractNumId w:val="51"/>
  </w:num>
  <w:num w:numId="26">
    <w:abstractNumId w:val="56"/>
  </w:num>
  <w:num w:numId="27">
    <w:abstractNumId w:val="92"/>
  </w:num>
  <w:num w:numId="28">
    <w:abstractNumId w:val="12"/>
  </w:num>
  <w:num w:numId="29">
    <w:abstractNumId w:val="7"/>
  </w:num>
  <w:num w:numId="30">
    <w:abstractNumId w:val="39"/>
  </w:num>
  <w:num w:numId="31">
    <w:abstractNumId w:val="31"/>
  </w:num>
  <w:num w:numId="32">
    <w:abstractNumId w:val="105"/>
  </w:num>
  <w:num w:numId="33">
    <w:abstractNumId w:val="45"/>
  </w:num>
  <w:num w:numId="34">
    <w:abstractNumId w:val="90"/>
  </w:num>
  <w:num w:numId="35">
    <w:abstractNumId w:val="98"/>
  </w:num>
  <w:num w:numId="36">
    <w:abstractNumId w:val="33"/>
  </w:num>
  <w:num w:numId="37">
    <w:abstractNumId w:val="123"/>
  </w:num>
  <w:num w:numId="38">
    <w:abstractNumId w:val="42"/>
  </w:num>
  <w:num w:numId="39">
    <w:abstractNumId w:val="61"/>
  </w:num>
  <w:num w:numId="40">
    <w:abstractNumId w:val="28"/>
  </w:num>
  <w:num w:numId="41">
    <w:abstractNumId w:val="68"/>
  </w:num>
  <w:num w:numId="42">
    <w:abstractNumId w:val="32"/>
  </w:num>
  <w:num w:numId="43">
    <w:abstractNumId w:val="127"/>
  </w:num>
  <w:num w:numId="44">
    <w:abstractNumId w:val="63"/>
  </w:num>
  <w:num w:numId="45">
    <w:abstractNumId w:val="26"/>
  </w:num>
  <w:num w:numId="46">
    <w:abstractNumId w:val="62"/>
  </w:num>
  <w:num w:numId="47">
    <w:abstractNumId w:val="34"/>
  </w:num>
  <w:num w:numId="48">
    <w:abstractNumId w:val="55"/>
  </w:num>
  <w:num w:numId="49">
    <w:abstractNumId w:val="69"/>
  </w:num>
  <w:num w:numId="50">
    <w:abstractNumId w:val="121"/>
  </w:num>
  <w:num w:numId="51">
    <w:abstractNumId w:val="6"/>
  </w:num>
  <w:num w:numId="52">
    <w:abstractNumId w:val="97"/>
  </w:num>
  <w:num w:numId="53">
    <w:abstractNumId w:val="128"/>
  </w:num>
  <w:num w:numId="54">
    <w:abstractNumId w:val="37"/>
  </w:num>
  <w:num w:numId="55">
    <w:abstractNumId w:val="84"/>
  </w:num>
  <w:num w:numId="56">
    <w:abstractNumId w:val="20"/>
  </w:num>
  <w:num w:numId="57">
    <w:abstractNumId w:val="130"/>
  </w:num>
  <w:num w:numId="58">
    <w:abstractNumId w:val="21"/>
  </w:num>
  <w:num w:numId="59">
    <w:abstractNumId w:val="85"/>
  </w:num>
  <w:num w:numId="60">
    <w:abstractNumId w:val="71"/>
  </w:num>
  <w:num w:numId="61">
    <w:abstractNumId w:val="120"/>
  </w:num>
  <w:num w:numId="62">
    <w:abstractNumId w:val="91"/>
  </w:num>
  <w:num w:numId="63">
    <w:abstractNumId w:val="67"/>
  </w:num>
  <w:num w:numId="64">
    <w:abstractNumId w:val="19"/>
  </w:num>
  <w:num w:numId="65">
    <w:abstractNumId w:val="15"/>
  </w:num>
  <w:num w:numId="66">
    <w:abstractNumId w:val="47"/>
  </w:num>
  <w:num w:numId="67">
    <w:abstractNumId w:val="1"/>
  </w:num>
  <w:num w:numId="68">
    <w:abstractNumId w:val="16"/>
  </w:num>
  <w:num w:numId="69">
    <w:abstractNumId w:val="117"/>
  </w:num>
  <w:num w:numId="70">
    <w:abstractNumId w:val="77"/>
  </w:num>
  <w:num w:numId="71">
    <w:abstractNumId w:val="94"/>
  </w:num>
  <w:num w:numId="72">
    <w:abstractNumId w:val="87"/>
  </w:num>
  <w:num w:numId="73">
    <w:abstractNumId w:val="4"/>
  </w:num>
  <w:num w:numId="74">
    <w:abstractNumId w:val="106"/>
  </w:num>
  <w:num w:numId="75">
    <w:abstractNumId w:val="101"/>
  </w:num>
  <w:num w:numId="76">
    <w:abstractNumId w:val="53"/>
  </w:num>
  <w:num w:numId="77">
    <w:abstractNumId w:val="5"/>
  </w:num>
  <w:num w:numId="78">
    <w:abstractNumId w:val="65"/>
  </w:num>
  <w:num w:numId="79">
    <w:abstractNumId w:val="52"/>
  </w:num>
  <w:num w:numId="80">
    <w:abstractNumId w:val="27"/>
  </w:num>
  <w:num w:numId="81">
    <w:abstractNumId w:val="88"/>
  </w:num>
  <w:num w:numId="82">
    <w:abstractNumId w:val="59"/>
  </w:num>
  <w:num w:numId="83">
    <w:abstractNumId w:val="107"/>
  </w:num>
  <w:num w:numId="84">
    <w:abstractNumId w:val="54"/>
  </w:num>
  <w:num w:numId="85">
    <w:abstractNumId w:val="118"/>
  </w:num>
  <w:num w:numId="86">
    <w:abstractNumId w:val="11"/>
  </w:num>
  <w:num w:numId="87">
    <w:abstractNumId w:val="126"/>
  </w:num>
  <w:num w:numId="88">
    <w:abstractNumId w:val="9"/>
  </w:num>
  <w:num w:numId="89">
    <w:abstractNumId w:val="36"/>
  </w:num>
  <w:num w:numId="90">
    <w:abstractNumId w:val="60"/>
  </w:num>
  <w:num w:numId="91">
    <w:abstractNumId w:val="3"/>
  </w:num>
  <w:num w:numId="92">
    <w:abstractNumId w:val="24"/>
  </w:num>
  <w:num w:numId="93">
    <w:abstractNumId w:val="13"/>
  </w:num>
  <w:num w:numId="94">
    <w:abstractNumId w:val="75"/>
  </w:num>
  <w:num w:numId="95">
    <w:abstractNumId w:val="93"/>
  </w:num>
  <w:num w:numId="96">
    <w:abstractNumId w:val="113"/>
  </w:num>
  <w:num w:numId="97">
    <w:abstractNumId w:val="114"/>
  </w:num>
  <w:num w:numId="98">
    <w:abstractNumId w:val="72"/>
  </w:num>
  <w:num w:numId="99">
    <w:abstractNumId w:val="66"/>
  </w:num>
  <w:num w:numId="100">
    <w:abstractNumId w:val="83"/>
  </w:num>
  <w:num w:numId="101">
    <w:abstractNumId w:val="48"/>
  </w:num>
  <w:num w:numId="102">
    <w:abstractNumId w:val="38"/>
  </w:num>
  <w:num w:numId="103">
    <w:abstractNumId w:val="10"/>
  </w:num>
  <w:num w:numId="104">
    <w:abstractNumId w:val="58"/>
  </w:num>
  <w:num w:numId="105">
    <w:abstractNumId w:val="18"/>
  </w:num>
  <w:num w:numId="106">
    <w:abstractNumId w:val="124"/>
  </w:num>
  <w:num w:numId="107">
    <w:abstractNumId w:val="112"/>
  </w:num>
  <w:num w:numId="108">
    <w:abstractNumId w:val="2"/>
  </w:num>
  <w:num w:numId="109">
    <w:abstractNumId w:val="110"/>
  </w:num>
  <w:num w:numId="110">
    <w:abstractNumId w:val="119"/>
  </w:num>
  <w:num w:numId="111">
    <w:abstractNumId w:val="109"/>
  </w:num>
  <w:num w:numId="112">
    <w:abstractNumId w:val="116"/>
  </w:num>
  <w:num w:numId="113">
    <w:abstractNumId w:val="14"/>
  </w:num>
  <w:num w:numId="114">
    <w:abstractNumId w:val="108"/>
  </w:num>
  <w:num w:numId="115">
    <w:abstractNumId w:val="79"/>
  </w:num>
  <w:num w:numId="116">
    <w:abstractNumId w:val="81"/>
  </w:num>
  <w:num w:numId="117">
    <w:abstractNumId w:val="30"/>
  </w:num>
  <w:num w:numId="118">
    <w:abstractNumId w:val="122"/>
  </w:num>
  <w:num w:numId="119">
    <w:abstractNumId w:val="41"/>
  </w:num>
  <w:num w:numId="120">
    <w:abstractNumId w:val="104"/>
  </w:num>
  <w:num w:numId="121">
    <w:abstractNumId w:val="95"/>
  </w:num>
  <w:num w:numId="122">
    <w:abstractNumId w:val="57"/>
  </w:num>
  <w:num w:numId="123">
    <w:abstractNumId w:val="86"/>
  </w:num>
  <w:num w:numId="124">
    <w:abstractNumId w:val="23"/>
  </w:num>
  <w:num w:numId="125">
    <w:abstractNumId w:val="73"/>
  </w:num>
  <w:num w:numId="126">
    <w:abstractNumId w:val="125"/>
  </w:num>
  <w:num w:numId="127">
    <w:abstractNumId w:val="50"/>
  </w:num>
  <w:num w:numId="128">
    <w:abstractNumId w:val="43"/>
  </w:num>
  <w:num w:numId="129">
    <w:abstractNumId w:val="29"/>
  </w:num>
  <w:num w:numId="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0"/>
  </w:num>
  <w:num w:numId="132">
    <w:abstractNumId w:val="100"/>
  </w:num>
  <w:num w:numId="133">
    <w:abstractNumId w:val="9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765FCD2-B0F9-48A4-AF7D-D21859D2CC47"/>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0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n EU cardiovascular health plan: the Safe Hearts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DE54C7"/>
    <w:rsid w:val="00001328"/>
    <w:rsid w:val="00005BC8"/>
    <w:rsid w:val="00006057"/>
    <w:rsid w:val="00006AA5"/>
    <w:rsid w:val="000078E3"/>
    <w:rsid w:val="00010AF6"/>
    <w:rsid w:val="00010FB9"/>
    <w:rsid w:val="000111CA"/>
    <w:rsid w:val="00012299"/>
    <w:rsid w:val="0001266C"/>
    <w:rsid w:val="00012E53"/>
    <w:rsid w:val="000167AA"/>
    <w:rsid w:val="00017A92"/>
    <w:rsid w:val="00017FEA"/>
    <w:rsid w:val="000219EC"/>
    <w:rsid w:val="00021EB4"/>
    <w:rsid w:val="000223AE"/>
    <w:rsid w:val="00022F6C"/>
    <w:rsid w:val="00023AC3"/>
    <w:rsid w:val="0002483B"/>
    <w:rsid w:val="000257FD"/>
    <w:rsid w:val="00025844"/>
    <w:rsid w:val="00030C05"/>
    <w:rsid w:val="00030E99"/>
    <w:rsid w:val="00034686"/>
    <w:rsid w:val="00040674"/>
    <w:rsid w:val="00042019"/>
    <w:rsid w:val="00042361"/>
    <w:rsid w:val="00042477"/>
    <w:rsid w:val="0004248D"/>
    <w:rsid w:val="000432BA"/>
    <w:rsid w:val="000434EB"/>
    <w:rsid w:val="00043FBC"/>
    <w:rsid w:val="000443B3"/>
    <w:rsid w:val="00044BC4"/>
    <w:rsid w:val="0004568D"/>
    <w:rsid w:val="0004668E"/>
    <w:rsid w:val="000467D9"/>
    <w:rsid w:val="000515AB"/>
    <w:rsid w:val="00051925"/>
    <w:rsid w:val="00051DBB"/>
    <w:rsid w:val="00053DF8"/>
    <w:rsid w:val="00055225"/>
    <w:rsid w:val="00056846"/>
    <w:rsid w:val="000574E0"/>
    <w:rsid w:val="00057941"/>
    <w:rsid w:val="00057F97"/>
    <w:rsid w:val="000613CB"/>
    <w:rsid w:val="00063BE2"/>
    <w:rsid w:val="00064028"/>
    <w:rsid w:val="00064258"/>
    <w:rsid w:val="00064D90"/>
    <w:rsid w:val="00064EF3"/>
    <w:rsid w:val="00065030"/>
    <w:rsid w:val="000651CB"/>
    <w:rsid w:val="000704BF"/>
    <w:rsid w:val="0007170D"/>
    <w:rsid w:val="00073448"/>
    <w:rsid w:val="00074639"/>
    <w:rsid w:val="00074F2A"/>
    <w:rsid w:val="0007696C"/>
    <w:rsid w:val="000815C8"/>
    <w:rsid w:val="000815E0"/>
    <w:rsid w:val="00082234"/>
    <w:rsid w:val="00082CAB"/>
    <w:rsid w:val="00082E88"/>
    <w:rsid w:val="000837EC"/>
    <w:rsid w:val="000844F7"/>
    <w:rsid w:val="0008455E"/>
    <w:rsid w:val="00084B7F"/>
    <w:rsid w:val="00084C23"/>
    <w:rsid w:val="00090D92"/>
    <w:rsid w:val="0009108B"/>
    <w:rsid w:val="000911E1"/>
    <w:rsid w:val="00091E95"/>
    <w:rsid w:val="00092740"/>
    <w:rsid w:val="00092EBA"/>
    <w:rsid w:val="00094EC9"/>
    <w:rsid w:val="000961FD"/>
    <w:rsid w:val="00096A0A"/>
    <w:rsid w:val="00096C93"/>
    <w:rsid w:val="0009743D"/>
    <w:rsid w:val="00097B14"/>
    <w:rsid w:val="000A05C9"/>
    <w:rsid w:val="000A0914"/>
    <w:rsid w:val="000A1080"/>
    <w:rsid w:val="000A24BE"/>
    <w:rsid w:val="000A4C05"/>
    <w:rsid w:val="000A62B4"/>
    <w:rsid w:val="000A663B"/>
    <w:rsid w:val="000B16FC"/>
    <w:rsid w:val="000B3F3A"/>
    <w:rsid w:val="000B4258"/>
    <w:rsid w:val="000B5497"/>
    <w:rsid w:val="000B619D"/>
    <w:rsid w:val="000B6D8B"/>
    <w:rsid w:val="000B71C4"/>
    <w:rsid w:val="000C0B10"/>
    <w:rsid w:val="000C0F53"/>
    <w:rsid w:val="000C13D1"/>
    <w:rsid w:val="000C3BB5"/>
    <w:rsid w:val="000C3C91"/>
    <w:rsid w:val="000C425F"/>
    <w:rsid w:val="000C57CD"/>
    <w:rsid w:val="000C65CB"/>
    <w:rsid w:val="000C6866"/>
    <w:rsid w:val="000C7E0F"/>
    <w:rsid w:val="000D1CA3"/>
    <w:rsid w:val="000D2026"/>
    <w:rsid w:val="000D2282"/>
    <w:rsid w:val="000D33A2"/>
    <w:rsid w:val="000D343D"/>
    <w:rsid w:val="000D361A"/>
    <w:rsid w:val="000D38A2"/>
    <w:rsid w:val="000D3E80"/>
    <w:rsid w:val="000D3F4D"/>
    <w:rsid w:val="000D6049"/>
    <w:rsid w:val="000D6678"/>
    <w:rsid w:val="000D6892"/>
    <w:rsid w:val="000D779B"/>
    <w:rsid w:val="000E1582"/>
    <w:rsid w:val="000E20F2"/>
    <w:rsid w:val="000E28E9"/>
    <w:rsid w:val="000E2D1E"/>
    <w:rsid w:val="000E3EA3"/>
    <w:rsid w:val="000E3FDC"/>
    <w:rsid w:val="000E45CC"/>
    <w:rsid w:val="000E6FCE"/>
    <w:rsid w:val="000E6FF4"/>
    <w:rsid w:val="000E7419"/>
    <w:rsid w:val="000E79F7"/>
    <w:rsid w:val="000F0DE0"/>
    <w:rsid w:val="000F2C41"/>
    <w:rsid w:val="000F2E48"/>
    <w:rsid w:val="000F3549"/>
    <w:rsid w:val="000F45FA"/>
    <w:rsid w:val="000F467C"/>
    <w:rsid w:val="000F4831"/>
    <w:rsid w:val="000F5466"/>
    <w:rsid w:val="000F56FF"/>
    <w:rsid w:val="000F59D2"/>
    <w:rsid w:val="000F69BC"/>
    <w:rsid w:val="000F6E59"/>
    <w:rsid w:val="000F7560"/>
    <w:rsid w:val="000F7735"/>
    <w:rsid w:val="001002FD"/>
    <w:rsid w:val="001007E2"/>
    <w:rsid w:val="00101184"/>
    <w:rsid w:val="00102773"/>
    <w:rsid w:val="00103DF1"/>
    <w:rsid w:val="00104911"/>
    <w:rsid w:val="0010500A"/>
    <w:rsid w:val="001062D7"/>
    <w:rsid w:val="001071ED"/>
    <w:rsid w:val="0010760A"/>
    <w:rsid w:val="00107634"/>
    <w:rsid w:val="001133E8"/>
    <w:rsid w:val="001148C4"/>
    <w:rsid w:val="00116108"/>
    <w:rsid w:val="0011740E"/>
    <w:rsid w:val="001175C4"/>
    <w:rsid w:val="0011797D"/>
    <w:rsid w:val="00117C7A"/>
    <w:rsid w:val="001202CB"/>
    <w:rsid w:val="00120AD3"/>
    <w:rsid w:val="00120B57"/>
    <w:rsid w:val="001212AB"/>
    <w:rsid w:val="00122D13"/>
    <w:rsid w:val="00123448"/>
    <w:rsid w:val="001235E3"/>
    <w:rsid w:val="00124E20"/>
    <w:rsid w:val="001254CB"/>
    <w:rsid w:val="00125D7F"/>
    <w:rsid w:val="00126106"/>
    <w:rsid w:val="00126A44"/>
    <w:rsid w:val="00126D12"/>
    <w:rsid w:val="00130ABE"/>
    <w:rsid w:val="00132AE2"/>
    <w:rsid w:val="001336C1"/>
    <w:rsid w:val="0013409F"/>
    <w:rsid w:val="00134491"/>
    <w:rsid w:val="00134986"/>
    <w:rsid w:val="00136E87"/>
    <w:rsid w:val="001408B6"/>
    <w:rsid w:val="00141F26"/>
    <w:rsid w:val="0014224E"/>
    <w:rsid w:val="00142392"/>
    <w:rsid w:val="0014312B"/>
    <w:rsid w:val="00143164"/>
    <w:rsid w:val="001461B3"/>
    <w:rsid w:val="00146436"/>
    <w:rsid w:val="001469B3"/>
    <w:rsid w:val="00146C6F"/>
    <w:rsid w:val="00146D9B"/>
    <w:rsid w:val="001517CF"/>
    <w:rsid w:val="00151E7F"/>
    <w:rsid w:val="00152ED1"/>
    <w:rsid w:val="001536F8"/>
    <w:rsid w:val="001550DE"/>
    <w:rsid w:val="00155A2D"/>
    <w:rsid w:val="00157004"/>
    <w:rsid w:val="0016103E"/>
    <w:rsid w:val="00165A85"/>
    <w:rsid w:val="0016665F"/>
    <w:rsid w:val="001671B2"/>
    <w:rsid w:val="00170097"/>
    <w:rsid w:val="00170701"/>
    <w:rsid w:val="00170F5A"/>
    <w:rsid w:val="00171C09"/>
    <w:rsid w:val="001734DB"/>
    <w:rsid w:val="001735D5"/>
    <w:rsid w:val="00175ABE"/>
    <w:rsid w:val="00175BC2"/>
    <w:rsid w:val="001805A0"/>
    <w:rsid w:val="001807E2"/>
    <w:rsid w:val="00180B97"/>
    <w:rsid w:val="00181C27"/>
    <w:rsid w:val="001822A3"/>
    <w:rsid w:val="00183759"/>
    <w:rsid w:val="00183E1B"/>
    <w:rsid w:val="001845F4"/>
    <w:rsid w:val="0018514E"/>
    <w:rsid w:val="00185349"/>
    <w:rsid w:val="0018651B"/>
    <w:rsid w:val="00186D23"/>
    <w:rsid w:val="0019017C"/>
    <w:rsid w:val="0019087D"/>
    <w:rsid w:val="00191BAC"/>
    <w:rsid w:val="00192961"/>
    <w:rsid w:val="00192DD6"/>
    <w:rsid w:val="00195A19"/>
    <w:rsid w:val="00195B6E"/>
    <w:rsid w:val="001975A9"/>
    <w:rsid w:val="00197866"/>
    <w:rsid w:val="001979DB"/>
    <w:rsid w:val="001A01A9"/>
    <w:rsid w:val="001A0F83"/>
    <w:rsid w:val="001A0F9F"/>
    <w:rsid w:val="001A13FE"/>
    <w:rsid w:val="001A273C"/>
    <w:rsid w:val="001A32C2"/>
    <w:rsid w:val="001A3622"/>
    <w:rsid w:val="001A6089"/>
    <w:rsid w:val="001A666A"/>
    <w:rsid w:val="001B2159"/>
    <w:rsid w:val="001B341D"/>
    <w:rsid w:val="001B3BE1"/>
    <w:rsid w:val="001B545D"/>
    <w:rsid w:val="001B5D1E"/>
    <w:rsid w:val="001B7835"/>
    <w:rsid w:val="001B7CC6"/>
    <w:rsid w:val="001C164C"/>
    <w:rsid w:val="001C4486"/>
    <w:rsid w:val="001C5BC3"/>
    <w:rsid w:val="001C7868"/>
    <w:rsid w:val="001D13E6"/>
    <w:rsid w:val="001D1E29"/>
    <w:rsid w:val="001D3041"/>
    <w:rsid w:val="001D31E6"/>
    <w:rsid w:val="001D45A7"/>
    <w:rsid w:val="001D48D9"/>
    <w:rsid w:val="001D5C97"/>
    <w:rsid w:val="001D6C5B"/>
    <w:rsid w:val="001D78CD"/>
    <w:rsid w:val="001D7D96"/>
    <w:rsid w:val="001E0D92"/>
    <w:rsid w:val="001E2EB8"/>
    <w:rsid w:val="001E3043"/>
    <w:rsid w:val="001E6950"/>
    <w:rsid w:val="001E705C"/>
    <w:rsid w:val="001E7BA4"/>
    <w:rsid w:val="001F1684"/>
    <w:rsid w:val="001F1FFB"/>
    <w:rsid w:val="001F282B"/>
    <w:rsid w:val="001F2F67"/>
    <w:rsid w:val="001F3CEF"/>
    <w:rsid w:val="001F443D"/>
    <w:rsid w:val="001F4F7B"/>
    <w:rsid w:val="001F5BE6"/>
    <w:rsid w:val="001F7B9B"/>
    <w:rsid w:val="00200F89"/>
    <w:rsid w:val="002010B9"/>
    <w:rsid w:val="002016BD"/>
    <w:rsid w:val="00204192"/>
    <w:rsid w:val="00204E2D"/>
    <w:rsid w:val="002059F2"/>
    <w:rsid w:val="00205A22"/>
    <w:rsid w:val="00210CA9"/>
    <w:rsid w:val="00210CD5"/>
    <w:rsid w:val="00210FA3"/>
    <w:rsid w:val="002110D9"/>
    <w:rsid w:val="002115F1"/>
    <w:rsid w:val="00212BC0"/>
    <w:rsid w:val="00213647"/>
    <w:rsid w:val="002150B6"/>
    <w:rsid w:val="0021688B"/>
    <w:rsid w:val="002174AD"/>
    <w:rsid w:val="00221E7D"/>
    <w:rsid w:val="0022233E"/>
    <w:rsid w:val="00222A91"/>
    <w:rsid w:val="00222C2C"/>
    <w:rsid w:val="00223539"/>
    <w:rsid w:val="00223CE5"/>
    <w:rsid w:val="002262C5"/>
    <w:rsid w:val="002267DC"/>
    <w:rsid w:val="002267EC"/>
    <w:rsid w:val="00227144"/>
    <w:rsid w:val="00227861"/>
    <w:rsid w:val="002303B0"/>
    <w:rsid w:val="0023119B"/>
    <w:rsid w:val="00231955"/>
    <w:rsid w:val="00233ED1"/>
    <w:rsid w:val="00233FB1"/>
    <w:rsid w:val="00234BDA"/>
    <w:rsid w:val="00236126"/>
    <w:rsid w:val="002362CF"/>
    <w:rsid w:val="002431B4"/>
    <w:rsid w:val="00243E1D"/>
    <w:rsid w:val="002459ED"/>
    <w:rsid w:val="00250D29"/>
    <w:rsid w:val="00252BF7"/>
    <w:rsid w:val="002556D4"/>
    <w:rsid w:val="002559E2"/>
    <w:rsid w:val="00255DCC"/>
    <w:rsid w:val="002576EE"/>
    <w:rsid w:val="0026026F"/>
    <w:rsid w:val="00260A39"/>
    <w:rsid w:val="00261EA2"/>
    <w:rsid w:val="00263CFA"/>
    <w:rsid w:val="00265049"/>
    <w:rsid w:val="00265847"/>
    <w:rsid w:val="00265939"/>
    <w:rsid w:val="00265CB5"/>
    <w:rsid w:val="00266105"/>
    <w:rsid w:val="002713EF"/>
    <w:rsid w:val="0027186A"/>
    <w:rsid w:val="002729AE"/>
    <w:rsid w:val="002769F8"/>
    <w:rsid w:val="00276DF4"/>
    <w:rsid w:val="00281B3F"/>
    <w:rsid w:val="00281F60"/>
    <w:rsid w:val="002826AD"/>
    <w:rsid w:val="00282A58"/>
    <w:rsid w:val="00283F0F"/>
    <w:rsid w:val="0028405A"/>
    <w:rsid w:val="00284630"/>
    <w:rsid w:val="0028518D"/>
    <w:rsid w:val="00285F68"/>
    <w:rsid w:val="0028702A"/>
    <w:rsid w:val="0028780C"/>
    <w:rsid w:val="00287BC5"/>
    <w:rsid w:val="002907EE"/>
    <w:rsid w:val="00291B7C"/>
    <w:rsid w:val="00291CE7"/>
    <w:rsid w:val="002921F4"/>
    <w:rsid w:val="00293293"/>
    <w:rsid w:val="002934E6"/>
    <w:rsid w:val="00294333"/>
    <w:rsid w:val="002945AE"/>
    <w:rsid w:val="002948EB"/>
    <w:rsid w:val="002952E2"/>
    <w:rsid w:val="0029607B"/>
    <w:rsid w:val="00296E83"/>
    <w:rsid w:val="002973D9"/>
    <w:rsid w:val="00297FCC"/>
    <w:rsid w:val="002A1007"/>
    <w:rsid w:val="002A38D3"/>
    <w:rsid w:val="002A5607"/>
    <w:rsid w:val="002A6E3E"/>
    <w:rsid w:val="002A7119"/>
    <w:rsid w:val="002A719E"/>
    <w:rsid w:val="002A78DF"/>
    <w:rsid w:val="002B209B"/>
    <w:rsid w:val="002B270E"/>
    <w:rsid w:val="002B32A1"/>
    <w:rsid w:val="002B44B4"/>
    <w:rsid w:val="002B4691"/>
    <w:rsid w:val="002B57F2"/>
    <w:rsid w:val="002B6C32"/>
    <w:rsid w:val="002B7198"/>
    <w:rsid w:val="002C0C43"/>
    <w:rsid w:val="002C1768"/>
    <w:rsid w:val="002C2558"/>
    <w:rsid w:val="002C2A5F"/>
    <w:rsid w:val="002C2F4D"/>
    <w:rsid w:val="002C48DD"/>
    <w:rsid w:val="002C491A"/>
    <w:rsid w:val="002C499B"/>
    <w:rsid w:val="002C4F6F"/>
    <w:rsid w:val="002C58D3"/>
    <w:rsid w:val="002C594F"/>
    <w:rsid w:val="002C67EA"/>
    <w:rsid w:val="002C7D16"/>
    <w:rsid w:val="002D1593"/>
    <w:rsid w:val="002D1691"/>
    <w:rsid w:val="002D1F1B"/>
    <w:rsid w:val="002D2137"/>
    <w:rsid w:val="002D3E24"/>
    <w:rsid w:val="002D5061"/>
    <w:rsid w:val="002D50D3"/>
    <w:rsid w:val="002D53DA"/>
    <w:rsid w:val="002D5619"/>
    <w:rsid w:val="002D6A1A"/>
    <w:rsid w:val="002D6A38"/>
    <w:rsid w:val="002D7992"/>
    <w:rsid w:val="002E00E5"/>
    <w:rsid w:val="002E02E3"/>
    <w:rsid w:val="002E1AEB"/>
    <w:rsid w:val="002E1EBB"/>
    <w:rsid w:val="002E2C3F"/>
    <w:rsid w:val="002E2F8C"/>
    <w:rsid w:val="002E4923"/>
    <w:rsid w:val="002E4ACE"/>
    <w:rsid w:val="002E4D5E"/>
    <w:rsid w:val="002E5142"/>
    <w:rsid w:val="002E7051"/>
    <w:rsid w:val="002E7B87"/>
    <w:rsid w:val="002E7C67"/>
    <w:rsid w:val="002E7E5C"/>
    <w:rsid w:val="002F034D"/>
    <w:rsid w:val="002F0811"/>
    <w:rsid w:val="002F1D93"/>
    <w:rsid w:val="002F2153"/>
    <w:rsid w:val="002F2416"/>
    <w:rsid w:val="002F3286"/>
    <w:rsid w:val="002F3B3A"/>
    <w:rsid w:val="002F56F6"/>
    <w:rsid w:val="002F705D"/>
    <w:rsid w:val="0030074C"/>
    <w:rsid w:val="0030328F"/>
    <w:rsid w:val="00303602"/>
    <w:rsid w:val="00303FA4"/>
    <w:rsid w:val="003047B2"/>
    <w:rsid w:val="00304ED5"/>
    <w:rsid w:val="0030662F"/>
    <w:rsid w:val="00307365"/>
    <w:rsid w:val="003073B5"/>
    <w:rsid w:val="00311383"/>
    <w:rsid w:val="0031148E"/>
    <w:rsid w:val="00311B1E"/>
    <w:rsid w:val="00311EF3"/>
    <w:rsid w:val="00312BEE"/>
    <w:rsid w:val="00314E95"/>
    <w:rsid w:val="0031538F"/>
    <w:rsid w:val="003157AB"/>
    <w:rsid w:val="00315988"/>
    <w:rsid w:val="00315B35"/>
    <w:rsid w:val="00316A6D"/>
    <w:rsid w:val="0031788B"/>
    <w:rsid w:val="00321E8C"/>
    <w:rsid w:val="00322689"/>
    <w:rsid w:val="00322D96"/>
    <w:rsid w:val="00323749"/>
    <w:rsid w:val="00323D3C"/>
    <w:rsid w:val="0032401F"/>
    <w:rsid w:val="003250D8"/>
    <w:rsid w:val="0032525B"/>
    <w:rsid w:val="00325EE0"/>
    <w:rsid w:val="00325FA9"/>
    <w:rsid w:val="003278EE"/>
    <w:rsid w:val="00331D0D"/>
    <w:rsid w:val="00331D85"/>
    <w:rsid w:val="0033265A"/>
    <w:rsid w:val="00333058"/>
    <w:rsid w:val="0033434A"/>
    <w:rsid w:val="00334D2B"/>
    <w:rsid w:val="003354D9"/>
    <w:rsid w:val="003366CE"/>
    <w:rsid w:val="00337309"/>
    <w:rsid w:val="00337E9C"/>
    <w:rsid w:val="00340B85"/>
    <w:rsid w:val="00341CCB"/>
    <w:rsid w:val="00342DD9"/>
    <w:rsid w:val="0034361C"/>
    <w:rsid w:val="00343AA2"/>
    <w:rsid w:val="00344106"/>
    <w:rsid w:val="00344544"/>
    <w:rsid w:val="003455A9"/>
    <w:rsid w:val="00345865"/>
    <w:rsid w:val="00345F10"/>
    <w:rsid w:val="003468E1"/>
    <w:rsid w:val="003473D5"/>
    <w:rsid w:val="003501F8"/>
    <w:rsid w:val="003512E6"/>
    <w:rsid w:val="00351878"/>
    <w:rsid w:val="003535A3"/>
    <w:rsid w:val="00354697"/>
    <w:rsid w:val="003559BD"/>
    <w:rsid w:val="00355D0E"/>
    <w:rsid w:val="003575D3"/>
    <w:rsid w:val="00357A32"/>
    <w:rsid w:val="00357F57"/>
    <w:rsid w:val="00360C3B"/>
    <w:rsid w:val="00360D2F"/>
    <w:rsid w:val="0036121B"/>
    <w:rsid w:val="00361F7C"/>
    <w:rsid w:val="0036214E"/>
    <w:rsid w:val="00362408"/>
    <w:rsid w:val="003634DC"/>
    <w:rsid w:val="00363509"/>
    <w:rsid w:val="003635C6"/>
    <w:rsid w:val="00365689"/>
    <w:rsid w:val="003669F2"/>
    <w:rsid w:val="00366A7E"/>
    <w:rsid w:val="00366A8B"/>
    <w:rsid w:val="00366CDD"/>
    <w:rsid w:val="0037019B"/>
    <w:rsid w:val="003707C5"/>
    <w:rsid w:val="00370C7B"/>
    <w:rsid w:val="0037270A"/>
    <w:rsid w:val="00372DF4"/>
    <w:rsid w:val="0037302D"/>
    <w:rsid w:val="00374A91"/>
    <w:rsid w:val="003751F6"/>
    <w:rsid w:val="003759FF"/>
    <w:rsid w:val="00376493"/>
    <w:rsid w:val="00376FEB"/>
    <w:rsid w:val="00377232"/>
    <w:rsid w:val="00381110"/>
    <w:rsid w:val="00381558"/>
    <w:rsid w:val="00381ECF"/>
    <w:rsid w:val="00382203"/>
    <w:rsid w:val="0038391C"/>
    <w:rsid w:val="00384241"/>
    <w:rsid w:val="00384917"/>
    <w:rsid w:val="00385097"/>
    <w:rsid w:val="00385E36"/>
    <w:rsid w:val="0038640F"/>
    <w:rsid w:val="00387019"/>
    <w:rsid w:val="00387062"/>
    <w:rsid w:val="00387AC8"/>
    <w:rsid w:val="00391392"/>
    <w:rsid w:val="003916D9"/>
    <w:rsid w:val="003939C2"/>
    <w:rsid w:val="00395B4E"/>
    <w:rsid w:val="003A0AA0"/>
    <w:rsid w:val="003A236B"/>
    <w:rsid w:val="003A3BA7"/>
    <w:rsid w:val="003A3DF1"/>
    <w:rsid w:val="003A5601"/>
    <w:rsid w:val="003A58C8"/>
    <w:rsid w:val="003A76AB"/>
    <w:rsid w:val="003A78A8"/>
    <w:rsid w:val="003B125A"/>
    <w:rsid w:val="003B1C70"/>
    <w:rsid w:val="003B1F45"/>
    <w:rsid w:val="003B24B1"/>
    <w:rsid w:val="003B45E7"/>
    <w:rsid w:val="003B4619"/>
    <w:rsid w:val="003B4FFD"/>
    <w:rsid w:val="003B5680"/>
    <w:rsid w:val="003B6A6B"/>
    <w:rsid w:val="003B712F"/>
    <w:rsid w:val="003C1F6C"/>
    <w:rsid w:val="003C2385"/>
    <w:rsid w:val="003C4F80"/>
    <w:rsid w:val="003C642F"/>
    <w:rsid w:val="003C726A"/>
    <w:rsid w:val="003C73E5"/>
    <w:rsid w:val="003C79DE"/>
    <w:rsid w:val="003D1759"/>
    <w:rsid w:val="003D20E0"/>
    <w:rsid w:val="003D4FB8"/>
    <w:rsid w:val="003D56AB"/>
    <w:rsid w:val="003D5E74"/>
    <w:rsid w:val="003D6934"/>
    <w:rsid w:val="003D73C3"/>
    <w:rsid w:val="003D7741"/>
    <w:rsid w:val="003D7B2E"/>
    <w:rsid w:val="003E0999"/>
    <w:rsid w:val="003E0C89"/>
    <w:rsid w:val="003E11C6"/>
    <w:rsid w:val="003E1314"/>
    <w:rsid w:val="003E3AB8"/>
    <w:rsid w:val="003E48BF"/>
    <w:rsid w:val="003E64F0"/>
    <w:rsid w:val="003E6AA9"/>
    <w:rsid w:val="003E7487"/>
    <w:rsid w:val="003F03F6"/>
    <w:rsid w:val="003F054A"/>
    <w:rsid w:val="003F080B"/>
    <w:rsid w:val="003F0DA0"/>
    <w:rsid w:val="003F1C71"/>
    <w:rsid w:val="003F3EF1"/>
    <w:rsid w:val="003F49CF"/>
    <w:rsid w:val="003F51D2"/>
    <w:rsid w:val="003F6000"/>
    <w:rsid w:val="003F6216"/>
    <w:rsid w:val="003F63C5"/>
    <w:rsid w:val="004000E3"/>
    <w:rsid w:val="00404401"/>
    <w:rsid w:val="0040651B"/>
    <w:rsid w:val="0041013F"/>
    <w:rsid w:val="00411857"/>
    <w:rsid w:val="00411D6C"/>
    <w:rsid w:val="00414F52"/>
    <w:rsid w:val="00415130"/>
    <w:rsid w:val="004154D9"/>
    <w:rsid w:val="0041724E"/>
    <w:rsid w:val="00420645"/>
    <w:rsid w:val="00420BAE"/>
    <w:rsid w:val="004219AC"/>
    <w:rsid w:val="00421B4C"/>
    <w:rsid w:val="004227E8"/>
    <w:rsid w:val="004233C3"/>
    <w:rsid w:val="004240F3"/>
    <w:rsid w:val="004254A9"/>
    <w:rsid w:val="004263AC"/>
    <w:rsid w:val="00426B3F"/>
    <w:rsid w:val="00426C14"/>
    <w:rsid w:val="00427786"/>
    <w:rsid w:val="004302AF"/>
    <w:rsid w:val="00432427"/>
    <w:rsid w:val="0043286F"/>
    <w:rsid w:val="0043291A"/>
    <w:rsid w:val="00433CF5"/>
    <w:rsid w:val="00435713"/>
    <w:rsid w:val="00435BFD"/>
    <w:rsid w:val="00436325"/>
    <w:rsid w:val="00436EE8"/>
    <w:rsid w:val="0043736B"/>
    <w:rsid w:val="00437E3F"/>
    <w:rsid w:val="004402B0"/>
    <w:rsid w:val="00441B58"/>
    <w:rsid w:val="00442247"/>
    <w:rsid w:val="00442958"/>
    <w:rsid w:val="00442F6C"/>
    <w:rsid w:val="004436D8"/>
    <w:rsid w:val="004442C6"/>
    <w:rsid w:val="00446C7C"/>
    <w:rsid w:val="0045275E"/>
    <w:rsid w:val="00453274"/>
    <w:rsid w:val="00453A86"/>
    <w:rsid w:val="00454065"/>
    <w:rsid w:val="00454213"/>
    <w:rsid w:val="00454BFD"/>
    <w:rsid w:val="004552AF"/>
    <w:rsid w:val="00455F36"/>
    <w:rsid w:val="00456C95"/>
    <w:rsid w:val="004577B8"/>
    <w:rsid w:val="0046062A"/>
    <w:rsid w:val="004620F7"/>
    <w:rsid w:val="004632EA"/>
    <w:rsid w:val="0046405A"/>
    <w:rsid w:val="004667A9"/>
    <w:rsid w:val="00466815"/>
    <w:rsid w:val="004737F0"/>
    <w:rsid w:val="00473DFE"/>
    <w:rsid w:val="00474830"/>
    <w:rsid w:val="00474D10"/>
    <w:rsid w:val="00474DB3"/>
    <w:rsid w:val="00476331"/>
    <w:rsid w:val="00476B7C"/>
    <w:rsid w:val="00476DB7"/>
    <w:rsid w:val="00477299"/>
    <w:rsid w:val="00481404"/>
    <w:rsid w:val="00481D8A"/>
    <w:rsid w:val="00481D95"/>
    <w:rsid w:val="00482063"/>
    <w:rsid w:val="00482B99"/>
    <w:rsid w:val="00482BD9"/>
    <w:rsid w:val="00482E0A"/>
    <w:rsid w:val="00484E7C"/>
    <w:rsid w:val="00485334"/>
    <w:rsid w:val="00486F34"/>
    <w:rsid w:val="004871AF"/>
    <w:rsid w:val="00490485"/>
    <w:rsid w:val="00490601"/>
    <w:rsid w:val="00490CE6"/>
    <w:rsid w:val="00493CCB"/>
    <w:rsid w:val="00494589"/>
    <w:rsid w:val="004945ED"/>
    <w:rsid w:val="004953BA"/>
    <w:rsid w:val="004958B1"/>
    <w:rsid w:val="0049670D"/>
    <w:rsid w:val="004969A1"/>
    <w:rsid w:val="004A2C4A"/>
    <w:rsid w:val="004A5209"/>
    <w:rsid w:val="004A5219"/>
    <w:rsid w:val="004A578A"/>
    <w:rsid w:val="004A5973"/>
    <w:rsid w:val="004A5F02"/>
    <w:rsid w:val="004A6304"/>
    <w:rsid w:val="004B0D78"/>
    <w:rsid w:val="004B1B5B"/>
    <w:rsid w:val="004B2927"/>
    <w:rsid w:val="004B2E1B"/>
    <w:rsid w:val="004B4B6C"/>
    <w:rsid w:val="004B519A"/>
    <w:rsid w:val="004B523E"/>
    <w:rsid w:val="004B5D02"/>
    <w:rsid w:val="004B5D49"/>
    <w:rsid w:val="004B6E54"/>
    <w:rsid w:val="004C0791"/>
    <w:rsid w:val="004C0A31"/>
    <w:rsid w:val="004C1108"/>
    <w:rsid w:val="004C193A"/>
    <w:rsid w:val="004C2232"/>
    <w:rsid w:val="004C3608"/>
    <w:rsid w:val="004C37AC"/>
    <w:rsid w:val="004C4CCD"/>
    <w:rsid w:val="004C7D2C"/>
    <w:rsid w:val="004D00B6"/>
    <w:rsid w:val="004D1882"/>
    <w:rsid w:val="004D2139"/>
    <w:rsid w:val="004D24CD"/>
    <w:rsid w:val="004D317B"/>
    <w:rsid w:val="004D4955"/>
    <w:rsid w:val="004D4B53"/>
    <w:rsid w:val="004D514A"/>
    <w:rsid w:val="004D609B"/>
    <w:rsid w:val="004D7B92"/>
    <w:rsid w:val="004E0564"/>
    <w:rsid w:val="004E271F"/>
    <w:rsid w:val="004E28A6"/>
    <w:rsid w:val="004E2C6F"/>
    <w:rsid w:val="004E3E76"/>
    <w:rsid w:val="004E5338"/>
    <w:rsid w:val="004E5E9C"/>
    <w:rsid w:val="004E782E"/>
    <w:rsid w:val="004F16CB"/>
    <w:rsid w:val="004F170D"/>
    <w:rsid w:val="004F37FA"/>
    <w:rsid w:val="004F401A"/>
    <w:rsid w:val="004F6ABC"/>
    <w:rsid w:val="004F6EFC"/>
    <w:rsid w:val="004F75C7"/>
    <w:rsid w:val="004F7882"/>
    <w:rsid w:val="004F79E8"/>
    <w:rsid w:val="004F7DB8"/>
    <w:rsid w:val="0050015F"/>
    <w:rsid w:val="005005A6"/>
    <w:rsid w:val="005005BD"/>
    <w:rsid w:val="00500A8C"/>
    <w:rsid w:val="005027F2"/>
    <w:rsid w:val="00503B34"/>
    <w:rsid w:val="00504544"/>
    <w:rsid w:val="0050497D"/>
    <w:rsid w:val="00505522"/>
    <w:rsid w:val="00505FB4"/>
    <w:rsid w:val="00505FD1"/>
    <w:rsid w:val="005109D2"/>
    <w:rsid w:val="00510DCE"/>
    <w:rsid w:val="00511CA9"/>
    <w:rsid w:val="00512AE7"/>
    <w:rsid w:val="005136B5"/>
    <w:rsid w:val="00513944"/>
    <w:rsid w:val="005148CB"/>
    <w:rsid w:val="005154AC"/>
    <w:rsid w:val="0051559F"/>
    <w:rsid w:val="0051782B"/>
    <w:rsid w:val="0051789F"/>
    <w:rsid w:val="00520236"/>
    <w:rsid w:val="00520CD8"/>
    <w:rsid w:val="00520EF0"/>
    <w:rsid w:val="00520F1A"/>
    <w:rsid w:val="005210B5"/>
    <w:rsid w:val="005210D4"/>
    <w:rsid w:val="00521DCB"/>
    <w:rsid w:val="00521E50"/>
    <w:rsid w:val="00524F92"/>
    <w:rsid w:val="00525585"/>
    <w:rsid w:val="00530B34"/>
    <w:rsid w:val="005323D2"/>
    <w:rsid w:val="005336B1"/>
    <w:rsid w:val="00533A90"/>
    <w:rsid w:val="00534E5B"/>
    <w:rsid w:val="00534FC5"/>
    <w:rsid w:val="0053518E"/>
    <w:rsid w:val="0053526A"/>
    <w:rsid w:val="0053694E"/>
    <w:rsid w:val="00537F21"/>
    <w:rsid w:val="0054051C"/>
    <w:rsid w:val="00541722"/>
    <w:rsid w:val="00542E2D"/>
    <w:rsid w:val="00544211"/>
    <w:rsid w:val="00544D58"/>
    <w:rsid w:val="005457F7"/>
    <w:rsid w:val="00545A57"/>
    <w:rsid w:val="00545C4E"/>
    <w:rsid w:val="0055249C"/>
    <w:rsid w:val="00557428"/>
    <w:rsid w:val="00557668"/>
    <w:rsid w:val="00560093"/>
    <w:rsid w:val="0056093D"/>
    <w:rsid w:val="00561AF1"/>
    <w:rsid w:val="00561C9B"/>
    <w:rsid w:val="00561DF7"/>
    <w:rsid w:val="0056307B"/>
    <w:rsid w:val="00563457"/>
    <w:rsid w:val="00564060"/>
    <w:rsid w:val="00564792"/>
    <w:rsid w:val="00564F65"/>
    <w:rsid w:val="00564FDF"/>
    <w:rsid w:val="00567588"/>
    <w:rsid w:val="00567625"/>
    <w:rsid w:val="0057286D"/>
    <w:rsid w:val="0057562F"/>
    <w:rsid w:val="00576332"/>
    <w:rsid w:val="00576FE4"/>
    <w:rsid w:val="005773E4"/>
    <w:rsid w:val="005804EF"/>
    <w:rsid w:val="005809EB"/>
    <w:rsid w:val="005840C6"/>
    <w:rsid w:val="00584ED3"/>
    <w:rsid w:val="00585BD5"/>
    <w:rsid w:val="005907DD"/>
    <w:rsid w:val="00590FE4"/>
    <w:rsid w:val="00592544"/>
    <w:rsid w:val="00592BA5"/>
    <w:rsid w:val="00592E69"/>
    <w:rsid w:val="00592F7B"/>
    <w:rsid w:val="00593712"/>
    <w:rsid w:val="00595FE5"/>
    <w:rsid w:val="0059607D"/>
    <w:rsid w:val="005970D4"/>
    <w:rsid w:val="00597B7B"/>
    <w:rsid w:val="005A0EF9"/>
    <w:rsid w:val="005A10EB"/>
    <w:rsid w:val="005A276F"/>
    <w:rsid w:val="005A2E5A"/>
    <w:rsid w:val="005A32AB"/>
    <w:rsid w:val="005A37CE"/>
    <w:rsid w:val="005A45D1"/>
    <w:rsid w:val="005A5462"/>
    <w:rsid w:val="005A621E"/>
    <w:rsid w:val="005A7B4A"/>
    <w:rsid w:val="005B1064"/>
    <w:rsid w:val="005B13FF"/>
    <w:rsid w:val="005B1866"/>
    <w:rsid w:val="005B1A8E"/>
    <w:rsid w:val="005B1C91"/>
    <w:rsid w:val="005B26D1"/>
    <w:rsid w:val="005B4992"/>
    <w:rsid w:val="005B5B79"/>
    <w:rsid w:val="005B608D"/>
    <w:rsid w:val="005C01C7"/>
    <w:rsid w:val="005C06FA"/>
    <w:rsid w:val="005C0E6E"/>
    <w:rsid w:val="005C15F5"/>
    <w:rsid w:val="005C1CAA"/>
    <w:rsid w:val="005C24EF"/>
    <w:rsid w:val="005C3B0D"/>
    <w:rsid w:val="005C426F"/>
    <w:rsid w:val="005C4E8F"/>
    <w:rsid w:val="005C554B"/>
    <w:rsid w:val="005C5DD9"/>
    <w:rsid w:val="005C6848"/>
    <w:rsid w:val="005C6CC6"/>
    <w:rsid w:val="005C6E6B"/>
    <w:rsid w:val="005D154C"/>
    <w:rsid w:val="005D2503"/>
    <w:rsid w:val="005D51E3"/>
    <w:rsid w:val="005D55AB"/>
    <w:rsid w:val="005D59E8"/>
    <w:rsid w:val="005D62E6"/>
    <w:rsid w:val="005D7104"/>
    <w:rsid w:val="005D717D"/>
    <w:rsid w:val="005D786C"/>
    <w:rsid w:val="005E0FAF"/>
    <w:rsid w:val="005E19DA"/>
    <w:rsid w:val="005E352E"/>
    <w:rsid w:val="005E6760"/>
    <w:rsid w:val="005F0923"/>
    <w:rsid w:val="005F2916"/>
    <w:rsid w:val="005F3165"/>
    <w:rsid w:val="005F558B"/>
    <w:rsid w:val="005F6BF7"/>
    <w:rsid w:val="005F7267"/>
    <w:rsid w:val="005F76E3"/>
    <w:rsid w:val="005F76FD"/>
    <w:rsid w:val="00601232"/>
    <w:rsid w:val="00601E25"/>
    <w:rsid w:val="0060334F"/>
    <w:rsid w:val="006039ED"/>
    <w:rsid w:val="00604335"/>
    <w:rsid w:val="00605606"/>
    <w:rsid w:val="00605683"/>
    <w:rsid w:val="0061042F"/>
    <w:rsid w:val="00610857"/>
    <w:rsid w:val="00611163"/>
    <w:rsid w:val="00611887"/>
    <w:rsid w:val="006166B8"/>
    <w:rsid w:val="0062089E"/>
    <w:rsid w:val="006212A2"/>
    <w:rsid w:val="0062143A"/>
    <w:rsid w:val="00621990"/>
    <w:rsid w:val="00621B1C"/>
    <w:rsid w:val="00622289"/>
    <w:rsid w:val="0062261D"/>
    <w:rsid w:val="0062302F"/>
    <w:rsid w:val="00623FCA"/>
    <w:rsid w:val="006251C1"/>
    <w:rsid w:val="006261E4"/>
    <w:rsid w:val="006279FF"/>
    <w:rsid w:val="006312FF"/>
    <w:rsid w:val="006342B8"/>
    <w:rsid w:val="00635391"/>
    <w:rsid w:val="0063695C"/>
    <w:rsid w:val="006404DC"/>
    <w:rsid w:val="00640AC5"/>
    <w:rsid w:val="006410EC"/>
    <w:rsid w:val="00642150"/>
    <w:rsid w:val="0064433C"/>
    <w:rsid w:val="0064482C"/>
    <w:rsid w:val="00644EC8"/>
    <w:rsid w:val="00645221"/>
    <w:rsid w:val="00645355"/>
    <w:rsid w:val="00645AC7"/>
    <w:rsid w:val="00647AE6"/>
    <w:rsid w:val="00647AF1"/>
    <w:rsid w:val="00650238"/>
    <w:rsid w:val="006513C4"/>
    <w:rsid w:val="00652F32"/>
    <w:rsid w:val="00653B4A"/>
    <w:rsid w:val="00654CC3"/>
    <w:rsid w:val="006552E2"/>
    <w:rsid w:val="00655C9F"/>
    <w:rsid w:val="00656FB3"/>
    <w:rsid w:val="00660070"/>
    <w:rsid w:val="0066177F"/>
    <w:rsid w:val="0066220B"/>
    <w:rsid w:val="006622DD"/>
    <w:rsid w:val="0066274A"/>
    <w:rsid w:val="006635BE"/>
    <w:rsid w:val="00663A85"/>
    <w:rsid w:val="00665AAB"/>
    <w:rsid w:val="00665BAB"/>
    <w:rsid w:val="00667F5C"/>
    <w:rsid w:val="0067059B"/>
    <w:rsid w:val="00671E38"/>
    <w:rsid w:val="00671E3B"/>
    <w:rsid w:val="00673705"/>
    <w:rsid w:val="006745A0"/>
    <w:rsid w:val="006747B5"/>
    <w:rsid w:val="00675ED4"/>
    <w:rsid w:val="0067622E"/>
    <w:rsid w:val="00677846"/>
    <w:rsid w:val="0067790D"/>
    <w:rsid w:val="00682BC1"/>
    <w:rsid w:val="00682FCC"/>
    <w:rsid w:val="006835D6"/>
    <w:rsid w:val="00683737"/>
    <w:rsid w:val="00683996"/>
    <w:rsid w:val="006851D5"/>
    <w:rsid w:val="0068531C"/>
    <w:rsid w:val="00685E25"/>
    <w:rsid w:val="00687C04"/>
    <w:rsid w:val="00687D4B"/>
    <w:rsid w:val="00687DBE"/>
    <w:rsid w:val="006924EC"/>
    <w:rsid w:val="006937D4"/>
    <w:rsid w:val="00693BB7"/>
    <w:rsid w:val="0069402A"/>
    <w:rsid w:val="0069458A"/>
    <w:rsid w:val="006950FF"/>
    <w:rsid w:val="00695AB7"/>
    <w:rsid w:val="006A312F"/>
    <w:rsid w:val="006A47A1"/>
    <w:rsid w:val="006A49B5"/>
    <w:rsid w:val="006A4B17"/>
    <w:rsid w:val="006A5E48"/>
    <w:rsid w:val="006A6361"/>
    <w:rsid w:val="006A7861"/>
    <w:rsid w:val="006B02A1"/>
    <w:rsid w:val="006B1477"/>
    <w:rsid w:val="006B1D52"/>
    <w:rsid w:val="006B2251"/>
    <w:rsid w:val="006B24EC"/>
    <w:rsid w:val="006B2DCB"/>
    <w:rsid w:val="006B3137"/>
    <w:rsid w:val="006B3B91"/>
    <w:rsid w:val="006B4072"/>
    <w:rsid w:val="006B4C4B"/>
    <w:rsid w:val="006B5924"/>
    <w:rsid w:val="006B6437"/>
    <w:rsid w:val="006B67E2"/>
    <w:rsid w:val="006B692C"/>
    <w:rsid w:val="006C0659"/>
    <w:rsid w:val="006C1604"/>
    <w:rsid w:val="006C2210"/>
    <w:rsid w:val="006C2FE6"/>
    <w:rsid w:val="006C3E1F"/>
    <w:rsid w:val="006C4648"/>
    <w:rsid w:val="006C51B9"/>
    <w:rsid w:val="006C5C73"/>
    <w:rsid w:val="006C6511"/>
    <w:rsid w:val="006C6B5F"/>
    <w:rsid w:val="006D1252"/>
    <w:rsid w:val="006D1323"/>
    <w:rsid w:val="006D2262"/>
    <w:rsid w:val="006D2338"/>
    <w:rsid w:val="006D46C7"/>
    <w:rsid w:val="006D475A"/>
    <w:rsid w:val="006D536F"/>
    <w:rsid w:val="006D538B"/>
    <w:rsid w:val="006D608B"/>
    <w:rsid w:val="006E17C5"/>
    <w:rsid w:val="006E1CAC"/>
    <w:rsid w:val="006E2F2A"/>
    <w:rsid w:val="006E3E93"/>
    <w:rsid w:val="006E4B14"/>
    <w:rsid w:val="006E4E4A"/>
    <w:rsid w:val="006E5DE5"/>
    <w:rsid w:val="006E7DA7"/>
    <w:rsid w:val="006F64BF"/>
    <w:rsid w:val="006F776F"/>
    <w:rsid w:val="007003DB"/>
    <w:rsid w:val="00700446"/>
    <w:rsid w:val="007020F7"/>
    <w:rsid w:val="007046EA"/>
    <w:rsid w:val="00704BC7"/>
    <w:rsid w:val="00705233"/>
    <w:rsid w:val="00705460"/>
    <w:rsid w:val="00706E15"/>
    <w:rsid w:val="007101C7"/>
    <w:rsid w:val="007108DD"/>
    <w:rsid w:val="00710D1E"/>
    <w:rsid w:val="00711825"/>
    <w:rsid w:val="00711BAC"/>
    <w:rsid w:val="00712094"/>
    <w:rsid w:val="00713FC2"/>
    <w:rsid w:val="00715CBD"/>
    <w:rsid w:val="00716DB6"/>
    <w:rsid w:val="007202B1"/>
    <w:rsid w:val="00720571"/>
    <w:rsid w:val="007206D1"/>
    <w:rsid w:val="00721968"/>
    <w:rsid w:val="00723A10"/>
    <w:rsid w:val="007240E4"/>
    <w:rsid w:val="00724E9E"/>
    <w:rsid w:val="00725801"/>
    <w:rsid w:val="00725A63"/>
    <w:rsid w:val="00726AB7"/>
    <w:rsid w:val="00731664"/>
    <w:rsid w:val="00733268"/>
    <w:rsid w:val="00735C89"/>
    <w:rsid w:val="00735E3A"/>
    <w:rsid w:val="007369CD"/>
    <w:rsid w:val="007371CA"/>
    <w:rsid w:val="0073754E"/>
    <w:rsid w:val="0074202C"/>
    <w:rsid w:val="00742105"/>
    <w:rsid w:val="00742C36"/>
    <w:rsid w:val="007447BF"/>
    <w:rsid w:val="00744801"/>
    <w:rsid w:val="007461CF"/>
    <w:rsid w:val="00746941"/>
    <w:rsid w:val="00747E59"/>
    <w:rsid w:val="00747F26"/>
    <w:rsid w:val="007503DB"/>
    <w:rsid w:val="007517CD"/>
    <w:rsid w:val="0075422A"/>
    <w:rsid w:val="007549E4"/>
    <w:rsid w:val="00755B39"/>
    <w:rsid w:val="00755E77"/>
    <w:rsid w:val="0075628A"/>
    <w:rsid w:val="0075654F"/>
    <w:rsid w:val="00757258"/>
    <w:rsid w:val="00760373"/>
    <w:rsid w:val="0076057D"/>
    <w:rsid w:val="00761375"/>
    <w:rsid w:val="00761379"/>
    <w:rsid w:val="00761F33"/>
    <w:rsid w:val="0076307F"/>
    <w:rsid w:val="00763D1E"/>
    <w:rsid w:val="00764655"/>
    <w:rsid w:val="0076548B"/>
    <w:rsid w:val="00767979"/>
    <w:rsid w:val="007703A8"/>
    <w:rsid w:val="00771A29"/>
    <w:rsid w:val="00772EC7"/>
    <w:rsid w:val="007733A2"/>
    <w:rsid w:val="00775677"/>
    <w:rsid w:val="007759A3"/>
    <w:rsid w:val="00776F5A"/>
    <w:rsid w:val="00782B6A"/>
    <w:rsid w:val="00782C5B"/>
    <w:rsid w:val="00782CA2"/>
    <w:rsid w:val="00782CB1"/>
    <w:rsid w:val="00782FE1"/>
    <w:rsid w:val="007847D3"/>
    <w:rsid w:val="0078531A"/>
    <w:rsid w:val="00785B7C"/>
    <w:rsid w:val="00786BB1"/>
    <w:rsid w:val="00787083"/>
    <w:rsid w:val="00787351"/>
    <w:rsid w:val="007878C4"/>
    <w:rsid w:val="007904C2"/>
    <w:rsid w:val="00790EDE"/>
    <w:rsid w:val="00791848"/>
    <w:rsid w:val="00791A83"/>
    <w:rsid w:val="00791FEB"/>
    <w:rsid w:val="00793A99"/>
    <w:rsid w:val="007953E4"/>
    <w:rsid w:val="00795DF9"/>
    <w:rsid w:val="0079613D"/>
    <w:rsid w:val="0079675E"/>
    <w:rsid w:val="007979FC"/>
    <w:rsid w:val="00797E3A"/>
    <w:rsid w:val="007A06D6"/>
    <w:rsid w:val="007A0F84"/>
    <w:rsid w:val="007A1211"/>
    <w:rsid w:val="007A2C73"/>
    <w:rsid w:val="007A33E6"/>
    <w:rsid w:val="007A7D09"/>
    <w:rsid w:val="007B1232"/>
    <w:rsid w:val="007B69B2"/>
    <w:rsid w:val="007B7127"/>
    <w:rsid w:val="007B73F0"/>
    <w:rsid w:val="007C0607"/>
    <w:rsid w:val="007C17FF"/>
    <w:rsid w:val="007C4EA2"/>
    <w:rsid w:val="007C537F"/>
    <w:rsid w:val="007D207B"/>
    <w:rsid w:val="007D2572"/>
    <w:rsid w:val="007D2A73"/>
    <w:rsid w:val="007D336C"/>
    <w:rsid w:val="007D415A"/>
    <w:rsid w:val="007D4B47"/>
    <w:rsid w:val="007D5C02"/>
    <w:rsid w:val="007D6178"/>
    <w:rsid w:val="007D6739"/>
    <w:rsid w:val="007E1AD5"/>
    <w:rsid w:val="007E26A8"/>
    <w:rsid w:val="007E29F8"/>
    <w:rsid w:val="007E2C2A"/>
    <w:rsid w:val="007E4470"/>
    <w:rsid w:val="007E4766"/>
    <w:rsid w:val="007E4B00"/>
    <w:rsid w:val="007E5674"/>
    <w:rsid w:val="007E59A8"/>
    <w:rsid w:val="007E6BC1"/>
    <w:rsid w:val="007E7755"/>
    <w:rsid w:val="007F02BC"/>
    <w:rsid w:val="007F1F0E"/>
    <w:rsid w:val="007F25E8"/>
    <w:rsid w:val="007F3797"/>
    <w:rsid w:val="007F772A"/>
    <w:rsid w:val="007F7AEE"/>
    <w:rsid w:val="0080128E"/>
    <w:rsid w:val="0080203A"/>
    <w:rsid w:val="00803883"/>
    <w:rsid w:val="00803C3D"/>
    <w:rsid w:val="0080477E"/>
    <w:rsid w:val="00807C42"/>
    <w:rsid w:val="00810502"/>
    <w:rsid w:val="0081103D"/>
    <w:rsid w:val="008111F6"/>
    <w:rsid w:val="00811920"/>
    <w:rsid w:val="00812D0B"/>
    <w:rsid w:val="00813796"/>
    <w:rsid w:val="00815175"/>
    <w:rsid w:val="00815853"/>
    <w:rsid w:val="00815911"/>
    <w:rsid w:val="00815C80"/>
    <w:rsid w:val="00817071"/>
    <w:rsid w:val="00817628"/>
    <w:rsid w:val="0082199B"/>
    <w:rsid w:val="0082215C"/>
    <w:rsid w:val="00822E3A"/>
    <w:rsid w:val="00823B25"/>
    <w:rsid w:val="0082449A"/>
    <w:rsid w:val="00824CEC"/>
    <w:rsid w:val="00825248"/>
    <w:rsid w:val="00825F4E"/>
    <w:rsid w:val="00827806"/>
    <w:rsid w:val="0082782F"/>
    <w:rsid w:val="00830896"/>
    <w:rsid w:val="00831C42"/>
    <w:rsid w:val="00831F79"/>
    <w:rsid w:val="00832298"/>
    <w:rsid w:val="00835107"/>
    <w:rsid w:val="008351F5"/>
    <w:rsid w:val="00835C51"/>
    <w:rsid w:val="00836487"/>
    <w:rsid w:val="00836C7E"/>
    <w:rsid w:val="008379C4"/>
    <w:rsid w:val="00840B24"/>
    <w:rsid w:val="00840C03"/>
    <w:rsid w:val="00840DC7"/>
    <w:rsid w:val="00840EC3"/>
    <w:rsid w:val="008416B5"/>
    <w:rsid w:val="008432B6"/>
    <w:rsid w:val="0084353A"/>
    <w:rsid w:val="00846BC6"/>
    <w:rsid w:val="00847143"/>
    <w:rsid w:val="008527EF"/>
    <w:rsid w:val="008529E9"/>
    <w:rsid w:val="00853456"/>
    <w:rsid w:val="0085404D"/>
    <w:rsid w:val="008558CD"/>
    <w:rsid w:val="00856409"/>
    <w:rsid w:val="00857D25"/>
    <w:rsid w:val="008603DD"/>
    <w:rsid w:val="008603F0"/>
    <w:rsid w:val="00860FDE"/>
    <w:rsid w:val="00861209"/>
    <w:rsid w:val="00862841"/>
    <w:rsid w:val="00862B75"/>
    <w:rsid w:val="00862BC4"/>
    <w:rsid w:val="008635B2"/>
    <w:rsid w:val="008640CE"/>
    <w:rsid w:val="00864308"/>
    <w:rsid w:val="008643A9"/>
    <w:rsid w:val="0086514B"/>
    <w:rsid w:val="00865255"/>
    <w:rsid w:val="008661B8"/>
    <w:rsid w:val="00867BA4"/>
    <w:rsid w:val="008714D3"/>
    <w:rsid w:val="0087203E"/>
    <w:rsid w:val="00872634"/>
    <w:rsid w:val="00872986"/>
    <w:rsid w:val="00873F80"/>
    <w:rsid w:val="00874CD4"/>
    <w:rsid w:val="008753CD"/>
    <w:rsid w:val="00875974"/>
    <w:rsid w:val="00875DB9"/>
    <w:rsid w:val="00876225"/>
    <w:rsid w:val="008811E9"/>
    <w:rsid w:val="00885AAF"/>
    <w:rsid w:val="00885D94"/>
    <w:rsid w:val="008866D3"/>
    <w:rsid w:val="008903C4"/>
    <w:rsid w:val="00891FD9"/>
    <w:rsid w:val="008931D5"/>
    <w:rsid w:val="0089327F"/>
    <w:rsid w:val="00893F80"/>
    <w:rsid w:val="00894C50"/>
    <w:rsid w:val="00895060"/>
    <w:rsid w:val="00895CFC"/>
    <w:rsid w:val="0089624F"/>
    <w:rsid w:val="00896C4D"/>
    <w:rsid w:val="008A0049"/>
    <w:rsid w:val="008A0768"/>
    <w:rsid w:val="008A37BB"/>
    <w:rsid w:val="008A3840"/>
    <w:rsid w:val="008A468B"/>
    <w:rsid w:val="008A5BDA"/>
    <w:rsid w:val="008A679E"/>
    <w:rsid w:val="008A7C81"/>
    <w:rsid w:val="008A7E29"/>
    <w:rsid w:val="008B03BF"/>
    <w:rsid w:val="008B044D"/>
    <w:rsid w:val="008B1365"/>
    <w:rsid w:val="008B24AA"/>
    <w:rsid w:val="008B2F33"/>
    <w:rsid w:val="008B3822"/>
    <w:rsid w:val="008B3E96"/>
    <w:rsid w:val="008B4307"/>
    <w:rsid w:val="008B45B3"/>
    <w:rsid w:val="008B46FD"/>
    <w:rsid w:val="008B5337"/>
    <w:rsid w:val="008B5740"/>
    <w:rsid w:val="008B7556"/>
    <w:rsid w:val="008B7F61"/>
    <w:rsid w:val="008C22DE"/>
    <w:rsid w:val="008C356F"/>
    <w:rsid w:val="008C47FF"/>
    <w:rsid w:val="008C69B9"/>
    <w:rsid w:val="008D1175"/>
    <w:rsid w:val="008D14CA"/>
    <w:rsid w:val="008D24DB"/>
    <w:rsid w:val="008D5630"/>
    <w:rsid w:val="008D5757"/>
    <w:rsid w:val="008D639C"/>
    <w:rsid w:val="008E1011"/>
    <w:rsid w:val="008E27FF"/>
    <w:rsid w:val="008E2DEA"/>
    <w:rsid w:val="008E30D7"/>
    <w:rsid w:val="008E3B0D"/>
    <w:rsid w:val="008E5008"/>
    <w:rsid w:val="008E5164"/>
    <w:rsid w:val="008E65CD"/>
    <w:rsid w:val="008E7FA0"/>
    <w:rsid w:val="008F32FC"/>
    <w:rsid w:val="008F374C"/>
    <w:rsid w:val="008F54FC"/>
    <w:rsid w:val="008F5D33"/>
    <w:rsid w:val="0090005D"/>
    <w:rsid w:val="00902437"/>
    <w:rsid w:val="00903152"/>
    <w:rsid w:val="0090360C"/>
    <w:rsid w:val="00907566"/>
    <w:rsid w:val="00910603"/>
    <w:rsid w:val="009113EA"/>
    <w:rsid w:val="00914153"/>
    <w:rsid w:val="00914DE1"/>
    <w:rsid w:val="009167E6"/>
    <w:rsid w:val="00916CE3"/>
    <w:rsid w:val="00917971"/>
    <w:rsid w:val="009207ED"/>
    <w:rsid w:val="00920A44"/>
    <w:rsid w:val="009217BD"/>
    <w:rsid w:val="00925359"/>
    <w:rsid w:val="00926077"/>
    <w:rsid w:val="00930A32"/>
    <w:rsid w:val="00930B8A"/>
    <w:rsid w:val="0093437A"/>
    <w:rsid w:val="00935214"/>
    <w:rsid w:val="009364B1"/>
    <w:rsid w:val="009407EC"/>
    <w:rsid w:val="00940861"/>
    <w:rsid w:val="00940F15"/>
    <w:rsid w:val="00942461"/>
    <w:rsid w:val="009424E5"/>
    <w:rsid w:val="00942B57"/>
    <w:rsid w:val="009438E7"/>
    <w:rsid w:val="00947978"/>
    <w:rsid w:val="00947ABF"/>
    <w:rsid w:val="00947F02"/>
    <w:rsid w:val="009507F0"/>
    <w:rsid w:val="00951C07"/>
    <w:rsid w:val="00951DED"/>
    <w:rsid w:val="00952808"/>
    <w:rsid w:val="009528AA"/>
    <w:rsid w:val="00954B00"/>
    <w:rsid w:val="00956810"/>
    <w:rsid w:val="0095682C"/>
    <w:rsid w:val="0095746F"/>
    <w:rsid w:val="009613E4"/>
    <w:rsid w:val="00961550"/>
    <w:rsid w:val="009624C3"/>
    <w:rsid w:val="00964368"/>
    <w:rsid w:val="009645EE"/>
    <w:rsid w:val="00964A04"/>
    <w:rsid w:val="00964A56"/>
    <w:rsid w:val="00967957"/>
    <w:rsid w:val="00967A25"/>
    <w:rsid w:val="00970637"/>
    <w:rsid w:val="00970FF7"/>
    <w:rsid w:val="009713FA"/>
    <w:rsid w:val="009722AB"/>
    <w:rsid w:val="009728B3"/>
    <w:rsid w:val="00973CFD"/>
    <w:rsid w:val="00974453"/>
    <w:rsid w:val="0097454E"/>
    <w:rsid w:val="00975048"/>
    <w:rsid w:val="00975FC6"/>
    <w:rsid w:val="00977824"/>
    <w:rsid w:val="0097786F"/>
    <w:rsid w:val="009778FD"/>
    <w:rsid w:val="00977B76"/>
    <w:rsid w:val="00981A64"/>
    <w:rsid w:val="00982B1C"/>
    <w:rsid w:val="009850DC"/>
    <w:rsid w:val="009851B4"/>
    <w:rsid w:val="009852E7"/>
    <w:rsid w:val="009859D6"/>
    <w:rsid w:val="009871BB"/>
    <w:rsid w:val="009873D6"/>
    <w:rsid w:val="00990CDF"/>
    <w:rsid w:val="00994288"/>
    <w:rsid w:val="00994563"/>
    <w:rsid w:val="0099476A"/>
    <w:rsid w:val="009953C8"/>
    <w:rsid w:val="009959D0"/>
    <w:rsid w:val="00995F74"/>
    <w:rsid w:val="009961AD"/>
    <w:rsid w:val="00996238"/>
    <w:rsid w:val="00996BB8"/>
    <w:rsid w:val="00997C1E"/>
    <w:rsid w:val="009A10AC"/>
    <w:rsid w:val="009A1DDB"/>
    <w:rsid w:val="009A1E64"/>
    <w:rsid w:val="009A1E82"/>
    <w:rsid w:val="009A2353"/>
    <w:rsid w:val="009A237F"/>
    <w:rsid w:val="009A293B"/>
    <w:rsid w:val="009A393B"/>
    <w:rsid w:val="009A4D4C"/>
    <w:rsid w:val="009A5EFD"/>
    <w:rsid w:val="009A69F2"/>
    <w:rsid w:val="009A7781"/>
    <w:rsid w:val="009B068F"/>
    <w:rsid w:val="009B0ADE"/>
    <w:rsid w:val="009B1186"/>
    <w:rsid w:val="009B1A91"/>
    <w:rsid w:val="009B1CC4"/>
    <w:rsid w:val="009B1FBA"/>
    <w:rsid w:val="009B204F"/>
    <w:rsid w:val="009B2E08"/>
    <w:rsid w:val="009B4EF9"/>
    <w:rsid w:val="009B53E3"/>
    <w:rsid w:val="009B6E2E"/>
    <w:rsid w:val="009B7AC2"/>
    <w:rsid w:val="009C0C12"/>
    <w:rsid w:val="009C3410"/>
    <w:rsid w:val="009C3991"/>
    <w:rsid w:val="009C46D5"/>
    <w:rsid w:val="009C4B35"/>
    <w:rsid w:val="009C5FEB"/>
    <w:rsid w:val="009C638B"/>
    <w:rsid w:val="009C75E4"/>
    <w:rsid w:val="009C78F4"/>
    <w:rsid w:val="009C7A64"/>
    <w:rsid w:val="009C7DB8"/>
    <w:rsid w:val="009D0074"/>
    <w:rsid w:val="009D34E5"/>
    <w:rsid w:val="009D3FDE"/>
    <w:rsid w:val="009D54A4"/>
    <w:rsid w:val="009D6C46"/>
    <w:rsid w:val="009E0A5E"/>
    <w:rsid w:val="009E0D11"/>
    <w:rsid w:val="009E1722"/>
    <w:rsid w:val="009E192B"/>
    <w:rsid w:val="009E1AF2"/>
    <w:rsid w:val="009E1D52"/>
    <w:rsid w:val="009E1F2C"/>
    <w:rsid w:val="009E4DBD"/>
    <w:rsid w:val="009E5707"/>
    <w:rsid w:val="009E7019"/>
    <w:rsid w:val="009E706A"/>
    <w:rsid w:val="009E7116"/>
    <w:rsid w:val="009F031F"/>
    <w:rsid w:val="009F1A2E"/>
    <w:rsid w:val="009F1D4E"/>
    <w:rsid w:val="009F2A6E"/>
    <w:rsid w:val="009F4EF6"/>
    <w:rsid w:val="009F53A9"/>
    <w:rsid w:val="009F6AED"/>
    <w:rsid w:val="00A00A4F"/>
    <w:rsid w:val="00A00C22"/>
    <w:rsid w:val="00A00C75"/>
    <w:rsid w:val="00A018C2"/>
    <w:rsid w:val="00A04167"/>
    <w:rsid w:val="00A05762"/>
    <w:rsid w:val="00A07E64"/>
    <w:rsid w:val="00A10E28"/>
    <w:rsid w:val="00A11B3C"/>
    <w:rsid w:val="00A11F63"/>
    <w:rsid w:val="00A1202D"/>
    <w:rsid w:val="00A13DE0"/>
    <w:rsid w:val="00A13F01"/>
    <w:rsid w:val="00A14770"/>
    <w:rsid w:val="00A159E0"/>
    <w:rsid w:val="00A15B9B"/>
    <w:rsid w:val="00A1701F"/>
    <w:rsid w:val="00A22BB2"/>
    <w:rsid w:val="00A22E4E"/>
    <w:rsid w:val="00A23FDC"/>
    <w:rsid w:val="00A272C8"/>
    <w:rsid w:val="00A279E2"/>
    <w:rsid w:val="00A30168"/>
    <w:rsid w:val="00A30729"/>
    <w:rsid w:val="00A30AD4"/>
    <w:rsid w:val="00A30E28"/>
    <w:rsid w:val="00A313E9"/>
    <w:rsid w:val="00A32A74"/>
    <w:rsid w:val="00A33A80"/>
    <w:rsid w:val="00A341CD"/>
    <w:rsid w:val="00A35260"/>
    <w:rsid w:val="00A3775F"/>
    <w:rsid w:val="00A37AB4"/>
    <w:rsid w:val="00A40932"/>
    <w:rsid w:val="00A413F0"/>
    <w:rsid w:val="00A41BEC"/>
    <w:rsid w:val="00A43A8B"/>
    <w:rsid w:val="00A43EBC"/>
    <w:rsid w:val="00A44C95"/>
    <w:rsid w:val="00A45216"/>
    <w:rsid w:val="00A45253"/>
    <w:rsid w:val="00A45CF1"/>
    <w:rsid w:val="00A4712B"/>
    <w:rsid w:val="00A47971"/>
    <w:rsid w:val="00A47BDA"/>
    <w:rsid w:val="00A50894"/>
    <w:rsid w:val="00A51484"/>
    <w:rsid w:val="00A5192A"/>
    <w:rsid w:val="00A52498"/>
    <w:rsid w:val="00A5298A"/>
    <w:rsid w:val="00A52F48"/>
    <w:rsid w:val="00A5340F"/>
    <w:rsid w:val="00A54495"/>
    <w:rsid w:val="00A54AAF"/>
    <w:rsid w:val="00A56B92"/>
    <w:rsid w:val="00A57042"/>
    <w:rsid w:val="00A6237C"/>
    <w:rsid w:val="00A632F8"/>
    <w:rsid w:val="00A63AE3"/>
    <w:rsid w:val="00A63B3E"/>
    <w:rsid w:val="00A6422E"/>
    <w:rsid w:val="00A6423C"/>
    <w:rsid w:val="00A653B4"/>
    <w:rsid w:val="00A658F4"/>
    <w:rsid w:val="00A660F9"/>
    <w:rsid w:val="00A7038D"/>
    <w:rsid w:val="00A70885"/>
    <w:rsid w:val="00A71BDF"/>
    <w:rsid w:val="00A728A4"/>
    <w:rsid w:val="00A7376C"/>
    <w:rsid w:val="00A7482B"/>
    <w:rsid w:val="00A76A11"/>
    <w:rsid w:val="00A76D62"/>
    <w:rsid w:val="00A77704"/>
    <w:rsid w:val="00A80703"/>
    <w:rsid w:val="00A8285D"/>
    <w:rsid w:val="00A85103"/>
    <w:rsid w:val="00A85614"/>
    <w:rsid w:val="00A873BD"/>
    <w:rsid w:val="00A875E5"/>
    <w:rsid w:val="00A9016E"/>
    <w:rsid w:val="00A903EE"/>
    <w:rsid w:val="00A906C3"/>
    <w:rsid w:val="00A92FD4"/>
    <w:rsid w:val="00A93457"/>
    <w:rsid w:val="00A93909"/>
    <w:rsid w:val="00A9559B"/>
    <w:rsid w:val="00A95956"/>
    <w:rsid w:val="00A95CC8"/>
    <w:rsid w:val="00A97542"/>
    <w:rsid w:val="00A978DD"/>
    <w:rsid w:val="00A97C8B"/>
    <w:rsid w:val="00A97D7F"/>
    <w:rsid w:val="00AA06D1"/>
    <w:rsid w:val="00AA13C4"/>
    <w:rsid w:val="00AA14A7"/>
    <w:rsid w:val="00AA18BF"/>
    <w:rsid w:val="00AA2C50"/>
    <w:rsid w:val="00AA2F3F"/>
    <w:rsid w:val="00AA34A4"/>
    <w:rsid w:val="00AA35BD"/>
    <w:rsid w:val="00AA3BAF"/>
    <w:rsid w:val="00AA4614"/>
    <w:rsid w:val="00AA461F"/>
    <w:rsid w:val="00AA6349"/>
    <w:rsid w:val="00AA67C4"/>
    <w:rsid w:val="00AA7F5E"/>
    <w:rsid w:val="00AB0341"/>
    <w:rsid w:val="00AB03B8"/>
    <w:rsid w:val="00AB21BB"/>
    <w:rsid w:val="00AB2F8C"/>
    <w:rsid w:val="00AB35E9"/>
    <w:rsid w:val="00AB53B8"/>
    <w:rsid w:val="00AB5906"/>
    <w:rsid w:val="00AB79A4"/>
    <w:rsid w:val="00AC00D1"/>
    <w:rsid w:val="00AC0DF0"/>
    <w:rsid w:val="00AC2473"/>
    <w:rsid w:val="00AC3203"/>
    <w:rsid w:val="00AC37DB"/>
    <w:rsid w:val="00AC4297"/>
    <w:rsid w:val="00AC430A"/>
    <w:rsid w:val="00AC4B89"/>
    <w:rsid w:val="00AC58E9"/>
    <w:rsid w:val="00AC64A5"/>
    <w:rsid w:val="00AC6636"/>
    <w:rsid w:val="00AC6763"/>
    <w:rsid w:val="00AD07FA"/>
    <w:rsid w:val="00AD12E6"/>
    <w:rsid w:val="00AD13E4"/>
    <w:rsid w:val="00AD2283"/>
    <w:rsid w:val="00AD2BE5"/>
    <w:rsid w:val="00AD317F"/>
    <w:rsid w:val="00AD4629"/>
    <w:rsid w:val="00AD4EC2"/>
    <w:rsid w:val="00AD5C8B"/>
    <w:rsid w:val="00AD5F8B"/>
    <w:rsid w:val="00AD6949"/>
    <w:rsid w:val="00AD7420"/>
    <w:rsid w:val="00AD7E1D"/>
    <w:rsid w:val="00AE1D92"/>
    <w:rsid w:val="00AE1E04"/>
    <w:rsid w:val="00AE4167"/>
    <w:rsid w:val="00AE4329"/>
    <w:rsid w:val="00AE45C1"/>
    <w:rsid w:val="00AE4628"/>
    <w:rsid w:val="00AE6C6E"/>
    <w:rsid w:val="00AF1A68"/>
    <w:rsid w:val="00AF7935"/>
    <w:rsid w:val="00B00653"/>
    <w:rsid w:val="00B0265E"/>
    <w:rsid w:val="00B055B7"/>
    <w:rsid w:val="00B05FE7"/>
    <w:rsid w:val="00B06062"/>
    <w:rsid w:val="00B068DE"/>
    <w:rsid w:val="00B06CA8"/>
    <w:rsid w:val="00B12652"/>
    <w:rsid w:val="00B14164"/>
    <w:rsid w:val="00B15AE7"/>
    <w:rsid w:val="00B167D8"/>
    <w:rsid w:val="00B22465"/>
    <w:rsid w:val="00B22CCD"/>
    <w:rsid w:val="00B23837"/>
    <w:rsid w:val="00B25BB0"/>
    <w:rsid w:val="00B265B5"/>
    <w:rsid w:val="00B26682"/>
    <w:rsid w:val="00B26B9A"/>
    <w:rsid w:val="00B273C2"/>
    <w:rsid w:val="00B307F2"/>
    <w:rsid w:val="00B31524"/>
    <w:rsid w:val="00B3259C"/>
    <w:rsid w:val="00B351E6"/>
    <w:rsid w:val="00B35339"/>
    <w:rsid w:val="00B36396"/>
    <w:rsid w:val="00B36BAA"/>
    <w:rsid w:val="00B37C3A"/>
    <w:rsid w:val="00B42439"/>
    <w:rsid w:val="00B42A77"/>
    <w:rsid w:val="00B433CC"/>
    <w:rsid w:val="00B435E5"/>
    <w:rsid w:val="00B43AA0"/>
    <w:rsid w:val="00B44C6A"/>
    <w:rsid w:val="00B45494"/>
    <w:rsid w:val="00B4591B"/>
    <w:rsid w:val="00B45B5C"/>
    <w:rsid w:val="00B47086"/>
    <w:rsid w:val="00B479F4"/>
    <w:rsid w:val="00B47A56"/>
    <w:rsid w:val="00B500CA"/>
    <w:rsid w:val="00B509DA"/>
    <w:rsid w:val="00B547D4"/>
    <w:rsid w:val="00B54AD9"/>
    <w:rsid w:val="00B56EEC"/>
    <w:rsid w:val="00B571DE"/>
    <w:rsid w:val="00B60528"/>
    <w:rsid w:val="00B63DA1"/>
    <w:rsid w:val="00B645BF"/>
    <w:rsid w:val="00B67197"/>
    <w:rsid w:val="00B7183F"/>
    <w:rsid w:val="00B7531F"/>
    <w:rsid w:val="00B76F42"/>
    <w:rsid w:val="00B76FDD"/>
    <w:rsid w:val="00B7706C"/>
    <w:rsid w:val="00B77E53"/>
    <w:rsid w:val="00B802CF"/>
    <w:rsid w:val="00B80691"/>
    <w:rsid w:val="00B81BBC"/>
    <w:rsid w:val="00B83D76"/>
    <w:rsid w:val="00B83DB0"/>
    <w:rsid w:val="00B83E67"/>
    <w:rsid w:val="00B85129"/>
    <w:rsid w:val="00B855E6"/>
    <w:rsid w:val="00B865D8"/>
    <w:rsid w:val="00B87551"/>
    <w:rsid w:val="00B87645"/>
    <w:rsid w:val="00B90EC2"/>
    <w:rsid w:val="00B91C5E"/>
    <w:rsid w:val="00B930CA"/>
    <w:rsid w:val="00B935E4"/>
    <w:rsid w:val="00B939AE"/>
    <w:rsid w:val="00B94532"/>
    <w:rsid w:val="00B9513D"/>
    <w:rsid w:val="00B95D6C"/>
    <w:rsid w:val="00B96AD6"/>
    <w:rsid w:val="00B97DA6"/>
    <w:rsid w:val="00BA17FA"/>
    <w:rsid w:val="00BA2148"/>
    <w:rsid w:val="00BA39FD"/>
    <w:rsid w:val="00BA5E3E"/>
    <w:rsid w:val="00BA6C87"/>
    <w:rsid w:val="00BA7084"/>
    <w:rsid w:val="00BA73AC"/>
    <w:rsid w:val="00BA7AEF"/>
    <w:rsid w:val="00BA7BBE"/>
    <w:rsid w:val="00BB0218"/>
    <w:rsid w:val="00BB115E"/>
    <w:rsid w:val="00BB151A"/>
    <w:rsid w:val="00BB1F86"/>
    <w:rsid w:val="00BB2BED"/>
    <w:rsid w:val="00BB3E48"/>
    <w:rsid w:val="00BB5EC5"/>
    <w:rsid w:val="00BC171B"/>
    <w:rsid w:val="00BC302D"/>
    <w:rsid w:val="00BC5296"/>
    <w:rsid w:val="00BC6C04"/>
    <w:rsid w:val="00BD1130"/>
    <w:rsid w:val="00BD17B5"/>
    <w:rsid w:val="00BD1B23"/>
    <w:rsid w:val="00BD23B6"/>
    <w:rsid w:val="00BD3A43"/>
    <w:rsid w:val="00BD442F"/>
    <w:rsid w:val="00BD54E6"/>
    <w:rsid w:val="00BD6496"/>
    <w:rsid w:val="00BD7187"/>
    <w:rsid w:val="00BD74F3"/>
    <w:rsid w:val="00BD764D"/>
    <w:rsid w:val="00BD7EC6"/>
    <w:rsid w:val="00BE20BD"/>
    <w:rsid w:val="00BE2400"/>
    <w:rsid w:val="00BE2D3E"/>
    <w:rsid w:val="00BE34FF"/>
    <w:rsid w:val="00BE4775"/>
    <w:rsid w:val="00BE4E87"/>
    <w:rsid w:val="00BE65AB"/>
    <w:rsid w:val="00BE7F5F"/>
    <w:rsid w:val="00BF0569"/>
    <w:rsid w:val="00BF0647"/>
    <w:rsid w:val="00BF0A9B"/>
    <w:rsid w:val="00BF0AA6"/>
    <w:rsid w:val="00BF0EF8"/>
    <w:rsid w:val="00BF17C4"/>
    <w:rsid w:val="00BF1998"/>
    <w:rsid w:val="00BF2771"/>
    <w:rsid w:val="00BF3395"/>
    <w:rsid w:val="00BF53BE"/>
    <w:rsid w:val="00BF5FB4"/>
    <w:rsid w:val="00BF5FBD"/>
    <w:rsid w:val="00BF6CB8"/>
    <w:rsid w:val="00BF6FB5"/>
    <w:rsid w:val="00BF7DB0"/>
    <w:rsid w:val="00C001D0"/>
    <w:rsid w:val="00C01C40"/>
    <w:rsid w:val="00C01C83"/>
    <w:rsid w:val="00C03120"/>
    <w:rsid w:val="00C03D45"/>
    <w:rsid w:val="00C04A43"/>
    <w:rsid w:val="00C04E08"/>
    <w:rsid w:val="00C111E5"/>
    <w:rsid w:val="00C11E52"/>
    <w:rsid w:val="00C124E6"/>
    <w:rsid w:val="00C13538"/>
    <w:rsid w:val="00C13961"/>
    <w:rsid w:val="00C139D8"/>
    <w:rsid w:val="00C143BE"/>
    <w:rsid w:val="00C14CC5"/>
    <w:rsid w:val="00C1683E"/>
    <w:rsid w:val="00C170E6"/>
    <w:rsid w:val="00C171A9"/>
    <w:rsid w:val="00C17FE4"/>
    <w:rsid w:val="00C203BD"/>
    <w:rsid w:val="00C213A0"/>
    <w:rsid w:val="00C227B7"/>
    <w:rsid w:val="00C22B56"/>
    <w:rsid w:val="00C22D58"/>
    <w:rsid w:val="00C23B35"/>
    <w:rsid w:val="00C24490"/>
    <w:rsid w:val="00C26499"/>
    <w:rsid w:val="00C3239B"/>
    <w:rsid w:val="00C329FB"/>
    <w:rsid w:val="00C3314B"/>
    <w:rsid w:val="00C35C72"/>
    <w:rsid w:val="00C3685D"/>
    <w:rsid w:val="00C37551"/>
    <w:rsid w:val="00C378D4"/>
    <w:rsid w:val="00C4022A"/>
    <w:rsid w:val="00C42279"/>
    <w:rsid w:val="00C42E4A"/>
    <w:rsid w:val="00C45F86"/>
    <w:rsid w:val="00C46A17"/>
    <w:rsid w:val="00C46D37"/>
    <w:rsid w:val="00C47039"/>
    <w:rsid w:val="00C4778A"/>
    <w:rsid w:val="00C47E2A"/>
    <w:rsid w:val="00C50140"/>
    <w:rsid w:val="00C5062B"/>
    <w:rsid w:val="00C50F03"/>
    <w:rsid w:val="00C51D0A"/>
    <w:rsid w:val="00C52F20"/>
    <w:rsid w:val="00C530C1"/>
    <w:rsid w:val="00C54551"/>
    <w:rsid w:val="00C571FD"/>
    <w:rsid w:val="00C57FA1"/>
    <w:rsid w:val="00C6121B"/>
    <w:rsid w:val="00C616F0"/>
    <w:rsid w:val="00C61823"/>
    <w:rsid w:val="00C624AC"/>
    <w:rsid w:val="00C62BCF"/>
    <w:rsid w:val="00C63921"/>
    <w:rsid w:val="00C63D33"/>
    <w:rsid w:val="00C64588"/>
    <w:rsid w:val="00C651A2"/>
    <w:rsid w:val="00C66923"/>
    <w:rsid w:val="00C67E66"/>
    <w:rsid w:val="00C70D20"/>
    <w:rsid w:val="00C710E9"/>
    <w:rsid w:val="00C74E55"/>
    <w:rsid w:val="00C75A5A"/>
    <w:rsid w:val="00C76012"/>
    <w:rsid w:val="00C761F6"/>
    <w:rsid w:val="00C8030A"/>
    <w:rsid w:val="00C81614"/>
    <w:rsid w:val="00C81DA2"/>
    <w:rsid w:val="00C83F15"/>
    <w:rsid w:val="00C848E0"/>
    <w:rsid w:val="00C8494C"/>
    <w:rsid w:val="00C86B89"/>
    <w:rsid w:val="00C87934"/>
    <w:rsid w:val="00C9054E"/>
    <w:rsid w:val="00C906DD"/>
    <w:rsid w:val="00C90E2D"/>
    <w:rsid w:val="00C915DF"/>
    <w:rsid w:val="00C9289D"/>
    <w:rsid w:val="00C93A4B"/>
    <w:rsid w:val="00C9497E"/>
    <w:rsid w:val="00C94FBE"/>
    <w:rsid w:val="00C9751F"/>
    <w:rsid w:val="00CA2976"/>
    <w:rsid w:val="00CA3446"/>
    <w:rsid w:val="00CA5A3B"/>
    <w:rsid w:val="00CA600A"/>
    <w:rsid w:val="00CA6557"/>
    <w:rsid w:val="00CA72FD"/>
    <w:rsid w:val="00CB0A18"/>
    <w:rsid w:val="00CB0B2B"/>
    <w:rsid w:val="00CB0D73"/>
    <w:rsid w:val="00CB1361"/>
    <w:rsid w:val="00CB1FC7"/>
    <w:rsid w:val="00CB244A"/>
    <w:rsid w:val="00CB248B"/>
    <w:rsid w:val="00CB27EC"/>
    <w:rsid w:val="00CB3016"/>
    <w:rsid w:val="00CB30BE"/>
    <w:rsid w:val="00CB4188"/>
    <w:rsid w:val="00CB41EE"/>
    <w:rsid w:val="00CB46D6"/>
    <w:rsid w:val="00CB5F8B"/>
    <w:rsid w:val="00CB7941"/>
    <w:rsid w:val="00CC1314"/>
    <w:rsid w:val="00CC1FCD"/>
    <w:rsid w:val="00CC226F"/>
    <w:rsid w:val="00CC4F89"/>
    <w:rsid w:val="00CD0105"/>
    <w:rsid w:val="00CD0121"/>
    <w:rsid w:val="00CD0DF3"/>
    <w:rsid w:val="00CD10EC"/>
    <w:rsid w:val="00CD1171"/>
    <w:rsid w:val="00CD1863"/>
    <w:rsid w:val="00CD1C46"/>
    <w:rsid w:val="00CD1D20"/>
    <w:rsid w:val="00CD2E30"/>
    <w:rsid w:val="00CD3620"/>
    <w:rsid w:val="00CD3E7C"/>
    <w:rsid w:val="00CD4814"/>
    <w:rsid w:val="00CD5175"/>
    <w:rsid w:val="00CD5C47"/>
    <w:rsid w:val="00CD621A"/>
    <w:rsid w:val="00CD6950"/>
    <w:rsid w:val="00CD7399"/>
    <w:rsid w:val="00CD766E"/>
    <w:rsid w:val="00CD7700"/>
    <w:rsid w:val="00CE05CE"/>
    <w:rsid w:val="00CE0FC3"/>
    <w:rsid w:val="00CE134E"/>
    <w:rsid w:val="00CE32A2"/>
    <w:rsid w:val="00CE5B00"/>
    <w:rsid w:val="00CE6768"/>
    <w:rsid w:val="00CE69A4"/>
    <w:rsid w:val="00CE6ACD"/>
    <w:rsid w:val="00CE751D"/>
    <w:rsid w:val="00CE772D"/>
    <w:rsid w:val="00CF107B"/>
    <w:rsid w:val="00CF3044"/>
    <w:rsid w:val="00CF326E"/>
    <w:rsid w:val="00CF3462"/>
    <w:rsid w:val="00CF4B8E"/>
    <w:rsid w:val="00CF4FDF"/>
    <w:rsid w:val="00CF5ED0"/>
    <w:rsid w:val="00CF65A4"/>
    <w:rsid w:val="00CF7319"/>
    <w:rsid w:val="00CF794A"/>
    <w:rsid w:val="00CF79C2"/>
    <w:rsid w:val="00CF7BBC"/>
    <w:rsid w:val="00CF7FB8"/>
    <w:rsid w:val="00D0112F"/>
    <w:rsid w:val="00D034F7"/>
    <w:rsid w:val="00D03517"/>
    <w:rsid w:val="00D04BB7"/>
    <w:rsid w:val="00D04FA3"/>
    <w:rsid w:val="00D052AF"/>
    <w:rsid w:val="00D052C1"/>
    <w:rsid w:val="00D104E6"/>
    <w:rsid w:val="00D10CC4"/>
    <w:rsid w:val="00D10CD0"/>
    <w:rsid w:val="00D13DA7"/>
    <w:rsid w:val="00D14E2E"/>
    <w:rsid w:val="00D16FA6"/>
    <w:rsid w:val="00D2056A"/>
    <w:rsid w:val="00D20E4B"/>
    <w:rsid w:val="00D221D9"/>
    <w:rsid w:val="00D25780"/>
    <w:rsid w:val="00D2579E"/>
    <w:rsid w:val="00D27545"/>
    <w:rsid w:val="00D27A6D"/>
    <w:rsid w:val="00D303EB"/>
    <w:rsid w:val="00D305A6"/>
    <w:rsid w:val="00D30952"/>
    <w:rsid w:val="00D309C6"/>
    <w:rsid w:val="00D31216"/>
    <w:rsid w:val="00D318E2"/>
    <w:rsid w:val="00D32492"/>
    <w:rsid w:val="00D33600"/>
    <w:rsid w:val="00D34F30"/>
    <w:rsid w:val="00D353C5"/>
    <w:rsid w:val="00D353DC"/>
    <w:rsid w:val="00D35FB4"/>
    <w:rsid w:val="00D3635E"/>
    <w:rsid w:val="00D3654A"/>
    <w:rsid w:val="00D36AF2"/>
    <w:rsid w:val="00D36DD6"/>
    <w:rsid w:val="00D3733C"/>
    <w:rsid w:val="00D37A0D"/>
    <w:rsid w:val="00D410D0"/>
    <w:rsid w:val="00D41B1B"/>
    <w:rsid w:val="00D42115"/>
    <w:rsid w:val="00D42779"/>
    <w:rsid w:val="00D43202"/>
    <w:rsid w:val="00D433E9"/>
    <w:rsid w:val="00D43795"/>
    <w:rsid w:val="00D4408A"/>
    <w:rsid w:val="00D44363"/>
    <w:rsid w:val="00D469DD"/>
    <w:rsid w:val="00D47B96"/>
    <w:rsid w:val="00D47CB2"/>
    <w:rsid w:val="00D520EC"/>
    <w:rsid w:val="00D539DE"/>
    <w:rsid w:val="00D53EA1"/>
    <w:rsid w:val="00D53FCF"/>
    <w:rsid w:val="00D5480D"/>
    <w:rsid w:val="00D5491B"/>
    <w:rsid w:val="00D55603"/>
    <w:rsid w:val="00D5647D"/>
    <w:rsid w:val="00D567FD"/>
    <w:rsid w:val="00D5702E"/>
    <w:rsid w:val="00D5786C"/>
    <w:rsid w:val="00D63112"/>
    <w:rsid w:val="00D638D6"/>
    <w:rsid w:val="00D64AFD"/>
    <w:rsid w:val="00D653B2"/>
    <w:rsid w:val="00D65ACA"/>
    <w:rsid w:val="00D66ACE"/>
    <w:rsid w:val="00D66C9E"/>
    <w:rsid w:val="00D71B0E"/>
    <w:rsid w:val="00D72157"/>
    <w:rsid w:val="00D722C8"/>
    <w:rsid w:val="00D72E72"/>
    <w:rsid w:val="00D7378C"/>
    <w:rsid w:val="00D738EC"/>
    <w:rsid w:val="00D75FCE"/>
    <w:rsid w:val="00D7666E"/>
    <w:rsid w:val="00D76C30"/>
    <w:rsid w:val="00D76D7D"/>
    <w:rsid w:val="00D7738C"/>
    <w:rsid w:val="00D777FA"/>
    <w:rsid w:val="00D777FD"/>
    <w:rsid w:val="00D8012D"/>
    <w:rsid w:val="00D80B35"/>
    <w:rsid w:val="00D8171C"/>
    <w:rsid w:val="00D8349C"/>
    <w:rsid w:val="00D84221"/>
    <w:rsid w:val="00D85E8B"/>
    <w:rsid w:val="00D91170"/>
    <w:rsid w:val="00D91DE8"/>
    <w:rsid w:val="00D94319"/>
    <w:rsid w:val="00D94CD0"/>
    <w:rsid w:val="00D95D7D"/>
    <w:rsid w:val="00D978F0"/>
    <w:rsid w:val="00DA014D"/>
    <w:rsid w:val="00DA1A2C"/>
    <w:rsid w:val="00DA286A"/>
    <w:rsid w:val="00DA3278"/>
    <w:rsid w:val="00DA4650"/>
    <w:rsid w:val="00DA4CB8"/>
    <w:rsid w:val="00DA5193"/>
    <w:rsid w:val="00DA565A"/>
    <w:rsid w:val="00DA7334"/>
    <w:rsid w:val="00DB0EA7"/>
    <w:rsid w:val="00DB1B1C"/>
    <w:rsid w:val="00DB384F"/>
    <w:rsid w:val="00DB451A"/>
    <w:rsid w:val="00DB649E"/>
    <w:rsid w:val="00DB7B97"/>
    <w:rsid w:val="00DB7D9B"/>
    <w:rsid w:val="00DC10BA"/>
    <w:rsid w:val="00DC1906"/>
    <w:rsid w:val="00DC1CFE"/>
    <w:rsid w:val="00DC1DC7"/>
    <w:rsid w:val="00DC25F8"/>
    <w:rsid w:val="00DC319B"/>
    <w:rsid w:val="00DC5F01"/>
    <w:rsid w:val="00DC5F11"/>
    <w:rsid w:val="00DC6633"/>
    <w:rsid w:val="00DC6CD0"/>
    <w:rsid w:val="00DC7084"/>
    <w:rsid w:val="00DD0227"/>
    <w:rsid w:val="00DD1585"/>
    <w:rsid w:val="00DD4242"/>
    <w:rsid w:val="00DD4472"/>
    <w:rsid w:val="00DD473E"/>
    <w:rsid w:val="00DE0A8A"/>
    <w:rsid w:val="00DE0C9E"/>
    <w:rsid w:val="00DE1E51"/>
    <w:rsid w:val="00DE1F4B"/>
    <w:rsid w:val="00DE3077"/>
    <w:rsid w:val="00DE3D40"/>
    <w:rsid w:val="00DE3FE4"/>
    <w:rsid w:val="00DE54AF"/>
    <w:rsid w:val="00DE54C7"/>
    <w:rsid w:val="00DE6702"/>
    <w:rsid w:val="00DE77D8"/>
    <w:rsid w:val="00DE7BDE"/>
    <w:rsid w:val="00DF0AF1"/>
    <w:rsid w:val="00DF12E9"/>
    <w:rsid w:val="00DF1392"/>
    <w:rsid w:val="00DF204B"/>
    <w:rsid w:val="00DF2BC4"/>
    <w:rsid w:val="00DF471B"/>
    <w:rsid w:val="00DF4938"/>
    <w:rsid w:val="00DF5192"/>
    <w:rsid w:val="00DF5C63"/>
    <w:rsid w:val="00DF627F"/>
    <w:rsid w:val="00DF742B"/>
    <w:rsid w:val="00DF74B1"/>
    <w:rsid w:val="00E0064F"/>
    <w:rsid w:val="00E0315C"/>
    <w:rsid w:val="00E03861"/>
    <w:rsid w:val="00E07AEB"/>
    <w:rsid w:val="00E1006D"/>
    <w:rsid w:val="00E112A0"/>
    <w:rsid w:val="00E11EF4"/>
    <w:rsid w:val="00E121E8"/>
    <w:rsid w:val="00E12471"/>
    <w:rsid w:val="00E12B47"/>
    <w:rsid w:val="00E14B68"/>
    <w:rsid w:val="00E14E7B"/>
    <w:rsid w:val="00E152A3"/>
    <w:rsid w:val="00E16423"/>
    <w:rsid w:val="00E16CCB"/>
    <w:rsid w:val="00E16DC9"/>
    <w:rsid w:val="00E20BD7"/>
    <w:rsid w:val="00E2114D"/>
    <w:rsid w:val="00E2226B"/>
    <w:rsid w:val="00E2232F"/>
    <w:rsid w:val="00E233CA"/>
    <w:rsid w:val="00E24485"/>
    <w:rsid w:val="00E27120"/>
    <w:rsid w:val="00E27813"/>
    <w:rsid w:val="00E3135D"/>
    <w:rsid w:val="00E32C64"/>
    <w:rsid w:val="00E33EBA"/>
    <w:rsid w:val="00E34313"/>
    <w:rsid w:val="00E34400"/>
    <w:rsid w:val="00E3589A"/>
    <w:rsid w:val="00E379BD"/>
    <w:rsid w:val="00E40DF1"/>
    <w:rsid w:val="00E415AB"/>
    <w:rsid w:val="00E42426"/>
    <w:rsid w:val="00E429B8"/>
    <w:rsid w:val="00E4479F"/>
    <w:rsid w:val="00E45B67"/>
    <w:rsid w:val="00E4740A"/>
    <w:rsid w:val="00E50089"/>
    <w:rsid w:val="00E50A12"/>
    <w:rsid w:val="00E52A05"/>
    <w:rsid w:val="00E52D32"/>
    <w:rsid w:val="00E53DD2"/>
    <w:rsid w:val="00E55350"/>
    <w:rsid w:val="00E55438"/>
    <w:rsid w:val="00E55F74"/>
    <w:rsid w:val="00E563D0"/>
    <w:rsid w:val="00E5747F"/>
    <w:rsid w:val="00E6114F"/>
    <w:rsid w:val="00E61C29"/>
    <w:rsid w:val="00E61E42"/>
    <w:rsid w:val="00E6260A"/>
    <w:rsid w:val="00E63AD3"/>
    <w:rsid w:val="00E67D9F"/>
    <w:rsid w:val="00E67DBA"/>
    <w:rsid w:val="00E7113E"/>
    <w:rsid w:val="00E725D8"/>
    <w:rsid w:val="00E72D57"/>
    <w:rsid w:val="00E7330C"/>
    <w:rsid w:val="00E735AA"/>
    <w:rsid w:val="00E7399B"/>
    <w:rsid w:val="00E7646B"/>
    <w:rsid w:val="00E778B3"/>
    <w:rsid w:val="00E77CC6"/>
    <w:rsid w:val="00E808A4"/>
    <w:rsid w:val="00E80ED0"/>
    <w:rsid w:val="00E82939"/>
    <w:rsid w:val="00E82A17"/>
    <w:rsid w:val="00E85D21"/>
    <w:rsid w:val="00E86653"/>
    <w:rsid w:val="00E9102B"/>
    <w:rsid w:val="00E91391"/>
    <w:rsid w:val="00E91B2A"/>
    <w:rsid w:val="00E937B9"/>
    <w:rsid w:val="00E948C4"/>
    <w:rsid w:val="00E97A38"/>
    <w:rsid w:val="00EA0D56"/>
    <w:rsid w:val="00EA2637"/>
    <w:rsid w:val="00EA3025"/>
    <w:rsid w:val="00EA48B2"/>
    <w:rsid w:val="00EA4B49"/>
    <w:rsid w:val="00EA5C81"/>
    <w:rsid w:val="00EA71D3"/>
    <w:rsid w:val="00EB293A"/>
    <w:rsid w:val="00EB4AD0"/>
    <w:rsid w:val="00EB60A1"/>
    <w:rsid w:val="00EB6205"/>
    <w:rsid w:val="00EC1175"/>
    <w:rsid w:val="00EC3C19"/>
    <w:rsid w:val="00EC6190"/>
    <w:rsid w:val="00EC794B"/>
    <w:rsid w:val="00EC7D13"/>
    <w:rsid w:val="00ED05A1"/>
    <w:rsid w:val="00ED0A95"/>
    <w:rsid w:val="00ED0EEE"/>
    <w:rsid w:val="00ED1D04"/>
    <w:rsid w:val="00ED30F2"/>
    <w:rsid w:val="00ED348A"/>
    <w:rsid w:val="00ED3A00"/>
    <w:rsid w:val="00ED4366"/>
    <w:rsid w:val="00ED44D7"/>
    <w:rsid w:val="00ED540A"/>
    <w:rsid w:val="00EE113F"/>
    <w:rsid w:val="00EE1979"/>
    <w:rsid w:val="00EE22B2"/>
    <w:rsid w:val="00EE2B94"/>
    <w:rsid w:val="00EE2EF2"/>
    <w:rsid w:val="00EE5675"/>
    <w:rsid w:val="00EE7053"/>
    <w:rsid w:val="00EE730A"/>
    <w:rsid w:val="00EE7C3F"/>
    <w:rsid w:val="00EE7F3E"/>
    <w:rsid w:val="00EF0AC2"/>
    <w:rsid w:val="00EF0BA4"/>
    <w:rsid w:val="00EF0E56"/>
    <w:rsid w:val="00EF252D"/>
    <w:rsid w:val="00EF3D1D"/>
    <w:rsid w:val="00EF55CD"/>
    <w:rsid w:val="00EF63C1"/>
    <w:rsid w:val="00EF66CE"/>
    <w:rsid w:val="00EF6F99"/>
    <w:rsid w:val="00EF7CF4"/>
    <w:rsid w:val="00F0052B"/>
    <w:rsid w:val="00F01825"/>
    <w:rsid w:val="00F057AF"/>
    <w:rsid w:val="00F05C54"/>
    <w:rsid w:val="00F060F3"/>
    <w:rsid w:val="00F06BE5"/>
    <w:rsid w:val="00F0709D"/>
    <w:rsid w:val="00F07D0C"/>
    <w:rsid w:val="00F10843"/>
    <w:rsid w:val="00F134BC"/>
    <w:rsid w:val="00F13D18"/>
    <w:rsid w:val="00F168F6"/>
    <w:rsid w:val="00F20DCA"/>
    <w:rsid w:val="00F20ED9"/>
    <w:rsid w:val="00F23577"/>
    <w:rsid w:val="00F235B2"/>
    <w:rsid w:val="00F249B7"/>
    <w:rsid w:val="00F262CF"/>
    <w:rsid w:val="00F27354"/>
    <w:rsid w:val="00F27F10"/>
    <w:rsid w:val="00F27F5B"/>
    <w:rsid w:val="00F301B7"/>
    <w:rsid w:val="00F313EB"/>
    <w:rsid w:val="00F31C8E"/>
    <w:rsid w:val="00F31CBF"/>
    <w:rsid w:val="00F32157"/>
    <w:rsid w:val="00F32348"/>
    <w:rsid w:val="00F337AF"/>
    <w:rsid w:val="00F33B83"/>
    <w:rsid w:val="00F341B5"/>
    <w:rsid w:val="00F3569D"/>
    <w:rsid w:val="00F36221"/>
    <w:rsid w:val="00F36939"/>
    <w:rsid w:val="00F36EA6"/>
    <w:rsid w:val="00F37E23"/>
    <w:rsid w:val="00F40E6D"/>
    <w:rsid w:val="00F42177"/>
    <w:rsid w:val="00F43DAB"/>
    <w:rsid w:val="00F4459D"/>
    <w:rsid w:val="00F45075"/>
    <w:rsid w:val="00F4545C"/>
    <w:rsid w:val="00F457B7"/>
    <w:rsid w:val="00F4621F"/>
    <w:rsid w:val="00F46892"/>
    <w:rsid w:val="00F477D2"/>
    <w:rsid w:val="00F500F5"/>
    <w:rsid w:val="00F51008"/>
    <w:rsid w:val="00F5303A"/>
    <w:rsid w:val="00F53F01"/>
    <w:rsid w:val="00F5443B"/>
    <w:rsid w:val="00F547DE"/>
    <w:rsid w:val="00F54BF1"/>
    <w:rsid w:val="00F55B48"/>
    <w:rsid w:val="00F57124"/>
    <w:rsid w:val="00F57397"/>
    <w:rsid w:val="00F57D7D"/>
    <w:rsid w:val="00F57EF8"/>
    <w:rsid w:val="00F60367"/>
    <w:rsid w:val="00F6256D"/>
    <w:rsid w:val="00F629D1"/>
    <w:rsid w:val="00F6322E"/>
    <w:rsid w:val="00F63BFA"/>
    <w:rsid w:val="00F6557C"/>
    <w:rsid w:val="00F66E70"/>
    <w:rsid w:val="00F700FA"/>
    <w:rsid w:val="00F702DE"/>
    <w:rsid w:val="00F716D0"/>
    <w:rsid w:val="00F71FEB"/>
    <w:rsid w:val="00F7290E"/>
    <w:rsid w:val="00F72D18"/>
    <w:rsid w:val="00F73806"/>
    <w:rsid w:val="00F74176"/>
    <w:rsid w:val="00F74F84"/>
    <w:rsid w:val="00F7638E"/>
    <w:rsid w:val="00F76D92"/>
    <w:rsid w:val="00F805B2"/>
    <w:rsid w:val="00F82410"/>
    <w:rsid w:val="00F82E18"/>
    <w:rsid w:val="00F830D0"/>
    <w:rsid w:val="00F84B34"/>
    <w:rsid w:val="00F84BCB"/>
    <w:rsid w:val="00F8513B"/>
    <w:rsid w:val="00F85B7B"/>
    <w:rsid w:val="00F86056"/>
    <w:rsid w:val="00F8695E"/>
    <w:rsid w:val="00F86B07"/>
    <w:rsid w:val="00F9044A"/>
    <w:rsid w:val="00F90C4C"/>
    <w:rsid w:val="00F92AD1"/>
    <w:rsid w:val="00F92F19"/>
    <w:rsid w:val="00F948FA"/>
    <w:rsid w:val="00F95CDE"/>
    <w:rsid w:val="00F97733"/>
    <w:rsid w:val="00FA07B9"/>
    <w:rsid w:val="00FA0B45"/>
    <w:rsid w:val="00FA0EBE"/>
    <w:rsid w:val="00FA232E"/>
    <w:rsid w:val="00FA542E"/>
    <w:rsid w:val="00FA6018"/>
    <w:rsid w:val="00FA7493"/>
    <w:rsid w:val="00FB0B64"/>
    <w:rsid w:val="00FB133D"/>
    <w:rsid w:val="00FB4B69"/>
    <w:rsid w:val="00FB4C2E"/>
    <w:rsid w:val="00FB502B"/>
    <w:rsid w:val="00FB5340"/>
    <w:rsid w:val="00FB5C20"/>
    <w:rsid w:val="00FB659E"/>
    <w:rsid w:val="00FC0228"/>
    <w:rsid w:val="00FC03DF"/>
    <w:rsid w:val="00FC0711"/>
    <w:rsid w:val="00FC2794"/>
    <w:rsid w:val="00FC2F0F"/>
    <w:rsid w:val="00FC3EC8"/>
    <w:rsid w:val="00FC463F"/>
    <w:rsid w:val="00FC6D4C"/>
    <w:rsid w:val="00FC7B0B"/>
    <w:rsid w:val="00FC7E84"/>
    <w:rsid w:val="00FD076C"/>
    <w:rsid w:val="00FD1799"/>
    <w:rsid w:val="00FD18A9"/>
    <w:rsid w:val="00FD2EC9"/>
    <w:rsid w:val="00FD3462"/>
    <w:rsid w:val="00FD51D0"/>
    <w:rsid w:val="00FD5205"/>
    <w:rsid w:val="00FD5985"/>
    <w:rsid w:val="00FD5CA0"/>
    <w:rsid w:val="00FD6FB8"/>
    <w:rsid w:val="00FD7636"/>
    <w:rsid w:val="00FE062E"/>
    <w:rsid w:val="00FE0812"/>
    <w:rsid w:val="00FE1D61"/>
    <w:rsid w:val="00FE3595"/>
    <w:rsid w:val="00FE3F02"/>
    <w:rsid w:val="00FE4AF4"/>
    <w:rsid w:val="00FE4E38"/>
    <w:rsid w:val="00FE56F3"/>
    <w:rsid w:val="00FE5D71"/>
    <w:rsid w:val="00FE6610"/>
    <w:rsid w:val="00FE6C22"/>
    <w:rsid w:val="00FE6F4F"/>
    <w:rsid w:val="00FF01D1"/>
    <w:rsid w:val="00FF22BC"/>
    <w:rsid w:val="00FF2305"/>
    <w:rsid w:val="00FF2694"/>
    <w:rsid w:val="00FF3744"/>
    <w:rsid w:val="00FF721C"/>
    <w:rsid w:val="00FF7AD8"/>
    <w:rsid w:val="01290394"/>
    <w:rsid w:val="0185D84E"/>
    <w:rsid w:val="01D3487E"/>
    <w:rsid w:val="02BE2AFB"/>
    <w:rsid w:val="04C640B2"/>
    <w:rsid w:val="05A9C6EA"/>
    <w:rsid w:val="05D0B5EC"/>
    <w:rsid w:val="0645709B"/>
    <w:rsid w:val="066198E3"/>
    <w:rsid w:val="0754C128"/>
    <w:rsid w:val="0796C8E0"/>
    <w:rsid w:val="091E3C47"/>
    <w:rsid w:val="09B42B86"/>
    <w:rsid w:val="0DB7A635"/>
    <w:rsid w:val="0E128C6C"/>
    <w:rsid w:val="0E30E9AC"/>
    <w:rsid w:val="12044450"/>
    <w:rsid w:val="14876014"/>
    <w:rsid w:val="1628B0E7"/>
    <w:rsid w:val="174B62BB"/>
    <w:rsid w:val="18B0C4AE"/>
    <w:rsid w:val="1907D294"/>
    <w:rsid w:val="194A9F62"/>
    <w:rsid w:val="1975661D"/>
    <w:rsid w:val="1A05AA7E"/>
    <w:rsid w:val="1A90AEB0"/>
    <w:rsid w:val="1DA8728D"/>
    <w:rsid w:val="1DBA7AE6"/>
    <w:rsid w:val="1DBBE73C"/>
    <w:rsid w:val="1EA956C3"/>
    <w:rsid w:val="1EB61BA8"/>
    <w:rsid w:val="1EEA6C87"/>
    <w:rsid w:val="1EF30FC0"/>
    <w:rsid w:val="1FBC2FC0"/>
    <w:rsid w:val="1FF50169"/>
    <w:rsid w:val="20839147"/>
    <w:rsid w:val="214A27B6"/>
    <w:rsid w:val="25189689"/>
    <w:rsid w:val="26B70430"/>
    <w:rsid w:val="29CA962B"/>
    <w:rsid w:val="29D801DE"/>
    <w:rsid w:val="2C1FF649"/>
    <w:rsid w:val="2CF2C7C6"/>
    <w:rsid w:val="2D7219F2"/>
    <w:rsid w:val="2F1E6B48"/>
    <w:rsid w:val="30D5E4A5"/>
    <w:rsid w:val="31DA898F"/>
    <w:rsid w:val="35014B46"/>
    <w:rsid w:val="359CC5B6"/>
    <w:rsid w:val="37280DD0"/>
    <w:rsid w:val="37674D2E"/>
    <w:rsid w:val="3773F560"/>
    <w:rsid w:val="39A0F177"/>
    <w:rsid w:val="3A852FDD"/>
    <w:rsid w:val="3AB26A21"/>
    <w:rsid w:val="3AEB9FDF"/>
    <w:rsid w:val="3CD8859F"/>
    <w:rsid w:val="3DED528B"/>
    <w:rsid w:val="3E9E94B3"/>
    <w:rsid w:val="3F2C4D01"/>
    <w:rsid w:val="3FBA5923"/>
    <w:rsid w:val="403AA56A"/>
    <w:rsid w:val="40B27699"/>
    <w:rsid w:val="43205996"/>
    <w:rsid w:val="43DE7CE8"/>
    <w:rsid w:val="43F0360E"/>
    <w:rsid w:val="4416621A"/>
    <w:rsid w:val="4454E0AC"/>
    <w:rsid w:val="447C970A"/>
    <w:rsid w:val="44E677FD"/>
    <w:rsid w:val="4585D758"/>
    <w:rsid w:val="46CDCEB1"/>
    <w:rsid w:val="47E51080"/>
    <w:rsid w:val="4A7014BE"/>
    <w:rsid w:val="4AB1B6B4"/>
    <w:rsid w:val="4CC703C1"/>
    <w:rsid w:val="4EB03D1C"/>
    <w:rsid w:val="4FD287B9"/>
    <w:rsid w:val="532186A9"/>
    <w:rsid w:val="534B46CB"/>
    <w:rsid w:val="53D42962"/>
    <w:rsid w:val="550B8D04"/>
    <w:rsid w:val="584D2D12"/>
    <w:rsid w:val="584FD94F"/>
    <w:rsid w:val="59DD7C2D"/>
    <w:rsid w:val="5B719B6B"/>
    <w:rsid w:val="5C2D6063"/>
    <w:rsid w:val="5C635A6C"/>
    <w:rsid w:val="5CD44CDC"/>
    <w:rsid w:val="5DE2F10F"/>
    <w:rsid w:val="5EEE4F41"/>
    <w:rsid w:val="63086DF5"/>
    <w:rsid w:val="6394403C"/>
    <w:rsid w:val="64A389B4"/>
    <w:rsid w:val="64C38946"/>
    <w:rsid w:val="656234CA"/>
    <w:rsid w:val="67CF5906"/>
    <w:rsid w:val="684EC574"/>
    <w:rsid w:val="6AC1EFF4"/>
    <w:rsid w:val="6B1A555A"/>
    <w:rsid w:val="6C7848A8"/>
    <w:rsid w:val="6CE8BF76"/>
    <w:rsid w:val="6EC769E5"/>
    <w:rsid w:val="6ECFEE93"/>
    <w:rsid w:val="6F013928"/>
    <w:rsid w:val="703D47B7"/>
    <w:rsid w:val="71C289EE"/>
    <w:rsid w:val="758CA504"/>
    <w:rsid w:val="77771569"/>
    <w:rsid w:val="785B628C"/>
    <w:rsid w:val="7BDBE2C7"/>
    <w:rsid w:val="7DBAF7C4"/>
    <w:rsid w:val="7FBC69B4"/>
    <w:rsid w:val="7FDEF59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4CA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4C7"/>
    <w:rPr>
      <w:rFonts w:ascii="Times New Roman" w:hAnsi="Times New Roman"/>
      <w:sz w:val="24"/>
    </w:rPr>
  </w:style>
  <w:style w:type="paragraph" w:styleId="Heading1">
    <w:name w:val="heading 1"/>
    <w:basedOn w:val="Normal"/>
    <w:next w:val="Normal"/>
    <w:link w:val="Heading1Char"/>
    <w:uiPriority w:val="9"/>
    <w:qFormat/>
    <w:rsid w:val="00DE5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4C7"/>
    <w:rPr>
      <w:rFonts w:eastAsiaTheme="majorEastAsia" w:cstheme="majorBidi"/>
      <w:color w:val="272727" w:themeColor="text1" w:themeTint="D8"/>
    </w:rPr>
  </w:style>
  <w:style w:type="paragraph" w:styleId="Title">
    <w:name w:val="Title"/>
    <w:basedOn w:val="Normal"/>
    <w:next w:val="Normal"/>
    <w:link w:val="TitleChar"/>
    <w:uiPriority w:val="10"/>
    <w:qFormat/>
    <w:rsid w:val="00DE5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4C7"/>
    <w:pPr>
      <w:spacing w:before="160"/>
      <w:jc w:val="center"/>
    </w:pPr>
    <w:rPr>
      <w:i/>
      <w:iCs/>
      <w:color w:val="404040" w:themeColor="text1" w:themeTint="BF"/>
    </w:rPr>
  </w:style>
  <w:style w:type="character" w:customStyle="1" w:styleId="QuoteChar">
    <w:name w:val="Quote Char"/>
    <w:basedOn w:val="DefaultParagraphFont"/>
    <w:link w:val="Quote"/>
    <w:uiPriority w:val="29"/>
    <w:rsid w:val="00DE54C7"/>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rsid w:val="00DE54C7"/>
    <w:pPr>
      <w:ind w:left="720"/>
      <w:contextualSpacing/>
    </w:pPr>
  </w:style>
  <w:style w:type="character" w:styleId="IntenseEmphasis">
    <w:name w:val="Intense Emphasis"/>
    <w:basedOn w:val="DefaultParagraphFont"/>
    <w:uiPriority w:val="21"/>
    <w:qFormat/>
    <w:rsid w:val="00DE54C7"/>
    <w:rPr>
      <w:i/>
      <w:iCs/>
      <w:color w:val="0F4761" w:themeColor="accent1" w:themeShade="BF"/>
    </w:rPr>
  </w:style>
  <w:style w:type="paragraph" w:styleId="IntenseQuote">
    <w:name w:val="Intense Quote"/>
    <w:basedOn w:val="Normal"/>
    <w:next w:val="Normal"/>
    <w:link w:val="IntenseQuoteChar"/>
    <w:uiPriority w:val="30"/>
    <w:qFormat/>
    <w:rsid w:val="00DE5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4C7"/>
    <w:rPr>
      <w:i/>
      <w:iCs/>
      <w:color w:val="0F4761" w:themeColor="accent1" w:themeShade="BF"/>
    </w:rPr>
  </w:style>
  <w:style w:type="character" w:styleId="IntenseReference">
    <w:name w:val="Intense Reference"/>
    <w:basedOn w:val="DefaultParagraphFont"/>
    <w:uiPriority w:val="32"/>
    <w:qFormat/>
    <w:rsid w:val="00DE54C7"/>
    <w:rPr>
      <w:b/>
      <w:bCs/>
      <w:smallCaps/>
      <w:color w:val="0F4761" w:themeColor="accent1" w:themeShade="BF"/>
      <w:spacing w:val="5"/>
    </w:rPr>
  </w:style>
  <w:style w:type="character" w:customStyle="1" w:styleId="Marker">
    <w:name w:val="Marker"/>
    <w:basedOn w:val="DefaultParagraphFont"/>
    <w:rsid w:val="00DE54C7"/>
    <w:rPr>
      <w:color w:val="0000FF"/>
      <w:shd w:val="clear" w:color="auto" w:fill="auto"/>
    </w:rPr>
  </w:style>
  <w:style w:type="paragraph" w:styleId="Header">
    <w:name w:val="header"/>
    <w:basedOn w:val="Normal"/>
    <w:link w:val="HeaderChar"/>
    <w:uiPriority w:val="99"/>
    <w:unhideWhenUsed/>
    <w:rsid w:val="00DE5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4C7"/>
  </w:style>
  <w:style w:type="paragraph" w:styleId="Footer">
    <w:name w:val="footer"/>
    <w:basedOn w:val="Normal"/>
    <w:link w:val="FooterChar"/>
    <w:uiPriority w:val="99"/>
    <w:unhideWhenUsed/>
    <w:rsid w:val="00DE5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4C7"/>
  </w:style>
  <w:style w:type="paragraph" w:customStyle="1" w:styleId="Pagedecouverture">
    <w:name w:val="Page de couverture"/>
    <w:basedOn w:val="Normal"/>
    <w:next w:val="Normal"/>
    <w:rsid w:val="00DE54C7"/>
    <w:pPr>
      <w:spacing w:after="0" w:line="240" w:lineRule="auto"/>
      <w:jc w:val="both"/>
    </w:pPr>
    <w:rPr>
      <w:rFonts w:cs="Times New Roman"/>
    </w:rPr>
  </w:style>
  <w:style w:type="paragraph" w:customStyle="1" w:styleId="FooterCoverPage">
    <w:name w:val="Footer Cover Page"/>
    <w:basedOn w:val="Normal"/>
    <w:link w:val="FooterCoverPageChar"/>
    <w:rsid w:val="00DE54C7"/>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DE54C7"/>
    <w:rPr>
      <w:rFonts w:ascii="Times New Roman" w:hAnsi="Times New Roman"/>
      <w:sz w:val="24"/>
    </w:rPr>
  </w:style>
  <w:style w:type="paragraph" w:customStyle="1" w:styleId="FooterSensitivity">
    <w:name w:val="Footer Sensitivity"/>
    <w:basedOn w:val="Normal"/>
    <w:link w:val="FooterSensitivityChar"/>
    <w:rsid w:val="00DE54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E54C7"/>
    <w:rPr>
      <w:rFonts w:ascii="Times New Roman" w:hAnsi="Times New Roman"/>
      <w:b/>
      <w:sz w:val="32"/>
    </w:rPr>
  </w:style>
  <w:style w:type="paragraph" w:customStyle="1" w:styleId="HeaderCoverPage">
    <w:name w:val="Header Cover Page"/>
    <w:basedOn w:val="Normal"/>
    <w:link w:val="HeaderCoverPageChar"/>
    <w:rsid w:val="00DE54C7"/>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DE54C7"/>
    <w:rPr>
      <w:rFonts w:ascii="Times New Roman" w:hAnsi="Times New Roman"/>
      <w:sz w:val="24"/>
    </w:rPr>
  </w:style>
  <w:style w:type="paragraph" w:customStyle="1" w:styleId="HeaderSensitivity">
    <w:name w:val="Header Sensitivity"/>
    <w:basedOn w:val="Normal"/>
    <w:link w:val="HeaderSensitivityChar"/>
    <w:rsid w:val="00DE54C7"/>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E54C7"/>
    <w:rPr>
      <w:rFonts w:ascii="Times New Roman" w:hAnsi="Times New Roman"/>
      <w:b/>
      <w:sz w:val="32"/>
    </w:rPr>
  </w:style>
  <w:style w:type="paragraph" w:customStyle="1" w:styleId="HeaderSensitivityRight">
    <w:name w:val="Header Sensitivity Right"/>
    <w:basedOn w:val="Normal"/>
    <w:link w:val="HeaderSensitivityRightChar"/>
    <w:rsid w:val="00822E3A"/>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E54C7"/>
    <w:rPr>
      <w:rFonts w:ascii="Times New Roman" w:hAnsi="Times New Roman"/>
      <w:sz w:val="28"/>
    </w:rPr>
  </w:style>
  <w:style w:type="paragraph" w:styleId="TOC1">
    <w:name w:val="toc 1"/>
    <w:basedOn w:val="Normal"/>
    <w:next w:val="Normal"/>
    <w:uiPriority w:val="39"/>
    <w:unhideWhenUsed/>
    <w:rsid w:val="00DE54C7"/>
    <w:pPr>
      <w:spacing w:after="100"/>
      <w:jc w:val="both"/>
    </w:pPr>
    <w:rPr>
      <w:lang w:val="en-GB"/>
    </w:rPr>
  </w:style>
  <w:style w:type="character" w:styleId="Hyperlink">
    <w:name w:val="Hyperlink"/>
    <w:basedOn w:val="DefaultParagraphFont"/>
    <w:uiPriority w:val="99"/>
    <w:unhideWhenUsed/>
    <w:rsid w:val="00DE54C7"/>
    <w:rPr>
      <w:color w:val="467886"/>
      <w:u w:val="single"/>
    </w:rPr>
  </w:style>
  <w:style w:type="paragraph" w:styleId="TOC2">
    <w:name w:val="toc 2"/>
    <w:basedOn w:val="Normal"/>
    <w:next w:val="Normal"/>
    <w:uiPriority w:val="39"/>
    <w:unhideWhenUsed/>
    <w:rsid w:val="00DE54C7"/>
    <w:pPr>
      <w:spacing w:after="100"/>
      <w:ind w:left="220"/>
      <w:jc w:val="both"/>
    </w:pPr>
    <w:rPr>
      <w:lang w:val="en-GB"/>
    </w:rPr>
  </w:style>
  <w:style w:type="table" w:styleId="TableGrid">
    <w:name w:val="Table Grid"/>
    <w:basedOn w:val="TableNormal"/>
    <w:uiPriority w:val="39"/>
    <w:rsid w:val="00DE54C7"/>
    <w:pPr>
      <w:spacing w:after="0" w:line="240" w:lineRule="auto"/>
    </w:pPr>
    <w:tblPr/>
  </w:style>
  <w:style w:type="paragraph" w:styleId="Caption">
    <w:name w:val="caption"/>
    <w:basedOn w:val="Normal"/>
    <w:next w:val="Normal"/>
    <w:uiPriority w:val="35"/>
    <w:semiHidden/>
    <w:unhideWhenUsed/>
    <w:qFormat/>
    <w:rsid w:val="00DE54C7"/>
    <w:pPr>
      <w:spacing w:after="200" w:line="240" w:lineRule="auto"/>
      <w:jc w:val="both"/>
    </w:pPr>
    <w:rPr>
      <w:i/>
      <w:iCs/>
      <w:color w:val="0E2841" w:themeColor="text2"/>
      <w:kern w:val="2"/>
      <w:sz w:val="18"/>
      <w:szCs w:val="18"/>
      <w:lang w:val="en-GB"/>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rsid w:val="00DE54C7"/>
  </w:style>
  <w:style w:type="character" w:styleId="Strong">
    <w:name w:val="Strong"/>
    <w:basedOn w:val="DefaultParagraphFont"/>
    <w:uiPriority w:val="22"/>
    <w:qFormat/>
    <w:rsid w:val="00DE54C7"/>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nhideWhenUsed/>
    <w:qFormat/>
    <w:rsid w:val="005F0923"/>
    <w:pPr>
      <w:spacing w:after="0" w:line="240" w:lineRule="auto"/>
      <w:jc w:val="both"/>
    </w:pPr>
    <w:rPr>
      <w:rFonts w:eastAsia="Times New Roman" w:cs="Times New Roman"/>
      <w:kern w:val="2"/>
      <w:sz w:val="20"/>
      <w:szCs w:val="24"/>
      <w:lang w:val="en-GB"/>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qFormat/>
    <w:rsid w:val="005F0923"/>
    <w:rPr>
      <w:rFonts w:ascii="Times New Roman" w:eastAsia="Times New Roman" w:hAnsi="Times New Roman" w:cs="Times New Roman"/>
      <w:kern w:val="2"/>
      <w:sz w:val="20"/>
      <w:szCs w:val="24"/>
      <w:lang w:val="en-GB"/>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nhideWhenUsed/>
    <w:qFormat/>
    <w:rsid w:val="00DE54C7"/>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DE54C7"/>
    <w:pPr>
      <w:spacing w:line="240" w:lineRule="exact"/>
      <w:jc w:val="both"/>
    </w:pPr>
    <w:rPr>
      <w:vertAlign w:val="superscript"/>
    </w:rPr>
  </w:style>
  <w:style w:type="paragraph" w:styleId="TOC3">
    <w:name w:val="toc 3"/>
    <w:basedOn w:val="Normal"/>
    <w:next w:val="Normal"/>
    <w:autoRedefine/>
    <w:uiPriority w:val="39"/>
    <w:unhideWhenUsed/>
    <w:rsid w:val="00DE54C7"/>
    <w:pPr>
      <w:spacing w:after="100"/>
      <w:ind w:left="480"/>
      <w:jc w:val="both"/>
    </w:pPr>
    <w:rPr>
      <w:lang w:val="en-GB"/>
    </w:rPr>
  </w:style>
  <w:style w:type="character" w:styleId="CommentReference">
    <w:name w:val="annotation reference"/>
    <w:basedOn w:val="DefaultParagraphFont"/>
    <w:uiPriority w:val="99"/>
    <w:unhideWhenUsed/>
    <w:rsid w:val="00DE54C7"/>
    <w:rPr>
      <w:sz w:val="16"/>
      <w:szCs w:val="16"/>
    </w:rPr>
  </w:style>
  <w:style w:type="paragraph" w:styleId="CommentText">
    <w:name w:val="annotation text"/>
    <w:basedOn w:val="Normal"/>
    <w:link w:val="CommentTextChar"/>
    <w:uiPriority w:val="99"/>
    <w:unhideWhenUsed/>
    <w:rsid w:val="00DE54C7"/>
    <w:pPr>
      <w:spacing w:line="240" w:lineRule="auto"/>
      <w:jc w:val="both"/>
    </w:pPr>
    <w:rPr>
      <w:sz w:val="20"/>
      <w:szCs w:val="20"/>
      <w:lang w:val="en-GB"/>
    </w:rPr>
  </w:style>
  <w:style w:type="character" w:customStyle="1" w:styleId="CommentTextChar">
    <w:name w:val="Comment Text Char"/>
    <w:basedOn w:val="DefaultParagraphFont"/>
    <w:link w:val="CommentText"/>
    <w:uiPriority w:val="99"/>
    <w:rsid w:val="00DE54C7"/>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DE54C7"/>
    <w:rPr>
      <w:b/>
      <w:bCs/>
    </w:rPr>
  </w:style>
  <w:style w:type="character" w:customStyle="1" w:styleId="CommentSubjectChar">
    <w:name w:val="Comment Subject Char"/>
    <w:basedOn w:val="CommentTextChar"/>
    <w:link w:val="CommentSubject"/>
    <w:uiPriority w:val="99"/>
    <w:semiHidden/>
    <w:rsid w:val="00DE54C7"/>
    <w:rPr>
      <w:rFonts w:ascii="Times New Roman" w:hAnsi="Times New Roman"/>
      <w:b/>
      <w:bCs/>
      <w:sz w:val="20"/>
      <w:szCs w:val="20"/>
      <w:lang w:val="en-GB"/>
    </w:rPr>
  </w:style>
  <w:style w:type="paragraph" w:customStyle="1" w:styleId="Text2">
    <w:name w:val="Text 2"/>
    <w:basedOn w:val="Normal"/>
    <w:rsid w:val="00DE54C7"/>
    <w:pPr>
      <w:tabs>
        <w:tab w:val="left" w:pos="2302"/>
      </w:tabs>
      <w:spacing w:after="120" w:line="240" w:lineRule="auto"/>
      <w:ind w:left="1202"/>
      <w:jc w:val="both"/>
    </w:pPr>
    <w:rPr>
      <w:rFonts w:eastAsia="Times New Roman" w:cs="Times New Roman"/>
      <w:szCs w:val="20"/>
      <w:lang w:val="en-GB"/>
    </w:rPr>
  </w:style>
  <w:style w:type="character" w:styleId="FollowedHyperlink">
    <w:name w:val="FollowedHyperlink"/>
    <w:basedOn w:val="DefaultParagraphFont"/>
    <w:uiPriority w:val="99"/>
    <w:semiHidden/>
    <w:unhideWhenUsed/>
    <w:rsid w:val="00DE54C7"/>
    <w:rPr>
      <w:color w:val="96607D" w:themeColor="followedHyperlink"/>
      <w:u w:val="single"/>
    </w:rPr>
  </w:style>
  <w:style w:type="character" w:customStyle="1" w:styleId="UnresolvedMention">
    <w:name w:val="Unresolved Mention"/>
    <w:basedOn w:val="DefaultParagraphFont"/>
    <w:uiPriority w:val="99"/>
    <w:semiHidden/>
    <w:unhideWhenUsed/>
    <w:rsid w:val="00DE54C7"/>
    <w:rPr>
      <w:color w:val="605E5C"/>
      <w:shd w:val="clear" w:color="auto" w:fill="E1DFDD"/>
    </w:rPr>
  </w:style>
  <w:style w:type="paragraph" w:styleId="Revision">
    <w:name w:val="Revision"/>
    <w:hidden/>
    <w:uiPriority w:val="99"/>
    <w:semiHidden/>
    <w:rsid w:val="00DE54C7"/>
    <w:pPr>
      <w:spacing w:after="0" w:line="240" w:lineRule="auto"/>
    </w:pPr>
    <w:rPr>
      <w:rFonts w:ascii="Times New Roman" w:hAnsi="Times New Roman"/>
      <w:sz w:val="24"/>
      <w:lang w:val="en-GB"/>
    </w:rPr>
  </w:style>
  <w:style w:type="character" w:customStyle="1" w:styleId="cf01">
    <w:name w:val="cf01"/>
    <w:basedOn w:val="DefaultParagraphFont"/>
    <w:rsid w:val="00DE54C7"/>
    <w:rPr>
      <w:rFonts w:ascii="Segoe UI" w:hAnsi="Segoe UI" w:cs="Segoe UI" w:hint="default"/>
      <w:sz w:val="18"/>
      <w:szCs w:val="18"/>
    </w:rPr>
  </w:style>
  <w:style w:type="paragraph" w:customStyle="1" w:styleId="Default">
    <w:name w:val="Default"/>
    <w:rsid w:val="00DE54C7"/>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rsid w:val="00DE54C7"/>
    <w:pPr>
      <w:spacing w:after="0" w:line="240" w:lineRule="auto"/>
      <w:ind w:left="720" w:hanging="720"/>
      <w:jc w:val="both"/>
    </w:pPr>
    <w:rPr>
      <w:rFonts w:eastAsiaTheme="minorEastAsia"/>
      <w:sz w:val="20"/>
      <w:lang w:val="en-GB" w:eastAsia="en-GB"/>
    </w:rPr>
  </w:style>
  <w:style w:type="paragraph" w:customStyle="1" w:styleId="BulletedList">
    <w:name w:val="Bulleted List"/>
    <w:uiPriority w:val="12"/>
    <w:qFormat/>
    <w:rsid w:val="00DE54C7"/>
    <w:pPr>
      <w:numPr>
        <w:numId w:val="2"/>
      </w:numPr>
      <w:spacing w:after="60" w:line="260" w:lineRule="exact"/>
      <w:jc w:val="both"/>
    </w:pPr>
    <w:rPr>
      <w:color w:val="000000" w:themeColor="text1"/>
      <w:sz w:val="20"/>
      <w:lang w:val="en-GB"/>
    </w:rPr>
  </w:style>
  <w:style w:type="character" w:styleId="Emphasis">
    <w:name w:val="Emphasis"/>
    <w:basedOn w:val="DefaultParagraphFont"/>
    <w:uiPriority w:val="20"/>
    <w:qFormat/>
    <w:rsid w:val="00DE54C7"/>
    <w:rPr>
      <w:i/>
      <w:iCs/>
    </w:rPr>
  </w:style>
  <w:style w:type="paragraph" w:customStyle="1" w:styleId="Para">
    <w:name w:val="Para #"/>
    <w:basedOn w:val="Normal"/>
    <w:link w:val="ParaChar"/>
    <w:uiPriority w:val="4"/>
    <w:qFormat/>
    <w:rsid w:val="00DE54C7"/>
    <w:pPr>
      <w:numPr>
        <w:numId w:val="1"/>
      </w:numPr>
      <w:spacing w:before="120" w:after="120" w:line="260" w:lineRule="atLeast"/>
      <w:jc w:val="both"/>
    </w:pPr>
    <w:rPr>
      <w:rFonts w:eastAsiaTheme="minorEastAsia"/>
      <w:sz w:val="20"/>
      <w:szCs w:val="20"/>
      <w:lang w:val="en-GB"/>
    </w:rPr>
  </w:style>
  <w:style w:type="character" w:customStyle="1" w:styleId="normaltextrun">
    <w:name w:val="normaltextrun"/>
    <w:basedOn w:val="DefaultParagraphFont"/>
    <w:rsid w:val="00DE54C7"/>
    <w:rPr>
      <w:rFonts w:asciiTheme="minorHAnsi" w:eastAsiaTheme="minorEastAsia" w:hAnsiTheme="minorHAnsi" w:cstheme="minorBidi"/>
      <w:sz w:val="22"/>
      <w:szCs w:val="22"/>
    </w:rPr>
  </w:style>
  <w:style w:type="character" w:customStyle="1" w:styleId="eop">
    <w:name w:val="eop"/>
    <w:basedOn w:val="DefaultParagraphFont"/>
    <w:rsid w:val="00DE54C7"/>
    <w:rPr>
      <w:rFonts w:asciiTheme="minorHAnsi" w:eastAsiaTheme="minorEastAsia" w:hAnsiTheme="minorHAnsi" w:cstheme="minorBidi"/>
      <w:sz w:val="22"/>
      <w:szCs w:val="22"/>
    </w:rPr>
  </w:style>
  <w:style w:type="paragraph" w:customStyle="1" w:styleId="paragraph">
    <w:name w:val="paragraph"/>
    <w:basedOn w:val="Normal"/>
    <w:rsid w:val="00DE54C7"/>
    <w:pPr>
      <w:spacing w:beforeAutospacing="1" w:afterAutospacing="1" w:line="240" w:lineRule="auto"/>
      <w:jc w:val="both"/>
    </w:pPr>
    <w:rPr>
      <w:rFonts w:eastAsiaTheme="minorEastAsia"/>
      <w:lang w:val="de-DE" w:eastAsia="de-DE"/>
    </w:rPr>
  </w:style>
  <w:style w:type="character" w:customStyle="1" w:styleId="findhit">
    <w:name w:val="findhit"/>
    <w:basedOn w:val="DefaultParagraphFont"/>
    <w:rsid w:val="00DE54C7"/>
  </w:style>
  <w:style w:type="character" w:customStyle="1" w:styleId="contentcontrolboundarysink">
    <w:name w:val="contentcontrolboundarysink"/>
    <w:basedOn w:val="DefaultParagraphFont"/>
    <w:rsid w:val="00DE54C7"/>
  </w:style>
  <w:style w:type="character" w:customStyle="1" w:styleId="ParaChar">
    <w:name w:val="Para # Char"/>
    <w:basedOn w:val="DefaultParagraphFont"/>
    <w:link w:val="Para"/>
    <w:uiPriority w:val="4"/>
    <w:rsid w:val="00DE54C7"/>
    <w:rPr>
      <w:rFonts w:eastAsiaTheme="minorEastAsia"/>
      <w:sz w:val="20"/>
      <w:szCs w:val="20"/>
      <w:lang w:val="en-GB"/>
    </w:rPr>
  </w:style>
  <w:style w:type="character" w:customStyle="1" w:styleId="Mention">
    <w:name w:val="Mention"/>
    <w:basedOn w:val="DefaultParagraphFont"/>
    <w:uiPriority w:val="99"/>
    <w:unhideWhenUsed/>
    <w:rsid w:val="00DE54C7"/>
    <w:rPr>
      <w:color w:val="2B579A"/>
      <w:shd w:val="clear" w:color="auto" w:fill="E1DFDD"/>
    </w:rPr>
  </w:style>
  <w:style w:type="paragraph" w:styleId="NormalWeb">
    <w:name w:val="Normal (Web)"/>
    <w:basedOn w:val="Normal"/>
    <w:uiPriority w:val="99"/>
    <w:unhideWhenUsed/>
    <w:rsid w:val="00DE54C7"/>
    <w:pPr>
      <w:jc w:val="both"/>
    </w:pPr>
    <w:rPr>
      <w:rFonts w:cs="Times New Roman"/>
      <w:szCs w:val="24"/>
      <w:lang w:val="en-GB"/>
    </w:rPr>
  </w:style>
  <w:style w:type="paragraph" w:customStyle="1" w:styleId="HeadingThree">
    <w:name w:val="HeadingThree"/>
    <w:basedOn w:val="Heading3"/>
    <w:next w:val="Normal"/>
    <w:link w:val="HeadingThreeChar"/>
    <w:qFormat/>
    <w:rsid w:val="00DE54C7"/>
    <w:pPr>
      <w:spacing w:before="240" w:after="240" w:line="276" w:lineRule="auto"/>
      <w:jc w:val="both"/>
    </w:pPr>
    <w:rPr>
      <w:rFonts w:cs="Times New Roman"/>
      <w:b/>
      <w:bCs/>
      <w:sz w:val="24"/>
      <w:lang w:val="en-GB" w:eastAsia="en-GB"/>
    </w:rPr>
  </w:style>
  <w:style w:type="character" w:customStyle="1" w:styleId="HeadingThreeChar">
    <w:name w:val="HeadingThree Char"/>
    <w:basedOn w:val="Heading3Char"/>
    <w:link w:val="HeadingThree"/>
    <w:rsid w:val="00DE54C7"/>
    <w:rPr>
      <w:rFonts w:ascii="Times New Roman" w:eastAsiaTheme="majorEastAsia" w:hAnsi="Times New Roman" w:cs="Times New Roman"/>
      <w:b/>
      <w:bCs/>
      <w:color w:val="0F4761" w:themeColor="accent1" w:themeShade="BF"/>
      <w:sz w:val="24"/>
      <w:szCs w:val="28"/>
      <w:lang w:val="en-GB" w:eastAsia="en-GB"/>
    </w:rPr>
  </w:style>
  <w:style w:type="paragraph" w:styleId="BodyText">
    <w:name w:val="Body Text"/>
    <w:basedOn w:val="Normal"/>
    <w:link w:val="BodyTextChar"/>
    <w:uiPriority w:val="1"/>
    <w:qFormat/>
    <w:rsid w:val="00DE54C7"/>
    <w:pPr>
      <w:widowControl w:val="0"/>
      <w:autoSpaceDE w:val="0"/>
      <w:autoSpaceDN w:val="0"/>
      <w:spacing w:after="0" w:line="240" w:lineRule="auto"/>
      <w:jc w:val="both"/>
    </w:pPr>
    <w:rPr>
      <w:rFonts w:eastAsia="Times New Roman" w:cs="Times New Roman"/>
      <w:lang w:val="en-US"/>
    </w:rPr>
  </w:style>
  <w:style w:type="character" w:customStyle="1" w:styleId="BodyTextChar">
    <w:name w:val="Body Text Char"/>
    <w:basedOn w:val="DefaultParagraphFont"/>
    <w:link w:val="BodyText"/>
    <w:uiPriority w:val="1"/>
    <w:rsid w:val="00DE54C7"/>
    <w:rPr>
      <w:rFonts w:ascii="Times New Roman" w:eastAsia="Times New Roman" w:hAnsi="Times New Roman" w:cs="Times New Roman"/>
      <w:lang w:val="en-US"/>
    </w:rPr>
  </w:style>
  <w:style w:type="paragraph" w:customStyle="1" w:styleId="Disclaimer">
    <w:name w:val="Disclaimer"/>
    <w:basedOn w:val="Normal"/>
    <w:rsid w:val="00DE54C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lang w:val="en-GB"/>
    </w:rPr>
  </w:style>
  <w:style w:type="paragraph" w:customStyle="1" w:styleId="SecurityMarking">
    <w:name w:val="SecurityMarking"/>
    <w:basedOn w:val="Normal"/>
    <w:rsid w:val="00822E3A"/>
    <w:pPr>
      <w:spacing w:after="0" w:line="276" w:lineRule="auto"/>
      <w:ind w:left="5103"/>
    </w:pPr>
    <w:rPr>
      <w:rFonts w:cs="Times New Roman"/>
      <w:sz w:val="28"/>
    </w:rPr>
  </w:style>
  <w:style w:type="paragraph" w:customStyle="1" w:styleId="DateMarking">
    <w:name w:val="DateMarking"/>
    <w:basedOn w:val="Normal"/>
    <w:rsid w:val="00822E3A"/>
    <w:pPr>
      <w:spacing w:after="0" w:line="276" w:lineRule="auto"/>
      <w:ind w:left="5103"/>
    </w:pPr>
    <w:rPr>
      <w:rFonts w:cs="Times New Roman"/>
      <w:i/>
      <w:sz w:val="28"/>
    </w:rPr>
  </w:style>
  <w:style w:type="paragraph" w:customStyle="1" w:styleId="ReleasableTo">
    <w:name w:val="ReleasableTo"/>
    <w:basedOn w:val="Normal"/>
    <w:rsid w:val="00822E3A"/>
    <w:pPr>
      <w:spacing w:after="0" w:line="276" w:lineRule="auto"/>
      <w:ind w:left="5103"/>
    </w:pPr>
    <w:rPr>
      <w:rFonts w:cs="Times New Roman"/>
      <w:i/>
      <w:sz w:val="28"/>
    </w:rPr>
  </w:style>
  <w:style w:type="paragraph" w:customStyle="1" w:styleId="pf0">
    <w:name w:val="pf0"/>
    <w:basedOn w:val="Normal"/>
    <w:rsid w:val="00DE54C7"/>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sid w:val="00DE54C7"/>
    <w:rPr>
      <w:rFonts w:ascii="Segoe UI" w:hAnsi="Segoe UI" w:cs="Segoe UI" w:hint="default"/>
      <w:color w:val="FF0000"/>
      <w:sz w:val="18"/>
      <w:szCs w:val="18"/>
    </w:rPr>
  </w:style>
  <w:style w:type="paragraph" w:customStyle="1" w:styleId="Pagenumbers">
    <w:name w:val="Page numbers"/>
    <w:basedOn w:val="Pagedecouverture"/>
    <w:rsid w:val="00914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552871">
      <w:bodyDiv w:val="1"/>
      <w:marLeft w:val="0"/>
      <w:marRight w:val="0"/>
      <w:marTop w:val="0"/>
      <w:marBottom w:val="0"/>
      <w:divBdr>
        <w:top w:val="none" w:sz="0" w:space="0" w:color="auto"/>
        <w:left w:val="none" w:sz="0" w:space="0" w:color="auto"/>
        <w:bottom w:val="none" w:sz="0" w:space="0" w:color="auto"/>
        <w:right w:val="none" w:sz="0" w:space="0" w:color="auto"/>
      </w:divBdr>
    </w:div>
    <w:div w:id="556670644">
      <w:bodyDiv w:val="1"/>
      <w:marLeft w:val="0"/>
      <w:marRight w:val="0"/>
      <w:marTop w:val="0"/>
      <w:marBottom w:val="0"/>
      <w:divBdr>
        <w:top w:val="none" w:sz="0" w:space="0" w:color="auto"/>
        <w:left w:val="none" w:sz="0" w:space="0" w:color="auto"/>
        <w:bottom w:val="none" w:sz="0" w:space="0" w:color="auto"/>
        <w:right w:val="none" w:sz="0" w:space="0" w:color="auto"/>
      </w:divBdr>
    </w:div>
    <w:div w:id="760028506">
      <w:bodyDiv w:val="1"/>
      <w:marLeft w:val="0"/>
      <w:marRight w:val="0"/>
      <w:marTop w:val="0"/>
      <w:marBottom w:val="0"/>
      <w:divBdr>
        <w:top w:val="none" w:sz="0" w:space="0" w:color="auto"/>
        <w:left w:val="none" w:sz="0" w:space="0" w:color="auto"/>
        <w:bottom w:val="none" w:sz="0" w:space="0" w:color="auto"/>
        <w:right w:val="none" w:sz="0" w:space="0" w:color="auto"/>
      </w:divBdr>
    </w:div>
    <w:div w:id="852111536">
      <w:bodyDiv w:val="1"/>
      <w:marLeft w:val="0"/>
      <w:marRight w:val="0"/>
      <w:marTop w:val="0"/>
      <w:marBottom w:val="0"/>
      <w:divBdr>
        <w:top w:val="none" w:sz="0" w:space="0" w:color="auto"/>
        <w:left w:val="none" w:sz="0" w:space="0" w:color="auto"/>
        <w:bottom w:val="none" w:sz="0" w:space="0" w:color="auto"/>
        <w:right w:val="none" w:sz="0" w:space="0" w:color="auto"/>
      </w:divBdr>
    </w:div>
    <w:div w:id="982465342">
      <w:bodyDiv w:val="1"/>
      <w:marLeft w:val="0"/>
      <w:marRight w:val="0"/>
      <w:marTop w:val="0"/>
      <w:marBottom w:val="0"/>
      <w:divBdr>
        <w:top w:val="none" w:sz="0" w:space="0" w:color="auto"/>
        <w:left w:val="none" w:sz="0" w:space="0" w:color="auto"/>
        <w:bottom w:val="none" w:sz="0" w:space="0" w:color="auto"/>
        <w:right w:val="none" w:sz="0" w:space="0" w:color="auto"/>
      </w:divBdr>
    </w:div>
    <w:div w:id="1060443712">
      <w:bodyDiv w:val="1"/>
      <w:marLeft w:val="0"/>
      <w:marRight w:val="0"/>
      <w:marTop w:val="0"/>
      <w:marBottom w:val="0"/>
      <w:divBdr>
        <w:top w:val="none" w:sz="0" w:space="0" w:color="auto"/>
        <w:left w:val="none" w:sz="0" w:space="0" w:color="auto"/>
        <w:bottom w:val="none" w:sz="0" w:space="0" w:color="auto"/>
        <w:right w:val="none" w:sz="0" w:space="0" w:color="auto"/>
      </w:divBdr>
    </w:div>
    <w:div w:id="1071275338">
      <w:bodyDiv w:val="1"/>
      <w:marLeft w:val="0"/>
      <w:marRight w:val="0"/>
      <w:marTop w:val="0"/>
      <w:marBottom w:val="0"/>
      <w:divBdr>
        <w:top w:val="none" w:sz="0" w:space="0" w:color="auto"/>
        <w:left w:val="none" w:sz="0" w:space="0" w:color="auto"/>
        <w:bottom w:val="none" w:sz="0" w:space="0" w:color="auto"/>
        <w:right w:val="none" w:sz="0" w:space="0" w:color="auto"/>
      </w:divBdr>
    </w:div>
    <w:div w:id="1293825648">
      <w:bodyDiv w:val="1"/>
      <w:marLeft w:val="0"/>
      <w:marRight w:val="0"/>
      <w:marTop w:val="0"/>
      <w:marBottom w:val="0"/>
      <w:divBdr>
        <w:top w:val="none" w:sz="0" w:space="0" w:color="auto"/>
        <w:left w:val="none" w:sz="0" w:space="0" w:color="auto"/>
        <w:bottom w:val="none" w:sz="0" w:space="0" w:color="auto"/>
        <w:right w:val="none" w:sz="0" w:space="0" w:color="auto"/>
      </w:divBdr>
    </w:div>
    <w:div w:id="1475948499">
      <w:bodyDiv w:val="1"/>
      <w:marLeft w:val="0"/>
      <w:marRight w:val="0"/>
      <w:marTop w:val="0"/>
      <w:marBottom w:val="0"/>
      <w:divBdr>
        <w:top w:val="none" w:sz="0" w:space="0" w:color="auto"/>
        <w:left w:val="none" w:sz="0" w:space="0" w:color="auto"/>
        <w:bottom w:val="none" w:sz="0" w:space="0" w:color="auto"/>
        <w:right w:val="none" w:sz="0" w:space="0" w:color="auto"/>
      </w:divBdr>
    </w:div>
    <w:div w:id="1726566481">
      <w:bodyDiv w:val="1"/>
      <w:marLeft w:val="0"/>
      <w:marRight w:val="0"/>
      <w:marTop w:val="0"/>
      <w:marBottom w:val="0"/>
      <w:divBdr>
        <w:top w:val="none" w:sz="0" w:space="0" w:color="auto"/>
        <w:left w:val="none" w:sz="0" w:space="0" w:color="auto"/>
        <w:bottom w:val="none" w:sz="0" w:space="0" w:color="auto"/>
        <w:right w:val="none" w:sz="0" w:space="0" w:color="auto"/>
      </w:divBdr>
    </w:div>
    <w:div w:id="1824809640">
      <w:bodyDiv w:val="1"/>
      <w:marLeft w:val="0"/>
      <w:marRight w:val="0"/>
      <w:marTop w:val="0"/>
      <w:marBottom w:val="0"/>
      <w:divBdr>
        <w:top w:val="none" w:sz="0" w:space="0" w:color="auto"/>
        <w:left w:val="none" w:sz="0" w:space="0" w:color="auto"/>
        <w:bottom w:val="none" w:sz="0" w:space="0" w:color="auto"/>
        <w:right w:val="none" w:sz="0" w:space="0" w:color="auto"/>
      </w:divBdr>
    </w:div>
    <w:div w:id="1842239641">
      <w:bodyDiv w:val="1"/>
      <w:marLeft w:val="0"/>
      <w:marRight w:val="0"/>
      <w:marTop w:val="0"/>
      <w:marBottom w:val="0"/>
      <w:divBdr>
        <w:top w:val="none" w:sz="0" w:space="0" w:color="auto"/>
        <w:left w:val="none" w:sz="0" w:space="0" w:color="auto"/>
        <w:bottom w:val="none" w:sz="0" w:space="0" w:color="auto"/>
        <w:right w:val="none" w:sz="0" w:space="0" w:color="auto"/>
      </w:divBdr>
    </w:div>
    <w:div w:id="199618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6" Type="http://schemas.openxmlformats.org/officeDocument/2006/relationships/hyperlink" Target="https://www.oecd.org/en/publications/the-state-of-cardiovascular-health-in-the-european-union_ea7a15f4-en/full-report.html" TargetMode="External"/><Relationship Id="rId117" Type="http://schemas.openxmlformats.org/officeDocument/2006/relationships/hyperlink" Target="https://academic.oup.com/eurjpc/article/31/15/1899/7742632" TargetMode="External"/><Relationship Id="rId21" Type="http://schemas.openxmlformats.org/officeDocument/2006/relationships/hyperlink" Target="https://health.ec.europa.eu/blood-tissues-cells-and-organs/soho-regulation/new-eu-rules-substances-human-origin_en" TargetMode="External"/><Relationship Id="rId42" Type="http://schemas.openxmlformats.org/officeDocument/2006/relationships/hyperlink" Target="https://doi.org/10.1186/s12937-016-0225-2" TargetMode="External"/><Relationship Id="rId47" Type="http://schemas.openxmlformats.org/officeDocument/2006/relationships/hyperlink" Target="https://doi.org/10.1093/eurheartj/ehad192" TargetMode="External"/><Relationship Id="rId63" Type="http://schemas.openxmlformats.org/officeDocument/2006/relationships/hyperlink" Target="https://www.jadecare.eu/" TargetMode="External"/><Relationship Id="rId68" Type="http://schemas.openxmlformats.org/officeDocument/2006/relationships/hyperlink" Target="https://agriculture.ec.europa.eu/common-agricultural-policy/market-measures/school-scheme-explained_en" TargetMode="External"/><Relationship Id="rId84" Type="http://schemas.openxmlformats.org/officeDocument/2006/relationships/hyperlink" Target="https://data.europa.eu/en/publications/datastories/health-and-well-being-eu-investing-where-it-matters" TargetMode="External"/><Relationship Id="rId89" Type="http://schemas.openxmlformats.org/officeDocument/2006/relationships/hyperlink" Target="https://www.dypede.gr/health4eukids/" TargetMode="External"/><Relationship Id="rId112" Type="http://schemas.openxmlformats.org/officeDocument/2006/relationships/hyperlink" Target="file:///C:\Users\takkima\AppData\Local\Microsoft\Windows\INetCache\Content.Outlook\GGZ5C8P0\New%20systematic%20review%20and%20meta-analysis%20shows%20an%20association%20between%20shingles%20vaccination%20and%20lower%20risk%20of%20heart%20attack%20and%20stroke&#8239;" TargetMode="External"/><Relationship Id="rId133" Type="http://schemas.openxmlformats.org/officeDocument/2006/relationships/hyperlink" Target="https://jacardi.eu/" TargetMode="External"/><Relationship Id="rId138" Type="http://schemas.openxmlformats.org/officeDocument/2006/relationships/hyperlink" Target="https://www.eugloh.eu/" TargetMode="External"/><Relationship Id="rId154" Type="http://schemas.openxmlformats.org/officeDocument/2006/relationships/hyperlink" Target="https://shaiped.eu/2025/03/24/successfully-launched-shaiped/" TargetMode="External"/><Relationship Id="rId159" Type="http://schemas.openxmlformats.org/officeDocument/2006/relationships/hyperlink" Target="https://indicate-europe.eu/" TargetMode="External"/><Relationship Id="rId175" Type="http://schemas.openxmlformats.org/officeDocument/2006/relationships/hyperlink" Target="https://european-union.europa.eu/institutions-law-budget/institutions-and-bodies/search-all-eu-institutions-and-bodies/innovative-health-initiative-joint-undertaking-ihi-ju_en" TargetMode="External"/><Relationship Id="rId170" Type="http://schemas.openxmlformats.org/officeDocument/2006/relationships/hyperlink" Target="https://ec.europa.eu/info/funding-tenders/opportunities/docs/2021-2027/horizon/wp-call/2026-2027/wp-4-health_horizon-2026-2027_en.pdf" TargetMode="External"/><Relationship Id="rId16" Type="http://schemas.openxmlformats.org/officeDocument/2006/relationships/hyperlink" Target="https://research-and-innovation.ec.europa.eu/strategy/strategy-research-and-innovation/jobs-and-economy/strategy-european-life-sciences_en" TargetMode="External"/><Relationship Id="rId107" Type="http://schemas.openxmlformats.org/officeDocument/2006/relationships/hyperlink" Target="https://doi.org/10.1001/jamanetworkopen.2022.8873" TargetMode="External"/><Relationship Id="rId11" Type="http://schemas.openxmlformats.org/officeDocument/2006/relationships/hyperlink" Target="https://eur-lex.europa.eu/legal-content/EN/TXT/?uri=CELEX:52021DC0044" TargetMode="External"/><Relationship Id="rId32" Type="http://schemas.openxmlformats.org/officeDocument/2006/relationships/hyperlink" Target="https://cancer-inequalities.jrc.ec.europa.eu/sites/default/files/docs/ccp2025/ec-oecd-synthesis-report-250124-1422.pdf" TargetMode="External"/><Relationship Id="rId37" Type="http://schemas.openxmlformats.org/officeDocument/2006/relationships/hyperlink" Target="https://ec.europa.eu/eurostat/databrowser/view/ilc_hch11__custom_18924314/bookmark/table?lang=en&amp;bookmarkId=707da6f1-1a0d-4ff7-b2f0-ea792c34101d&amp;c=1763372911000" TargetMode="External"/><Relationship Id="rId53" Type="http://schemas.openxmlformats.org/officeDocument/2006/relationships/hyperlink" Target="https://www.eea.europa.eu/en/analysis/indicators/income-related-environmental-inequalities-associated" TargetMode="External"/><Relationship Id="rId58" Type="http://schemas.openxmlformats.org/officeDocument/2006/relationships/hyperlink" Target="https://ec.europa.eu/eurostat/databrowser/bookmark/ba76e3c3-04db-4350-b2fd-26de8a6a673c?lang=en&amp;createdAt=2025-12-11T12:54:35Z" TargetMode="External"/><Relationship Id="rId74" Type="http://schemas.openxmlformats.org/officeDocument/2006/relationships/hyperlink" Target="https://eur-lex.europa.eu/eli/dir/2003/33/oj" TargetMode="External"/><Relationship Id="rId79" Type="http://schemas.openxmlformats.org/officeDocument/2006/relationships/hyperlink" Target="https://eur-lex.europa.eu/legal-content/EN/TXT/?uri=CELEX:52021DC0044" TargetMode="External"/><Relationship Id="rId102" Type="http://schemas.openxmlformats.org/officeDocument/2006/relationships/hyperlink" Target="https://europa.eu/eurobarometer/surveys/detail/2995" TargetMode="External"/><Relationship Id="rId123" Type="http://schemas.openxmlformats.org/officeDocument/2006/relationships/hyperlink" Target="https://digital-strategy.ec.europa.eu/en/policies/virtual-human-twins" TargetMode="External"/><Relationship Id="rId128" Type="http://schemas.openxmlformats.org/officeDocument/2006/relationships/hyperlink" Target="https://ht-advance.eu/" TargetMode="External"/><Relationship Id="rId144" Type="http://schemas.openxmlformats.org/officeDocument/2006/relationships/hyperlink" Target="https://research-and-innovation.ec.europa.eu/strategy/strategy-research-and-innovation/jobs-and-economy/strategy-european-life-sciences_en" TargetMode="External"/><Relationship Id="rId149" Type="http://schemas.openxmlformats.org/officeDocument/2006/relationships/hyperlink" Target="https://www.caramel-project.eu/" TargetMode="External"/><Relationship Id="rId5" Type="http://schemas.openxmlformats.org/officeDocument/2006/relationships/hyperlink" Target="https://www.consilium.europa.eu/en/press/press-releases/2024/12/03/cardiovascular-health-council-calls-for-more-robust-efforts-to-help-prevent-cardiovascular-diseases/" TargetMode="External"/><Relationship Id="rId90" Type="http://schemas.openxmlformats.org/officeDocument/2006/relationships/hyperlink" Target="https://schools4health.eu/" TargetMode="External"/><Relationship Id="rId95" Type="http://schemas.openxmlformats.org/officeDocument/2006/relationships/hyperlink" Target="https://cordis.europa.eu/project/id/101080329" TargetMode="External"/><Relationship Id="rId160" Type="http://schemas.openxmlformats.org/officeDocument/2006/relationships/hyperlink" Target="https://digital-strategy.ec.europa.eu/en/policies/apply-ai" TargetMode="External"/><Relationship Id="rId165" Type="http://schemas.openxmlformats.org/officeDocument/2006/relationships/hyperlink" Target="https://ec.europa.eu/eurostat" TargetMode="External"/><Relationship Id="rId181" Type="http://schemas.openxmlformats.org/officeDocument/2006/relationships/hyperlink" Target="https://ec.europa.eu/info/funding-tenders/opportunities/docs/2021-2027/horizon/wp-call/2026-2027/wp-4-health_horizon-2026-2027_en.pdf" TargetMode="External"/><Relationship Id="rId186" Type="http://schemas.openxmlformats.org/officeDocument/2006/relationships/hyperlink" Target="https://health.ec.europa.eu/non-communicable-diseases/expert-group-public-health_en" TargetMode="External"/><Relationship Id="rId22" Type="http://schemas.openxmlformats.org/officeDocument/2006/relationships/hyperlink" Target="https://ec.europa.eu/info/law/better-regulation/have-your-say/initiatives/14627-Biotech-Act/public-consultation_en" TargetMode="External"/><Relationship Id="rId27" Type="http://schemas.openxmlformats.org/officeDocument/2006/relationships/hyperlink" Target="https://health.ec.europa.eu/funding/eu4health-programme-2021-2027-vision-healthier-european-union_en" TargetMode="External"/><Relationship Id="rId43" Type="http://schemas.openxmlformats.org/officeDocument/2006/relationships/hyperlink" Target="https://knowledge4policy.ec.europa.eu/health-promotion-knowledge-gateway/sugars-sweeteners_en" TargetMode="External"/><Relationship Id="rId48" Type="http://schemas.openxmlformats.org/officeDocument/2006/relationships/hyperlink" Target="https://ec.europa.eu/eurostat/databrowser/view/hlth_ehis_pa2e__custom_18900671/bookmark/table?lang=en&amp;bookmarkId=c8e6f582-0742-4889-89fc-44b17ee95566&amp;c=1763137097000" TargetMode="External"/><Relationship Id="rId64" Type="http://schemas.openxmlformats.org/officeDocument/2006/relationships/hyperlink" Target="https://doi.org/10.1152/ajpheart.00376.2019" TargetMode="External"/><Relationship Id="rId69" Type="http://schemas.openxmlformats.org/officeDocument/2006/relationships/hyperlink" Target="https://publications.jrc.ec.europa.eu/repository/handle/JRC139495" TargetMode="External"/><Relationship Id="rId113" Type="http://schemas.openxmlformats.org/officeDocument/2006/relationships/hyperlink" Target="https://preventncd.eu/work-packages/wp-07/strengthening-health-literacy-to-reduce-inequalities-in-cancer-and-other-ncds/" TargetMode="External"/><Relationship Id="rId118" Type="http://schemas.openxmlformats.org/officeDocument/2006/relationships/hyperlink" Target="https://doi.org/10.1093/eurheartj/ehab309" TargetMode="External"/><Relationship Id="rId134" Type="http://schemas.openxmlformats.org/officeDocument/2006/relationships/hyperlink" Target="https://health.ec.europa.eu/non-communicable-diseases/mental-health_en" TargetMode="External"/><Relationship Id="rId139" Type="http://schemas.openxmlformats.org/officeDocument/2006/relationships/hyperlink" Target="https://ec2u.eu/" TargetMode="External"/><Relationship Id="rId80" Type="http://schemas.openxmlformats.org/officeDocument/2006/relationships/hyperlink" Target="http://www.euda.europa.eu" TargetMode="External"/><Relationship Id="rId85" Type="http://schemas.openxmlformats.org/officeDocument/2006/relationships/hyperlink" Target="https://www.thelancet.com/series-do/ultra-processed-food" TargetMode="External"/><Relationship Id="rId150" Type="http://schemas.openxmlformats.org/officeDocument/2006/relationships/hyperlink" Target="https://digital-strategy.ec.europa.eu/en/policies/1-million-genomes" TargetMode="External"/><Relationship Id="rId155" Type="http://schemas.openxmlformats.org/officeDocument/2006/relationships/hyperlink" Target="https://op.europa.eu/en/publication-detail/-/publication/97ad82f2-5244-11f0-a9d0-01aa75ed71a1/language-en" TargetMode="External"/><Relationship Id="rId171" Type="http://schemas.openxmlformats.org/officeDocument/2006/relationships/hyperlink" Target="https://research-and-innovation.ec.europa.eu/funding/funding-opportunities/funding-programmes-and-open-calls/horizon-2020_en" TargetMode="External"/><Relationship Id="rId176" Type="http://schemas.openxmlformats.org/officeDocument/2006/relationships/hyperlink" Target="https://prophetproject.eu/" TargetMode="External"/><Relationship Id="rId12" Type="http://schemas.openxmlformats.org/officeDocument/2006/relationships/hyperlink" Target="https://research-and-innovation.ec.europa.eu/funding/funding-opportunities/funding-programmes-and-open-calls/horizon-europe/eu-missions-horizon-europe/eu-mission-cancer_en" TargetMode="External"/><Relationship Id="rId17" Type="http://schemas.openxmlformats.org/officeDocument/2006/relationships/hyperlink" Target="https://eur-lex.europa.eu/eli/reg/2025/327/oj/eng" TargetMode="External"/><Relationship Id="rId33" Type="http://schemas.openxmlformats.org/officeDocument/2006/relationships/hyperlink" Target="https://www.efpia.eu/media/movnhr0y/how-can-we-improve-secondary-cvd-prevention-lse_efpia.pdf" TargetMode="External"/><Relationship Id="rId38" Type="http://schemas.openxmlformats.org/officeDocument/2006/relationships/hyperlink" Target="http://www.euda.europa.eu" TargetMode="External"/><Relationship Id="rId59" Type="http://schemas.openxmlformats.org/officeDocument/2006/relationships/hyperlink" Target="https://ec.europa.eu/eurostat/databrowser/bookmark/2555173c-0878-4506-ae96-358dda8a15a4?lang=en&amp;createdAt=2025-12-11T12:55:32Z" TargetMode="External"/><Relationship Id="rId103" Type="http://schemas.openxmlformats.org/officeDocument/2006/relationships/hyperlink" Target="https://digital-strategy.ec.europa.eu/en/policies/audiovisual-and-media-services" TargetMode="External"/><Relationship Id="rId108" Type="http://schemas.openxmlformats.org/officeDocument/2006/relationships/hyperlink" Target="https://www.escardio.org/The-ESC/Press-Office/Press-releases/vaccination-as-a-new-form-of-cardiovascular-prevention-an-esc-clinical-consensu" TargetMode="External"/><Relationship Id="rId124" Type="http://schemas.openxmlformats.org/officeDocument/2006/relationships/hyperlink" Target="https://eucanscreen.eu/" TargetMode="External"/><Relationship Id="rId129" Type="http://schemas.openxmlformats.org/officeDocument/2006/relationships/hyperlink" Target="https://pubmed.ncbi.nlm.nih.gov/40640196/" TargetMode="External"/><Relationship Id="rId54" Type="http://schemas.openxmlformats.org/officeDocument/2006/relationships/hyperlink" Target="https://www.eea.europa.eu/en/analysis/publications/environmental-noise-in-europe-2025" TargetMode="External"/><Relationship Id="rId70" Type="http://schemas.openxmlformats.org/officeDocument/2006/relationships/hyperlink" Target="https://eur-lex.europa.eu/legal-content/EN/TXT/?uri=celex:52025DC0075" TargetMode="External"/><Relationship Id="rId75" Type="http://schemas.openxmlformats.org/officeDocument/2006/relationships/hyperlink" Target="https://europa.eu/eurobarometer/surveys/detail/2995" TargetMode="External"/><Relationship Id="rId91" Type="http://schemas.openxmlformats.org/officeDocument/2006/relationships/hyperlink" Target="https://site.unibo.it/duse/en/project" TargetMode="External"/><Relationship Id="rId96" Type="http://schemas.openxmlformats.org/officeDocument/2006/relationships/hyperlink" Target="https://cordis.europa.eu/project/id/101080645" TargetMode="External"/><Relationship Id="rId140" Type="http://schemas.openxmlformats.org/officeDocument/2006/relationships/hyperlink" Target="https://eur-lex.europa.eu/legal-content/EN/TXT/?uri=CELEX%3A02017R0745-20250110" TargetMode="External"/><Relationship Id="rId145" Type="http://schemas.openxmlformats.org/officeDocument/2006/relationships/hyperlink" Target="https://health.ec.europa.eu/system/files/2023-03/mp_decentralised-elements_clinical-trials_rec_en.pdf" TargetMode="External"/><Relationship Id="rId161" Type="http://schemas.openxmlformats.org/officeDocument/2006/relationships/hyperlink" Target="https://tefhealth.eu/home" TargetMode="External"/><Relationship Id="rId166" Type="http://schemas.openxmlformats.org/officeDocument/2006/relationships/hyperlink" Target="https://www.escardio.org/static-file/Escardio/Advocacy/Documents/ESC%20Statement%20-%20Lancet%20Commission%20Report%20-%20CVD%20in%20Women.pdf" TargetMode="External"/><Relationship Id="rId182" Type="http://schemas.openxmlformats.org/officeDocument/2006/relationships/hyperlink" Target="https://ec.europa.eu/info/funding-tenders/opportunities/docs/2021-2027/horizon/wp-call/2026-2027/wp-4-health_horizon-2026-2027_en.pdf" TargetMode="External"/><Relationship Id="rId187" Type="http://schemas.openxmlformats.org/officeDocument/2006/relationships/hyperlink" Target="https://webgate.ec.europa.eu/hpf/" TargetMode="External"/><Relationship Id="rId1" Type="http://schemas.openxmlformats.org/officeDocument/2006/relationships/hyperlink" Target="https://www.oecd.org/en/publications/the-state-of-cardiovascular-health-in-the-european-union_ea7a15f4-en/full-report.html" TargetMode="External"/><Relationship Id="rId6" Type="http://schemas.openxmlformats.org/officeDocument/2006/relationships/hyperlink" Target="https://www.cardiovascular-alliance.eu/mep-group/" TargetMode="External"/><Relationship Id="rId23" Type="http://schemas.openxmlformats.org/officeDocument/2006/relationships/hyperlink" Target="https://jacardi.eu/" TargetMode="External"/><Relationship Id="rId28" Type="http://schemas.openxmlformats.org/officeDocument/2006/relationships/hyperlink" Target="https://health.ec.europa.eu/state-health-eu_en" TargetMode="External"/><Relationship Id="rId49" Type="http://schemas.openxmlformats.org/officeDocument/2006/relationships/hyperlink" Target="https://doi.org/10.1007/s12170-016-0491-8" TargetMode="External"/><Relationship Id="rId114" Type="http://schemas.openxmlformats.org/officeDocument/2006/relationships/hyperlink" Target="https://health.ec.europa.eu/non-communicable-diseases/cancer/europes-beating-cancer-plan-eu4health-financed-projects/projects/ecac5_en" TargetMode="External"/><Relationship Id="rId119" Type="http://schemas.openxmlformats.org/officeDocument/2006/relationships/hyperlink" Target="https://fh-early.eu/" TargetMode="External"/><Relationship Id="rId44" Type="http://schemas.openxmlformats.org/officeDocument/2006/relationships/hyperlink" Target="https://ec.europa.eu/eurostat/databrowser/view/hlth_ehis_fv3e__custom_18480344/bookmark/table?lang=en&amp;bookmarkId=417c3894-967a-4c1d-b67c-5be5c22a6bf5&amp;c=1760952223000" TargetMode="External"/><Relationship Id="rId60" Type="http://schemas.openxmlformats.org/officeDocument/2006/relationships/hyperlink" Target="https://health.ec.europa.eu/document/download/26284fbb-0c7b-4d4d-ae57-f7f2a47e493f_en?filename=funding_c2025_5148_annex_en.pdf" TargetMode="External"/><Relationship Id="rId65" Type="http://schemas.openxmlformats.org/officeDocument/2006/relationships/hyperlink" Target="https://pmc.ncbi.nlm.nih.gov/articles/PMC11169959/" TargetMode="External"/><Relationship Id="rId81" Type="http://schemas.openxmlformats.org/officeDocument/2006/relationships/hyperlink" Target="https://knowledge4policy.ec.europa.eu/health-promotion-knowledge-gateway/alcoholic-beverages_en" TargetMode="External"/><Relationship Id="rId86" Type="http://schemas.openxmlformats.org/officeDocument/2006/relationships/hyperlink" Target="https://erasmus-plus.ec.europa.eu/" TargetMode="External"/><Relationship Id="rId130" Type="http://schemas.openxmlformats.org/officeDocument/2006/relationships/hyperlink" Target="https://www.oecd.org/en/publications/the-state-of-cardiovascular-health-in-the-european-union_ea7a1%e2%80%a6.html" TargetMode="External"/><Relationship Id="rId135" Type="http://schemas.openxmlformats.org/officeDocument/2006/relationships/hyperlink" Target="https://eu-promens.eu/eu-promens" TargetMode="External"/><Relationship Id="rId151" Type="http://schemas.openxmlformats.org/officeDocument/2006/relationships/hyperlink" Target="https://digital-strategy.ec.europa.eu/en/news/genome-europe-project-launched-first-step-towards-european-reference-genome" TargetMode="External"/><Relationship Id="rId156" Type="http://schemas.openxmlformats.org/officeDocument/2006/relationships/hyperlink" Target="https://digital-strategy.ec.europa.eu/en/news/commission-launches-flagship-initiative-increase-use-ai-healthcare" TargetMode="External"/><Relationship Id="rId177" Type="http://schemas.openxmlformats.org/officeDocument/2006/relationships/hyperlink" Target="https://profid-project.eu/" TargetMode="External"/><Relationship Id="rId172" Type="http://schemas.openxmlformats.org/officeDocument/2006/relationships/hyperlink" Target="https://commission.europa.eu/funding-tenders/find-funding/eu-funding-programmes/horizon-europe_en" TargetMode="External"/><Relationship Id="rId13" Type="http://schemas.openxmlformats.org/officeDocument/2006/relationships/hyperlink" Target="https://eur-lex.europa.eu/legal-content/EN/ALL/?uri=COM:2023:298:FIN" TargetMode="External"/><Relationship Id="rId18" Type="http://schemas.openxmlformats.org/officeDocument/2006/relationships/hyperlink" Target="https://eur-lex.europa.eu/legal-content/EN/ALL/?uri=COM:2023:190:FIN" TargetMode="External"/><Relationship Id="rId39" Type="http://schemas.openxmlformats.org/officeDocument/2006/relationships/hyperlink" Target="https://www.eea.europa.eu/en/analysis/publications/preventing-cardiovascular-disease-through-a-healthy-environment" TargetMode="External"/><Relationship Id="rId109" Type="http://schemas.openxmlformats.org/officeDocument/2006/relationships/hyperlink" Target="https://hadea.ec.europa.eu/news/european-immunisation-week-2025-eu4health-and-horizon-europe-projects-protecting-health-people-all-2025-04-28_en" TargetMode="External"/><Relationship Id="rId34" Type="http://schemas.openxmlformats.org/officeDocument/2006/relationships/hyperlink" Target="https://doi.org/10.1093/eurheartj/ehab892" TargetMode="External"/><Relationship Id="rId50" Type="http://schemas.openxmlformats.org/officeDocument/2006/relationships/hyperlink" Target="https://doi.org/10.1038/s41572-022-00376-4" TargetMode="External"/><Relationship Id="rId55" Type="http://schemas.openxmlformats.org/officeDocument/2006/relationships/hyperlink" Target="https://health.ec.europa.eu/one-health_en" TargetMode="External"/><Relationship Id="rId76" Type="http://schemas.openxmlformats.org/officeDocument/2006/relationships/hyperlink" Target="https://op.europa.eu/en/publication-detail/-/publication/f859d057-726e-11f0-bf4e-01aa75ed71a1" TargetMode="External"/><Relationship Id="rId97" Type="http://schemas.openxmlformats.org/officeDocument/2006/relationships/hyperlink" Target="https://preventproject.eu/the-prevent-living-labs-a-new-approach-to-tackling-childhood-obesity/" TargetMode="External"/><Relationship Id="rId104" Type="http://schemas.openxmlformats.org/officeDocument/2006/relationships/hyperlink" Target="https://www.unicef.org/eca/press-releases/european-commission-and-unicef-announce-new-partnership-improve-health-outcomes" TargetMode="External"/><Relationship Id="rId120" Type="http://schemas.openxmlformats.org/officeDocument/2006/relationships/hyperlink" Target="https://cordis.europa.eu/article/id/92771-biomarkers-for-cardiovascular-diseases-expanded" TargetMode="External"/><Relationship Id="rId125" Type="http://schemas.openxmlformats.org/officeDocument/2006/relationships/hyperlink" Target="https://europeanlung.org/solace/" TargetMode="External"/><Relationship Id="rId141" Type="http://schemas.openxmlformats.org/officeDocument/2006/relationships/hyperlink" Target="https://eur-lex.europa.eu/legal-content/EN/TXT/?uri=CELEX%3A02017R0746-20250110" TargetMode="External"/><Relationship Id="rId146" Type="http://schemas.openxmlformats.org/officeDocument/2006/relationships/hyperlink" Target="https://eur-lex.europa.eu/eli/reg/2021/2282/oj/eng" TargetMode="External"/><Relationship Id="rId167" Type="http://schemas.openxmlformats.org/officeDocument/2006/relationships/hyperlink" Target="https://doi.org/10.7759/cureus.54264" TargetMode="External"/><Relationship Id="rId188" Type="http://schemas.openxmlformats.org/officeDocument/2006/relationships/hyperlink" Target="https://webgate.ec.europa.eu/dyna/bp-portal/" TargetMode="External"/><Relationship Id="rId7" Type="http://schemas.openxmlformats.org/officeDocument/2006/relationships/hyperlink" Target="https://www.europarl.europa.eu/doceo/document/A-9-2023-0366_EN.html" TargetMode="External"/><Relationship Id="rId71" Type="http://schemas.openxmlformats.org/officeDocument/2006/relationships/hyperlink" Target="https://eur-lex.europa.eu/legal-content/EN/TXT/?uri=celex:52025DC0075" TargetMode="External"/><Relationship Id="rId92" Type="http://schemas.openxmlformats.org/officeDocument/2006/relationships/hyperlink" Target="https://ryhealth.net/" TargetMode="External"/><Relationship Id="rId162" Type="http://schemas.openxmlformats.org/officeDocument/2006/relationships/hyperlink" Target="https://health.ec.europa.eu/document/download/26284fbb-0c7b-4d4d-ae57-f7f2a47e493f_en" TargetMode="External"/><Relationship Id="rId183" Type="http://schemas.openxmlformats.org/officeDocument/2006/relationships/hyperlink" Target="https://ec.europa.eu/info/funding-tenders/opportunities/docs/2021-2027/horizon/wp-call/2026-2027/wp-9-food-bioeconomy-natural-resources-agriculture-and-environment_horizon-2026-2027_en.pdf" TargetMode="External"/><Relationship Id="rId2" Type="http://schemas.openxmlformats.org/officeDocument/2006/relationships/hyperlink" Target="https://ec.europa.eu/eurostat/statistics-explained/index.php?title=Cardiovascular_diseases_statistics" TargetMode="External"/><Relationship Id="rId29" Type="http://schemas.openxmlformats.org/officeDocument/2006/relationships/hyperlink" Target="https://world-heart-federation.org/what-we-do/prevention/" TargetMode="External"/><Relationship Id="rId24" Type="http://schemas.openxmlformats.org/officeDocument/2006/relationships/hyperlink" Target="https://www.preventncd.eu/" TargetMode="External"/><Relationship Id="rId40" Type="http://schemas.openxmlformats.org/officeDocument/2006/relationships/hyperlink" Target="https://pubmed.ncbi.nlm.nih.gov/32503638/" TargetMode="External"/><Relationship Id="rId45" Type="http://schemas.openxmlformats.org/officeDocument/2006/relationships/hyperlink" Target="https://www.euda.europa.eu/publications/data-factsheets/espad-2024-key-findings_en" TargetMode="External"/><Relationship Id="rId66" Type="http://schemas.openxmlformats.org/officeDocument/2006/relationships/hyperlink" Target="https://single-market-economy.ec.europa.eu/sectors/agri-food-industrial-ecosystem/agri-food-code_en" TargetMode="External"/><Relationship Id="rId87" Type="http://schemas.openxmlformats.org/officeDocument/2006/relationships/hyperlink" Target="https://health.ec.europa.eu/system/files/2016-11/childhoodobesity_actionplan_2014_2020_en_0.pdf" TargetMode="External"/><Relationship Id="rId110" Type="http://schemas.openxmlformats.org/officeDocument/2006/relationships/hyperlink" Target="https://vaccination-info.europa.eu/en" TargetMode="External"/><Relationship Id="rId115" Type="http://schemas.openxmlformats.org/officeDocument/2006/relationships/hyperlink" Target="https://www.poccardio-project.eu/" TargetMode="External"/><Relationship Id="rId131" Type="http://schemas.openxmlformats.org/officeDocument/2006/relationships/hyperlink" Target="https://ecanja.eu/" TargetMode="External"/><Relationship Id="rId136" Type="http://schemas.openxmlformats.org/officeDocument/2006/relationships/hyperlink" Target="https://health.eutopia-university.eu/" TargetMode="External"/><Relationship Id="rId157" Type="http://schemas.openxmlformats.org/officeDocument/2006/relationships/hyperlink" Target="https://health.ec.europa.eu/ehealth-digital-health-and-care/european-health-data-space-regulation-ehds_en" TargetMode="External"/><Relationship Id="rId178" Type="http://schemas.openxmlformats.org/officeDocument/2006/relationships/hyperlink" Target="https://digital-strategy.ec.europa.eu/en/policies/virtual-human-twins" TargetMode="External"/><Relationship Id="rId61" Type="http://schemas.openxmlformats.org/officeDocument/2006/relationships/hyperlink" Target="https://health.ec.europa.eu/document/download/26284fbb-0c7b-4d4d-ae57-f7f2a47e493f_en?filename=funding_c2025_5148_annex_en.pdf" TargetMode="External"/><Relationship Id="rId82" Type="http://schemas.openxmlformats.org/officeDocument/2006/relationships/hyperlink" Target="https://taxation-customs.ec.europa.eu/news/study-health-taxes-eu-perspective-2025-05-16_en" TargetMode="External"/><Relationship Id="rId152" Type="http://schemas.openxmlformats.org/officeDocument/2006/relationships/hyperlink" Target="https://digital-strategy.ec.europa.eu/en/library/ai-continent-action-plan" TargetMode="External"/><Relationship Id="rId173" Type="http://schemas.openxmlformats.org/officeDocument/2006/relationships/hyperlink" Target="https://www.iqvia.com/insights/the-iqvia-institute/reports-and-publications/reports/global-trends-in-r-and-d-2024-activity-productivity-and-enablers" TargetMode="External"/><Relationship Id="rId19" Type="http://schemas.openxmlformats.org/officeDocument/2006/relationships/hyperlink" Target="https://health.ec.europa.eu/medical-devices-sector_en" TargetMode="External"/><Relationship Id="rId14" Type="http://schemas.openxmlformats.org/officeDocument/2006/relationships/hyperlink" Target="https://eur-lex.europa.eu/legal-content/EN/ALL/?uri=COM:2021:400:FIN" TargetMode="External"/><Relationship Id="rId30" Type="http://schemas.openxmlformats.org/officeDocument/2006/relationships/hyperlink" Target="https://www.oecd.org/en/publications/the-state-of-cardiovascular-health-in-the-european-union_ea7a15f4-en/full-report.html" TargetMode="External"/><Relationship Id="rId35" Type="http://schemas.openxmlformats.org/officeDocument/2006/relationships/hyperlink" Target="https://doi.org/10.1186/s40885-024-00276-7" TargetMode="External"/><Relationship Id="rId56" Type="http://schemas.openxmlformats.org/officeDocument/2006/relationships/hyperlink" Target="https://ec.europa.eu/eurostat/databrowser/view/hlth_cd_apr/default/table?lang=en" TargetMode="External"/><Relationship Id="rId77" Type="http://schemas.openxmlformats.org/officeDocument/2006/relationships/hyperlink" Target="https://www.who.int/teams/health-promotion/tobacco-control/economics/taxation" TargetMode="External"/><Relationship Id="rId100" Type="http://schemas.openxmlformats.org/officeDocument/2006/relationships/hyperlink" Target="https://cordis.europa.eu/project/id/101084642" TargetMode="External"/><Relationship Id="rId105" Type="http://schemas.openxmlformats.org/officeDocument/2006/relationships/hyperlink" Target="https://climate-adapt.eea.europa.eu/en/observatory" TargetMode="External"/><Relationship Id="rId126" Type="http://schemas.openxmlformats.org/officeDocument/2006/relationships/hyperlink" Target="https://oncoscreen.health/" TargetMode="External"/><Relationship Id="rId147" Type="http://schemas.openxmlformats.org/officeDocument/2006/relationships/hyperlink" Target="https://commission.europa.eu/funding-tenders/find-funding/eu-funding-programmes/technical-support-instrument/technical-support-instrument-tsi_en" TargetMode="External"/><Relationship Id="rId168" Type="http://schemas.openxmlformats.org/officeDocument/2006/relationships/hyperlink" Target="https://www.oecd.org/en/publications/the-state-of-cardiovascular-health-in-the-european-union_ea7a15f4-en/full-report.html" TargetMode="External"/><Relationship Id="rId8" Type="http://schemas.openxmlformats.org/officeDocument/2006/relationships/hyperlink" Target="https://ec.europa.eu/info/law/better-regulation/have-your-say/initiatives/14755-EU-cardiovascular-health-plan_en" TargetMode="External"/><Relationship Id="rId51" Type="http://schemas.openxmlformats.org/officeDocument/2006/relationships/hyperlink" Target="https://www.oecd.org/en/publications/the-state-of-cardiovascular-health-in-the-european-union_ea7a15f4-en/full-report.html" TargetMode="External"/><Relationship Id="rId72" Type="http://schemas.openxmlformats.org/officeDocument/2006/relationships/hyperlink" Target="https://europa.eu/eurobarometer/surveys/detail/2995" TargetMode="External"/><Relationship Id="rId93" Type="http://schemas.openxmlformats.org/officeDocument/2006/relationships/hyperlink" Target="https://cordis.europa.eu/project/id/101080718" TargetMode="External"/><Relationship Id="rId98" Type="http://schemas.openxmlformats.org/officeDocument/2006/relationships/hyperlink" Target="https://food2030.eu/projects/zero-hidden-hunger-eu/" TargetMode="External"/><Relationship Id="rId121" Type="http://schemas.openxmlformats.org/officeDocument/2006/relationships/hyperlink" Target="https://perfecto-fh.eu/" TargetMode="External"/><Relationship Id="rId142" Type="http://schemas.openxmlformats.org/officeDocument/2006/relationships/hyperlink" Target="https://health.ec.europa.eu/medicinal-products/legal-framework-governing-medicinal-products-human-use-eu/critical-medicines-act_en" TargetMode="External"/><Relationship Id="rId163" Type="http://schemas.openxmlformats.org/officeDocument/2006/relationships/hyperlink" Target="https://doi.org/10.1038/s41591-024-03273-3" TargetMode="External"/><Relationship Id="rId184" Type="http://schemas.openxmlformats.org/officeDocument/2006/relationships/hyperlink" Target="https://www.preventncd.eu/newsroom/news-updates/announcing-the-ja-preventncd-youth-advisory-group/" TargetMode="External"/><Relationship Id="rId189" Type="http://schemas.openxmlformats.org/officeDocument/2006/relationships/hyperlink" Target="https://www.gacd.org/about" TargetMode="External"/><Relationship Id="rId3" Type="http://schemas.openxmlformats.org/officeDocument/2006/relationships/hyperlink" Target="https://pubmed.ncbi.nlm.nih.gov/39270739/" TargetMode="External"/><Relationship Id="rId25" Type="http://schemas.openxmlformats.org/officeDocument/2006/relationships/hyperlink" Target="https://ec.europa.eu/newsroom/sante/items/866453/en" TargetMode="External"/><Relationship Id="rId46" Type="http://schemas.openxmlformats.org/officeDocument/2006/relationships/hyperlink" Target="https://www.sportesalute.eu/images/studi-e-dati-dello-sport/schede/2024/177-The-State-of-Children-in-the-European-Union.pdf" TargetMode="External"/><Relationship Id="rId67" Type="http://schemas.openxmlformats.org/officeDocument/2006/relationships/hyperlink" Target="https://research-and-innovation.ec.europa.eu/research-area/environment/bioeconomy/food-systems/food-2030_en" TargetMode="External"/><Relationship Id="rId116" Type="http://schemas.openxmlformats.org/officeDocument/2006/relationships/hyperlink" Target="https://commission.europa.eu/aid-development-cooperation-fundamental-rights/your-fundamental-rights-eu/know-your-rights/equality/non-discrimination_en" TargetMode="External"/><Relationship Id="rId137" Type="http://schemas.openxmlformats.org/officeDocument/2006/relationships/hyperlink" Target="https://civis.eu/en/learn/civis-courses/challenges-and-innovative-approaches-in-cardiovascular-and-metabolic-disease-from-basic-research-to-clinical-practice" TargetMode="External"/><Relationship Id="rId158" Type="http://schemas.openxmlformats.org/officeDocument/2006/relationships/hyperlink" Target="https://www.icudata4eu.com/" TargetMode="External"/><Relationship Id="rId20" Type="http://schemas.openxmlformats.org/officeDocument/2006/relationships/hyperlink" Target="https://health.ec.europa.eu/medicinal-products/legal-framework-governing-medicinal-products-human-use-eu/critical-medicines-act_en" TargetMode="External"/><Relationship Id="rId41" Type="http://schemas.openxmlformats.org/officeDocument/2006/relationships/hyperlink" Target="https://ec.europa.eu/eurostat/databrowser/bookmark/ab518af2-3323-4f46-a563-eac5109666af?lang=en&amp;createdAt=2025-11-17T10:00:04Z" TargetMode="External"/><Relationship Id="rId62" Type="http://schemas.openxmlformats.org/officeDocument/2006/relationships/hyperlink" Target="https://health.ec.europa.eu/document/download/26284fbb-0c7b-4d4d-ae57-f7f2a47e493f_en?filename=funding_c2025_5148_annex_en.pdf" TargetMode="External"/><Relationship Id="rId83" Type="http://schemas.openxmlformats.org/officeDocument/2006/relationships/hyperlink" Target="https://europa.eu/eurobarometer/surveys/detail/3380" TargetMode="External"/><Relationship Id="rId88" Type="http://schemas.openxmlformats.org/officeDocument/2006/relationships/hyperlink" Target="https://www.who.int/europe/news/item/03-03-2021-how-healthy-are-children-s-eating-habits-who-europe-surveillance-results" TargetMode="External"/><Relationship Id="rId111" Type="http://schemas.openxmlformats.org/officeDocument/2006/relationships/hyperlink" Target="https://health.ec.europa.eu/vaccination_en" TargetMode="External"/><Relationship Id="rId132" Type="http://schemas.openxmlformats.org/officeDocument/2006/relationships/hyperlink" Target="https://incareheart.eu/" TargetMode="External"/><Relationship Id="rId153" Type="http://schemas.openxmlformats.org/officeDocument/2006/relationships/hyperlink" Target="https://digital-strategy.ec.europa.eu/en/policies/apply-ai" TargetMode="External"/><Relationship Id="rId174" Type="http://schemas.openxmlformats.org/officeDocument/2006/relationships/hyperlink" Target="https://doi.org/10.1093/eurheartj/ehv213" TargetMode="External"/><Relationship Id="rId179" Type="http://schemas.openxmlformats.org/officeDocument/2006/relationships/hyperlink" Target="https://commission.europa.eu/funding-tenders/find-funding/eu-funding-programmes/european-regional-development-fund-erdf_en" TargetMode="External"/><Relationship Id="rId15" Type="http://schemas.openxmlformats.org/officeDocument/2006/relationships/hyperlink" Target="https://environment.ec.europa.eu/strategy/zero-pollution-action-plan_en" TargetMode="External"/><Relationship Id="rId36" Type="http://schemas.openxmlformats.org/officeDocument/2006/relationships/hyperlink" Target="https://www.oecd.org/en/publications/the-state-of-cardiovascular-health-in-the-european-union_ea7a15f4-en/full-report.html" TargetMode="External"/><Relationship Id="rId57" Type="http://schemas.openxmlformats.org/officeDocument/2006/relationships/hyperlink" Target="https://ec.europa.eu/eurostat/databrowser/bookmark/e7969425-7cae-4d0e-9452-5bc55dcc7991?lang=en&amp;createdAt=2025-12-11T12:51:57Z" TargetMode="External"/><Relationship Id="rId106" Type="http://schemas.openxmlformats.org/officeDocument/2006/relationships/hyperlink" Target="https://doi.org/10.1093/eurheartj/ehaf384" TargetMode="External"/><Relationship Id="rId127" Type="http://schemas.openxmlformats.org/officeDocument/2006/relationships/hyperlink" Target="https://doi.org/10.1136/bmj.r365" TargetMode="External"/><Relationship Id="rId10" Type="http://schemas.openxmlformats.org/officeDocument/2006/relationships/hyperlink" Target="https://health.ec.europa.eu/non-communicable-diseases/healthier-together-eu-non-communicable-diseases-initiative_en" TargetMode="External"/><Relationship Id="rId31" Type="http://schemas.openxmlformats.org/officeDocument/2006/relationships/hyperlink" Target="https://doi.org/10.1093/eurheartj/ehae508" TargetMode="External"/><Relationship Id="rId52" Type="http://schemas.openxmlformats.org/officeDocument/2006/relationships/hyperlink" Target="https://ec.europa.eu/eurostat/web/products-datasets/-/hlth_cd_asdr2" TargetMode="External"/><Relationship Id="rId73" Type="http://schemas.openxmlformats.org/officeDocument/2006/relationships/hyperlink" Target="https://eur-lex.europa.eu/eli/dir/2014/40/oj" TargetMode="External"/><Relationship Id="rId78" Type="http://schemas.openxmlformats.org/officeDocument/2006/relationships/hyperlink" Target="https://eur-lex.europa.eu/legal-content/en/ALL/?uri=CELEX%3A32011L0064" TargetMode="External"/><Relationship Id="rId94" Type="http://schemas.openxmlformats.org/officeDocument/2006/relationships/hyperlink" Target="https://cordis.europa.eu/project/id/101080465" TargetMode="External"/><Relationship Id="rId99" Type="http://schemas.openxmlformats.org/officeDocument/2006/relationships/hyperlink" Target="https://cordis.europa.eu/project/id/101061023" TargetMode="External"/><Relationship Id="rId101" Type="http://schemas.openxmlformats.org/officeDocument/2006/relationships/hyperlink" Target="https://www.oecd.org/en/publications/step-up-tackling-the-burden-of-insufficient-physical-activity-in-europe_500a9601-en.html" TargetMode="External"/><Relationship Id="rId122" Type="http://schemas.openxmlformats.org/officeDocument/2006/relationships/hyperlink" Target="https://academic.oup.com/eurheartj/article/46/15/1372/8001983" TargetMode="External"/><Relationship Id="rId143" Type="http://schemas.openxmlformats.org/officeDocument/2006/relationships/hyperlink" Target="https://www.ema.europa.eu/en/human-regulatory-overview/post-authorisation/medicine-shortages-availability-issues/availability-medicines-during-crises/union-list-critical-medicines" TargetMode="External"/><Relationship Id="rId148" Type="http://schemas.openxmlformats.org/officeDocument/2006/relationships/hyperlink" Target="https://eur-lex.europa.eu/eli/reg/2021/240/oj/eng" TargetMode="External"/><Relationship Id="rId164" Type="http://schemas.openxmlformats.org/officeDocument/2006/relationships/hyperlink" Target="https://doi.org/10.7759/cureus.89912" TargetMode="External"/><Relationship Id="rId169" Type="http://schemas.openxmlformats.org/officeDocument/2006/relationships/hyperlink" Target="https://cancer-inequalities.jrc.ec.europa.eu/" TargetMode="External"/><Relationship Id="rId185" Type="http://schemas.openxmlformats.org/officeDocument/2006/relationships/hyperlink" Target="https://health.ec.europa.eu/non-communicable-diseases/cardiovascular-health_en" TargetMode="External"/><Relationship Id="rId4" Type="http://schemas.openxmlformats.org/officeDocument/2006/relationships/hyperlink" Target="https://data.consilium.europa.eu/doc/document/ST-15315-2024-INIT/en/pdf" TargetMode="External"/><Relationship Id="rId9" Type="http://schemas.openxmlformats.org/officeDocument/2006/relationships/hyperlink" Target="https://commission.europa.eu/topics/public-health/european-health-union_en" TargetMode="External"/><Relationship Id="rId180" Type="http://schemas.openxmlformats.org/officeDocument/2006/relationships/hyperlink" Target="https://eismea.ec.europa.eu/programmes/interregional-innovation-investments-i3-instru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8" ma:contentTypeDescription="Create a new document." ma:contentTypeScope="" ma:versionID="ef3854a146db384c0ef069f7ac15a0b7">
  <xsd:schema xmlns:xsd="http://www.w3.org/2001/XMLSchema" xmlns:xs="http://www.w3.org/2001/XMLSchema" xmlns:p="http://schemas.microsoft.com/office/2006/metadata/properties" xmlns:ns2="2a565401-6124-4834-af4c-bc1a772a6083" targetNamespace="http://schemas.microsoft.com/office/2006/metadata/properties" ma:root="true" ma:fieldsID="c697d27d202e4a0e46264c9e1fab10e3"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438D1-6124-47FE-A540-1BB03E19F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443B4C-03BA-48A3-8936-A326EBEF628A}">
  <ds:schemaRefs>
    <ds:schemaRef ds:uri="http://schemas.microsoft.com/sharepoint/v3/contenttype/forms"/>
  </ds:schemaRefs>
</ds:datastoreItem>
</file>

<file path=customXml/itemProps3.xml><?xml version="1.0" encoding="utf-8"?>
<ds:datastoreItem xmlns:ds="http://schemas.openxmlformats.org/officeDocument/2006/customXml" ds:itemID="{9695D136-D65F-471F-B394-734DF02D41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6656B2-85D7-46CC-A930-C0DB5D836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10642</Words>
  <Characters>60665</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71165</CharactersWithSpaces>
  <SharedDoc>false</SharedDoc>
  <HLinks>
    <vt:vector size="1116" baseType="variant">
      <vt:variant>
        <vt:i4>196678</vt:i4>
      </vt:variant>
      <vt:variant>
        <vt:i4>0</vt:i4>
      </vt:variant>
      <vt:variant>
        <vt:i4>0</vt:i4>
      </vt:variant>
      <vt:variant>
        <vt:i4>5</vt:i4>
      </vt:variant>
      <vt:variant>
        <vt:lpwstr>https://publications.jrc.ec.europa.eu/repository/handle/JRC139495</vt:lpwstr>
      </vt:variant>
      <vt:variant>
        <vt:lpwstr/>
      </vt:variant>
      <vt:variant>
        <vt:i4>4128800</vt:i4>
      </vt:variant>
      <vt:variant>
        <vt:i4>603</vt:i4>
      </vt:variant>
      <vt:variant>
        <vt:i4>0</vt:i4>
      </vt:variant>
      <vt:variant>
        <vt:i4>5</vt:i4>
      </vt:variant>
      <vt:variant>
        <vt:lpwstr>https://www.gacd.org/about</vt:lpwstr>
      </vt:variant>
      <vt:variant>
        <vt:lpwstr/>
      </vt:variant>
      <vt:variant>
        <vt:i4>983051</vt:i4>
      </vt:variant>
      <vt:variant>
        <vt:i4>600</vt:i4>
      </vt:variant>
      <vt:variant>
        <vt:i4>0</vt:i4>
      </vt:variant>
      <vt:variant>
        <vt:i4>5</vt:i4>
      </vt:variant>
      <vt:variant>
        <vt:lpwstr>https://webgate.ec.europa.eu/dyna/bp-portal/</vt:lpwstr>
      </vt:variant>
      <vt:variant>
        <vt:lpwstr/>
      </vt:variant>
      <vt:variant>
        <vt:i4>1572955</vt:i4>
      </vt:variant>
      <vt:variant>
        <vt:i4>597</vt:i4>
      </vt:variant>
      <vt:variant>
        <vt:i4>0</vt:i4>
      </vt:variant>
      <vt:variant>
        <vt:i4>5</vt:i4>
      </vt:variant>
      <vt:variant>
        <vt:lpwstr>https://webgate.ec.europa.eu/hpf/</vt:lpwstr>
      </vt:variant>
      <vt:variant>
        <vt:lpwstr/>
      </vt:variant>
      <vt:variant>
        <vt:i4>4128842</vt:i4>
      </vt:variant>
      <vt:variant>
        <vt:i4>594</vt:i4>
      </vt:variant>
      <vt:variant>
        <vt:i4>0</vt:i4>
      </vt:variant>
      <vt:variant>
        <vt:i4>5</vt:i4>
      </vt:variant>
      <vt:variant>
        <vt:lpwstr>https://health.ec.europa.eu/non-communicable-diseases/expert-group-public-health_en</vt:lpwstr>
      </vt:variant>
      <vt:variant>
        <vt:lpwstr/>
      </vt:variant>
      <vt:variant>
        <vt:i4>4587570</vt:i4>
      </vt:variant>
      <vt:variant>
        <vt:i4>591</vt:i4>
      </vt:variant>
      <vt:variant>
        <vt:i4>0</vt:i4>
      </vt:variant>
      <vt:variant>
        <vt:i4>5</vt:i4>
      </vt:variant>
      <vt:variant>
        <vt:lpwstr>https://health.ec.europa.eu/non-communicable-diseases/cardiovascular-health_en</vt:lpwstr>
      </vt:variant>
      <vt:variant>
        <vt:lpwstr/>
      </vt:variant>
      <vt:variant>
        <vt:i4>3735606</vt:i4>
      </vt:variant>
      <vt:variant>
        <vt:i4>588</vt:i4>
      </vt:variant>
      <vt:variant>
        <vt:i4>0</vt:i4>
      </vt:variant>
      <vt:variant>
        <vt:i4>5</vt:i4>
      </vt:variant>
      <vt:variant>
        <vt:lpwstr>https://www.preventncd.eu/newsroom/news-updates/announcing-the-ja-preventncd-youth-advisory-group/</vt:lpwstr>
      </vt:variant>
      <vt:variant>
        <vt:lpwstr/>
      </vt:variant>
      <vt:variant>
        <vt:i4>524295</vt:i4>
      </vt:variant>
      <vt:variant>
        <vt:i4>585</vt:i4>
      </vt:variant>
      <vt:variant>
        <vt:i4>0</vt:i4>
      </vt:variant>
      <vt:variant>
        <vt:i4>5</vt:i4>
      </vt:variant>
      <vt:variant>
        <vt:lpwstr>https://ec.europa.eu/info/funding-tenders/opportunities/docs/2021-2027/horizon/wp-call/2026-2027/wp-9-food-bioeconomy-natural-resources-agriculture-and-environment_horizon-2026-2027_en.pdf</vt:lpwstr>
      </vt:variant>
      <vt:variant>
        <vt:lpwstr/>
      </vt:variant>
      <vt:variant>
        <vt:i4>196614</vt:i4>
      </vt:variant>
      <vt:variant>
        <vt:i4>582</vt:i4>
      </vt:variant>
      <vt:variant>
        <vt:i4>0</vt:i4>
      </vt:variant>
      <vt:variant>
        <vt:i4>5</vt:i4>
      </vt:variant>
      <vt:variant>
        <vt:lpwstr>https://ec.europa.eu/info/funding-tenders/opportunities/docs/2021-2027/horizon/wp-call/2026-2027/wp-4-health_horizon-2026-2027_en.pdf</vt:lpwstr>
      </vt:variant>
      <vt:variant>
        <vt:lpwstr/>
      </vt:variant>
      <vt:variant>
        <vt:i4>196614</vt:i4>
      </vt:variant>
      <vt:variant>
        <vt:i4>579</vt:i4>
      </vt:variant>
      <vt:variant>
        <vt:i4>0</vt:i4>
      </vt:variant>
      <vt:variant>
        <vt:i4>5</vt:i4>
      </vt:variant>
      <vt:variant>
        <vt:lpwstr>https://ec.europa.eu/info/funding-tenders/opportunities/docs/2021-2027/horizon/wp-call/2026-2027/wp-4-health_horizon-2026-2027_en.pdf</vt:lpwstr>
      </vt:variant>
      <vt:variant>
        <vt:lpwstr/>
      </vt:variant>
      <vt:variant>
        <vt:i4>6815761</vt:i4>
      </vt:variant>
      <vt:variant>
        <vt:i4>576</vt:i4>
      </vt:variant>
      <vt:variant>
        <vt:i4>0</vt:i4>
      </vt:variant>
      <vt:variant>
        <vt:i4>5</vt:i4>
      </vt:variant>
      <vt:variant>
        <vt:lpwstr>https://eismea.ec.europa.eu/programmes/interregional-innovation-investments-i3-instrument_en</vt:lpwstr>
      </vt:variant>
      <vt:variant>
        <vt:lpwstr/>
      </vt:variant>
      <vt:variant>
        <vt:i4>5898303</vt:i4>
      </vt:variant>
      <vt:variant>
        <vt:i4>573</vt:i4>
      </vt:variant>
      <vt:variant>
        <vt:i4>0</vt:i4>
      </vt:variant>
      <vt:variant>
        <vt:i4>5</vt:i4>
      </vt:variant>
      <vt:variant>
        <vt:lpwstr>https://commission.europa.eu/funding-tenders/find-funding/eu-funding-programmes/european-regional-development-fund-erdf_en</vt:lpwstr>
      </vt:variant>
      <vt:variant>
        <vt:lpwstr/>
      </vt:variant>
      <vt:variant>
        <vt:i4>262149</vt:i4>
      </vt:variant>
      <vt:variant>
        <vt:i4>570</vt:i4>
      </vt:variant>
      <vt:variant>
        <vt:i4>0</vt:i4>
      </vt:variant>
      <vt:variant>
        <vt:i4>5</vt:i4>
      </vt:variant>
      <vt:variant>
        <vt:lpwstr>https://digital-strategy.ec.europa.eu/en/policies/virtual-human-twins</vt:lpwstr>
      </vt:variant>
      <vt:variant>
        <vt:lpwstr/>
      </vt:variant>
      <vt:variant>
        <vt:i4>2424891</vt:i4>
      </vt:variant>
      <vt:variant>
        <vt:i4>567</vt:i4>
      </vt:variant>
      <vt:variant>
        <vt:i4>0</vt:i4>
      </vt:variant>
      <vt:variant>
        <vt:i4>5</vt:i4>
      </vt:variant>
      <vt:variant>
        <vt:lpwstr>https://profid-project.eu/</vt:lpwstr>
      </vt:variant>
      <vt:variant>
        <vt:lpwstr/>
      </vt:variant>
      <vt:variant>
        <vt:i4>3276899</vt:i4>
      </vt:variant>
      <vt:variant>
        <vt:i4>564</vt:i4>
      </vt:variant>
      <vt:variant>
        <vt:i4>0</vt:i4>
      </vt:variant>
      <vt:variant>
        <vt:i4>5</vt:i4>
      </vt:variant>
      <vt:variant>
        <vt:lpwstr>https://prophetproject.eu/</vt:lpwstr>
      </vt:variant>
      <vt:variant>
        <vt:lpwstr/>
      </vt:variant>
      <vt:variant>
        <vt:i4>7798811</vt:i4>
      </vt:variant>
      <vt:variant>
        <vt:i4>561</vt:i4>
      </vt:variant>
      <vt:variant>
        <vt:i4>0</vt:i4>
      </vt:variant>
      <vt:variant>
        <vt:i4>5</vt:i4>
      </vt:variant>
      <vt:variant>
        <vt:lpwstr>https://european-union.europa.eu/institutions-law-budget/institutions-and-bodies/search-all-eu-institutions-and-bodies/innovative-health-initiative-joint-undertaking-ihi-ju_en</vt:lpwstr>
      </vt:variant>
      <vt:variant>
        <vt:lpwstr/>
      </vt:variant>
      <vt:variant>
        <vt:i4>5505041</vt:i4>
      </vt:variant>
      <vt:variant>
        <vt:i4>558</vt:i4>
      </vt:variant>
      <vt:variant>
        <vt:i4>0</vt:i4>
      </vt:variant>
      <vt:variant>
        <vt:i4>5</vt:i4>
      </vt:variant>
      <vt:variant>
        <vt:lpwstr>https://doi.org/10.1093/eurheartj/ehv213</vt:lpwstr>
      </vt:variant>
      <vt:variant>
        <vt:lpwstr/>
      </vt:variant>
      <vt:variant>
        <vt:i4>5439571</vt:i4>
      </vt:variant>
      <vt:variant>
        <vt:i4>555</vt:i4>
      </vt:variant>
      <vt:variant>
        <vt:i4>0</vt:i4>
      </vt:variant>
      <vt:variant>
        <vt:i4>5</vt:i4>
      </vt:variant>
      <vt:variant>
        <vt:lpwstr>https://www.iqvia.com/insights/the-iqvia-institute/reports-and-publications/reports/global-trends-in-r-and-d-2024-activity-productivity-and-enablers</vt:lpwstr>
      </vt:variant>
      <vt:variant>
        <vt:lpwstr/>
      </vt:variant>
      <vt:variant>
        <vt:i4>4391015</vt:i4>
      </vt:variant>
      <vt:variant>
        <vt:i4>552</vt:i4>
      </vt:variant>
      <vt:variant>
        <vt:i4>0</vt:i4>
      </vt:variant>
      <vt:variant>
        <vt:i4>5</vt:i4>
      </vt:variant>
      <vt:variant>
        <vt:lpwstr>https://commission.europa.eu/funding-tenders/find-funding/eu-funding-programmes/horizon-europe_en</vt:lpwstr>
      </vt:variant>
      <vt:variant>
        <vt:lpwstr/>
      </vt:variant>
      <vt:variant>
        <vt:i4>3014672</vt:i4>
      </vt:variant>
      <vt:variant>
        <vt:i4>549</vt:i4>
      </vt:variant>
      <vt:variant>
        <vt:i4>0</vt:i4>
      </vt:variant>
      <vt:variant>
        <vt:i4>5</vt:i4>
      </vt:variant>
      <vt:variant>
        <vt:lpwstr>https://research-and-innovation.ec.europa.eu/funding/funding-opportunities/funding-programmes-and-open-calls/horizon-2020_en</vt:lpwstr>
      </vt:variant>
      <vt:variant>
        <vt:lpwstr/>
      </vt:variant>
      <vt:variant>
        <vt:i4>196614</vt:i4>
      </vt:variant>
      <vt:variant>
        <vt:i4>546</vt:i4>
      </vt:variant>
      <vt:variant>
        <vt:i4>0</vt:i4>
      </vt:variant>
      <vt:variant>
        <vt:i4>5</vt:i4>
      </vt:variant>
      <vt:variant>
        <vt:lpwstr>https://ec.europa.eu/info/funding-tenders/opportunities/docs/2021-2027/horizon/wp-call/2026-2027/wp-4-health_horizon-2026-2027_en.pdf</vt:lpwstr>
      </vt:variant>
      <vt:variant>
        <vt:lpwstr/>
      </vt:variant>
      <vt:variant>
        <vt:i4>4718676</vt:i4>
      </vt:variant>
      <vt:variant>
        <vt:i4>543</vt:i4>
      </vt:variant>
      <vt:variant>
        <vt:i4>0</vt:i4>
      </vt:variant>
      <vt:variant>
        <vt:i4>5</vt:i4>
      </vt:variant>
      <vt:variant>
        <vt:lpwstr>https://cancer-inequalities.jrc.ec.europa.eu/</vt:lpwstr>
      </vt:variant>
      <vt:variant>
        <vt:lpwstr/>
      </vt:variant>
      <vt:variant>
        <vt:i4>2621442</vt:i4>
      </vt:variant>
      <vt:variant>
        <vt:i4>540</vt:i4>
      </vt:variant>
      <vt:variant>
        <vt:i4>0</vt:i4>
      </vt:variant>
      <vt:variant>
        <vt:i4>5</vt:i4>
      </vt:variant>
      <vt:variant>
        <vt:lpwstr>https://www.oecd.org/en/publications/the-state-of-cardiovascular-health-in-the-european-union_ea7a1%e2%80%a6.html</vt:lpwstr>
      </vt:variant>
      <vt:variant>
        <vt:lpwstr/>
      </vt:variant>
      <vt:variant>
        <vt:i4>4194332</vt:i4>
      </vt:variant>
      <vt:variant>
        <vt:i4>537</vt:i4>
      </vt:variant>
      <vt:variant>
        <vt:i4>0</vt:i4>
      </vt:variant>
      <vt:variant>
        <vt:i4>5</vt:i4>
      </vt:variant>
      <vt:variant>
        <vt:lpwstr>https://doi.org/10.7759/cureus.54264</vt:lpwstr>
      </vt:variant>
      <vt:variant>
        <vt:lpwstr/>
      </vt:variant>
      <vt:variant>
        <vt:i4>196685</vt:i4>
      </vt:variant>
      <vt:variant>
        <vt:i4>534</vt:i4>
      </vt:variant>
      <vt:variant>
        <vt:i4>0</vt:i4>
      </vt:variant>
      <vt:variant>
        <vt:i4>5</vt:i4>
      </vt:variant>
      <vt:variant>
        <vt:lpwstr>https://www.escardio.org/static-file/Escardio/Advocacy/Documents/ESC Statement - Lancet Commission Report - CVD in Women.pdf</vt:lpwstr>
      </vt:variant>
      <vt:variant>
        <vt:lpwstr/>
      </vt:variant>
      <vt:variant>
        <vt:i4>4915284</vt:i4>
      </vt:variant>
      <vt:variant>
        <vt:i4>531</vt:i4>
      </vt:variant>
      <vt:variant>
        <vt:i4>0</vt:i4>
      </vt:variant>
      <vt:variant>
        <vt:i4>5</vt:i4>
      </vt:variant>
      <vt:variant>
        <vt:lpwstr>https://ec.europa.eu/eurostat</vt:lpwstr>
      </vt:variant>
      <vt:variant>
        <vt:lpwstr/>
      </vt:variant>
      <vt:variant>
        <vt:i4>4194326</vt:i4>
      </vt:variant>
      <vt:variant>
        <vt:i4>528</vt:i4>
      </vt:variant>
      <vt:variant>
        <vt:i4>0</vt:i4>
      </vt:variant>
      <vt:variant>
        <vt:i4>5</vt:i4>
      </vt:variant>
      <vt:variant>
        <vt:lpwstr>https://doi.org/10.7759/cureus.89912</vt:lpwstr>
      </vt:variant>
      <vt:variant>
        <vt:lpwstr/>
      </vt:variant>
      <vt:variant>
        <vt:i4>2490418</vt:i4>
      </vt:variant>
      <vt:variant>
        <vt:i4>525</vt:i4>
      </vt:variant>
      <vt:variant>
        <vt:i4>0</vt:i4>
      </vt:variant>
      <vt:variant>
        <vt:i4>5</vt:i4>
      </vt:variant>
      <vt:variant>
        <vt:lpwstr>https://doi.org/10.1038/s41591-024-03273-3</vt:lpwstr>
      </vt:variant>
      <vt:variant>
        <vt:lpwstr/>
      </vt:variant>
      <vt:variant>
        <vt:i4>458854</vt:i4>
      </vt:variant>
      <vt:variant>
        <vt:i4>522</vt:i4>
      </vt:variant>
      <vt:variant>
        <vt:i4>0</vt:i4>
      </vt:variant>
      <vt:variant>
        <vt:i4>5</vt:i4>
      </vt:variant>
      <vt:variant>
        <vt:lpwstr>https://health.ec.europa.eu/document/download/26284fbb-0c7b-4d4d-ae57-f7f2a47e493f_en</vt:lpwstr>
      </vt:variant>
      <vt:variant>
        <vt:lpwstr/>
      </vt:variant>
      <vt:variant>
        <vt:i4>5701654</vt:i4>
      </vt:variant>
      <vt:variant>
        <vt:i4>518</vt:i4>
      </vt:variant>
      <vt:variant>
        <vt:i4>0</vt:i4>
      </vt:variant>
      <vt:variant>
        <vt:i4>5</vt:i4>
      </vt:variant>
      <vt:variant>
        <vt:lpwstr>https://tefhealth.eu/home</vt:lpwstr>
      </vt:variant>
      <vt:variant>
        <vt:lpwstr/>
      </vt:variant>
      <vt:variant>
        <vt:i4>2949223</vt:i4>
      </vt:variant>
      <vt:variant>
        <vt:i4>516</vt:i4>
      </vt:variant>
      <vt:variant>
        <vt:i4>0</vt:i4>
      </vt:variant>
      <vt:variant>
        <vt:i4>5</vt:i4>
      </vt:variant>
      <vt:variant>
        <vt:lpwstr>https://digital-strategy.ec.europa.eu/en/policies/apply-ai</vt:lpwstr>
      </vt:variant>
      <vt:variant>
        <vt:lpwstr/>
      </vt:variant>
      <vt:variant>
        <vt:i4>3014765</vt:i4>
      </vt:variant>
      <vt:variant>
        <vt:i4>513</vt:i4>
      </vt:variant>
      <vt:variant>
        <vt:i4>0</vt:i4>
      </vt:variant>
      <vt:variant>
        <vt:i4>5</vt:i4>
      </vt:variant>
      <vt:variant>
        <vt:lpwstr>https://indicate-europe.eu/</vt:lpwstr>
      </vt:variant>
      <vt:variant>
        <vt:lpwstr/>
      </vt:variant>
      <vt:variant>
        <vt:i4>7602296</vt:i4>
      </vt:variant>
      <vt:variant>
        <vt:i4>510</vt:i4>
      </vt:variant>
      <vt:variant>
        <vt:i4>0</vt:i4>
      </vt:variant>
      <vt:variant>
        <vt:i4>5</vt:i4>
      </vt:variant>
      <vt:variant>
        <vt:lpwstr>https://www.icudata4eu.com/</vt:lpwstr>
      </vt:variant>
      <vt:variant>
        <vt:lpwstr/>
      </vt:variant>
      <vt:variant>
        <vt:i4>4915237</vt:i4>
      </vt:variant>
      <vt:variant>
        <vt:i4>507</vt:i4>
      </vt:variant>
      <vt:variant>
        <vt:i4>0</vt:i4>
      </vt:variant>
      <vt:variant>
        <vt:i4>5</vt:i4>
      </vt:variant>
      <vt:variant>
        <vt:lpwstr>https://health.ec.europa.eu/ehealth-digital-health-and-care/european-health-data-space-regulation-ehds_en</vt:lpwstr>
      </vt:variant>
      <vt:variant>
        <vt:lpwstr/>
      </vt:variant>
      <vt:variant>
        <vt:i4>4587531</vt:i4>
      </vt:variant>
      <vt:variant>
        <vt:i4>504</vt:i4>
      </vt:variant>
      <vt:variant>
        <vt:i4>0</vt:i4>
      </vt:variant>
      <vt:variant>
        <vt:i4>5</vt:i4>
      </vt:variant>
      <vt:variant>
        <vt:lpwstr>https://digital-strategy.ec.europa.eu/en/news/commission-launches-flagship-initiative-increase-use-ai-healthcare</vt:lpwstr>
      </vt:variant>
      <vt:variant>
        <vt:lpwstr/>
      </vt:variant>
      <vt:variant>
        <vt:i4>4194334</vt:i4>
      </vt:variant>
      <vt:variant>
        <vt:i4>501</vt:i4>
      </vt:variant>
      <vt:variant>
        <vt:i4>0</vt:i4>
      </vt:variant>
      <vt:variant>
        <vt:i4>5</vt:i4>
      </vt:variant>
      <vt:variant>
        <vt:lpwstr>https://op.europa.eu/en/publication-detail/-/publication/97ad82f2-5244-11f0-a9d0-01aa75ed71a1/language-en</vt:lpwstr>
      </vt:variant>
      <vt:variant>
        <vt:lpwstr/>
      </vt:variant>
      <vt:variant>
        <vt:i4>4194325</vt:i4>
      </vt:variant>
      <vt:variant>
        <vt:i4>498</vt:i4>
      </vt:variant>
      <vt:variant>
        <vt:i4>0</vt:i4>
      </vt:variant>
      <vt:variant>
        <vt:i4>5</vt:i4>
      </vt:variant>
      <vt:variant>
        <vt:lpwstr>https://shaiped.eu/2025/03/24/successfully-launched-shaiped/</vt:lpwstr>
      </vt:variant>
      <vt:variant>
        <vt:lpwstr/>
      </vt:variant>
      <vt:variant>
        <vt:i4>2949223</vt:i4>
      </vt:variant>
      <vt:variant>
        <vt:i4>495</vt:i4>
      </vt:variant>
      <vt:variant>
        <vt:i4>0</vt:i4>
      </vt:variant>
      <vt:variant>
        <vt:i4>5</vt:i4>
      </vt:variant>
      <vt:variant>
        <vt:lpwstr>https://digital-strategy.ec.europa.eu/en/policies/apply-ai</vt:lpwstr>
      </vt:variant>
      <vt:variant>
        <vt:lpwstr/>
      </vt:variant>
      <vt:variant>
        <vt:i4>5832723</vt:i4>
      </vt:variant>
      <vt:variant>
        <vt:i4>492</vt:i4>
      </vt:variant>
      <vt:variant>
        <vt:i4>0</vt:i4>
      </vt:variant>
      <vt:variant>
        <vt:i4>5</vt:i4>
      </vt:variant>
      <vt:variant>
        <vt:lpwstr>https://digital-strategy.ec.europa.eu/en/library/ai-continent-action-plan</vt:lpwstr>
      </vt:variant>
      <vt:variant>
        <vt:lpwstr/>
      </vt:variant>
      <vt:variant>
        <vt:i4>131157</vt:i4>
      </vt:variant>
      <vt:variant>
        <vt:i4>486</vt:i4>
      </vt:variant>
      <vt:variant>
        <vt:i4>0</vt:i4>
      </vt:variant>
      <vt:variant>
        <vt:i4>5</vt:i4>
      </vt:variant>
      <vt:variant>
        <vt:lpwstr>https://digital-strategy.ec.europa.eu/en/news/genome-europe-project-launched-first-step-towards-european-reference-genome</vt:lpwstr>
      </vt:variant>
      <vt:variant>
        <vt:lpwstr/>
      </vt:variant>
      <vt:variant>
        <vt:i4>7340093</vt:i4>
      </vt:variant>
      <vt:variant>
        <vt:i4>483</vt:i4>
      </vt:variant>
      <vt:variant>
        <vt:i4>0</vt:i4>
      </vt:variant>
      <vt:variant>
        <vt:i4>5</vt:i4>
      </vt:variant>
      <vt:variant>
        <vt:lpwstr>https://digital-strategy.ec.europa.eu/en/policies/1-million-genomes</vt:lpwstr>
      </vt:variant>
      <vt:variant>
        <vt:lpwstr/>
      </vt:variant>
      <vt:variant>
        <vt:i4>2097211</vt:i4>
      </vt:variant>
      <vt:variant>
        <vt:i4>480</vt:i4>
      </vt:variant>
      <vt:variant>
        <vt:i4>0</vt:i4>
      </vt:variant>
      <vt:variant>
        <vt:i4>5</vt:i4>
      </vt:variant>
      <vt:variant>
        <vt:lpwstr>https://www.caramel-project.eu/</vt:lpwstr>
      </vt:variant>
      <vt:variant>
        <vt:lpwstr/>
      </vt:variant>
      <vt:variant>
        <vt:i4>1507421</vt:i4>
      </vt:variant>
      <vt:variant>
        <vt:i4>477</vt:i4>
      </vt:variant>
      <vt:variant>
        <vt:i4>0</vt:i4>
      </vt:variant>
      <vt:variant>
        <vt:i4>5</vt:i4>
      </vt:variant>
      <vt:variant>
        <vt:lpwstr>https://eur-lex.europa.eu/eli/reg/2021/240/oj/eng</vt:lpwstr>
      </vt:variant>
      <vt:variant>
        <vt:lpwstr/>
      </vt:variant>
      <vt:variant>
        <vt:i4>8060943</vt:i4>
      </vt:variant>
      <vt:variant>
        <vt:i4>474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7733351</vt:i4>
      </vt:variant>
      <vt:variant>
        <vt:i4>468</vt:i4>
      </vt:variant>
      <vt:variant>
        <vt:i4>0</vt:i4>
      </vt:variant>
      <vt:variant>
        <vt:i4>5</vt:i4>
      </vt:variant>
      <vt:variant>
        <vt:lpwstr>https://eur-lex.europa.eu/eli/reg/2021/2282/oj/eng</vt:lpwstr>
      </vt:variant>
      <vt:variant>
        <vt:lpwstr/>
      </vt:variant>
      <vt:variant>
        <vt:i4>6684768</vt:i4>
      </vt:variant>
      <vt:variant>
        <vt:i4>465</vt:i4>
      </vt:variant>
      <vt:variant>
        <vt:i4>0</vt:i4>
      </vt:variant>
      <vt:variant>
        <vt:i4>5</vt:i4>
      </vt:variant>
      <vt:variant>
        <vt:lpwstr>https://health.ec.europa.eu/system/files/2023-03/mp_decentralised-elements_clinical-trials_rec_en.pdf</vt:lpwstr>
      </vt:variant>
      <vt:variant>
        <vt:lpwstr/>
      </vt:variant>
      <vt:variant>
        <vt:i4>786467</vt:i4>
      </vt:variant>
      <vt:variant>
        <vt:i4>462</vt:i4>
      </vt:variant>
      <vt:variant>
        <vt:i4>0</vt:i4>
      </vt:variant>
      <vt:variant>
        <vt:i4>5</vt:i4>
      </vt:variant>
      <vt:variant>
        <vt:lpwstr>https://research-and-innovation.ec.europa.eu/strategy/strategy-research-and-innovation/jobs-and-economy/strategy-european-life-sciences_en</vt:lpwstr>
      </vt:variant>
      <vt:variant>
        <vt:lpwstr/>
      </vt:variant>
      <vt:variant>
        <vt:i4>7340131</vt:i4>
      </vt:variant>
      <vt:variant>
        <vt:i4>453</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5242940</vt:i4>
      </vt:variant>
      <vt:variant>
        <vt:i4>447</vt:i4>
      </vt:variant>
      <vt:variant>
        <vt:i4>0</vt:i4>
      </vt:variant>
      <vt:variant>
        <vt:i4>5</vt:i4>
      </vt:variant>
      <vt:variant>
        <vt:lpwstr>https://health.ec.europa.eu/medicinal-products/legal-framework-governing-medicinal-products-human-use-eu/critical-medicines-act_en</vt:lpwstr>
      </vt:variant>
      <vt:variant>
        <vt:lpwstr/>
      </vt:variant>
      <vt:variant>
        <vt:i4>7012459</vt:i4>
      </vt:variant>
      <vt:variant>
        <vt:i4>444</vt:i4>
      </vt:variant>
      <vt:variant>
        <vt:i4>0</vt:i4>
      </vt:variant>
      <vt:variant>
        <vt:i4>5</vt:i4>
      </vt:variant>
      <vt:variant>
        <vt:lpwstr>https://eur-lex.europa.eu/legal-content/EN/TXT/?uri=CELEX%3A02017R0746-20250110</vt:lpwstr>
      </vt:variant>
      <vt:variant>
        <vt:lpwstr/>
      </vt:variant>
      <vt:variant>
        <vt:i4>6815851</vt:i4>
      </vt:variant>
      <vt:variant>
        <vt:i4>441</vt:i4>
      </vt:variant>
      <vt:variant>
        <vt:i4>0</vt:i4>
      </vt:variant>
      <vt:variant>
        <vt:i4>5</vt:i4>
      </vt:variant>
      <vt:variant>
        <vt:lpwstr>https://eur-lex.europa.eu/legal-content/EN/TXT/?uri=CELEX%3A02017R0745-20250110</vt:lpwstr>
      </vt:variant>
      <vt:variant>
        <vt:lpwstr/>
      </vt:variant>
      <vt:variant>
        <vt:i4>5046348</vt:i4>
      </vt:variant>
      <vt:variant>
        <vt:i4>438</vt:i4>
      </vt:variant>
      <vt:variant>
        <vt:i4>0</vt:i4>
      </vt:variant>
      <vt:variant>
        <vt:i4>5</vt:i4>
      </vt:variant>
      <vt:variant>
        <vt:lpwstr>https://ec2u.eu/</vt:lpwstr>
      </vt:variant>
      <vt:variant>
        <vt:lpwstr/>
      </vt:variant>
      <vt:variant>
        <vt:i4>7536758</vt:i4>
      </vt:variant>
      <vt:variant>
        <vt:i4>435</vt:i4>
      </vt:variant>
      <vt:variant>
        <vt:i4>0</vt:i4>
      </vt:variant>
      <vt:variant>
        <vt:i4>5</vt:i4>
      </vt:variant>
      <vt:variant>
        <vt:lpwstr>https://www.eugloh.eu/</vt:lpwstr>
      </vt:variant>
      <vt:variant>
        <vt:lpwstr/>
      </vt:variant>
      <vt:variant>
        <vt:i4>852044</vt:i4>
      </vt:variant>
      <vt:variant>
        <vt:i4>432</vt:i4>
      </vt:variant>
      <vt:variant>
        <vt:i4>0</vt:i4>
      </vt:variant>
      <vt:variant>
        <vt:i4>5</vt:i4>
      </vt:variant>
      <vt:variant>
        <vt:lpwstr>https://civis.eu/en/learn/civis-courses/challenges-and-innovative-approaches-in-cardiovascular-and-metabolic-disease-from-basic-research-to-clinical-practice</vt:lpwstr>
      </vt:variant>
      <vt:variant>
        <vt:lpwstr/>
      </vt:variant>
      <vt:variant>
        <vt:i4>5570642</vt:i4>
      </vt:variant>
      <vt:variant>
        <vt:i4>429</vt:i4>
      </vt:variant>
      <vt:variant>
        <vt:i4>0</vt:i4>
      </vt:variant>
      <vt:variant>
        <vt:i4>5</vt:i4>
      </vt:variant>
      <vt:variant>
        <vt:lpwstr>https://health.eutopia-university.eu/</vt:lpwstr>
      </vt:variant>
      <vt:variant>
        <vt:lpwstr/>
      </vt:variant>
      <vt:variant>
        <vt:i4>5963803</vt:i4>
      </vt:variant>
      <vt:variant>
        <vt:i4>423</vt:i4>
      </vt:variant>
      <vt:variant>
        <vt:i4>0</vt:i4>
      </vt:variant>
      <vt:variant>
        <vt:i4>5</vt:i4>
      </vt:variant>
      <vt:variant>
        <vt:lpwstr>https://eu-promens.eu/eu-promens</vt:lpwstr>
      </vt:variant>
      <vt:variant>
        <vt:lpwstr/>
      </vt:variant>
      <vt:variant>
        <vt:i4>5046329</vt:i4>
      </vt:variant>
      <vt:variant>
        <vt:i4>420</vt:i4>
      </vt:variant>
      <vt:variant>
        <vt:i4>0</vt:i4>
      </vt:variant>
      <vt:variant>
        <vt:i4>5</vt:i4>
      </vt:variant>
      <vt:variant>
        <vt:lpwstr>https://health.ec.europa.eu/non-communicable-diseases/mental-health_en</vt:lpwstr>
      </vt:variant>
      <vt:variant>
        <vt:lpwstr/>
      </vt:variant>
      <vt:variant>
        <vt:i4>3014711</vt:i4>
      </vt:variant>
      <vt:variant>
        <vt:i4>417</vt:i4>
      </vt:variant>
      <vt:variant>
        <vt:i4>0</vt:i4>
      </vt:variant>
      <vt:variant>
        <vt:i4>5</vt:i4>
      </vt:variant>
      <vt:variant>
        <vt:lpwstr>https://jacardi.eu/</vt:lpwstr>
      </vt:variant>
      <vt:variant>
        <vt:lpwstr/>
      </vt:variant>
      <vt:variant>
        <vt:i4>3604512</vt:i4>
      </vt:variant>
      <vt:variant>
        <vt:i4>414</vt:i4>
      </vt:variant>
      <vt:variant>
        <vt:i4>0</vt:i4>
      </vt:variant>
      <vt:variant>
        <vt:i4>5</vt:i4>
      </vt:variant>
      <vt:variant>
        <vt:lpwstr>https://incareheart.eu/</vt:lpwstr>
      </vt:variant>
      <vt:variant>
        <vt:lpwstr/>
      </vt:variant>
      <vt:variant>
        <vt:i4>3604597</vt:i4>
      </vt:variant>
      <vt:variant>
        <vt:i4>411</vt:i4>
      </vt:variant>
      <vt:variant>
        <vt:i4>0</vt:i4>
      </vt:variant>
      <vt:variant>
        <vt:i4>5</vt:i4>
      </vt:variant>
      <vt:variant>
        <vt:lpwstr>https://ecanja.eu/</vt:lpwstr>
      </vt:variant>
      <vt:variant>
        <vt:lpwstr/>
      </vt:variant>
      <vt:variant>
        <vt:i4>2621442</vt:i4>
      </vt:variant>
      <vt:variant>
        <vt:i4>408</vt:i4>
      </vt:variant>
      <vt:variant>
        <vt:i4>0</vt:i4>
      </vt:variant>
      <vt:variant>
        <vt:i4>5</vt:i4>
      </vt:variant>
      <vt:variant>
        <vt:lpwstr>https://www.oecd.org/en/publications/the-state-of-cardiovascular-health-in-the-european-union_ea7a1%e2%80%a6.html</vt:lpwstr>
      </vt:variant>
      <vt:variant>
        <vt:lpwstr/>
      </vt:variant>
      <vt:variant>
        <vt:i4>589836</vt:i4>
      </vt:variant>
      <vt:variant>
        <vt:i4>402</vt:i4>
      </vt:variant>
      <vt:variant>
        <vt:i4>0</vt:i4>
      </vt:variant>
      <vt:variant>
        <vt:i4>5</vt:i4>
      </vt:variant>
      <vt:variant>
        <vt:lpwstr>https://pubmed.ncbi.nlm.nih.gov/40640196/</vt:lpwstr>
      </vt:variant>
      <vt:variant>
        <vt:lpwstr/>
      </vt:variant>
      <vt:variant>
        <vt:i4>3342392</vt:i4>
      </vt:variant>
      <vt:variant>
        <vt:i4>399</vt:i4>
      </vt:variant>
      <vt:variant>
        <vt:i4>0</vt:i4>
      </vt:variant>
      <vt:variant>
        <vt:i4>5</vt:i4>
      </vt:variant>
      <vt:variant>
        <vt:lpwstr>https://ht-advance.eu/</vt:lpwstr>
      </vt:variant>
      <vt:variant>
        <vt:lpwstr/>
      </vt:variant>
      <vt:variant>
        <vt:i4>5570577</vt:i4>
      </vt:variant>
      <vt:variant>
        <vt:i4>396</vt:i4>
      </vt:variant>
      <vt:variant>
        <vt:i4>0</vt:i4>
      </vt:variant>
      <vt:variant>
        <vt:i4>5</vt:i4>
      </vt:variant>
      <vt:variant>
        <vt:lpwstr>https://doi.org/10.1136/bmj.r365</vt:lpwstr>
      </vt:variant>
      <vt:variant>
        <vt:lpwstr/>
      </vt:variant>
      <vt:variant>
        <vt:i4>2752615</vt:i4>
      </vt:variant>
      <vt:variant>
        <vt:i4>393</vt:i4>
      </vt:variant>
      <vt:variant>
        <vt:i4>0</vt:i4>
      </vt:variant>
      <vt:variant>
        <vt:i4>5</vt:i4>
      </vt:variant>
      <vt:variant>
        <vt:lpwstr>https://oncoscreen.health/</vt:lpwstr>
      </vt:variant>
      <vt:variant>
        <vt:lpwstr/>
      </vt:variant>
      <vt:variant>
        <vt:i4>4784220</vt:i4>
      </vt:variant>
      <vt:variant>
        <vt:i4>390</vt:i4>
      </vt:variant>
      <vt:variant>
        <vt:i4>0</vt:i4>
      </vt:variant>
      <vt:variant>
        <vt:i4>5</vt:i4>
      </vt:variant>
      <vt:variant>
        <vt:lpwstr>https://europeanlung.org/solace/</vt:lpwstr>
      </vt:variant>
      <vt:variant>
        <vt:lpwstr/>
      </vt:variant>
      <vt:variant>
        <vt:i4>3801125</vt:i4>
      </vt:variant>
      <vt:variant>
        <vt:i4>387</vt:i4>
      </vt:variant>
      <vt:variant>
        <vt:i4>0</vt:i4>
      </vt:variant>
      <vt:variant>
        <vt:i4>5</vt:i4>
      </vt:variant>
      <vt:variant>
        <vt:lpwstr>https://eucanscreen.eu/</vt:lpwstr>
      </vt:variant>
      <vt:variant>
        <vt:lpwstr/>
      </vt:variant>
      <vt:variant>
        <vt:i4>262149</vt:i4>
      </vt:variant>
      <vt:variant>
        <vt:i4>384</vt:i4>
      </vt:variant>
      <vt:variant>
        <vt:i4>0</vt:i4>
      </vt:variant>
      <vt:variant>
        <vt:i4>5</vt:i4>
      </vt:variant>
      <vt:variant>
        <vt:lpwstr>https://digital-strategy.ec.europa.eu/en/policies/virtual-human-twins</vt:lpwstr>
      </vt:variant>
      <vt:variant>
        <vt:lpwstr/>
      </vt:variant>
      <vt:variant>
        <vt:i4>5111838</vt:i4>
      </vt:variant>
      <vt:variant>
        <vt:i4>381</vt:i4>
      </vt:variant>
      <vt:variant>
        <vt:i4>0</vt:i4>
      </vt:variant>
      <vt:variant>
        <vt:i4>5</vt:i4>
      </vt:variant>
      <vt:variant>
        <vt:lpwstr>https://academic.oup.com/eurheartj/article/46/15/1372/8001983</vt:lpwstr>
      </vt:variant>
      <vt:variant>
        <vt:lpwstr/>
      </vt:variant>
      <vt:variant>
        <vt:i4>2293875</vt:i4>
      </vt:variant>
      <vt:variant>
        <vt:i4>378</vt:i4>
      </vt:variant>
      <vt:variant>
        <vt:i4>0</vt:i4>
      </vt:variant>
      <vt:variant>
        <vt:i4>5</vt:i4>
      </vt:variant>
      <vt:variant>
        <vt:lpwstr>https://perfecto-fh.eu/</vt:lpwstr>
      </vt:variant>
      <vt:variant>
        <vt:lpwstr/>
      </vt:variant>
      <vt:variant>
        <vt:i4>655371</vt:i4>
      </vt:variant>
      <vt:variant>
        <vt:i4>375</vt:i4>
      </vt:variant>
      <vt:variant>
        <vt:i4>0</vt:i4>
      </vt:variant>
      <vt:variant>
        <vt:i4>5</vt:i4>
      </vt:variant>
      <vt:variant>
        <vt:lpwstr>https://cordis.europa.eu/article/id/92771-biomarkers-for-cardiovascular-diseases-expanded</vt:lpwstr>
      </vt:variant>
      <vt:variant>
        <vt:lpwstr/>
      </vt:variant>
      <vt:variant>
        <vt:i4>6094941</vt:i4>
      </vt:variant>
      <vt:variant>
        <vt:i4>372</vt:i4>
      </vt:variant>
      <vt:variant>
        <vt:i4>0</vt:i4>
      </vt:variant>
      <vt:variant>
        <vt:i4>5</vt:i4>
      </vt:variant>
      <vt:variant>
        <vt:lpwstr>https://fh-early.eu/</vt:lpwstr>
      </vt:variant>
      <vt:variant>
        <vt:lpwstr/>
      </vt:variant>
      <vt:variant>
        <vt:i4>3145774</vt:i4>
      </vt:variant>
      <vt:variant>
        <vt:i4>363</vt:i4>
      </vt:variant>
      <vt:variant>
        <vt:i4>0</vt:i4>
      </vt:variant>
      <vt:variant>
        <vt:i4>5</vt:i4>
      </vt:variant>
      <vt:variant>
        <vt:lpwstr>https://academic.oup.com/eurjpc/article/31/15/1899/7742632</vt:lpwstr>
      </vt:variant>
      <vt:variant>
        <vt:lpwstr/>
      </vt:variant>
      <vt:variant>
        <vt:i4>1179703</vt:i4>
      </vt:variant>
      <vt:variant>
        <vt:i4>360</vt:i4>
      </vt:variant>
      <vt:variant>
        <vt:i4>0</vt:i4>
      </vt:variant>
      <vt:variant>
        <vt:i4>5</vt:i4>
      </vt:variant>
      <vt:variant>
        <vt:lpwstr>https://commission.europa.eu/aid-development-cooperation-fundamental-rights/your-fundamental-rights-eu/know-your-rights/equality/non-discrimination_en</vt:lpwstr>
      </vt:variant>
      <vt:variant>
        <vt:lpwstr/>
      </vt:variant>
      <vt:variant>
        <vt:i4>5374034</vt:i4>
      </vt:variant>
      <vt:variant>
        <vt:i4>357</vt:i4>
      </vt:variant>
      <vt:variant>
        <vt:i4>0</vt:i4>
      </vt:variant>
      <vt:variant>
        <vt:i4>5</vt:i4>
      </vt:variant>
      <vt:variant>
        <vt:lpwstr>https://www.poccardio-project.eu/</vt:lpwstr>
      </vt:variant>
      <vt:variant>
        <vt:lpwstr/>
      </vt:variant>
      <vt:variant>
        <vt:i4>5505070</vt:i4>
      </vt:variant>
      <vt:variant>
        <vt:i4>354</vt:i4>
      </vt:variant>
      <vt:variant>
        <vt:i4>0</vt:i4>
      </vt:variant>
      <vt:variant>
        <vt:i4>5</vt:i4>
      </vt:variant>
      <vt:variant>
        <vt:lpwstr>https://health.ec.europa.eu/non-communicable-diseases/cancer/europes-beating-cancer-plan-eu4health-financed-projects/projects/ecac5_en</vt:lpwstr>
      </vt:variant>
      <vt:variant>
        <vt:lpwstr/>
      </vt:variant>
      <vt:variant>
        <vt:i4>4522066</vt:i4>
      </vt:variant>
      <vt:variant>
        <vt:i4>351</vt:i4>
      </vt:variant>
      <vt:variant>
        <vt:i4>0</vt:i4>
      </vt:variant>
      <vt:variant>
        <vt:i4>5</vt:i4>
      </vt:variant>
      <vt:variant>
        <vt:lpwstr>https://preventncd.eu/work-packages/wp-07/strengthening-health-literacy-to-reduce-inequalities-in-cancer-and-other-ncds/</vt:lpwstr>
      </vt:variant>
      <vt:variant>
        <vt:lpwstr/>
      </vt:variant>
      <vt:variant>
        <vt:i4>543555647</vt:i4>
      </vt:variant>
      <vt:variant>
        <vt:i4>348</vt:i4>
      </vt:variant>
      <vt:variant>
        <vt:i4>0</vt:i4>
      </vt:variant>
      <vt:variant>
        <vt:i4>5</vt:i4>
      </vt:variant>
      <vt:variant>
        <vt:lpwstr>C:\Users\takkima\AppData\Local\Microsoft\Windows\INetCache\Content.Outlook\GGZ5C8P0\New systematic review and meta-analysis shows an association between shingles vaccination and lower risk of heart attack and stroke </vt:lpwstr>
      </vt:variant>
      <vt:variant>
        <vt:lpwstr/>
      </vt:variant>
      <vt:variant>
        <vt:i4>4980787</vt:i4>
      </vt:variant>
      <vt:variant>
        <vt:i4>345</vt:i4>
      </vt:variant>
      <vt:variant>
        <vt:i4>0</vt:i4>
      </vt:variant>
      <vt:variant>
        <vt:i4>5</vt:i4>
      </vt:variant>
      <vt:variant>
        <vt:lpwstr>https://health.ec.europa.eu/vaccination_en</vt:lpwstr>
      </vt:variant>
      <vt:variant>
        <vt:lpwstr/>
      </vt:variant>
      <vt:variant>
        <vt:i4>1245258</vt:i4>
      </vt:variant>
      <vt:variant>
        <vt:i4>342</vt:i4>
      </vt:variant>
      <vt:variant>
        <vt:i4>0</vt:i4>
      </vt:variant>
      <vt:variant>
        <vt:i4>5</vt:i4>
      </vt:variant>
      <vt:variant>
        <vt:lpwstr>https://vaccination-info.europa.eu/en</vt:lpwstr>
      </vt:variant>
      <vt:variant>
        <vt:lpwstr/>
      </vt:variant>
      <vt:variant>
        <vt:i4>7143496</vt:i4>
      </vt:variant>
      <vt:variant>
        <vt:i4>339</vt:i4>
      </vt:variant>
      <vt:variant>
        <vt:i4>0</vt:i4>
      </vt:variant>
      <vt:variant>
        <vt:i4>5</vt:i4>
      </vt:variant>
      <vt:variant>
        <vt:lpwstr>https://hadea.ec.europa.eu/news/european-immunisation-week-2025-eu4health-and-horizon-europe-projects-protecting-health-people-all-2025-04-28_en</vt:lpwstr>
      </vt:variant>
      <vt:variant>
        <vt:lpwstr/>
      </vt:variant>
      <vt:variant>
        <vt:i4>4325377</vt:i4>
      </vt:variant>
      <vt:variant>
        <vt:i4>336</vt:i4>
      </vt:variant>
      <vt:variant>
        <vt:i4>0</vt:i4>
      </vt:variant>
      <vt:variant>
        <vt:i4>5</vt:i4>
      </vt:variant>
      <vt:variant>
        <vt:lpwstr>https://www.escardio.org/The-ESC/Press-Office/Press-releases/vaccination-as-a-new-form-of-cardiovascular-prevention-an-esc-clinical-consensu</vt:lpwstr>
      </vt:variant>
      <vt:variant>
        <vt:lpwstr/>
      </vt:variant>
      <vt:variant>
        <vt:i4>5898314</vt:i4>
      </vt:variant>
      <vt:variant>
        <vt:i4>333</vt:i4>
      </vt:variant>
      <vt:variant>
        <vt:i4>0</vt:i4>
      </vt:variant>
      <vt:variant>
        <vt:i4>5</vt:i4>
      </vt:variant>
      <vt:variant>
        <vt:lpwstr>https://doi.org/10.1001/jamanetworkopen.2022.8873</vt:lpwstr>
      </vt:variant>
      <vt:variant>
        <vt:lpwstr/>
      </vt:variant>
      <vt:variant>
        <vt:i4>720900</vt:i4>
      </vt:variant>
      <vt:variant>
        <vt:i4>330</vt:i4>
      </vt:variant>
      <vt:variant>
        <vt:i4>0</vt:i4>
      </vt:variant>
      <vt:variant>
        <vt:i4>5</vt:i4>
      </vt:variant>
      <vt:variant>
        <vt:lpwstr>https://doi.org/10.1093/eurheartj/ehaf384</vt:lpwstr>
      </vt:variant>
      <vt:variant>
        <vt:lpwstr/>
      </vt:variant>
      <vt:variant>
        <vt:i4>8257599</vt:i4>
      </vt:variant>
      <vt:variant>
        <vt:i4>327</vt:i4>
      </vt:variant>
      <vt:variant>
        <vt:i4>0</vt:i4>
      </vt:variant>
      <vt:variant>
        <vt:i4>5</vt:i4>
      </vt:variant>
      <vt:variant>
        <vt:lpwstr>https://climate-adapt.eea.europa.eu/en/observatory</vt:lpwstr>
      </vt:variant>
      <vt:variant>
        <vt:lpwstr/>
      </vt:variant>
      <vt:variant>
        <vt:i4>1835019</vt:i4>
      </vt:variant>
      <vt:variant>
        <vt:i4>324</vt:i4>
      </vt:variant>
      <vt:variant>
        <vt:i4>0</vt:i4>
      </vt:variant>
      <vt:variant>
        <vt:i4>5</vt:i4>
      </vt:variant>
      <vt:variant>
        <vt:lpwstr>https://www.unicef.org/eca/press-releases/european-commission-and-unicef-announce-new-partnership-improve-health-outcomes</vt:lpwstr>
      </vt:variant>
      <vt:variant>
        <vt:lpwstr/>
      </vt:variant>
      <vt:variant>
        <vt:i4>4259860</vt:i4>
      </vt:variant>
      <vt:variant>
        <vt:i4>321</vt:i4>
      </vt:variant>
      <vt:variant>
        <vt:i4>0</vt:i4>
      </vt:variant>
      <vt:variant>
        <vt:i4>5</vt:i4>
      </vt:variant>
      <vt:variant>
        <vt:lpwstr>https://digital-strategy.ec.europa.eu/en/policies/audiovisual-and-media-services</vt:lpwstr>
      </vt:variant>
      <vt:variant>
        <vt:lpwstr/>
      </vt:variant>
      <vt:variant>
        <vt:i4>2949224</vt:i4>
      </vt:variant>
      <vt:variant>
        <vt:i4>318</vt:i4>
      </vt:variant>
      <vt:variant>
        <vt:i4>0</vt:i4>
      </vt:variant>
      <vt:variant>
        <vt:i4>5</vt:i4>
      </vt:variant>
      <vt:variant>
        <vt:lpwstr>https://europa.eu/eurobarometer/surveys/detail/2995</vt:lpwstr>
      </vt:variant>
      <vt:variant>
        <vt:lpwstr/>
      </vt:variant>
      <vt:variant>
        <vt:i4>5898298</vt:i4>
      </vt:variant>
      <vt:variant>
        <vt:i4>315</vt:i4>
      </vt:variant>
      <vt:variant>
        <vt:i4>0</vt:i4>
      </vt:variant>
      <vt:variant>
        <vt:i4>5</vt:i4>
      </vt:variant>
      <vt:variant>
        <vt:lpwstr>https://www.oecd.org/en/publications/step-up-tackling-the-burden-of-insufficient-physical-activity-in-europe_500a9601-en.html</vt:lpwstr>
      </vt:variant>
      <vt:variant>
        <vt:lpwstr/>
      </vt:variant>
      <vt:variant>
        <vt:i4>1900569</vt:i4>
      </vt:variant>
      <vt:variant>
        <vt:i4>312</vt:i4>
      </vt:variant>
      <vt:variant>
        <vt:i4>0</vt:i4>
      </vt:variant>
      <vt:variant>
        <vt:i4>5</vt:i4>
      </vt:variant>
      <vt:variant>
        <vt:lpwstr>https://cordis.europa.eu/project/id/101084642</vt:lpwstr>
      </vt:variant>
      <vt:variant>
        <vt:lpwstr/>
      </vt:variant>
      <vt:variant>
        <vt:i4>1966097</vt:i4>
      </vt:variant>
      <vt:variant>
        <vt:i4>309</vt:i4>
      </vt:variant>
      <vt:variant>
        <vt:i4>0</vt:i4>
      </vt:variant>
      <vt:variant>
        <vt:i4>5</vt:i4>
      </vt:variant>
      <vt:variant>
        <vt:lpwstr>https://cordis.europa.eu/project/id/101061023</vt:lpwstr>
      </vt:variant>
      <vt:variant>
        <vt:lpwstr/>
      </vt:variant>
      <vt:variant>
        <vt:i4>2424953</vt:i4>
      </vt:variant>
      <vt:variant>
        <vt:i4>306</vt:i4>
      </vt:variant>
      <vt:variant>
        <vt:i4>0</vt:i4>
      </vt:variant>
      <vt:variant>
        <vt:i4>5</vt:i4>
      </vt:variant>
      <vt:variant>
        <vt:lpwstr>https://food2030.eu/projects/zero-hidden-hunger-eu/</vt:lpwstr>
      </vt:variant>
      <vt:variant>
        <vt:lpwstr/>
      </vt:variant>
      <vt:variant>
        <vt:i4>3473518</vt:i4>
      </vt:variant>
      <vt:variant>
        <vt:i4>303</vt:i4>
      </vt:variant>
      <vt:variant>
        <vt:i4>0</vt:i4>
      </vt:variant>
      <vt:variant>
        <vt:i4>5</vt:i4>
      </vt:variant>
      <vt:variant>
        <vt:lpwstr>https://preventproject.eu/the-prevent-living-labs-a-new-approach-to-tackling-childhood-obesity/</vt:lpwstr>
      </vt:variant>
      <vt:variant>
        <vt:lpwstr/>
      </vt:variant>
      <vt:variant>
        <vt:i4>1638425</vt:i4>
      </vt:variant>
      <vt:variant>
        <vt:i4>300</vt:i4>
      </vt:variant>
      <vt:variant>
        <vt:i4>0</vt:i4>
      </vt:variant>
      <vt:variant>
        <vt:i4>5</vt:i4>
      </vt:variant>
      <vt:variant>
        <vt:lpwstr>https://cordis.europa.eu/project/id/101080645</vt:lpwstr>
      </vt:variant>
      <vt:variant>
        <vt:lpwstr/>
      </vt:variant>
      <vt:variant>
        <vt:i4>2031644</vt:i4>
      </vt:variant>
      <vt:variant>
        <vt:i4>297</vt:i4>
      </vt:variant>
      <vt:variant>
        <vt:i4>0</vt:i4>
      </vt:variant>
      <vt:variant>
        <vt:i4>5</vt:i4>
      </vt:variant>
      <vt:variant>
        <vt:lpwstr>https://cordis.europa.eu/project/id/101080329</vt:lpwstr>
      </vt:variant>
      <vt:variant>
        <vt:lpwstr/>
      </vt:variant>
      <vt:variant>
        <vt:i4>1769499</vt:i4>
      </vt:variant>
      <vt:variant>
        <vt:i4>294</vt:i4>
      </vt:variant>
      <vt:variant>
        <vt:i4>0</vt:i4>
      </vt:variant>
      <vt:variant>
        <vt:i4>5</vt:i4>
      </vt:variant>
      <vt:variant>
        <vt:lpwstr>https://cordis.europa.eu/project/id/101080465</vt:lpwstr>
      </vt:variant>
      <vt:variant>
        <vt:lpwstr/>
      </vt:variant>
      <vt:variant>
        <vt:i4>1835032</vt:i4>
      </vt:variant>
      <vt:variant>
        <vt:i4>291</vt:i4>
      </vt:variant>
      <vt:variant>
        <vt:i4>0</vt:i4>
      </vt:variant>
      <vt:variant>
        <vt:i4>5</vt:i4>
      </vt:variant>
      <vt:variant>
        <vt:lpwstr>https://cordis.europa.eu/project/id/101080718</vt:lpwstr>
      </vt:variant>
      <vt:variant>
        <vt:lpwstr/>
      </vt:variant>
      <vt:variant>
        <vt:i4>1245188</vt:i4>
      </vt:variant>
      <vt:variant>
        <vt:i4>288</vt:i4>
      </vt:variant>
      <vt:variant>
        <vt:i4>0</vt:i4>
      </vt:variant>
      <vt:variant>
        <vt:i4>5</vt:i4>
      </vt:variant>
      <vt:variant>
        <vt:lpwstr>https://ryhealth.net/</vt:lpwstr>
      </vt:variant>
      <vt:variant>
        <vt:lpwstr/>
      </vt:variant>
      <vt:variant>
        <vt:i4>589843</vt:i4>
      </vt:variant>
      <vt:variant>
        <vt:i4>285</vt:i4>
      </vt:variant>
      <vt:variant>
        <vt:i4>0</vt:i4>
      </vt:variant>
      <vt:variant>
        <vt:i4>5</vt:i4>
      </vt:variant>
      <vt:variant>
        <vt:lpwstr>https://site.unibo.it/duse/en/project</vt:lpwstr>
      </vt:variant>
      <vt:variant>
        <vt:lpwstr/>
      </vt:variant>
      <vt:variant>
        <vt:i4>7209057</vt:i4>
      </vt:variant>
      <vt:variant>
        <vt:i4>282</vt:i4>
      </vt:variant>
      <vt:variant>
        <vt:i4>0</vt:i4>
      </vt:variant>
      <vt:variant>
        <vt:i4>5</vt:i4>
      </vt:variant>
      <vt:variant>
        <vt:lpwstr>https://schools4health.eu/</vt:lpwstr>
      </vt:variant>
      <vt:variant>
        <vt:lpwstr/>
      </vt:variant>
      <vt:variant>
        <vt:i4>6094922</vt:i4>
      </vt:variant>
      <vt:variant>
        <vt:i4>279</vt:i4>
      </vt:variant>
      <vt:variant>
        <vt:i4>0</vt:i4>
      </vt:variant>
      <vt:variant>
        <vt:i4>5</vt:i4>
      </vt:variant>
      <vt:variant>
        <vt:lpwstr>https://www.dypede.gr/health4eukids/</vt:lpwstr>
      </vt:variant>
      <vt:variant>
        <vt:lpwstr/>
      </vt:variant>
      <vt:variant>
        <vt:i4>5111878</vt:i4>
      </vt:variant>
      <vt:variant>
        <vt:i4>276</vt:i4>
      </vt:variant>
      <vt:variant>
        <vt:i4>0</vt:i4>
      </vt:variant>
      <vt:variant>
        <vt:i4>5</vt:i4>
      </vt:variant>
      <vt:variant>
        <vt:lpwstr>https://www.who.int/europe/news/item/03-03-2021-how-healthy-are-children-s-eating-habits-who-europe-surveillance-results</vt:lpwstr>
      </vt:variant>
      <vt:variant>
        <vt:lpwstr/>
      </vt:variant>
      <vt:variant>
        <vt:i4>1638501</vt:i4>
      </vt:variant>
      <vt:variant>
        <vt:i4>273</vt:i4>
      </vt:variant>
      <vt:variant>
        <vt:i4>0</vt:i4>
      </vt:variant>
      <vt:variant>
        <vt:i4>5</vt:i4>
      </vt:variant>
      <vt:variant>
        <vt:lpwstr>https://health.ec.europa.eu/system/files/2016-11/childhoodobesity_actionplan_2014_2020_en_0.pdf</vt:lpwstr>
      </vt:variant>
      <vt:variant>
        <vt:lpwstr/>
      </vt:variant>
      <vt:variant>
        <vt:i4>2949166</vt:i4>
      </vt:variant>
      <vt:variant>
        <vt:i4>270</vt:i4>
      </vt:variant>
      <vt:variant>
        <vt:i4>0</vt:i4>
      </vt:variant>
      <vt:variant>
        <vt:i4>5</vt:i4>
      </vt:variant>
      <vt:variant>
        <vt:lpwstr>https://erasmus-plus.ec.europa.eu/</vt:lpwstr>
      </vt:variant>
      <vt:variant>
        <vt:lpwstr/>
      </vt:variant>
      <vt:variant>
        <vt:i4>983051</vt:i4>
      </vt:variant>
      <vt:variant>
        <vt:i4>264</vt:i4>
      </vt:variant>
      <vt:variant>
        <vt:i4>0</vt:i4>
      </vt:variant>
      <vt:variant>
        <vt:i4>5</vt:i4>
      </vt:variant>
      <vt:variant>
        <vt:lpwstr>https://www.thelancet.com/series-do/ultra-processed-food</vt:lpwstr>
      </vt:variant>
      <vt:variant>
        <vt:lpwstr/>
      </vt:variant>
      <vt:variant>
        <vt:i4>45</vt:i4>
      </vt:variant>
      <vt:variant>
        <vt:i4>261</vt:i4>
      </vt:variant>
      <vt:variant>
        <vt:i4>0</vt:i4>
      </vt:variant>
      <vt:variant>
        <vt:i4>5</vt:i4>
      </vt:variant>
      <vt:variant>
        <vt:lpwstr>https://taxation-customs.ec.europa.eu/news/study-health-taxes-eu-perspective-2025-05-16_en</vt:lpwstr>
      </vt:variant>
      <vt:variant>
        <vt:lpwstr/>
      </vt:variant>
      <vt:variant>
        <vt:i4>2818129</vt:i4>
      </vt:variant>
      <vt:variant>
        <vt:i4>258</vt:i4>
      </vt:variant>
      <vt:variant>
        <vt:i4>0</vt:i4>
      </vt:variant>
      <vt:variant>
        <vt:i4>5</vt:i4>
      </vt:variant>
      <vt:variant>
        <vt:lpwstr>https://knowledge4policy.ec.europa.eu/health-promotion-knowledge-gateway/alcoholic-beverages_en</vt:lpwstr>
      </vt:variant>
      <vt:variant>
        <vt:lpwstr/>
      </vt:variant>
      <vt:variant>
        <vt:i4>3473528</vt:i4>
      </vt:variant>
      <vt:variant>
        <vt:i4>255</vt:i4>
      </vt:variant>
      <vt:variant>
        <vt:i4>0</vt:i4>
      </vt:variant>
      <vt:variant>
        <vt:i4>5</vt:i4>
      </vt:variant>
      <vt:variant>
        <vt:lpwstr>http://www.euda.europa.eu/</vt:lpwstr>
      </vt:variant>
      <vt:variant>
        <vt:lpwstr/>
      </vt:variant>
      <vt:variant>
        <vt:i4>262165</vt:i4>
      </vt:variant>
      <vt:variant>
        <vt:i4>249</vt:i4>
      </vt:variant>
      <vt:variant>
        <vt:i4>0</vt:i4>
      </vt:variant>
      <vt:variant>
        <vt:i4>5</vt:i4>
      </vt:variant>
      <vt:variant>
        <vt:lpwstr>https://eur-lex.europa.eu/legal-content/EN/TXT/?uri=CELEX:52021DC0044</vt:lpwstr>
      </vt:variant>
      <vt:variant>
        <vt:lpwstr/>
      </vt:variant>
      <vt:variant>
        <vt:i4>8126561</vt:i4>
      </vt:variant>
      <vt:variant>
        <vt:i4>246</vt:i4>
      </vt:variant>
      <vt:variant>
        <vt:i4>0</vt:i4>
      </vt:variant>
      <vt:variant>
        <vt:i4>5</vt:i4>
      </vt:variant>
      <vt:variant>
        <vt:lpwstr>https://eur-lex.europa.eu/legal-content/en/ALL/?uri=CELEX%3A32011L0064</vt:lpwstr>
      </vt:variant>
      <vt:variant>
        <vt:lpwstr/>
      </vt:variant>
      <vt:variant>
        <vt:i4>2031622</vt:i4>
      </vt:variant>
      <vt:variant>
        <vt:i4>243</vt:i4>
      </vt:variant>
      <vt:variant>
        <vt:i4>0</vt:i4>
      </vt:variant>
      <vt:variant>
        <vt:i4>5</vt:i4>
      </vt:variant>
      <vt:variant>
        <vt:lpwstr>https://www.who.int/teams/health-promotion/tobacco-control/economics/taxation</vt:lpwstr>
      </vt:variant>
      <vt:variant>
        <vt:lpwstr/>
      </vt:variant>
      <vt:variant>
        <vt:i4>5701652</vt:i4>
      </vt:variant>
      <vt:variant>
        <vt:i4>240</vt:i4>
      </vt:variant>
      <vt:variant>
        <vt:i4>0</vt:i4>
      </vt:variant>
      <vt:variant>
        <vt:i4>5</vt:i4>
      </vt:variant>
      <vt:variant>
        <vt:lpwstr>https://op.europa.eu/en/publication-detail/-/publication/f859d057-726e-11f0-bf4e-01aa75ed71a1</vt:lpwstr>
      </vt:variant>
      <vt:variant>
        <vt:lpwstr/>
      </vt:variant>
      <vt:variant>
        <vt:i4>2949224</vt:i4>
      </vt:variant>
      <vt:variant>
        <vt:i4>237</vt:i4>
      </vt:variant>
      <vt:variant>
        <vt:i4>0</vt:i4>
      </vt:variant>
      <vt:variant>
        <vt:i4>5</vt:i4>
      </vt:variant>
      <vt:variant>
        <vt:lpwstr>https://europa.eu/eurobarometer/surveys/detail/2995</vt:lpwstr>
      </vt:variant>
      <vt:variant>
        <vt:lpwstr/>
      </vt:variant>
      <vt:variant>
        <vt:i4>4390932</vt:i4>
      </vt:variant>
      <vt:variant>
        <vt:i4>234</vt:i4>
      </vt:variant>
      <vt:variant>
        <vt:i4>0</vt:i4>
      </vt:variant>
      <vt:variant>
        <vt:i4>5</vt:i4>
      </vt:variant>
      <vt:variant>
        <vt:lpwstr>https://eur-lex.europa.eu/eli/dir/2003/33/oj</vt:lpwstr>
      </vt:variant>
      <vt:variant>
        <vt:lpwstr/>
      </vt:variant>
      <vt:variant>
        <vt:i4>4390934</vt:i4>
      </vt:variant>
      <vt:variant>
        <vt:i4>231</vt:i4>
      </vt:variant>
      <vt:variant>
        <vt:i4>0</vt:i4>
      </vt:variant>
      <vt:variant>
        <vt:i4>5</vt:i4>
      </vt:variant>
      <vt:variant>
        <vt:lpwstr>https://eur-lex.europa.eu/eli/dir/2014/40/oj</vt:lpwstr>
      </vt:variant>
      <vt:variant>
        <vt:lpwstr/>
      </vt:variant>
      <vt:variant>
        <vt:i4>2949224</vt:i4>
      </vt:variant>
      <vt:variant>
        <vt:i4>228</vt:i4>
      </vt:variant>
      <vt:variant>
        <vt:i4>0</vt:i4>
      </vt:variant>
      <vt:variant>
        <vt:i4>5</vt:i4>
      </vt:variant>
      <vt:variant>
        <vt:lpwstr>https://europa.eu/eurobarometer/surveys/detail/2995</vt:lpwstr>
      </vt:variant>
      <vt:variant>
        <vt:lpwstr/>
      </vt:variant>
      <vt:variant>
        <vt:i4>458769</vt:i4>
      </vt:variant>
      <vt:variant>
        <vt:i4>222</vt:i4>
      </vt:variant>
      <vt:variant>
        <vt:i4>0</vt:i4>
      </vt:variant>
      <vt:variant>
        <vt:i4>5</vt:i4>
      </vt:variant>
      <vt:variant>
        <vt:lpwstr>https://eur-lex.europa.eu/legal-content/EN/TXT/?uri=celex:52025DC0075</vt:lpwstr>
      </vt:variant>
      <vt:variant>
        <vt:lpwstr/>
      </vt:variant>
      <vt:variant>
        <vt:i4>458769</vt:i4>
      </vt:variant>
      <vt:variant>
        <vt:i4>216</vt:i4>
      </vt:variant>
      <vt:variant>
        <vt:i4>0</vt:i4>
      </vt:variant>
      <vt:variant>
        <vt:i4>5</vt:i4>
      </vt:variant>
      <vt:variant>
        <vt:lpwstr>https://eur-lex.europa.eu/legal-content/EN/TXT/?uri=celex:52025DC0075</vt:lpwstr>
      </vt:variant>
      <vt:variant>
        <vt:lpwstr/>
      </vt:variant>
      <vt:variant>
        <vt:i4>196678</vt:i4>
      </vt:variant>
      <vt:variant>
        <vt:i4>213</vt:i4>
      </vt:variant>
      <vt:variant>
        <vt:i4>0</vt:i4>
      </vt:variant>
      <vt:variant>
        <vt:i4>5</vt:i4>
      </vt:variant>
      <vt:variant>
        <vt:lpwstr>https://publications.jrc.ec.europa.eu/repository/handle/JRC139495</vt:lpwstr>
      </vt:variant>
      <vt:variant>
        <vt:lpwstr/>
      </vt:variant>
      <vt:variant>
        <vt:i4>5177441</vt:i4>
      </vt:variant>
      <vt:variant>
        <vt:i4>210</vt:i4>
      </vt:variant>
      <vt:variant>
        <vt:i4>0</vt:i4>
      </vt:variant>
      <vt:variant>
        <vt:i4>5</vt:i4>
      </vt:variant>
      <vt:variant>
        <vt:lpwstr>https://agriculture.ec.europa.eu/common-agricultural-policy/market-measures/school-scheme-explained_en</vt:lpwstr>
      </vt:variant>
      <vt:variant>
        <vt:lpwstr/>
      </vt:variant>
      <vt:variant>
        <vt:i4>2621454</vt:i4>
      </vt:variant>
      <vt:variant>
        <vt:i4>207</vt:i4>
      </vt:variant>
      <vt:variant>
        <vt:i4>0</vt:i4>
      </vt:variant>
      <vt:variant>
        <vt:i4>5</vt:i4>
      </vt:variant>
      <vt:variant>
        <vt:lpwstr>https://research-and-innovation.ec.europa.eu/research-area/environment/bioeconomy/food-systems/food-2030_en</vt:lpwstr>
      </vt:variant>
      <vt:variant>
        <vt:lpwstr/>
      </vt:variant>
      <vt:variant>
        <vt:i4>2686991</vt:i4>
      </vt:variant>
      <vt:variant>
        <vt:i4>204</vt:i4>
      </vt:variant>
      <vt:variant>
        <vt:i4>0</vt:i4>
      </vt:variant>
      <vt:variant>
        <vt:i4>5</vt:i4>
      </vt:variant>
      <vt:variant>
        <vt:lpwstr>https://single-market-economy.ec.europa.eu/sectors/agri-food-industrial-ecosystem/agri-food-code_en</vt:lpwstr>
      </vt:variant>
      <vt:variant>
        <vt:lpwstr/>
      </vt:variant>
      <vt:variant>
        <vt:i4>4063268</vt:i4>
      </vt:variant>
      <vt:variant>
        <vt:i4>201</vt:i4>
      </vt:variant>
      <vt:variant>
        <vt:i4>0</vt:i4>
      </vt:variant>
      <vt:variant>
        <vt:i4>5</vt:i4>
      </vt:variant>
      <vt:variant>
        <vt:lpwstr>https://pmc.ncbi.nlm.nih.gov/articles/PMC11169959/</vt:lpwstr>
      </vt:variant>
      <vt:variant>
        <vt:lpwstr/>
      </vt:variant>
      <vt:variant>
        <vt:i4>3604584</vt:i4>
      </vt:variant>
      <vt:variant>
        <vt:i4>198</vt:i4>
      </vt:variant>
      <vt:variant>
        <vt:i4>0</vt:i4>
      </vt:variant>
      <vt:variant>
        <vt:i4>5</vt:i4>
      </vt:variant>
      <vt:variant>
        <vt:lpwstr>https://doi.org/10.1152/ajpheart.00376.2019</vt:lpwstr>
      </vt:variant>
      <vt:variant>
        <vt:lpwstr/>
      </vt:variant>
      <vt:variant>
        <vt:i4>131076</vt:i4>
      </vt:variant>
      <vt:variant>
        <vt:i4>195</vt:i4>
      </vt:variant>
      <vt:variant>
        <vt:i4>0</vt:i4>
      </vt:variant>
      <vt:variant>
        <vt:i4>5</vt:i4>
      </vt:variant>
      <vt:variant>
        <vt:lpwstr>https://www.jadecare.eu/</vt:lpwstr>
      </vt:variant>
      <vt:variant>
        <vt:lpwstr/>
      </vt:variant>
      <vt:variant>
        <vt:i4>2228242</vt:i4>
      </vt:variant>
      <vt:variant>
        <vt:i4>192</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189</vt:i4>
      </vt:variant>
      <vt:variant>
        <vt:i4>0</vt:i4>
      </vt:variant>
      <vt:variant>
        <vt:i4>5</vt:i4>
      </vt:variant>
      <vt:variant>
        <vt:lpwstr>https://health.ec.europa.eu/document/download/26284fbb-0c7b-4d4d-ae57-f7f2a47e493f_en?filename=funding_c2025_5148_annex_en.pdf</vt:lpwstr>
      </vt:variant>
      <vt:variant>
        <vt:lpwstr/>
      </vt:variant>
      <vt:variant>
        <vt:i4>2228242</vt:i4>
      </vt:variant>
      <vt:variant>
        <vt:i4>186</vt:i4>
      </vt:variant>
      <vt:variant>
        <vt:i4>0</vt:i4>
      </vt:variant>
      <vt:variant>
        <vt:i4>5</vt:i4>
      </vt:variant>
      <vt:variant>
        <vt:lpwstr>https://health.ec.europa.eu/document/download/26284fbb-0c7b-4d4d-ae57-f7f2a47e493f_en?filename=funding_c2025_5148_annex_en.pdf</vt:lpwstr>
      </vt:variant>
      <vt:variant>
        <vt:lpwstr/>
      </vt:variant>
      <vt:variant>
        <vt:i4>5177403</vt:i4>
      </vt:variant>
      <vt:variant>
        <vt:i4>183</vt:i4>
      </vt:variant>
      <vt:variant>
        <vt:i4>0</vt:i4>
      </vt:variant>
      <vt:variant>
        <vt:i4>5</vt:i4>
      </vt:variant>
      <vt:variant>
        <vt:lpwstr>https://ec.europa.eu/eurostat/statistics-explained/index.php?title=Overweight_and_obesity_-_BMI_statistics</vt:lpwstr>
      </vt:variant>
      <vt:variant>
        <vt:lpwstr/>
      </vt:variant>
      <vt:variant>
        <vt:i4>1966153</vt:i4>
      </vt:variant>
      <vt:variant>
        <vt:i4>180</vt:i4>
      </vt:variant>
      <vt:variant>
        <vt:i4>0</vt:i4>
      </vt:variant>
      <vt:variant>
        <vt:i4>5</vt:i4>
      </vt:variant>
      <vt:variant>
        <vt:lpwstr>https://ec.europa.eu/eurostat/web/products-eurostat-news/-/edn-20171113-1</vt:lpwstr>
      </vt:variant>
      <vt:variant>
        <vt:lpwstr/>
      </vt:variant>
      <vt:variant>
        <vt:i4>2031693</vt:i4>
      </vt:variant>
      <vt:variant>
        <vt:i4>177</vt:i4>
      </vt:variant>
      <vt:variant>
        <vt:i4>0</vt:i4>
      </vt:variant>
      <vt:variant>
        <vt:i4>5</vt:i4>
      </vt:variant>
      <vt:variant>
        <vt:lpwstr>https://ec.europa.eu/eurostat/web/products-eurostat-news/-/edn-20210929-1</vt:lpwstr>
      </vt:variant>
      <vt:variant>
        <vt:lpwstr/>
      </vt:variant>
      <vt:variant>
        <vt:i4>2097265</vt:i4>
      </vt:variant>
      <vt:variant>
        <vt:i4>171</vt:i4>
      </vt:variant>
      <vt:variant>
        <vt:i4>0</vt:i4>
      </vt:variant>
      <vt:variant>
        <vt:i4>5</vt:i4>
      </vt:variant>
      <vt:variant>
        <vt:lpwstr>https://ec.europa.eu/eurostat/databrowser/view/hlth_cd_apr/default/table?lang=en</vt:lpwstr>
      </vt:variant>
      <vt:variant>
        <vt:lpwstr/>
      </vt:variant>
      <vt:variant>
        <vt:i4>5046372</vt:i4>
      </vt:variant>
      <vt:variant>
        <vt:i4>168</vt:i4>
      </vt:variant>
      <vt:variant>
        <vt:i4>0</vt:i4>
      </vt:variant>
      <vt:variant>
        <vt:i4>5</vt:i4>
      </vt:variant>
      <vt:variant>
        <vt:lpwstr>https://health.ec.europa.eu/one-health_en</vt:lpwstr>
      </vt:variant>
      <vt:variant>
        <vt:lpwstr/>
      </vt:variant>
      <vt:variant>
        <vt:i4>5898240</vt:i4>
      </vt:variant>
      <vt:variant>
        <vt:i4>165</vt:i4>
      </vt:variant>
      <vt:variant>
        <vt:i4>0</vt:i4>
      </vt:variant>
      <vt:variant>
        <vt:i4>5</vt:i4>
      </vt:variant>
      <vt:variant>
        <vt:lpwstr>https://www.eea.europa.eu/en/analysis/publications/environmental-noise-in-europe-2025</vt:lpwstr>
      </vt:variant>
      <vt:variant>
        <vt:lpwstr/>
      </vt:variant>
      <vt:variant>
        <vt:i4>4194375</vt:i4>
      </vt:variant>
      <vt:variant>
        <vt:i4>162</vt:i4>
      </vt:variant>
      <vt:variant>
        <vt:i4>0</vt:i4>
      </vt:variant>
      <vt:variant>
        <vt:i4>5</vt:i4>
      </vt:variant>
      <vt:variant>
        <vt:lpwstr>https://www.eea.europa.eu/en/analysis/indicators/income-related-environmental-inequalities-associated</vt:lpwstr>
      </vt:variant>
      <vt:variant>
        <vt:lpwstr/>
      </vt:variant>
      <vt:variant>
        <vt:i4>393247</vt:i4>
      </vt:variant>
      <vt:variant>
        <vt:i4>159</vt:i4>
      </vt:variant>
      <vt:variant>
        <vt:i4>0</vt:i4>
      </vt:variant>
      <vt:variant>
        <vt:i4>5</vt:i4>
      </vt:variant>
      <vt:variant>
        <vt:lpwstr>https://ec.europa.eu/eurostat/web/products-datasets/-/hlth_cd_asdr2</vt:lpwstr>
      </vt:variant>
      <vt:variant>
        <vt:lpwstr/>
      </vt:variant>
      <vt:variant>
        <vt:i4>2621442</vt:i4>
      </vt:variant>
      <vt:variant>
        <vt:i4>156</vt:i4>
      </vt:variant>
      <vt:variant>
        <vt:i4>0</vt:i4>
      </vt:variant>
      <vt:variant>
        <vt:i4>5</vt:i4>
      </vt:variant>
      <vt:variant>
        <vt:lpwstr>https://www.oecd.org/en/publications/the-state-of-cardiovascular-health-in-the-european-union_ea7a1%e2%80%a6.html</vt:lpwstr>
      </vt:variant>
      <vt:variant>
        <vt:lpwstr/>
      </vt:variant>
      <vt:variant>
        <vt:i4>2097215</vt:i4>
      </vt:variant>
      <vt:variant>
        <vt:i4>153</vt:i4>
      </vt:variant>
      <vt:variant>
        <vt:i4>0</vt:i4>
      </vt:variant>
      <vt:variant>
        <vt:i4>5</vt:i4>
      </vt:variant>
      <vt:variant>
        <vt:lpwstr>https://doi.org/10.1038/s41572-022-00376-4</vt:lpwstr>
      </vt:variant>
      <vt:variant>
        <vt:lpwstr/>
      </vt:variant>
      <vt:variant>
        <vt:i4>65567</vt:i4>
      </vt:variant>
      <vt:variant>
        <vt:i4>150</vt:i4>
      </vt:variant>
      <vt:variant>
        <vt:i4>0</vt:i4>
      </vt:variant>
      <vt:variant>
        <vt:i4>5</vt:i4>
      </vt:variant>
      <vt:variant>
        <vt:lpwstr>https://doi.org/10.1007/s12170-016-0491-8</vt:lpwstr>
      </vt:variant>
      <vt:variant>
        <vt:lpwstr/>
      </vt:variant>
      <vt:variant>
        <vt:i4>6815817</vt:i4>
      </vt:variant>
      <vt:variant>
        <vt:i4>147</vt:i4>
      </vt:variant>
      <vt:variant>
        <vt:i4>0</vt:i4>
      </vt:variant>
      <vt:variant>
        <vt:i4>5</vt:i4>
      </vt:variant>
      <vt:variant>
        <vt:lpwstr>https://ec.europa.eu/eurostat/databrowser/view/hlth_ehis_pa2e__custom_18900671/bookmark/table?lang=en&amp;bookmarkId=c8e6f582-0742-4889-89fc-44b17ee95566&amp;c=1763137097000</vt:lpwstr>
      </vt:variant>
      <vt:variant>
        <vt:lpwstr/>
      </vt:variant>
      <vt:variant>
        <vt:i4>524294</vt:i4>
      </vt:variant>
      <vt:variant>
        <vt:i4>144</vt:i4>
      </vt:variant>
      <vt:variant>
        <vt:i4>0</vt:i4>
      </vt:variant>
      <vt:variant>
        <vt:i4>5</vt:i4>
      </vt:variant>
      <vt:variant>
        <vt:lpwstr>https://doi.org/10.1093/eurheartj/ehad192</vt:lpwstr>
      </vt:variant>
      <vt:variant>
        <vt:lpwstr/>
      </vt:variant>
      <vt:variant>
        <vt:i4>3276849</vt:i4>
      </vt:variant>
      <vt:variant>
        <vt:i4>141</vt:i4>
      </vt:variant>
      <vt:variant>
        <vt:i4>0</vt:i4>
      </vt:variant>
      <vt:variant>
        <vt:i4>5</vt:i4>
      </vt:variant>
      <vt:variant>
        <vt:lpwstr>https://www.sportesalute.eu/images/studi-e-dati-dello-sport/schede/2024/177-The-State-of-Children-in-the-European-Union.pdf</vt:lpwstr>
      </vt:variant>
      <vt:variant>
        <vt:lpwstr/>
      </vt:variant>
      <vt:variant>
        <vt:i4>262205</vt:i4>
      </vt:variant>
      <vt:variant>
        <vt:i4>138</vt:i4>
      </vt:variant>
      <vt:variant>
        <vt:i4>0</vt:i4>
      </vt:variant>
      <vt:variant>
        <vt:i4>5</vt:i4>
      </vt:variant>
      <vt:variant>
        <vt:lpwstr>https://www.euda.europa.eu/publications/data-factsheets/espad-2024-key-findings_en</vt:lpwstr>
      </vt:variant>
      <vt:variant>
        <vt:lpwstr>0-level-3</vt:lpwstr>
      </vt:variant>
      <vt:variant>
        <vt:i4>2555919</vt:i4>
      </vt:variant>
      <vt:variant>
        <vt:i4>135</vt:i4>
      </vt:variant>
      <vt:variant>
        <vt:i4>0</vt:i4>
      </vt:variant>
      <vt:variant>
        <vt:i4>5</vt:i4>
      </vt:variant>
      <vt:variant>
        <vt:lpwstr>https://ec.europa.eu/eurostat/databrowser/view/hlth_ehis_fv3e__custom_18480344/bookmark/table?lang=en&amp;bookmarkId=417c3894-967a-4c1d-b67c-5be5c22a6bf5&amp;c=1760952223000</vt:lpwstr>
      </vt:variant>
      <vt:variant>
        <vt:lpwstr/>
      </vt:variant>
      <vt:variant>
        <vt:i4>1441892</vt:i4>
      </vt:variant>
      <vt:variant>
        <vt:i4>132</vt:i4>
      </vt:variant>
      <vt:variant>
        <vt:i4>0</vt:i4>
      </vt:variant>
      <vt:variant>
        <vt:i4>5</vt:i4>
      </vt:variant>
      <vt:variant>
        <vt:lpwstr>https://knowledge4policy.ec.europa.eu/health-promotion-knowledge-gateway/sugars-sweeteners_en</vt:lpwstr>
      </vt:variant>
      <vt:variant>
        <vt:lpwstr/>
      </vt:variant>
      <vt:variant>
        <vt:i4>851993</vt:i4>
      </vt:variant>
      <vt:variant>
        <vt:i4>129</vt:i4>
      </vt:variant>
      <vt:variant>
        <vt:i4>0</vt:i4>
      </vt:variant>
      <vt:variant>
        <vt:i4>5</vt:i4>
      </vt:variant>
      <vt:variant>
        <vt:lpwstr>https://doi.org/10.1186/s12937-016-0225-2</vt:lpwstr>
      </vt:variant>
      <vt:variant>
        <vt:lpwstr/>
      </vt:variant>
      <vt:variant>
        <vt:i4>8323169</vt:i4>
      </vt:variant>
      <vt:variant>
        <vt:i4>126</vt:i4>
      </vt:variant>
      <vt:variant>
        <vt:i4>0</vt:i4>
      </vt:variant>
      <vt:variant>
        <vt:i4>5</vt:i4>
      </vt:variant>
      <vt:variant>
        <vt:lpwstr>https://ec.europa.eu/eurostat/databrowser/bookmark/ab518af2-3323-4f46-a563-eac5109666af?lang=en&amp;createdAt=2025-11-17T10:00:04Z</vt:lpwstr>
      </vt:variant>
      <vt:variant>
        <vt:lpwstr/>
      </vt:variant>
      <vt:variant>
        <vt:i4>393217</vt:i4>
      </vt:variant>
      <vt:variant>
        <vt:i4>123</vt:i4>
      </vt:variant>
      <vt:variant>
        <vt:i4>0</vt:i4>
      </vt:variant>
      <vt:variant>
        <vt:i4>5</vt:i4>
      </vt:variant>
      <vt:variant>
        <vt:lpwstr>https://pubmed.ncbi.nlm.nih.gov/32503638/</vt:lpwstr>
      </vt:variant>
      <vt:variant>
        <vt:lpwstr/>
      </vt:variant>
      <vt:variant>
        <vt:i4>3342391</vt:i4>
      </vt:variant>
      <vt:variant>
        <vt:i4>120</vt:i4>
      </vt:variant>
      <vt:variant>
        <vt:i4>0</vt:i4>
      </vt:variant>
      <vt:variant>
        <vt:i4>5</vt:i4>
      </vt:variant>
      <vt:variant>
        <vt:lpwstr>https://www.eea.europa.eu/en/analysis/publications/preventing-cardiovascular-disease-through-a-healthy-environment</vt:lpwstr>
      </vt:variant>
      <vt:variant>
        <vt:lpwstr/>
      </vt:variant>
      <vt:variant>
        <vt:i4>3473528</vt:i4>
      </vt:variant>
      <vt:variant>
        <vt:i4>117</vt:i4>
      </vt:variant>
      <vt:variant>
        <vt:i4>0</vt:i4>
      </vt:variant>
      <vt:variant>
        <vt:i4>5</vt:i4>
      </vt:variant>
      <vt:variant>
        <vt:lpwstr>http://www.euda.europa.eu/</vt:lpwstr>
      </vt:variant>
      <vt:variant>
        <vt:lpwstr/>
      </vt:variant>
      <vt:variant>
        <vt:i4>8192034</vt:i4>
      </vt:variant>
      <vt:variant>
        <vt:i4>114</vt:i4>
      </vt:variant>
      <vt:variant>
        <vt:i4>0</vt:i4>
      </vt:variant>
      <vt:variant>
        <vt:i4>5</vt:i4>
      </vt:variant>
      <vt:variant>
        <vt:lpwstr>https://ec.europa.eu/eurostat/databrowser/view/ilc_hch11__custom_18924314/bookmark/table?lang=en&amp;bookmarkId=707da6f1-1a0d-4ff7-b2f0-ea792c34101d&amp;c=1763372911000</vt:lpwstr>
      </vt:variant>
      <vt:variant>
        <vt:lpwstr/>
      </vt:variant>
      <vt:variant>
        <vt:i4>2621442</vt:i4>
      </vt:variant>
      <vt:variant>
        <vt:i4>111</vt:i4>
      </vt:variant>
      <vt:variant>
        <vt:i4>0</vt:i4>
      </vt:variant>
      <vt:variant>
        <vt:i4>5</vt:i4>
      </vt:variant>
      <vt:variant>
        <vt:lpwstr>https://www.oecd.org/en/publications/the-state-of-cardiovascular-health-in-the-european-union_ea7a1%e2%80%a6.html</vt:lpwstr>
      </vt:variant>
      <vt:variant>
        <vt:lpwstr/>
      </vt:variant>
      <vt:variant>
        <vt:i4>2424894</vt:i4>
      </vt:variant>
      <vt:variant>
        <vt:i4>108</vt:i4>
      </vt:variant>
      <vt:variant>
        <vt:i4>0</vt:i4>
      </vt:variant>
      <vt:variant>
        <vt:i4>5</vt:i4>
      </vt:variant>
      <vt:variant>
        <vt:lpwstr>https://doi.org/10.1186/s40885-024-00276-7</vt:lpwstr>
      </vt:variant>
      <vt:variant>
        <vt:lpwstr/>
      </vt:variant>
      <vt:variant>
        <vt:i4>917519</vt:i4>
      </vt:variant>
      <vt:variant>
        <vt:i4>105</vt:i4>
      </vt:variant>
      <vt:variant>
        <vt:i4>0</vt:i4>
      </vt:variant>
      <vt:variant>
        <vt:i4>5</vt:i4>
      </vt:variant>
      <vt:variant>
        <vt:lpwstr>https://doi.org/10.1093/eurheartj/ehab892</vt:lpwstr>
      </vt:variant>
      <vt:variant>
        <vt:lpwstr/>
      </vt:variant>
      <vt:variant>
        <vt:i4>3014737</vt:i4>
      </vt:variant>
      <vt:variant>
        <vt:i4>99</vt:i4>
      </vt:variant>
      <vt:variant>
        <vt:i4>0</vt:i4>
      </vt:variant>
      <vt:variant>
        <vt:i4>5</vt:i4>
      </vt:variant>
      <vt:variant>
        <vt:lpwstr>https://www.efpia.eu/media/movnhr0y/how-can-we-improve-secondary-cvd-prevention-lse_efpia.pdf</vt:lpwstr>
      </vt:variant>
      <vt:variant>
        <vt:lpwstr/>
      </vt:variant>
      <vt:variant>
        <vt:i4>4128814</vt:i4>
      </vt:variant>
      <vt:variant>
        <vt:i4>96</vt:i4>
      </vt:variant>
      <vt:variant>
        <vt:i4>0</vt:i4>
      </vt:variant>
      <vt:variant>
        <vt:i4>5</vt:i4>
      </vt:variant>
      <vt:variant>
        <vt:lpwstr>https://cancer-inequalities.jrc.ec.europa.eu/sites/default/files/docs/ccp2025/ec-oecd-synthesis-report-250124-1422.pdf</vt:lpwstr>
      </vt:variant>
      <vt:variant>
        <vt:lpwstr/>
      </vt:variant>
      <vt:variant>
        <vt:i4>2</vt:i4>
      </vt:variant>
      <vt:variant>
        <vt:i4>93</vt:i4>
      </vt:variant>
      <vt:variant>
        <vt:i4>0</vt:i4>
      </vt:variant>
      <vt:variant>
        <vt:i4>5</vt:i4>
      </vt:variant>
      <vt:variant>
        <vt:lpwstr>https://doi.org/10.1093/eurheartj/ehae508</vt:lpwstr>
      </vt:variant>
      <vt:variant>
        <vt:lpwstr/>
      </vt:variant>
      <vt:variant>
        <vt:i4>2621442</vt:i4>
      </vt:variant>
      <vt:variant>
        <vt:i4>90</vt:i4>
      </vt:variant>
      <vt:variant>
        <vt:i4>0</vt:i4>
      </vt:variant>
      <vt:variant>
        <vt:i4>5</vt:i4>
      </vt:variant>
      <vt:variant>
        <vt:lpwstr>https://www.oecd.org/en/publications/the-state-of-cardiovascular-health-in-the-european-union_ea7a1%e2%80%a6.html</vt:lpwstr>
      </vt:variant>
      <vt:variant>
        <vt:lpwstr/>
      </vt:variant>
      <vt:variant>
        <vt:i4>1245190</vt:i4>
      </vt:variant>
      <vt:variant>
        <vt:i4>84</vt:i4>
      </vt:variant>
      <vt:variant>
        <vt:i4>0</vt:i4>
      </vt:variant>
      <vt:variant>
        <vt:i4>5</vt:i4>
      </vt:variant>
      <vt:variant>
        <vt:lpwstr>https://world-heart-federation.org/what-we-do/prevention/</vt:lpwstr>
      </vt:variant>
      <vt:variant>
        <vt:lpwstr/>
      </vt:variant>
      <vt:variant>
        <vt:i4>1179771</vt:i4>
      </vt:variant>
      <vt:variant>
        <vt:i4>81</vt:i4>
      </vt:variant>
      <vt:variant>
        <vt:i4>0</vt:i4>
      </vt:variant>
      <vt:variant>
        <vt:i4>5</vt:i4>
      </vt:variant>
      <vt:variant>
        <vt:lpwstr>https://health.ec.europa.eu/state-health-eu_en</vt:lpwstr>
      </vt:variant>
      <vt:variant>
        <vt:lpwstr/>
      </vt:variant>
      <vt:variant>
        <vt:i4>3997757</vt:i4>
      </vt:variant>
      <vt:variant>
        <vt:i4>78</vt:i4>
      </vt:variant>
      <vt:variant>
        <vt:i4>0</vt:i4>
      </vt:variant>
      <vt:variant>
        <vt:i4>5</vt:i4>
      </vt:variant>
      <vt:variant>
        <vt:lpwstr>https://ec.europa.eu/newsroom/sante/items/866453/en</vt:lpwstr>
      </vt:variant>
      <vt:variant>
        <vt:lpwstr/>
      </vt:variant>
      <vt:variant>
        <vt:i4>6422652</vt:i4>
      </vt:variant>
      <vt:variant>
        <vt:i4>75</vt:i4>
      </vt:variant>
      <vt:variant>
        <vt:i4>0</vt:i4>
      </vt:variant>
      <vt:variant>
        <vt:i4>5</vt:i4>
      </vt:variant>
      <vt:variant>
        <vt:lpwstr>https://www.preventncd.eu/</vt:lpwstr>
      </vt:variant>
      <vt:variant>
        <vt:lpwstr/>
      </vt:variant>
      <vt:variant>
        <vt:i4>3014711</vt:i4>
      </vt:variant>
      <vt:variant>
        <vt:i4>72</vt:i4>
      </vt:variant>
      <vt:variant>
        <vt:i4>0</vt:i4>
      </vt:variant>
      <vt:variant>
        <vt:i4>5</vt:i4>
      </vt:variant>
      <vt:variant>
        <vt:lpwstr>https://jacardi.eu/</vt:lpwstr>
      </vt:variant>
      <vt:variant>
        <vt:lpwstr/>
      </vt:variant>
      <vt:variant>
        <vt:i4>5570612</vt:i4>
      </vt:variant>
      <vt:variant>
        <vt:i4>69</vt:i4>
      </vt:variant>
      <vt:variant>
        <vt:i4>0</vt:i4>
      </vt:variant>
      <vt:variant>
        <vt:i4>5</vt:i4>
      </vt:variant>
      <vt:variant>
        <vt:lpwstr>https://ec.europa.eu/info/law/better-regulation/have-your-say/initiatives/14627-Biotech-Act/public-consultation_en</vt:lpwstr>
      </vt:variant>
      <vt:variant>
        <vt:lpwstr/>
      </vt:variant>
      <vt:variant>
        <vt:i4>2031725</vt:i4>
      </vt:variant>
      <vt:variant>
        <vt:i4>66</vt:i4>
      </vt:variant>
      <vt:variant>
        <vt:i4>0</vt:i4>
      </vt:variant>
      <vt:variant>
        <vt:i4>5</vt:i4>
      </vt:variant>
      <vt:variant>
        <vt:lpwstr>https://health.ec.europa.eu/blood-tissues-cells-and-organs/soho-regulation/new-eu-rules-substances-human-origin_en</vt:lpwstr>
      </vt:variant>
      <vt:variant>
        <vt:lpwstr/>
      </vt:variant>
      <vt:variant>
        <vt:i4>5242940</vt:i4>
      </vt:variant>
      <vt:variant>
        <vt:i4>63</vt:i4>
      </vt:variant>
      <vt:variant>
        <vt:i4>0</vt:i4>
      </vt:variant>
      <vt:variant>
        <vt:i4>5</vt:i4>
      </vt:variant>
      <vt:variant>
        <vt:lpwstr>https://health.ec.europa.eu/medicinal-products/legal-framework-governing-medicinal-products-human-use-eu/critical-medicines-act_en</vt:lpwstr>
      </vt:variant>
      <vt:variant>
        <vt:lpwstr/>
      </vt:variant>
      <vt:variant>
        <vt:i4>524392</vt:i4>
      </vt:variant>
      <vt:variant>
        <vt:i4>60</vt:i4>
      </vt:variant>
      <vt:variant>
        <vt:i4>0</vt:i4>
      </vt:variant>
      <vt:variant>
        <vt:i4>5</vt:i4>
      </vt:variant>
      <vt:variant>
        <vt:lpwstr>https://health.ec.europa.eu/medical-devices-sector_en</vt:lpwstr>
      </vt:variant>
      <vt:variant>
        <vt:lpwstr/>
      </vt:variant>
      <vt:variant>
        <vt:i4>786511</vt:i4>
      </vt:variant>
      <vt:variant>
        <vt:i4>54</vt:i4>
      </vt:variant>
      <vt:variant>
        <vt:i4>0</vt:i4>
      </vt:variant>
      <vt:variant>
        <vt:i4>5</vt:i4>
      </vt:variant>
      <vt:variant>
        <vt:lpwstr>https://eur-lex.europa.eu/legal-content/EN/ALL/?uri=COM:2023:190:FIN</vt:lpwstr>
      </vt:variant>
      <vt:variant>
        <vt:lpwstr/>
      </vt:variant>
      <vt:variant>
        <vt:i4>1376347</vt:i4>
      </vt:variant>
      <vt:variant>
        <vt:i4>51</vt:i4>
      </vt:variant>
      <vt:variant>
        <vt:i4>0</vt:i4>
      </vt:variant>
      <vt:variant>
        <vt:i4>5</vt:i4>
      </vt:variant>
      <vt:variant>
        <vt:lpwstr>https://eur-lex.europa.eu/eli/reg/2025/327/oj/eng</vt:lpwstr>
      </vt:variant>
      <vt:variant>
        <vt:lpwstr/>
      </vt:variant>
      <vt:variant>
        <vt:i4>786467</vt:i4>
      </vt:variant>
      <vt:variant>
        <vt:i4>48</vt:i4>
      </vt:variant>
      <vt:variant>
        <vt:i4>0</vt:i4>
      </vt:variant>
      <vt:variant>
        <vt:i4>5</vt:i4>
      </vt:variant>
      <vt:variant>
        <vt:lpwstr>https://research-and-innovation.ec.europa.eu/strategy/strategy-research-and-innovation/jobs-and-economy/strategy-european-life-sciences_en</vt:lpwstr>
      </vt:variant>
      <vt:variant>
        <vt:lpwstr/>
      </vt:variant>
      <vt:variant>
        <vt:i4>6422551</vt:i4>
      </vt:variant>
      <vt:variant>
        <vt:i4>45</vt:i4>
      </vt:variant>
      <vt:variant>
        <vt:i4>0</vt:i4>
      </vt:variant>
      <vt:variant>
        <vt:i4>5</vt:i4>
      </vt:variant>
      <vt:variant>
        <vt:lpwstr>https://environment.ec.europa.eu/strategy/zero-pollution-action-plan_en</vt:lpwstr>
      </vt:variant>
      <vt:variant>
        <vt:lpwstr/>
      </vt:variant>
      <vt:variant>
        <vt:i4>720966</vt:i4>
      </vt:variant>
      <vt:variant>
        <vt:i4>42</vt:i4>
      </vt:variant>
      <vt:variant>
        <vt:i4>0</vt:i4>
      </vt:variant>
      <vt:variant>
        <vt:i4>5</vt:i4>
      </vt:variant>
      <vt:variant>
        <vt:lpwstr>https://eur-lex.europa.eu/legal-content/EN/ALL/?uri=COM:2021:400:FIN</vt:lpwstr>
      </vt:variant>
      <vt:variant>
        <vt:lpwstr/>
      </vt:variant>
      <vt:variant>
        <vt:i4>458831</vt:i4>
      </vt:variant>
      <vt:variant>
        <vt:i4>39</vt:i4>
      </vt:variant>
      <vt:variant>
        <vt:i4>0</vt:i4>
      </vt:variant>
      <vt:variant>
        <vt:i4>5</vt:i4>
      </vt:variant>
      <vt:variant>
        <vt:lpwstr>https://eur-lex.europa.eu/legal-content/EN/ALL/?uri=COM:2023:298:FIN</vt:lpwstr>
      </vt:variant>
      <vt:variant>
        <vt:lpwstr/>
      </vt:variant>
      <vt:variant>
        <vt:i4>2621529</vt:i4>
      </vt:variant>
      <vt:variant>
        <vt:i4>36</vt:i4>
      </vt:variant>
      <vt:variant>
        <vt:i4>0</vt:i4>
      </vt:variant>
      <vt:variant>
        <vt:i4>5</vt:i4>
      </vt:variant>
      <vt:variant>
        <vt:lpwstr>https://research-and-innovation.ec.europa.eu/funding/funding-opportunities/funding-programmes-and-open-calls/horizon-europe/eu-missions-horizon-europe/eu-mission-cancer_en</vt:lpwstr>
      </vt:variant>
      <vt:variant>
        <vt:lpwstr/>
      </vt:variant>
      <vt:variant>
        <vt:i4>262165</vt:i4>
      </vt:variant>
      <vt:variant>
        <vt:i4>30</vt:i4>
      </vt:variant>
      <vt:variant>
        <vt:i4>0</vt:i4>
      </vt:variant>
      <vt:variant>
        <vt:i4>5</vt:i4>
      </vt:variant>
      <vt:variant>
        <vt:lpwstr>https://eur-lex.europa.eu/legal-content/EN/TXT/?uri=CELEX:52021DC0044</vt:lpwstr>
      </vt:variant>
      <vt:variant>
        <vt:lpwstr/>
      </vt:variant>
      <vt:variant>
        <vt:i4>7012420</vt:i4>
      </vt:variant>
      <vt:variant>
        <vt:i4>27</vt:i4>
      </vt:variant>
      <vt:variant>
        <vt:i4>0</vt:i4>
      </vt:variant>
      <vt:variant>
        <vt:i4>5</vt:i4>
      </vt:variant>
      <vt:variant>
        <vt:lpwstr>https://health.ec.europa.eu/non-communicable-diseases/healthier-together-eu-non-communicable-diseases-initiative_en</vt:lpwstr>
      </vt:variant>
      <vt:variant>
        <vt:lpwstr/>
      </vt:variant>
      <vt:variant>
        <vt:i4>4849723</vt:i4>
      </vt:variant>
      <vt:variant>
        <vt:i4>24</vt:i4>
      </vt:variant>
      <vt:variant>
        <vt:i4>0</vt:i4>
      </vt:variant>
      <vt:variant>
        <vt:i4>5</vt:i4>
      </vt:variant>
      <vt:variant>
        <vt:lpwstr>https://commission.europa.eu/topics/public-health/european-health-union_en</vt:lpwstr>
      </vt:variant>
      <vt:variant>
        <vt:lpwstr/>
      </vt:variant>
      <vt:variant>
        <vt:i4>6357006</vt:i4>
      </vt:variant>
      <vt:variant>
        <vt:i4>21</vt:i4>
      </vt:variant>
      <vt:variant>
        <vt:i4>0</vt:i4>
      </vt:variant>
      <vt:variant>
        <vt:i4>5</vt:i4>
      </vt:variant>
      <vt:variant>
        <vt:lpwstr>https://ec.europa.eu/info/law/better-regulation/have-your-say/initiatives/14755-EU-cardiovascular-health-plan_en</vt:lpwstr>
      </vt:variant>
      <vt:variant>
        <vt:lpwstr/>
      </vt:variant>
      <vt:variant>
        <vt:i4>1114155</vt:i4>
      </vt:variant>
      <vt:variant>
        <vt:i4>18</vt:i4>
      </vt:variant>
      <vt:variant>
        <vt:i4>0</vt:i4>
      </vt:variant>
      <vt:variant>
        <vt:i4>5</vt:i4>
      </vt:variant>
      <vt:variant>
        <vt:lpwstr>https://www.europarl.europa.eu/doceo/document/A-9-2023-0366_EN.html</vt:lpwstr>
      </vt:variant>
      <vt:variant>
        <vt:lpwstr/>
      </vt:variant>
      <vt:variant>
        <vt:i4>983055</vt:i4>
      </vt:variant>
      <vt:variant>
        <vt:i4>15</vt:i4>
      </vt:variant>
      <vt:variant>
        <vt:i4>0</vt:i4>
      </vt:variant>
      <vt:variant>
        <vt:i4>5</vt:i4>
      </vt:variant>
      <vt:variant>
        <vt:lpwstr>https://www.cardiovascular-alliance.eu/mep-group/</vt:lpwstr>
      </vt:variant>
      <vt:variant>
        <vt:lpwstr/>
      </vt:variant>
      <vt:variant>
        <vt:i4>2752551</vt:i4>
      </vt:variant>
      <vt:variant>
        <vt:i4>12</vt:i4>
      </vt:variant>
      <vt:variant>
        <vt:i4>0</vt:i4>
      </vt:variant>
      <vt:variant>
        <vt:i4>5</vt:i4>
      </vt:variant>
      <vt:variant>
        <vt:lpwstr>https://www.consilium.europa.eu/en/press/press-releases/2024/12/03/cardiovascular-health-council-calls-for-more-robust-efforts-to-help-prevent-cardiovascular-diseases/</vt:lpwstr>
      </vt:variant>
      <vt:variant>
        <vt:lpwstr/>
      </vt:variant>
      <vt:variant>
        <vt:i4>3866733</vt:i4>
      </vt:variant>
      <vt:variant>
        <vt:i4>9</vt:i4>
      </vt:variant>
      <vt:variant>
        <vt:i4>0</vt:i4>
      </vt:variant>
      <vt:variant>
        <vt:i4>5</vt:i4>
      </vt:variant>
      <vt:variant>
        <vt:lpwstr>https://data.consilium.europa.eu/doc/document/ST-15315-2024-INIT/en/pdf</vt:lpwstr>
      </vt:variant>
      <vt:variant>
        <vt:lpwstr/>
      </vt:variant>
      <vt:variant>
        <vt:i4>655365</vt:i4>
      </vt:variant>
      <vt:variant>
        <vt:i4>6</vt:i4>
      </vt:variant>
      <vt:variant>
        <vt:i4>0</vt:i4>
      </vt:variant>
      <vt:variant>
        <vt:i4>5</vt:i4>
      </vt:variant>
      <vt:variant>
        <vt:lpwstr>https://pubmed.ncbi.nlm.nih.gov/39270739/</vt:lpwstr>
      </vt:variant>
      <vt:variant>
        <vt:lpwstr/>
      </vt:variant>
      <vt:variant>
        <vt:i4>3473468</vt:i4>
      </vt:variant>
      <vt:variant>
        <vt:i4>3</vt:i4>
      </vt:variant>
      <vt:variant>
        <vt:i4>0</vt:i4>
      </vt:variant>
      <vt:variant>
        <vt:i4>5</vt:i4>
      </vt:variant>
      <vt:variant>
        <vt:lpwstr>https://ec.europa.eu/eurostat/statistics-explained/index.php?title=Cardiovascular_diseases_statistics</vt:lpwstr>
      </vt:variant>
      <vt:variant>
        <vt:lpwstr/>
      </vt:variant>
      <vt:variant>
        <vt:i4>2621442</vt:i4>
      </vt:variant>
      <vt:variant>
        <vt:i4>0</vt:i4>
      </vt:variant>
      <vt:variant>
        <vt:i4>0</vt:i4>
      </vt:variant>
      <vt:variant>
        <vt:i4>5</vt:i4>
      </vt:variant>
      <vt:variant>
        <vt:lpwstr>https://www.oecd.org/en/publications/the-state-of-cardiovascular-health-in-the-european-union_ea7a1%e2%80%a6.html</vt:lpwstr>
      </vt:variant>
      <vt:variant>
        <vt:lpwstr/>
      </vt:variant>
      <vt:variant>
        <vt:i4>5505053</vt:i4>
      </vt:variant>
      <vt:variant>
        <vt:i4>0</vt:i4>
      </vt:variant>
      <vt:variant>
        <vt:i4>0</vt:i4>
      </vt:variant>
      <vt:variant>
        <vt:i4>5</vt:i4>
      </vt:variant>
      <vt:variant>
        <vt:lpwstr>https://www.escardio.org/The-ESC/Press-Office/Press-releases/New-systematic-review-and-meta-analysis-shows-an-association-between-shingles-vaccination-and-lower-risk-of-heart-attack-and-stroke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2025-12-16T10:38:00Z</dcterms:created>
  <dcterms:modified xsi:type="dcterms:W3CDTF">2025-12-16T10:56:00Z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2025-12-04T19:02:19Z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479361bd-24f2-4c46-8f3b-59648f3f872b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0x01010078D2C354A9B80F4897019BC7E2880A88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