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A99E7" w14:textId="6778457B" w:rsidR="004C5377" w:rsidRDefault="00E81812" w:rsidP="001D7C2D">
      <w:pPr>
        <w:pStyle w:val="Pagedecouverture"/>
      </w:pPr>
      <w:r>
        <w:pict w14:anchorId="6A9BBE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ADD9449-E24C-4C60-804E-141F3A027505" style="width:455.25pt;height:414pt">
            <v:imagedata r:id="rId11" o:title=""/>
          </v:shape>
        </w:pict>
      </w:r>
    </w:p>
    <w:p w14:paraId="650EFF58" w14:textId="77777777" w:rsidR="004C5377" w:rsidRDefault="004C5377" w:rsidP="004C5377">
      <w:pPr>
        <w:sectPr w:rsidR="004C5377" w:rsidSect="009A3128">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39"/>
          <w:pgMar w:top="1134" w:right="1417" w:bottom="1134" w:left="1417" w:header="709" w:footer="709" w:gutter="0"/>
          <w:pgNumType w:start="0"/>
          <w:cols w:space="720"/>
          <w:docGrid w:linePitch="360"/>
        </w:sectPr>
      </w:pPr>
    </w:p>
    <w:p w14:paraId="0B66B74D" w14:textId="77777777" w:rsidR="004C5377" w:rsidRDefault="004C5377">
      <w:pPr>
        <w:pStyle w:val="Exposdesmotifstitre"/>
      </w:pPr>
      <w:r w:rsidRPr="006F770D">
        <w:lastRenderedPageBreak/>
        <w:t>EXPLANATORY MEMORANDUM</w:t>
      </w:r>
    </w:p>
    <w:p w14:paraId="7E92C0C3" w14:textId="77777777" w:rsidR="004C5377" w:rsidRPr="006F770D" w:rsidRDefault="004C5377" w:rsidP="004C5377">
      <w:pPr>
        <w:pStyle w:val="ManualHeading1"/>
      </w:pPr>
      <w:r w:rsidRPr="00C567EE">
        <w:t>1.</w:t>
      </w:r>
      <w:r w:rsidRPr="00C567EE">
        <w:tab/>
      </w:r>
      <w:r w:rsidRPr="006F770D">
        <w:t>CONTEXT OF THE PROPOSAL</w:t>
      </w:r>
    </w:p>
    <w:p w14:paraId="5EF9F718" w14:textId="77777777" w:rsidR="004C5377" w:rsidRPr="00044058" w:rsidRDefault="004C5377" w:rsidP="004C5377">
      <w:pPr>
        <w:pStyle w:val="ManualHeading2"/>
        <w:rPr>
          <w:rFonts w:eastAsia="Arial Unicode MS"/>
        </w:rPr>
      </w:pPr>
      <w:r w:rsidRPr="0029266A">
        <w:rPr>
          <w:rFonts w:eastAsia="Arial Unicode MS"/>
          <w:color w:val="000000"/>
          <w:u w:color="000000"/>
          <w:bdr w:val="nil"/>
          <w:lang w:val="en-US" w:eastAsia="en-GB"/>
        </w:rPr>
        <w:t>•</w:t>
      </w:r>
      <w:r w:rsidRPr="0029266A">
        <w:rPr>
          <w:rFonts w:eastAsia="Arial Unicode MS"/>
          <w:color w:val="000000"/>
          <w:u w:color="000000"/>
          <w:bdr w:val="nil"/>
          <w:lang w:val="en-US" w:eastAsia="en-GB"/>
        </w:rPr>
        <w:tab/>
      </w:r>
      <w:r w:rsidRPr="00044058">
        <w:rPr>
          <w:rFonts w:eastAsia="Arial Unicode MS"/>
        </w:rPr>
        <w:t xml:space="preserve">Reasons for and objectives of </w:t>
      </w:r>
      <w:r>
        <w:t>the proposal</w:t>
      </w:r>
    </w:p>
    <w:p w14:paraId="3689301B" w14:textId="77777777" w:rsidR="004C5377" w:rsidRDefault="004C5377" w:rsidP="004C5377">
      <w:r>
        <w:t>The EU has a strong and competitive pharmaceutical sector, which is a global leader in the production of medicines and a major contributor to the EU economy and directly employs around 800 000 people</w:t>
      </w:r>
      <w:r>
        <w:rPr>
          <w:rStyle w:val="FootnoteReference"/>
        </w:rPr>
        <w:footnoteReference w:id="2"/>
      </w:r>
      <w:r>
        <w:t>. It is particularly strong in the research and development of innovative medicines. However, the landscape for pharmaceutical manufacturing has evolved in recent decades. Pharmaceutical production in the EU has focused on more complex products, which require high-tech infrastructure, a skilled workforce and sophisticated processes. Production of inputs for generic medicines has increasingly moved outside Europe. At the same time, almost 70% of the medicines dispensed in Europe are generics</w:t>
      </w:r>
      <w:r>
        <w:rPr>
          <w:rStyle w:val="FootnoteReference"/>
        </w:rPr>
        <w:footnoteReference w:id="3"/>
      </w:r>
      <w:r>
        <w:t>.</w:t>
      </w:r>
    </w:p>
    <w:p w14:paraId="48075439" w14:textId="77777777" w:rsidR="004C5377" w:rsidRDefault="004C5377" w:rsidP="004C5377">
      <w:r>
        <w:t xml:space="preserve">The EU faces increasing challenges to secure a stable and resilient supply of medicines that are critical to ensure the health of the EU patients. Recent global events, including the COVID-19 pandemic and </w:t>
      </w:r>
      <w:r w:rsidRPr="00BC3EC2">
        <w:t>Russia’s war</w:t>
      </w:r>
      <w:r>
        <w:t xml:space="preserve"> against Ukraine, have exposed vulnerabilities in the EU’s pharmaceutical supply chains. </w:t>
      </w:r>
      <w:r w:rsidRPr="00881B21">
        <w:t xml:space="preserve">Shortages of critical medicines </w:t>
      </w:r>
      <w:r w:rsidRPr="0083077E">
        <w:t xml:space="preserve">present substantial risks to </w:t>
      </w:r>
      <w:r>
        <w:t xml:space="preserve">patients and </w:t>
      </w:r>
      <w:r w:rsidRPr="0083077E">
        <w:t>public health</w:t>
      </w:r>
      <w:r>
        <w:t xml:space="preserve"> and undermine </w:t>
      </w:r>
      <w:r w:rsidRPr="0083077E">
        <w:t>the function</w:t>
      </w:r>
      <w:r>
        <w:t xml:space="preserve">ing of healthcare systems. </w:t>
      </w:r>
    </w:p>
    <w:p w14:paraId="5C36F56F" w14:textId="77777777" w:rsidR="004C5377" w:rsidRDefault="004C5377" w:rsidP="004C5377">
      <w:r>
        <w:t xml:space="preserve">The root causes of shortages have shown themselves to be complex and multifactorial, with challenges identified along the entire pharmaceutical value chain, from quality and manufacturing problems, commercial decisions, and complex supply chains to industry’s competitiveness. Specifically, shortages of medicines result from supply chain disruptions due to lack of diversification of key suppliers and vulnerabilities affecting the supply of key ingredients and components. </w:t>
      </w:r>
    </w:p>
    <w:p w14:paraId="43727E4A" w14:textId="06AC46F4" w:rsidR="004C5377" w:rsidRDefault="004C5377" w:rsidP="004C5377">
      <w:r>
        <w:t>When looking at the causes of shortages of critical medicines, which are medicines for which no appropriate alternative is available and for which insufficient supply would result in serious harm or risk of harm to patients, it is important to distinguish between off-patent or generic medicines</w:t>
      </w:r>
      <w:r>
        <w:rPr>
          <w:rStyle w:val="FootnoteReference"/>
        </w:rPr>
        <w:footnoteReference w:id="4"/>
      </w:r>
      <w:r>
        <w:t xml:space="preserve"> and innovative or on-patent</w:t>
      </w:r>
      <w:r>
        <w:rPr>
          <w:rStyle w:val="FootnoteReference"/>
        </w:rPr>
        <w:footnoteReference w:id="5"/>
      </w:r>
      <w:r>
        <w:t xml:space="preserve"> medicines. Some of the market dynamics, which are observable for generic medicines do not necessarily apply to innovative medicines. EU health systems have made increasing use of generic medicines and tend to procure these, based on </w:t>
      </w:r>
      <w:r w:rsidRPr="008B62E0">
        <w:rPr>
          <w:i/>
          <w:iCs/>
        </w:rPr>
        <w:t>lowest</w:t>
      </w:r>
      <w:r>
        <w:t xml:space="preserve"> cost, to reduce the burden on national healthcare budgets.</w:t>
      </w:r>
      <w:r w:rsidR="008B5969">
        <w:t xml:space="preserve"> </w:t>
      </w:r>
    </w:p>
    <w:p w14:paraId="3D455A54" w14:textId="36989400" w:rsidR="00D059E4" w:rsidRDefault="00476B11" w:rsidP="004C5377">
      <w:r>
        <w:t>I</w:t>
      </w:r>
      <w:r w:rsidR="00D059E4">
        <w:t xml:space="preserve">ndustrial challenges </w:t>
      </w:r>
      <w:r w:rsidR="00A72905">
        <w:t xml:space="preserve">have been pointed out as </w:t>
      </w:r>
      <w:r w:rsidR="00D059E4">
        <w:t>impact</w:t>
      </w:r>
      <w:r w:rsidR="00A72905">
        <w:t>ing</w:t>
      </w:r>
      <w:r w:rsidR="00D059E4">
        <w:t xml:space="preserve"> the availability of critical medicines in the EU</w:t>
      </w:r>
      <w:r>
        <w:t xml:space="preserve"> including the</w:t>
      </w:r>
      <w:r w:rsidR="00A72905">
        <w:t xml:space="preserve"> l</w:t>
      </w:r>
      <w:r w:rsidR="00891FF2">
        <w:t xml:space="preserve">ack of investments </w:t>
      </w:r>
      <w:r w:rsidR="007F37A9">
        <w:t xml:space="preserve">in </w:t>
      </w:r>
      <w:r>
        <w:t xml:space="preserve">EU </w:t>
      </w:r>
      <w:r w:rsidR="00891FF2">
        <w:t>manufacturing capacit</w:t>
      </w:r>
      <w:r>
        <w:t>y</w:t>
      </w:r>
      <w:r w:rsidR="00E707D6">
        <w:t xml:space="preserve"> </w:t>
      </w:r>
      <w:r>
        <w:t xml:space="preserve">which has </w:t>
      </w:r>
      <w:r w:rsidR="00E707D6">
        <w:t>contribute</w:t>
      </w:r>
      <w:r>
        <w:t>d</w:t>
      </w:r>
      <w:r w:rsidR="00E707D6">
        <w:t xml:space="preserve"> to </w:t>
      </w:r>
      <w:r w:rsidR="008C73AA">
        <w:t xml:space="preserve">the </w:t>
      </w:r>
      <w:r>
        <w:t>increased supply</w:t>
      </w:r>
      <w:r w:rsidR="007F37A9">
        <w:t xml:space="preserve"> </w:t>
      </w:r>
      <w:r w:rsidR="00A45604">
        <w:t>dependency from</w:t>
      </w:r>
      <w:r>
        <w:t xml:space="preserve"> outside the EU</w:t>
      </w:r>
      <w:r w:rsidR="007F37A9">
        <w:t xml:space="preserve">. </w:t>
      </w:r>
      <w:r w:rsidR="002C4FA5">
        <w:t>F</w:t>
      </w:r>
      <w:r w:rsidR="00787445">
        <w:t>ragmented procurement practices across the Member States</w:t>
      </w:r>
      <w:r w:rsidR="008E4D24">
        <w:t xml:space="preserve"> </w:t>
      </w:r>
      <w:r w:rsidR="00F83B56">
        <w:t xml:space="preserve">constitute a challenge and </w:t>
      </w:r>
      <w:r w:rsidR="00D427A7">
        <w:t>do not contribute to creat</w:t>
      </w:r>
      <w:r w:rsidR="007011FA">
        <w:t>ing</w:t>
      </w:r>
      <w:r w:rsidR="0018579E">
        <w:t xml:space="preserve"> </w:t>
      </w:r>
      <w:r w:rsidR="008E4D24">
        <w:t>the most favourable conditions for investment</w:t>
      </w:r>
      <w:r w:rsidR="00D73A82">
        <w:t>s</w:t>
      </w:r>
      <w:r w:rsidR="008E4D24">
        <w:t>.</w:t>
      </w:r>
      <w:r w:rsidR="0018579E">
        <w:t xml:space="preserve"> </w:t>
      </w:r>
      <w:r w:rsidR="00B15069">
        <w:t xml:space="preserve">Additionally, workforce shortages and the need for specialised skills in pharmaceutical manufacturing further strain the </w:t>
      </w:r>
      <w:r w:rsidR="00796E94">
        <w:t>industry’s</w:t>
      </w:r>
      <w:r w:rsidR="00B15069">
        <w:t xml:space="preserve"> capacity to ensure</w:t>
      </w:r>
      <w:r w:rsidR="00796E94">
        <w:t xml:space="preserve"> a stable supply of critical medicines. </w:t>
      </w:r>
    </w:p>
    <w:p w14:paraId="1A63A3FE" w14:textId="77777777" w:rsidR="004C5377" w:rsidRPr="00F452B3" w:rsidRDefault="004C5377" w:rsidP="004C5377">
      <w:r>
        <w:t>The</w:t>
      </w:r>
      <w:r w:rsidRPr="00FE097B">
        <w:t xml:space="preserve"> COVID-19 pandemic</w:t>
      </w:r>
      <w:r>
        <w:t xml:space="preserve"> clearly</w:t>
      </w:r>
      <w:r w:rsidRPr="00FE097B">
        <w:t xml:space="preserve"> exposed significant vulnerabilities </w:t>
      </w:r>
      <w:r>
        <w:t>in the EU’s</w:t>
      </w:r>
      <w:r w:rsidRPr="00FE097B">
        <w:t xml:space="preserve"> pharmaceutical supply chain</w:t>
      </w:r>
      <w:r>
        <w:t xml:space="preserve">, in particular </w:t>
      </w:r>
      <w:r w:rsidRPr="00FE097B">
        <w:t xml:space="preserve">the heavy dependence on foreign sources for active </w:t>
      </w:r>
      <w:r>
        <w:t>substances</w:t>
      </w:r>
      <w:r w:rsidRPr="00FE097B">
        <w:t xml:space="preserve">. Export restrictions imposed by </w:t>
      </w:r>
      <w:r>
        <w:t>some</w:t>
      </w:r>
      <w:r w:rsidRPr="00FE097B">
        <w:t xml:space="preserve"> countries during the </w:t>
      </w:r>
      <w:r>
        <w:t>pandemic</w:t>
      </w:r>
      <w:r w:rsidRPr="00FE097B">
        <w:t xml:space="preserve"> revealed </w:t>
      </w:r>
      <w:r w:rsidRPr="00F452B3">
        <w:t xml:space="preserve">limitations in Europe’s ability to independently produce certain medicines, putting public </w:t>
      </w:r>
      <w:r w:rsidRPr="00F452B3">
        <w:lastRenderedPageBreak/>
        <w:t xml:space="preserve">health across the EU at risk. This situation underscored the critical importance of economic security, as disruptions in global supply chains—whether due to pandemics, geopolitical tensions, or other factors—can have severe implications for national and regional security, economic resilience, and public health. </w:t>
      </w:r>
    </w:p>
    <w:p w14:paraId="7B970935" w14:textId="132B479F" w:rsidR="004C5377" w:rsidRPr="00F452B3" w:rsidRDefault="004C5377" w:rsidP="004C5377">
      <w:r w:rsidRPr="00F452B3">
        <w:t xml:space="preserve">The pandemic highlighted how vital certain sectors, especially medicines, are for maintaining the EU's </w:t>
      </w:r>
      <w:r w:rsidRPr="008B56A1">
        <w:t>economic security</w:t>
      </w:r>
      <w:r w:rsidRPr="00F452B3">
        <w:t xml:space="preserve">. As Europe is </w:t>
      </w:r>
      <w:r w:rsidR="004D3628" w:rsidRPr="00F452B3">
        <w:t>facing</w:t>
      </w:r>
      <w:r w:rsidRPr="00F452B3">
        <w:t xml:space="preserve"> rising geopolitical tensions and global disruptions </w:t>
      </w:r>
      <w:r w:rsidR="00476B11" w:rsidRPr="00F452B3">
        <w:t xml:space="preserve">which </w:t>
      </w:r>
      <w:r w:rsidR="00F7403C" w:rsidRPr="00F452B3">
        <w:t xml:space="preserve">may </w:t>
      </w:r>
      <w:r w:rsidRPr="00F452B3">
        <w:t>become more frequent, ensuring the stability and reliability of critical supply chains, including those for medicines, is essential. By addressing these vulnerabilities, the EU can enhance its preparedness and resilience, safeguarding the well-being and public health of its citizens and strengthening its overall</w:t>
      </w:r>
      <w:r w:rsidR="000449B6" w:rsidRPr="008B56A1">
        <w:t xml:space="preserve"> </w:t>
      </w:r>
      <w:r w:rsidRPr="00F452B3">
        <w:t>security.</w:t>
      </w:r>
    </w:p>
    <w:p w14:paraId="6C493076" w14:textId="45E01CD8" w:rsidR="004C5377" w:rsidRDefault="004C5377" w:rsidP="004C5377">
      <w:r w:rsidRPr="00F452B3">
        <w:t>A survey conducted by the EU4Health programme-funded Joint Action of Member States on shortages (CHESSMEN)</w:t>
      </w:r>
      <w:r w:rsidRPr="00F452B3">
        <w:rPr>
          <w:rStyle w:val="FootnoteReference"/>
        </w:rPr>
        <w:footnoteReference w:id="6"/>
      </w:r>
      <w:r w:rsidRPr="00F452B3">
        <w:t xml:space="preserve"> identified that over 50% of reported shortages are caused by</w:t>
      </w:r>
      <w:r>
        <w:t xml:space="preserve"> manufacturing issues, a category which includes shortages related to the availability of active substances.</w:t>
      </w:r>
    </w:p>
    <w:p w14:paraId="4ED50299" w14:textId="77777777" w:rsidR="004C5377" w:rsidRDefault="004C5377" w:rsidP="004C5377">
      <w:pPr>
        <w:keepNext/>
        <w:jc w:val="center"/>
      </w:pPr>
      <w:r w:rsidRPr="00794D86">
        <w:rPr>
          <w:noProof/>
        </w:rPr>
        <w:drawing>
          <wp:inline distT="0" distB="0" distL="0" distR="0" wp14:anchorId="3A004C83" wp14:editId="3884169B">
            <wp:extent cx="4328160" cy="3012967"/>
            <wp:effectExtent l="0" t="0" r="0" b="0"/>
            <wp:docPr id="263712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712189" name=""/>
                    <pic:cNvPicPr/>
                  </pic:nvPicPr>
                  <pic:blipFill>
                    <a:blip r:embed="rId18"/>
                    <a:stretch>
                      <a:fillRect/>
                    </a:stretch>
                  </pic:blipFill>
                  <pic:spPr>
                    <a:xfrm>
                      <a:off x="0" y="0"/>
                      <a:ext cx="4340311" cy="3021425"/>
                    </a:xfrm>
                    <a:prstGeom prst="rect">
                      <a:avLst/>
                    </a:prstGeom>
                  </pic:spPr>
                </pic:pic>
              </a:graphicData>
            </a:graphic>
          </wp:inline>
        </w:drawing>
      </w:r>
    </w:p>
    <w:p w14:paraId="5CD1786E" w14:textId="79683ABD" w:rsidR="004C5377" w:rsidRPr="009B77CB" w:rsidRDefault="004C5377" w:rsidP="004C5377">
      <w:pPr>
        <w:pStyle w:val="Caption"/>
        <w:jc w:val="center"/>
        <w:rPr>
          <w:i/>
          <w:sz w:val="18"/>
          <w:szCs w:val="18"/>
          <w:u w:val="single"/>
          <w:lang w:val="en-IE"/>
        </w:rPr>
      </w:pPr>
      <w:r w:rsidRPr="009B77CB">
        <w:rPr>
          <w:sz w:val="18"/>
          <w:szCs w:val="18"/>
          <w:lang w:val="en-IE"/>
        </w:rPr>
        <w:t xml:space="preserve">Figure </w:t>
      </w:r>
      <w:r w:rsidRPr="009B77CB">
        <w:rPr>
          <w:sz w:val="18"/>
          <w:szCs w:val="18"/>
        </w:rPr>
        <w:fldChar w:fldCharType="begin"/>
      </w:r>
      <w:r w:rsidRPr="009B77CB">
        <w:rPr>
          <w:sz w:val="18"/>
          <w:szCs w:val="18"/>
          <w:lang w:val="en-IE"/>
        </w:rPr>
        <w:instrText xml:space="preserve"> SEQ Figure \* ARABIC </w:instrText>
      </w:r>
      <w:r w:rsidRPr="009B77CB">
        <w:rPr>
          <w:sz w:val="18"/>
          <w:szCs w:val="18"/>
        </w:rPr>
        <w:fldChar w:fldCharType="separate"/>
      </w:r>
      <w:r w:rsidR="00D33888">
        <w:rPr>
          <w:noProof/>
          <w:sz w:val="18"/>
          <w:szCs w:val="18"/>
          <w:lang w:val="en-IE"/>
        </w:rPr>
        <w:t>1</w:t>
      </w:r>
      <w:r w:rsidRPr="009B77CB">
        <w:rPr>
          <w:sz w:val="18"/>
          <w:szCs w:val="18"/>
        </w:rPr>
        <w:fldChar w:fldCharType="end"/>
      </w:r>
      <w:r w:rsidRPr="009B77CB">
        <w:rPr>
          <w:sz w:val="18"/>
          <w:szCs w:val="18"/>
          <w:lang w:val="en-IE"/>
        </w:rPr>
        <w:t>: Root causes of medicines shortages in 2022 and 2023 in EU/EEA countries, grouped according to SPOC working party classification (CHESSMEN joint action</w:t>
      </w:r>
      <w:r w:rsidRPr="009B77CB">
        <w:rPr>
          <w:i/>
          <w:sz w:val="18"/>
          <w:szCs w:val="18"/>
          <w:lang w:val="en-IE"/>
        </w:rPr>
        <w:t>)</w:t>
      </w:r>
    </w:p>
    <w:p w14:paraId="6B05ED6C" w14:textId="77777777" w:rsidR="004C5377" w:rsidRDefault="004C5377" w:rsidP="004C5377">
      <w:pPr>
        <w:jc w:val="center"/>
      </w:pPr>
    </w:p>
    <w:p w14:paraId="5D7243CA" w14:textId="77777777" w:rsidR="004C5377" w:rsidRPr="002B37CD" w:rsidRDefault="004C5377" w:rsidP="004C5377">
      <w:r w:rsidRPr="00912D0F">
        <w:t xml:space="preserve">Furthermore, for </w:t>
      </w:r>
      <w:r>
        <w:t>some</w:t>
      </w:r>
      <w:r w:rsidRPr="00912D0F">
        <w:t xml:space="preserve"> medicines </w:t>
      </w:r>
      <w:r>
        <w:t>such as those for rare diseases</w:t>
      </w:r>
      <w:r w:rsidRPr="00912D0F">
        <w:t xml:space="preserve">, access can vary considerably from Member State to Member State. Due to various factors, including the size of the markets, companies market medicines differently across </w:t>
      </w:r>
      <w:r>
        <w:t>the EU</w:t>
      </w:r>
      <w:r w:rsidRPr="00912D0F">
        <w:t>. As a result, patients across the EU may not have equal access to the medicines they need</w:t>
      </w:r>
      <w:r>
        <w:t xml:space="preserve"> and market failures remain, including</w:t>
      </w:r>
      <w:r w:rsidRPr="00EB4F36">
        <w:t xml:space="preserve"> </w:t>
      </w:r>
      <w:r>
        <w:t>with</w:t>
      </w:r>
      <w:r w:rsidRPr="00EB4F36">
        <w:t>in the development of priority antimicrobials that can help address antimicrobial resistance. </w:t>
      </w:r>
    </w:p>
    <w:p w14:paraId="039F8A75" w14:textId="48C45318" w:rsidR="004C5377" w:rsidRDefault="004C5377" w:rsidP="004C5377">
      <w:r>
        <w:t>Shortages of medicines have been on the EU’s political agenda for almost a decade</w:t>
      </w:r>
      <w:r>
        <w:rPr>
          <w:rStyle w:val="FootnoteReference"/>
        </w:rPr>
        <w:footnoteReference w:id="7"/>
      </w:r>
      <w:r>
        <w:t>. Th</w:t>
      </w:r>
      <w:r w:rsidRPr="002B37CD">
        <w:t xml:space="preserve">e </w:t>
      </w:r>
      <w:r>
        <w:rPr>
          <w:b/>
          <w:bCs/>
        </w:rPr>
        <w:t>p</w:t>
      </w:r>
      <w:r w:rsidRPr="0092695A">
        <w:rPr>
          <w:b/>
          <w:bCs/>
        </w:rPr>
        <w:t xml:space="preserve">harmaceutical </w:t>
      </w:r>
      <w:r>
        <w:rPr>
          <w:b/>
          <w:bCs/>
        </w:rPr>
        <w:t>s</w:t>
      </w:r>
      <w:r w:rsidRPr="0092695A">
        <w:rPr>
          <w:b/>
          <w:bCs/>
        </w:rPr>
        <w:t>trategy for Europe</w:t>
      </w:r>
      <w:r>
        <w:t xml:space="preserve"> </w:t>
      </w:r>
      <w:r w:rsidRPr="002B37CD">
        <w:t>in 2020</w:t>
      </w:r>
      <w:r>
        <w:rPr>
          <w:rStyle w:val="FootnoteReference"/>
        </w:rPr>
        <w:footnoteReference w:id="8"/>
      </w:r>
      <w:r>
        <w:t xml:space="preserve"> acknowledged</w:t>
      </w:r>
      <w:r w:rsidRPr="002B37CD">
        <w:t xml:space="preserve"> the</w:t>
      </w:r>
      <w:r>
        <w:t xml:space="preserve"> </w:t>
      </w:r>
      <w:r w:rsidRPr="002B37CD">
        <w:t xml:space="preserve">need </w:t>
      </w:r>
      <w:r>
        <w:t>to create</w:t>
      </w:r>
      <w:r w:rsidRPr="002B37CD">
        <w:t xml:space="preserve"> a future-</w:t>
      </w:r>
      <w:r w:rsidRPr="002B37CD">
        <w:lastRenderedPageBreak/>
        <w:t xml:space="preserve">proof regulatory pharmaceutical framework and </w:t>
      </w:r>
      <w:r>
        <w:t xml:space="preserve">give </w:t>
      </w:r>
      <w:r w:rsidRPr="002B37CD">
        <w:t xml:space="preserve">additional support </w:t>
      </w:r>
      <w:r>
        <w:t>to</w:t>
      </w:r>
      <w:r w:rsidRPr="002B37CD">
        <w:t xml:space="preserve"> the pharmaceutical industry in promoting research</w:t>
      </w:r>
      <w:r>
        <w:t>, innovation</w:t>
      </w:r>
      <w:r w:rsidRPr="002B37CD">
        <w:t xml:space="preserve"> and technologies </w:t>
      </w:r>
      <w:r>
        <w:t>that meet</w:t>
      </w:r>
      <w:r w:rsidRPr="002B37CD">
        <w:t xml:space="preserve"> the therapeutic needs of patients while </w:t>
      </w:r>
      <w:r>
        <w:t>ensuring affordable access to medicines for patients</w:t>
      </w:r>
      <w:r w:rsidRPr="002B37CD">
        <w:t xml:space="preserve">. </w:t>
      </w:r>
    </w:p>
    <w:p w14:paraId="1A8F5777" w14:textId="77777777" w:rsidR="004C5377" w:rsidRPr="002B37CD" w:rsidRDefault="004C5377" w:rsidP="004C5377">
      <w:r w:rsidRPr="002B37CD">
        <w:t xml:space="preserve">The </w:t>
      </w:r>
      <w:r>
        <w:t>p</w:t>
      </w:r>
      <w:r w:rsidRPr="002B37CD">
        <w:t xml:space="preserve">harmaceutical </w:t>
      </w:r>
      <w:r>
        <w:t>s</w:t>
      </w:r>
      <w:r w:rsidRPr="002B37CD">
        <w:t xml:space="preserve">trategy also </w:t>
      </w:r>
      <w:r>
        <w:t>included the</w:t>
      </w:r>
      <w:r w:rsidRPr="002B37CD">
        <w:t xml:space="preserve"> launch</w:t>
      </w:r>
      <w:r>
        <w:t xml:space="preserve"> of</w:t>
      </w:r>
      <w:r w:rsidRPr="002B37CD">
        <w:t xml:space="preserve"> a </w:t>
      </w:r>
      <w:r>
        <w:rPr>
          <w:b/>
          <w:bCs/>
        </w:rPr>
        <w:t>s</w:t>
      </w:r>
      <w:r w:rsidRPr="00194EF1">
        <w:rPr>
          <w:b/>
          <w:bCs/>
        </w:rPr>
        <w:t xml:space="preserve">tructured </w:t>
      </w:r>
      <w:r>
        <w:rPr>
          <w:b/>
          <w:bCs/>
        </w:rPr>
        <w:t>d</w:t>
      </w:r>
      <w:r w:rsidRPr="00194EF1">
        <w:rPr>
          <w:b/>
          <w:bCs/>
        </w:rPr>
        <w:t>ialogue</w:t>
      </w:r>
      <w:r>
        <w:rPr>
          <w:rStyle w:val="FootnoteReference"/>
        </w:rPr>
        <w:footnoteReference w:id="9"/>
      </w:r>
      <w:r w:rsidRPr="002B37CD">
        <w:t xml:space="preserve"> on the </w:t>
      </w:r>
      <w:r>
        <w:t xml:space="preserve">industrial dimension of </w:t>
      </w:r>
      <w:r w:rsidRPr="002B37CD">
        <w:t xml:space="preserve">security of supply. </w:t>
      </w:r>
      <w:r>
        <w:t>Starting</w:t>
      </w:r>
      <w:r w:rsidRPr="002B37CD">
        <w:t xml:space="preserve"> in 2021, this initiative brought together stakeholders from the pharmaceutical industry (including manufacturers of </w:t>
      </w:r>
      <w:r>
        <w:t>active substances</w:t>
      </w:r>
      <w:r w:rsidRPr="002B37CD">
        <w:t xml:space="preserve">), wholesalers, healthcare professionals and patients, and Member State authorities. </w:t>
      </w:r>
    </w:p>
    <w:p w14:paraId="081B231C" w14:textId="029D3426" w:rsidR="004C5377" w:rsidRPr="002B37CD" w:rsidRDefault="004C5377" w:rsidP="004C5377">
      <w:r>
        <w:t>Subsequently,</w:t>
      </w:r>
      <w:r w:rsidRPr="002B37CD">
        <w:t xml:space="preserve"> the Commission published a </w:t>
      </w:r>
      <w:r>
        <w:rPr>
          <w:b/>
          <w:bCs/>
        </w:rPr>
        <w:t>s</w:t>
      </w:r>
      <w:r w:rsidRPr="006A5A1A">
        <w:rPr>
          <w:b/>
          <w:bCs/>
        </w:rPr>
        <w:t xml:space="preserve">taff </w:t>
      </w:r>
      <w:r>
        <w:rPr>
          <w:b/>
          <w:bCs/>
        </w:rPr>
        <w:t>w</w:t>
      </w:r>
      <w:r w:rsidRPr="006A5A1A">
        <w:rPr>
          <w:b/>
          <w:bCs/>
        </w:rPr>
        <w:t xml:space="preserve">orking </w:t>
      </w:r>
      <w:r>
        <w:rPr>
          <w:b/>
          <w:bCs/>
        </w:rPr>
        <w:t>d</w:t>
      </w:r>
      <w:r w:rsidRPr="006A5A1A">
        <w:rPr>
          <w:b/>
          <w:bCs/>
        </w:rPr>
        <w:t xml:space="preserve">ocument on </w:t>
      </w:r>
      <w:r>
        <w:rPr>
          <w:b/>
          <w:bCs/>
        </w:rPr>
        <w:t>v</w:t>
      </w:r>
      <w:r w:rsidRPr="006A5A1A">
        <w:rPr>
          <w:b/>
          <w:bCs/>
        </w:rPr>
        <w:t>ulnerabilities of the global supply chains of medicines</w:t>
      </w:r>
      <w:r>
        <w:t xml:space="preserve"> in </w:t>
      </w:r>
      <w:r w:rsidR="005D4858">
        <w:t>2022</w:t>
      </w:r>
      <w:r>
        <w:rPr>
          <w:rStyle w:val="FootnoteReference"/>
        </w:rPr>
        <w:footnoteReference w:id="10"/>
      </w:r>
      <w:r>
        <w:t xml:space="preserve"> which</w:t>
      </w:r>
      <w:r w:rsidRPr="002B37CD">
        <w:t xml:space="preserve"> presented the main findings of the </w:t>
      </w:r>
      <w:r>
        <w:t>s</w:t>
      </w:r>
      <w:r w:rsidRPr="002B37CD">
        <w:t xml:space="preserve">tructured </w:t>
      </w:r>
      <w:r>
        <w:t>d</w:t>
      </w:r>
      <w:r w:rsidRPr="002B37CD">
        <w:t xml:space="preserve">ialogue with the aim of informing further actions to improve the security of supply and the availability of critical medicines, </w:t>
      </w:r>
      <w:r>
        <w:t>active substances</w:t>
      </w:r>
      <w:r w:rsidRPr="002B37CD">
        <w:t xml:space="preserve"> and raw and starting materials for pharmaceuticals.</w:t>
      </w:r>
    </w:p>
    <w:p w14:paraId="141EA977" w14:textId="77777777" w:rsidR="004C5377" w:rsidRDefault="004C5377" w:rsidP="004C5377">
      <w:r>
        <w:t>Additional</w:t>
      </w:r>
      <w:r w:rsidRPr="002B37CD">
        <w:t xml:space="preserve"> steps have been taken</w:t>
      </w:r>
      <w:r>
        <w:t xml:space="preserve"> since</w:t>
      </w:r>
      <w:r w:rsidRPr="002B37CD">
        <w:t xml:space="preserve"> to address the above-mentioned challenges, including </w:t>
      </w:r>
      <w:r>
        <w:t xml:space="preserve">the challenge of ensuring </w:t>
      </w:r>
      <w:r w:rsidRPr="002B37CD">
        <w:t>supply</w:t>
      </w:r>
      <w:r>
        <w:t>-</w:t>
      </w:r>
      <w:r w:rsidRPr="002B37CD">
        <w:t>chain security of critical medicines</w:t>
      </w:r>
      <w:r>
        <w:t xml:space="preserve">. These steps relate in particular to </w:t>
      </w:r>
      <w:r w:rsidRPr="002B37CD">
        <w:t xml:space="preserve">the proposed </w:t>
      </w:r>
      <w:r w:rsidRPr="00CC006A">
        <w:rPr>
          <w:b/>
          <w:bCs/>
        </w:rPr>
        <w:t xml:space="preserve">revision of the </w:t>
      </w:r>
      <w:r>
        <w:rPr>
          <w:b/>
          <w:bCs/>
        </w:rPr>
        <w:t>EU</w:t>
      </w:r>
      <w:r w:rsidRPr="00CC006A">
        <w:rPr>
          <w:b/>
          <w:bCs/>
        </w:rPr>
        <w:t xml:space="preserve"> pharmaceutical general legislation</w:t>
      </w:r>
      <w:r>
        <w:rPr>
          <w:rStyle w:val="FootnoteReference"/>
        </w:rPr>
        <w:footnoteReference w:id="11"/>
      </w:r>
      <w:r>
        <w:t>, which is being</w:t>
      </w:r>
      <w:r w:rsidRPr="002B37CD">
        <w:t xml:space="preserve"> </w:t>
      </w:r>
      <w:r>
        <w:t>negotiated by</w:t>
      </w:r>
      <w:r w:rsidRPr="002B37CD">
        <w:t xml:space="preserve"> the co-legislators</w:t>
      </w:r>
      <w:r>
        <w:t xml:space="preserve"> and</w:t>
      </w:r>
      <w:r w:rsidRPr="002B37CD">
        <w:t xml:space="preserve"> the </w:t>
      </w:r>
      <w:r>
        <w:t>extended</w:t>
      </w:r>
      <w:r w:rsidRPr="002B37CD">
        <w:t xml:space="preserve"> mandate of the European Medicines Agency (EMA)</w:t>
      </w:r>
      <w:r>
        <w:rPr>
          <w:rStyle w:val="FootnoteReference"/>
        </w:rPr>
        <w:footnoteReference w:id="12"/>
      </w:r>
      <w:r>
        <w:t>.</w:t>
      </w:r>
      <w:r w:rsidRPr="002B37CD">
        <w:t xml:space="preserve"> </w:t>
      </w:r>
    </w:p>
    <w:p w14:paraId="7757E7DC" w14:textId="77777777" w:rsidR="004C5377" w:rsidRPr="002925CA" w:rsidRDefault="004C5377" w:rsidP="004C5377">
      <w:pPr>
        <w:rPr>
          <w:color w:val="000000"/>
          <w:lang w:val="en-IE"/>
        </w:rPr>
      </w:pPr>
      <w:r w:rsidRPr="00610449">
        <w:rPr>
          <w:rStyle w:val="Strong"/>
          <w:color w:val="000000"/>
        </w:rPr>
        <w:t>In 2023, the Commission published a Communication on addressing medicine shortages in the EU</w:t>
      </w:r>
      <w:r>
        <w:rPr>
          <w:rStyle w:val="FootnoteReference"/>
          <w:color w:val="000000"/>
        </w:rPr>
        <w:footnoteReference w:id="13"/>
      </w:r>
      <w:r w:rsidRPr="00610449">
        <w:rPr>
          <w:rStyle w:val="Strong"/>
          <w:color w:val="000000"/>
        </w:rPr>
        <w:t>, </w:t>
      </w:r>
      <w:r>
        <w:rPr>
          <w:rStyle w:val="Strong"/>
          <w:color w:val="000000"/>
        </w:rPr>
        <w:t>setting out a number</w:t>
      </w:r>
      <w:r w:rsidRPr="00610449">
        <w:rPr>
          <w:rStyle w:val="Strong"/>
          <w:color w:val="000000"/>
        </w:rPr>
        <w:t xml:space="preserve"> of actions to better prevent and mitigate critical medicine shortages in the EU.</w:t>
      </w:r>
      <w:r w:rsidRPr="00610449">
        <w:rPr>
          <w:color w:val="000000"/>
        </w:rPr>
        <w:t> </w:t>
      </w:r>
      <w:r>
        <w:rPr>
          <w:color w:val="000000"/>
        </w:rPr>
        <w:t>While pharmaceutical companies are responsible for ensuring sufficient supply of medicines to cover the needs of patients, Member States ensure the supervision of medicines supply in their territory. Most shortages are managed and resolved at the national level. However, to prevent and mitigate c</w:t>
      </w:r>
      <w:r w:rsidRPr="00610449">
        <w:rPr>
          <w:color w:val="000000"/>
        </w:rPr>
        <w:t>ritical shortages</w:t>
      </w:r>
      <w:r>
        <w:rPr>
          <w:color w:val="000000"/>
        </w:rPr>
        <w:t xml:space="preserve"> where no</w:t>
      </w:r>
      <w:r w:rsidRPr="00610449">
        <w:rPr>
          <w:color w:val="000000"/>
        </w:rPr>
        <w:t xml:space="preserve"> </w:t>
      </w:r>
      <w:r>
        <w:rPr>
          <w:color w:val="000000"/>
        </w:rPr>
        <w:t xml:space="preserve">alternative medicines are available and that cannot be solved at the national level, </w:t>
      </w:r>
      <w:r w:rsidRPr="00610449">
        <w:rPr>
          <w:color w:val="000000"/>
        </w:rPr>
        <w:t xml:space="preserve">coordinated action </w:t>
      </w:r>
      <w:r>
        <w:rPr>
          <w:color w:val="000000"/>
        </w:rPr>
        <w:t>is</w:t>
      </w:r>
      <w:r w:rsidRPr="00610449">
        <w:rPr>
          <w:color w:val="000000"/>
        </w:rPr>
        <w:t xml:space="preserve"> needed to address supply challenges and to make Europe’s medicine</w:t>
      </w:r>
      <w:r w:rsidRPr="002925CA">
        <w:rPr>
          <w:color w:val="000000"/>
        </w:rPr>
        <w:t xml:space="preserve"> supply chains more resilient in the long run.</w:t>
      </w:r>
      <w:r>
        <w:rPr>
          <w:color w:val="000000"/>
        </w:rPr>
        <w:t xml:space="preserve"> </w:t>
      </w:r>
    </w:p>
    <w:p w14:paraId="0266D484" w14:textId="63E64E4C" w:rsidR="004C5377" w:rsidRPr="00357094" w:rsidRDefault="004C5377" w:rsidP="004C5377">
      <w:pPr>
        <w:rPr>
          <w:color w:val="000000"/>
          <w:lang w:val="en-IE"/>
        </w:rPr>
      </w:pPr>
      <w:r>
        <w:rPr>
          <w:color w:val="000000"/>
        </w:rPr>
        <w:t>The 2023 Communication therefore</w:t>
      </w:r>
      <w:r w:rsidRPr="002925CA">
        <w:rPr>
          <w:color w:val="000000"/>
        </w:rPr>
        <w:t xml:space="preserve"> put a particular focus on the most </w:t>
      </w:r>
      <w:r w:rsidRPr="002925CA">
        <w:rPr>
          <w:rStyle w:val="Strong"/>
          <w:color w:val="000000"/>
        </w:rPr>
        <w:t>critical medicines</w:t>
      </w:r>
      <w:r w:rsidRPr="7779C70C">
        <w:rPr>
          <w:rStyle w:val="Emphasis"/>
          <w:rFonts w:eastAsiaTheme="majorEastAsia"/>
          <w:color w:val="000000"/>
        </w:rPr>
        <w:t>,</w:t>
      </w:r>
      <w:r w:rsidRPr="7779C70C">
        <w:rPr>
          <w:rStyle w:val="Strong"/>
          <w:i/>
          <w:iCs/>
          <w:color w:val="000000"/>
        </w:rPr>
        <w:t> </w:t>
      </w:r>
      <w:r w:rsidRPr="002925CA">
        <w:rPr>
          <w:color w:val="000000"/>
        </w:rPr>
        <w:t>for which security of supply in the EU must be ensured at all times.</w:t>
      </w:r>
      <w:r>
        <w:rPr>
          <w:color w:val="000000"/>
        </w:rPr>
        <w:t xml:space="preserve"> It highlighted the need to publish a </w:t>
      </w:r>
      <w:r w:rsidRPr="00CC006A">
        <w:rPr>
          <w:rStyle w:val="Strong"/>
          <w:color w:val="000000"/>
        </w:rPr>
        <w:t>Union list of critical medicines</w:t>
      </w:r>
      <w:r>
        <w:rPr>
          <w:rStyle w:val="Strong"/>
          <w:color w:val="000000"/>
        </w:rPr>
        <w:t xml:space="preserve"> prior to the adoption of the revised EU pharmaceutical legislation. </w:t>
      </w:r>
      <w:r>
        <w:rPr>
          <w:color w:val="000000"/>
        </w:rPr>
        <w:t>The first Union list of critical medicines</w:t>
      </w:r>
      <w:r w:rsidR="002A1E29" w:rsidRPr="7779C70C">
        <w:rPr>
          <w:color w:val="000000" w:themeColor="text1"/>
        </w:rPr>
        <w:t>, identified by combining the criteria of seriousness of the disease and the availability of alternativ</w:t>
      </w:r>
      <w:r w:rsidR="00E52040" w:rsidRPr="7779C70C">
        <w:rPr>
          <w:color w:val="000000" w:themeColor="text1"/>
        </w:rPr>
        <w:t>e medicine</w:t>
      </w:r>
      <w:r w:rsidR="00476B11">
        <w:rPr>
          <w:color w:val="000000" w:themeColor="text1"/>
        </w:rPr>
        <w:t>s</w:t>
      </w:r>
      <w:r w:rsidR="00E52040" w:rsidRPr="7779C70C">
        <w:rPr>
          <w:color w:val="000000" w:themeColor="text1"/>
        </w:rPr>
        <w:t>,</w:t>
      </w:r>
      <w:r>
        <w:rPr>
          <w:color w:val="000000"/>
        </w:rPr>
        <w:t xml:space="preserve"> was published by the European Commission, the EMA and the Heads of Medicines Agencies of the Member States in December 2023 and reviewed in December 2024</w:t>
      </w:r>
      <w:r>
        <w:rPr>
          <w:rStyle w:val="FootnoteReference"/>
          <w:color w:val="000000"/>
        </w:rPr>
        <w:footnoteReference w:id="14"/>
      </w:r>
      <w:r>
        <w:rPr>
          <w:color w:val="000000"/>
        </w:rPr>
        <w:t>. It provides a first list from which to analyse the vulnerabilities in the supply chain of these medicines and where further actions are needed to reinforce these supply chains. The list</w:t>
      </w:r>
      <w:r w:rsidRPr="00C75ECB">
        <w:rPr>
          <w:color w:val="000000"/>
        </w:rPr>
        <w:t xml:space="preserve"> includes over 270 active substances</w:t>
      </w:r>
      <w:r>
        <w:rPr>
          <w:color w:val="000000"/>
        </w:rPr>
        <w:t>, covering</w:t>
      </w:r>
      <w:r w:rsidRPr="00C75ECB">
        <w:rPr>
          <w:color w:val="000000"/>
        </w:rPr>
        <w:t xml:space="preserve"> treatments for various illnesses such as infections,</w:t>
      </w:r>
      <w:r>
        <w:rPr>
          <w:color w:val="000000"/>
        </w:rPr>
        <w:t xml:space="preserve"> cardiovascular</w:t>
      </w:r>
      <w:r w:rsidRPr="00C75ECB">
        <w:rPr>
          <w:color w:val="000000"/>
        </w:rPr>
        <w:t xml:space="preserve"> disease</w:t>
      </w:r>
      <w:r>
        <w:rPr>
          <w:color w:val="000000"/>
        </w:rPr>
        <w:t>s</w:t>
      </w:r>
      <w:r w:rsidRPr="00C75ECB">
        <w:rPr>
          <w:color w:val="000000"/>
        </w:rPr>
        <w:t>, mental health conditions and cancer.</w:t>
      </w:r>
    </w:p>
    <w:p w14:paraId="3DF38D84" w14:textId="77777777" w:rsidR="004C5377" w:rsidRDefault="004C5377" w:rsidP="004C5377">
      <w:r>
        <w:t>As a key measure towards boosting the security of supply of critical medicines, the Commission also announced in its Communication the launch of a ‘</w:t>
      </w:r>
      <w:r w:rsidRPr="00CC006A">
        <w:rPr>
          <w:b/>
          <w:bCs/>
        </w:rPr>
        <w:t>Critical Medicines Alliance</w:t>
      </w:r>
      <w:r>
        <w:t>’</w:t>
      </w:r>
      <w:r>
        <w:rPr>
          <w:rStyle w:val="FootnoteReference"/>
        </w:rPr>
        <w:footnoteReference w:id="15"/>
      </w:r>
      <w:r>
        <w:t>. This Alliance was formally launched in April 2024</w:t>
      </w:r>
      <w:r>
        <w:rPr>
          <w:rStyle w:val="FootnoteReference"/>
        </w:rPr>
        <w:footnoteReference w:id="16"/>
      </w:r>
      <w:r>
        <w:t xml:space="preserve"> and follows an approach successfully used by the Commission in other areas (batteries, semiconductors, critical raw materials). The main objective of the Alliance was to ‘identify challenges resulting from vulnerabilities and the most appropriate actions and instruments to address the vulnerabilities in the supply chains of critical medicines, with the primary public health goal of reducing the risk of shortages of those critical medicines’. It brought together over </w:t>
      </w:r>
      <w:r w:rsidRPr="00CC006A">
        <w:t>300 organisations (from patient and scientific communities</w:t>
      </w:r>
      <w:r>
        <w:t xml:space="preserve"> to</w:t>
      </w:r>
      <w:r w:rsidRPr="00CC006A">
        <w:t xml:space="preserve"> healthcare providers, industry and public authorities). Following intensive consultations </w:t>
      </w:r>
      <w:r>
        <w:t>with its members</w:t>
      </w:r>
      <w:r w:rsidRPr="00CC006A">
        <w:t xml:space="preserve"> </w:t>
      </w:r>
      <w:r>
        <w:t>during</w:t>
      </w:r>
      <w:r w:rsidRPr="00CC006A">
        <w:t xml:space="preserve"> 2024, the Alliance published its Strategic Report</w:t>
      </w:r>
      <w:r>
        <w:t xml:space="preserve"> including a set of </w:t>
      </w:r>
      <w:r w:rsidRPr="00CC006A">
        <w:t xml:space="preserve">recommendations </w:t>
      </w:r>
      <w:r w:rsidRPr="0090257B">
        <w:t>on 28 February 2025</w:t>
      </w:r>
      <w:r w:rsidRPr="0090257B">
        <w:rPr>
          <w:rStyle w:val="FootnoteReference"/>
        </w:rPr>
        <w:footnoteReference w:id="17"/>
      </w:r>
      <w:r w:rsidRPr="0090257B">
        <w:t>.</w:t>
      </w:r>
    </w:p>
    <w:p w14:paraId="4388D852" w14:textId="77777777" w:rsidR="004C5377" w:rsidRDefault="004C5377" w:rsidP="004C5377">
      <w:pPr>
        <w:tabs>
          <w:tab w:val="left" w:pos="3261"/>
        </w:tabs>
      </w:pPr>
      <w:r>
        <w:t>This proposed Regulation</w:t>
      </w:r>
      <w:r w:rsidRPr="008255A4">
        <w:t xml:space="preserve"> delivers on the political commitment </w:t>
      </w:r>
      <w:r>
        <w:t>of</w:t>
      </w:r>
      <w:r w:rsidRPr="008255A4">
        <w:t xml:space="preserve"> President von der Leyen</w:t>
      </w:r>
      <w:r>
        <w:t xml:space="preserve"> to propose a </w:t>
      </w:r>
      <w:r w:rsidRPr="00CC006A">
        <w:rPr>
          <w:b/>
          <w:bCs/>
        </w:rPr>
        <w:t>Critical Medicines Act</w:t>
      </w:r>
      <w:r>
        <w:t xml:space="preserve"> to address severe shortages of medicines and reduce dependencies linked to critical medicines and ingredients, as well as to ensure the supply of affordable medicines</w:t>
      </w:r>
      <w:r>
        <w:rPr>
          <w:rStyle w:val="FootnoteReference"/>
        </w:rPr>
        <w:footnoteReference w:id="18"/>
      </w:r>
      <w:r>
        <w:t xml:space="preserve">. The proposed Regulation will be an important stage in completing the </w:t>
      </w:r>
      <w:r w:rsidRPr="008C2644">
        <w:rPr>
          <w:b/>
          <w:bCs/>
        </w:rPr>
        <w:t>European Health Union</w:t>
      </w:r>
      <w:r>
        <w:t xml:space="preserve">; it builds on (1) the measures proposed as part of the ongoing revision of the pharmaceutical legislation of the EU; (2) the extended mandate of the EMA </w:t>
      </w:r>
      <w:r w:rsidRPr="00C25F7E">
        <w:t>in</w:t>
      </w:r>
      <w:r>
        <w:t xml:space="preserve"> the realm of</w:t>
      </w:r>
      <w:r w:rsidRPr="00C25F7E">
        <w:t xml:space="preserve"> crisis preparedness and management </w:t>
      </w:r>
      <w:r>
        <w:t>of</w:t>
      </w:r>
      <w:r w:rsidRPr="00C25F7E">
        <w:t xml:space="preserve"> medici</w:t>
      </w:r>
      <w:r>
        <w:t>nes; (3) key actions towards completing a European Health Union i</w:t>
      </w:r>
      <w:r w:rsidRPr="00314EEA">
        <w:t xml:space="preserve">n which all EU </w:t>
      </w:r>
      <w:r>
        <w:t>Member States</w:t>
      </w:r>
      <w:r w:rsidRPr="00314EEA">
        <w:t xml:space="preserve"> prepare and respond together to health crises</w:t>
      </w:r>
      <w:r>
        <w:t xml:space="preserve"> and</w:t>
      </w:r>
      <w:r w:rsidRPr="00314EEA">
        <w:t xml:space="preserve"> </w:t>
      </w:r>
      <w:r>
        <w:t xml:space="preserve">in which </w:t>
      </w:r>
      <w:r w:rsidRPr="00314EEA">
        <w:t>medical supplies are available, affordable and innovative</w:t>
      </w:r>
      <w:r>
        <w:rPr>
          <w:rStyle w:val="FootnoteReference"/>
        </w:rPr>
        <w:footnoteReference w:id="19"/>
      </w:r>
      <w:r>
        <w:t xml:space="preserve">; and (4) new </w:t>
      </w:r>
      <w:r w:rsidRPr="00555F90">
        <w:t>industrial policy measures</w:t>
      </w:r>
      <w:r>
        <w:t xml:space="preserve"> that recently came into force in other ‘critical’ domains</w:t>
      </w:r>
      <w:r>
        <w:rPr>
          <w:rStyle w:val="FootnoteReference"/>
        </w:rPr>
        <w:footnoteReference w:id="20"/>
      </w:r>
      <w:r>
        <w:t xml:space="preserve">. </w:t>
      </w:r>
    </w:p>
    <w:p w14:paraId="73DFAAB0" w14:textId="77777777" w:rsidR="004C5377" w:rsidRPr="000C2DEE" w:rsidRDefault="004C5377" w:rsidP="004C5377">
      <w:pPr>
        <w:spacing w:before="0" w:after="200" w:line="276" w:lineRule="auto"/>
        <w:jc w:val="left"/>
        <w:rPr>
          <w:i/>
          <w:iCs/>
        </w:rPr>
      </w:pPr>
      <w:r>
        <w:rPr>
          <w:i/>
          <w:iCs/>
        </w:rPr>
        <w:t>Scope and o</w:t>
      </w:r>
      <w:r w:rsidRPr="000C2DEE">
        <w:rPr>
          <w:i/>
          <w:iCs/>
        </w:rPr>
        <w:t>bjectives</w:t>
      </w:r>
    </w:p>
    <w:p w14:paraId="66A4072A" w14:textId="52CF3D80" w:rsidR="004C5377" w:rsidRDefault="00E52040" w:rsidP="004C5377">
      <w:pPr>
        <w:tabs>
          <w:tab w:val="left" w:pos="3261"/>
        </w:tabs>
      </w:pPr>
      <w:r>
        <w:t xml:space="preserve">In light of </w:t>
      </w:r>
      <w:r w:rsidR="00476B11">
        <w:t xml:space="preserve">the current </w:t>
      </w:r>
      <w:r>
        <w:t>geopolitical situation and the importance of a viable European based pharmaceutical industry for the EU’s economic security, t</w:t>
      </w:r>
      <w:r w:rsidR="004C5377" w:rsidRPr="00B267A2">
        <w:t xml:space="preserve">he </w:t>
      </w:r>
      <w:r w:rsidR="004C5377">
        <w:t>proposed Regulation aims to complement the measures proposed in the revision of the EU pharmaceutical legislation in order to address</w:t>
      </w:r>
      <w:r w:rsidR="004C5377" w:rsidRPr="00B267A2">
        <w:t xml:space="preserve"> </w:t>
      </w:r>
      <w:r w:rsidR="004C5377">
        <w:t xml:space="preserve">the supply chain vulnerabilities of critical medicines and support the security of supply and availability of these medicines. </w:t>
      </w:r>
    </w:p>
    <w:p w14:paraId="3DB3BF62" w14:textId="77777777" w:rsidR="004C5377" w:rsidRDefault="004C5377" w:rsidP="004C5377">
      <w:pPr>
        <w:tabs>
          <w:tab w:val="left" w:pos="3261"/>
        </w:tabs>
      </w:pPr>
      <w:r>
        <w:t xml:space="preserve">The </w:t>
      </w:r>
      <w:r w:rsidRPr="00BA5452">
        <w:t>scope</w:t>
      </w:r>
      <w:r>
        <w:t xml:space="preserve"> of the proposed Regulation is primarily focused on critical medicines on the Union List of Critical Medicinal Products which is formally established in the proposed pharmaceutical Regulation</w:t>
      </w:r>
      <w:r w:rsidRPr="008C2644">
        <w:t>.</w:t>
      </w:r>
      <w:r>
        <w:t xml:space="preserve"> Following the 2023 Communication, a first Union List of Critical Medicines was compiled with the expertise of the Heads of Medicines Agencies of the Member States, the European Commission, and the EMA in consultation with key stakeholders, including patient organisations and industry associations. This list was published for the first time in December 2023 and updated one year later. </w:t>
      </w:r>
    </w:p>
    <w:p w14:paraId="33C1E65F" w14:textId="77777777" w:rsidR="004C5377" w:rsidRDefault="004C5377" w:rsidP="004C5377">
      <w:pPr>
        <w:tabs>
          <w:tab w:val="left" w:pos="3261"/>
        </w:tabs>
      </w:pPr>
      <w:r>
        <w:t>The proposed Regulation also introduces actions to improve access to and availability of other medicines of common interest, to ensure patients across the EU can benefit from these medicines when and where they need them. These medicines can include medicines for rare diseases (orphan medicinal products)</w:t>
      </w:r>
      <w:r>
        <w:rPr>
          <w:rStyle w:val="FootnoteReference"/>
        </w:rPr>
        <w:footnoteReference w:id="21"/>
      </w:r>
      <w:r>
        <w:t xml:space="preserve"> or novel antimicrobials. </w:t>
      </w:r>
    </w:p>
    <w:p w14:paraId="30AFA733" w14:textId="77777777" w:rsidR="004C5377" w:rsidRPr="00710823" w:rsidRDefault="004C5377" w:rsidP="004C5377">
      <w:pPr>
        <w:spacing w:before="0" w:after="200" w:line="276" w:lineRule="auto"/>
        <w:jc w:val="left"/>
        <w:rPr>
          <w:i/>
          <w:iCs/>
        </w:rPr>
      </w:pPr>
      <w:r w:rsidRPr="00710823">
        <w:rPr>
          <w:i/>
          <w:iCs/>
        </w:rPr>
        <w:t>General and specific objectives</w:t>
      </w:r>
    </w:p>
    <w:p w14:paraId="5DAE1D74" w14:textId="437D4245" w:rsidR="004C5377" w:rsidRPr="00EE5C0C" w:rsidRDefault="004C5377" w:rsidP="004C5377">
      <w:r w:rsidRPr="00EE5C0C">
        <w:t xml:space="preserve">The general objective of this Regulation is to </w:t>
      </w:r>
      <w:r w:rsidRPr="006A2681">
        <w:t>strengthen the security of supply and the availability of critical medic</w:t>
      </w:r>
      <w:r>
        <w:t>ines</w:t>
      </w:r>
      <w:r w:rsidRPr="006A2681">
        <w:t xml:space="preserve"> within the </w:t>
      </w:r>
      <w:r>
        <w:t>EU</w:t>
      </w:r>
      <w:r w:rsidR="00383035">
        <w:t>, thereby ensuring a high level of public health protection and supporting the security of the Union</w:t>
      </w:r>
      <w:r w:rsidR="00E171D9">
        <w:t>,</w:t>
      </w:r>
      <w:r>
        <w:t xml:space="preserve"> and to </w:t>
      </w:r>
      <w:r w:rsidRPr="006A2681">
        <w:t>improv</w:t>
      </w:r>
      <w:r>
        <w:t>e</w:t>
      </w:r>
      <w:r w:rsidRPr="006A2681">
        <w:t xml:space="preserve"> the availability and accessibility of other </w:t>
      </w:r>
      <w:r>
        <w:t xml:space="preserve">specific </w:t>
      </w:r>
      <w:r w:rsidRPr="006A2681">
        <w:t>medicin</w:t>
      </w:r>
      <w:r>
        <w:t>es</w:t>
      </w:r>
      <w:r w:rsidRPr="006A2681">
        <w:t>, where the functioning of the market does not otherwise sufficiently ensure the</w:t>
      </w:r>
      <w:r>
        <w:t>ir</w:t>
      </w:r>
      <w:r w:rsidRPr="006A2681">
        <w:t xml:space="preserve"> availability and accessibility to patients</w:t>
      </w:r>
      <w:r w:rsidR="00C177EE">
        <w:t>, whilst giving due consideration to the appropriateness to ensure the affordability of medicinal products</w:t>
      </w:r>
      <w:r w:rsidRPr="006A2681">
        <w:t>.</w:t>
      </w:r>
    </w:p>
    <w:p w14:paraId="7BACC161" w14:textId="77777777" w:rsidR="004C5377" w:rsidRPr="00EE5C0C" w:rsidRDefault="004C5377" w:rsidP="004C5377">
      <w:bookmarkStart w:id="0" w:name="_Hlk191981698"/>
      <w:r w:rsidRPr="00EE5C0C">
        <w:t>The specific objectives of the initiative are:</w:t>
      </w:r>
    </w:p>
    <w:p w14:paraId="2D83A911" w14:textId="28743B8C" w:rsidR="004C5377" w:rsidRPr="006A2681" w:rsidRDefault="004C5377" w:rsidP="009C2DD0">
      <w:pPr>
        <w:pStyle w:val="Tiret0"/>
        <w:numPr>
          <w:ilvl w:val="0"/>
          <w:numId w:val="18"/>
        </w:numPr>
        <w:rPr>
          <w:lang w:val="en-IE"/>
        </w:rPr>
      </w:pPr>
      <w:r>
        <w:rPr>
          <w:lang w:val="en-IE"/>
        </w:rPr>
        <w:t>to f</w:t>
      </w:r>
      <w:r w:rsidRPr="00464541">
        <w:rPr>
          <w:lang w:val="en-IE"/>
        </w:rPr>
        <w:t>acilitate</w:t>
      </w:r>
      <w:r w:rsidRPr="006A2681">
        <w:rPr>
          <w:lang w:val="en-IE"/>
        </w:rPr>
        <w:t xml:space="preserve"> investments in manufacturing capacities for critical medicin</w:t>
      </w:r>
      <w:r>
        <w:rPr>
          <w:lang w:val="en-IE"/>
        </w:rPr>
        <w:t>es</w:t>
      </w:r>
      <w:r w:rsidRPr="006A2681">
        <w:rPr>
          <w:lang w:val="en-IE"/>
        </w:rPr>
        <w:t>, their active substances and other key inputs</w:t>
      </w:r>
      <w:r>
        <w:rPr>
          <w:lang w:val="en-IE"/>
        </w:rPr>
        <w:t xml:space="preserve"> in the EU</w:t>
      </w:r>
      <w:r w:rsidRPr="006A2681">
        <w:rPr>
          <w:lang w:val="en-IE"/>
        </w:rPr>
        <w:t>;</w:t>
      </w:r>
    </w:p>
    <w:p w14:paraId="2EF9AA59" w14:textId="1556B82B" w:rsidR="004C5377" w:rsidRPr="006A2681" w:rsidRDefault="004C5377" w:rsidP="004C5377">
      <w:pPr>
        <w:pStyle w:val="Tiret0"/>
        <w:rPr>
          <w:lang w:val="en-IE"/>
        </w:rPr>
      </w:pPr>
      <w:r>
        <w:rPr>
          <w:lang w:val="en-IE"/>
        </w:rPr>
        <w:t>to l</w:t>
      </w:r>
      <w:r w:rsidRPr="00564468">
        <w:rPr>
          <w:lang w:val="en-IE"/>
        </w:rPr>
        <w:t>ower</w:t>
      </w:r>
      <w:r w:rsidRPr="006A2681">
        <w:rPr>
          <w:lang w:val="en-IE"/>
        </w:rPr>
        <w:t xml:space="preserve"> the risk of supply disruptions and strengthen</w:t>
      </w:r>
      <w:r>
        <w:rPr>
          <w:lang w:val="en-IE"/>
        </w:rPr>
        <w:t xml:space="preserve"> </w:t>
      </w:r>
      <w:r w:rsidRPr="006A2681">
        <w:rPr>
          <w:lang w:val="en-IE"/>
        </w:rPr>
        <w:t xml:space="preserve">availability by incentivising </w:t>
      </w:r>
      <w:r>
        <w:rPr>
          <w:lang w:val="en-IE"/>
        </w:rPr>
        <w:t xml:space="preserve">supply chain diversification and </w:t>
      </w:r>
      <w:r w:rsidRPr="006A2681">
        <w:rPr>
          <w:lang w:val="en-IE"/>
        </w:rPr>
        <w:t xml:space="preserve">resilience in the public procurement procedures </w:t>
      </w:r>
      <w:r>
        <w:rPr>
          <w:lang w:val="en-IE"/>
        </w:rPr>
        <w:t>for</w:t>
      </w:r>
      <w:r w:rsidRPr="006A2681">
        <w:rPr>
          <w:lang w:val="en-IE"/>
        </w:rPr>
        <w:t xml:space="preserve"> critical medicin</w:t>
      </w:r>
      <w:r>
        <w:rPr>
          <w:lang w:val="en-IE"/>
        </w:rPr>
        <w:t>es</w:t>
      </w:r>
      <w:r w:rsidRPr="006A2681">
        <w:rPr>
          <w:lang w:val="en-IE"/>
        </w:rPr>
        <w:t xml:space="preserve"> and other medicinal products of common interest;</w:t>
      </w:r>
    </w:p>
    <w:p w14:paraId="3B08E283" w14:textId="59B05FE3" w:rsidR="004C5377" w:rsidRDefault="004C5377" w:rsidP="004C5377">
      <w:pPr>
        <w:pStyle w:val="Tiret0"/>
        <w:rPr>
          <w:lang w:val="en-IE"/>
        </w:rPr>
      </w:pPr>
      <w:r>
        <w:rPr>
          <w:lang w:val="en-IE"/>
        </w:rPr>
        <w:t>to l</w:t>
      </w:r>
      <w:r w:rsidRPr="00B80573">
        <w:rPr>
          <w:lang w:val="en-IE"/>
        </w:rPr>
        <w:t>everage</w:t>
      </w:r>
      <w:r w:rsidRPr="006A2681">
        <w:rPr>
          <w:lang w:val="en-IE"/>
        </w:rPr>
        <w:t xml:space="preserve"> the aggregated demand of </w:t>
      </w:r>
      <w:r w:rsidR="00493B50">
        <w:rPr>
          <w:lang w:val="en-IE"/>
        </w:rPr>
        <w:t>participating</w:t>
      </w:r>
      <w:r w:rsidRPr="006A2681">
        <w:rPr>
          <w:lang w:val="en-IE"/>
        </w:rPr>
        <w:t xml:space="preserve"> Member States through collaborative procurement procedures</w:t>
      </w:r>
      <w:r>
        <w:rPr>
          <w:lang w:val="en-IE"/>
        </w:rPr>
        <w:t xml:space="preserve">; </w:t>
      </w:r>
    </w:p>
    <w:p w14:paraId="5EE68EAF" w14:textId="3B2FA0C3" w:rsidR="004C5377" w:rsidRPr="006A2681" w:rsidRDefault="004C5377" w:rsidP="004C5377">
      <w:pPr>
        <w:pStyle w:val="Tiret0"/>
        <w:rPr>
          <w:lang w:val="en-IE"/>
        </w:rPr>
      </w:pPr>
      <w:r>
        <w:rPr>
          <w:lang w:val="en-IE"/>
        </w:rPr>
        <w:t>to support the diversification of supply chains also by facilitating the conclusion of strategic partnerships.</w:t>
      </w:r>
    </w:p>
    <w:bookmarkEnd w:id="0"/>
    <w:p w14:paraId="4DFCBA46" w14:textId="77777777" w:rsidR="004C5377" w:rsidRPr="002D5EE2" w:rsidRDefault="004C5377" w:rsidP="004C5377">
      <w:pPr>
        <w:pStyle w:val="ManualHeading2"/>
        <w:rPr>
          <w:rFonts w:eastAsia="Arial Unicode MS"/>
          <w:color w:val="000000"/>
          <w:u w:color="000000"/>
          <w:bdr w:val="nil"/>
          <w:lang w:val="en-US" w:eastAsia="en-GB"/>
        </w:rPr>
      </w:pPr>
      <w:r w:rsidRPr="0029266A">
        <w:rPr>
          <w:rFonts w:eastAsia="Arial Unicode MS"/>
          <w:color w:val="000000"/>
          <w:u w:color="000000"/>
          <w:bdr w:val="nil"/>
          <w:lang w:val="en-US" w:eastAsia="en-GB"/>
        </w:rPr>
        <w:t>•</w:t>
      </w:r>
      <w:r w:rsidRPr="0029266A">
        <w:rPr>
          <w:rFonts w:eastAsia="Arial Unicode MS"/>
          <w:color w:val="000000"/>
          <w:u w:color="000000"/>
          <w:bdr w:val="nil"/>
          <w:lang w:val="en-US" w:eastAsia="en-GB"/>
        </w:rPr>
        <w:tab/>
      </w:r>
      <w:r w:rsidRPr="00044058">
        <w:rPr>
          <w:rFonts w:eastAsia="Arial Unicode MS"/>
        </w:rPr>
        <w:t>Consistency with existing policy provisions in the</w:t>
      </w:r>
      <w:r>
        <w:rPr>
          <w:rFonts w:eastAsia="Arial Unicode MS"/>
        </w:rPr>
        <w:t xml:space="preserve"> </w:t>
      </w:r>
      <w:r w:rsidRPr="002D5EE2">
        <w:rPr>
          <w:rFonts w:eastAsia="Arial Unicode MS"/>
        </w:rPr>
        <w:t>policy area</w:t>
      </w:r>
    </w:p>
    <w:p w14:paraId="7382DC14" w14:textId="77777777" w:rsidR="004C5377" w:rsidRDefault="004C5377" w:rsidP="004C5377">
      <w:r>
        <w:t>The proposal aims to ensure consistency with several existing EU policy provisions and initiatives in the health and pharmaceutical areas, therefore ensuring a high level of human health protection in the definition and implementation of EU policy.</w:t>
      </w:r>
      <w:r>
        <w:rPr>
          <w:rStyle w:val="FootnoteReference"/>
        </w:rPr>
        <w:footnoteReference w:id="22"/>
      </w:r>
    </w:p>
    <w:p w14:paraId="7E41E47F" w14:textId="77777777" w:rsidR="004C5377" w:rsidRDefault="004C5377" w:rsidP="004C5377">
      <w:r>
        <w:t xml:space="preserve">The proposed Regulation complements the ongoing </w:t>
      </w:r>
      <w:r w:rsidRPr="00EE5C0C">
        <w:rPr>
          <w:b/>
          <w:bCs/>
        </w:rPr>
        <w:t>revision of the</w:t>
      </w:r>
      <w:r>
        <w:t xml:space="preserve"> </w:t>
      </w:r>
      <w:r w:rsidRPr="00EE5C0C">
        <w:rPr>
          <w:b/>
          <w:bCs/>
        </w:rPr>
        <w:t>EU pharmaceutical legislation</w:t>
      </w:r>
      <w:r>
        <w:rPr>
          <w:rStyle w:val="FootnoteReference"/>
          <w:b/>
          <w:bCs/>
        </w:rPr>
        <w:footnoteReference w:id="23"/>
      </w:r>
      <w:r>
        <w:t xml:space="preserve"> and the main actions of the </w:t>
      </w:r>
      <w:r>
        <w:rPr>
          <w:b/>
          <w:bCs/>
        </w:rPr>
        <w:t>p</w:t>
      </w:r>
      <w:r w:rsidRPr="00B530E5">
        <w:rPr>
          <w:b/>
          <w:bCs/>
        </w:rPr>
        <w:t xml:space="preserve">harmaceutical </w:t>
      </w:r>
      <w:r>
        <w:rPr>
          <w:b/>
          <w:bCs/>
        </w:rPr>
        <w:t>s</w:t>
      </w:r>
      <w:r w:rsidRPr="00B530E5">
        <w:rPr>
          <w:b/>
          <w:bCs/>
        </w:rPr>
        <w:t>trategy for Europe</w:t>
      </w:r>
      <w:r>
        <w:rPr>
          <w:rStyle w:val="FootnoteReference"/>
        </w:rPr>
        <w:footnoteReference w:id="24"/>
      </w:r>
      <w:r>
        <w:t xml:space="preserve">. It aligns with its objectives of increasing access to </w:t>
      </w:r>
      <w:r w:rsidRPr="00633134">
        <w:t>medicines, improving security of supply, and addressing shortages, whilst giving due consideration to the affordability of medicinal products. It complements the main provisions on the availability and security of supply of medicinal products as proposed in the new pharmaceutical legislation</w:t>
      </w:r>
      <w:r w:rsidRPr="00633134">
        <w:rPr>
          <w:rStyle w:val="FootnoteReference"/>
        </w:rPr>
        <w:footnoteReference w:id="25"/>
      </w:r>
      <w:r w:rsidRPr="00633134">
        <w:t>. While the revised EU pharmac</w:t>
      </w:r>
      <w:r>
        <w:t xml:space="preserve">eutical framework strengthens obligations for marketing authorisation holders to prevent shortages and introduces EU coordinated actions to mitigate critical shortages, this proposed Regulation creates the necessary conditions – investments, procurement coordination – to proactively reduce dependencies and strengthen EU production capacity. </w:t>
      </w:r>
    </w:p>
    <w:p w14:paraId="40E7D871" w14:textId="77777777" w:rsidR="004C5377" w:rsidRPr="002A6581" w:rsidRDefault="004C5377" w:rsidP="004C5377">
      <w:r w:rsidRPr="000006B5">
        <w:t xml:space="preserve">The proposed </w:t>
      </w:r>
      <w:r>
        <w:t>Regulation</w:t>
      </w:r>
      <w:r w:rsidRPr="000006B5">
        <w:t xml:space="preserve"> upholds the </w:t>
      </w:r>
      <w:r>
        <w:t>“once-only”</w:t>
      </w:r>
      <w:r w:rsidRPr="002A6581">
        <w:t xml:space="preserve"> principle by preventing duplication of provisions and requirements related to data collection for identifying critical medicines and assessing supply chain vulnerabilities. </w:t>
      </w:r>
      <w:r>
        <w:t>The proposed Regulation builds on the Union List of Critical Medicinal Products established in Article 131 of the proposed pharmaceutical Regulation. In a</w:t>
      </w:r>
      <w:r w:rsidRPr="002A6581">
        <w:t xml:space="preserve">ddition, the proposed </w:t>
      </w:r>
      <w:r>
        <w:t>Regulation</w:t>
      </w:r>
      <w:r w:rsidRPr="002A6581">
        <w:t xml:space="preserve"> builds on </w:t>
      </w:r>
      <w:r>
        <w:t xml:space="preserve">the data collection framework and </w:t>
      </w:r>
      <w:r w:rsidRPr="002A6581">
        <w:t>the methodology for identifying vulnerabilities in the supply chains of critical medicin</w:t>
      </w:r>
      <w:r>
        <w:t>es proposed to be drawn up</w:t>
      </w:r>
      <w:r w:rsidRPr="002A6581">
        <w:t xml:space="preserve"> under </w:t>
      </w:r>
      <w:r>
        <w:t xml:space="preserve">the </w:t>
      </w:r>
      <w:r w:rsidRPr="002A6581">
        <w:t>EU pharmaceutical legislation. This guarantees that the assessment of supply chain vulnerabilities is based on a harmoni</w:t>
      </w:r>
      <w:r>
        <w:t>s</w:t>
      </w:r>
      <w:r w:rsidRPr="002A6581">
        <w:t xml:space="preserve">ed and scientifically robust methodology developed at the </w:t>
      </w:r>
      <w:r>
        <w:t>EU</w:t>
      </w:r>
      <w:r w:rsidRPr="002A6581">
        <w:t xml:space="preserve"> level.</w:t>
      </w:r>
    </w:p>
    <w:p w14:paraId="19674E14" w14:textId="77777777" w:rsidR="004C5377" w:rsidRDefault="004C5377" w:rsidP="004C5377">
      <w:r>
        <w:t>Furthermore</w:t>
      </w:r>
      <w:r w:rsidRPr="002E66E1">
        <w:t xml:space="preserve">, </w:t>
      </w:r>
      <w:r>
        <w:t>the proposed Regulation builds</w:t>
      </w:r>
      <w:r w:rsidRPr="002E66E1">
        <w:t xml:space="preserve"> upon the outcomes of the </w:t>
      </w:r>
      <w:r>
        <w:rPr>
          <w:b/>
          <w:bCs/>
        </w:rPr>
        <w:t>s</w:t>
      </w:r>
      <w:r w:rsidRPr="007529DB">
        <w:rPr>
          <w:b/>
          <w:bCs/>
        </w:rPr>
        <w:t xml:space="preserve">tructured </w:t>
      </w:r>
      <w:r>
        <w:rPr>
          <w:b/>
          <w:bCs/>
        </w:rPr>
        <w:t>d</w:t>
      </w:r>
      <w:r w:rsidRPr="007529DB">
        <w:rPr>
          <w:b/>
          <w:bCs/>
        </w:rPr>
        <w:t>ialogue on pharmaceuticals</w:t>
      </w:r>
      <w:r>
        <w:rPr>
          <w:rStyle w:val="FootnoteReference"/>
        </w:rPr>
        <w:footnoteReference w:id="26"/>
      </w:r>
      <w:r w:rsidRPr="002E66E1">
        <w:t>,</w:t>
      </w:r>
      <w:r>
        <w:t xml:space="preserve"> and the s</w:t>
      </w:r>
      <w:r w:rsidRPr="000B2DE7">
        <w:t xml:space="preserve">taff </w:t>
      </w:r>
      <w:r>
        <w:t>w</w:t>
      </w:r>
      <w:r w:rsidRPr="000B2DE7">
        <w:t xml:space="preserve">orking </w:t>
      </w:r>
      <w:r>
        <w:t>d</w:t>
      </w:r>
      <w:r w:rsidRPr="000B2DE7">
        <w:t xml:space="preserve">ocument on </w:t>
      </w:r>
      <w:r>
        <w:t>v</w:t>
      </w:r>
      <w:r w:rsidRPr="000B2DE7">
        <w:t>ulnerabilities of the global supply chains of medicines</w:t>
      </w:r>
      <w:r>
        <w:rPr>
          <w:rStyle w:val="FootnoteReference"/>
        </w:rPr>
        <w:footnoteReference w:id="27"/>
      </w:r>
      <w:r>
        <w:t>,</w:t>
      </w:r>
      <w:r w:rsidRPr="002B37CD">
        <w:t xml:space="preserve"> </w:t>
      </w:r>
      <w:r>
        <w:t>with actions to</w:t>
      </w:r>
      <w:r w:rsidRPr="002E66E1">
        <w:t xml:space="preserve"> address vulnerabilities in the pharmaceutical supply chain</w:t>
      </w:r>
      <w:r>
        <w:t>.</w:t>
      </w:r>
    </w:p>
    <w:p w14:paraId="2B2B25BD" w14:textId="77777777" w:rsidR="004C5377" w:rsidRDefault="004C5377" w:rsidP="004C5377">
      <w:r>
        <w:t xml:space="preserve">The proposed Regulation also builds on </w:t>
      </w:r>
      <w:r w:rsidRPr="00EF2B0C">
        <w:t xml:space="preserve">the </w:t>
      </w:r>
      <w:r>
        <w:rPr>
          <w:b/>
          <w:bCs/>
        </w:rPr>
        <w:t>EMA</w:t>
      </w:r>
      <w:r w:rsidRPr="00B530E5">
        <w:rPr>
          <w:b/>
          <w:bCs/>
        </w:rPr>
        <w:t>’s extended mandate</w:t>
      </w:r>
      <w:r>
        <w:rPr>
          <w:rStyle w:val="FootnoteReference"/>
        </w:rPr>
        <w:footnoteReference w:id="28"/>
      </w:r>
      <w:r>
        <w:t xml:space="preserve">. In this respect, the launch of the </w:t>
      </w:r>
      <w:r w:rsidRPr="00B530E5">
        <w:rPr>
          <w:b/>
          <w:bCs/>
        </w:rPr>
        <w:t>European Shortages Monitoring Platform</w:t>
      </w:r>
      <w:r>
        <w:rPr>
          <w:rStyle w:val="FootnoteReference"/>
        </w:rPr>
        <w:footnoteReference w:id="29"/>
      </w:r>
      <w:r>
        <w:t xml:space="preserve"> was a key requirement of this extended mandate to enhance the monitoring of shortages across the EU. This platform will enable both marketing authorisation holders and national competent authorities to submit data on the supply, demand and availability of centrally and nationally authorised medicines during crises and preparedness situations. The platform will be further expanded in the context of the revision of the EU’s pharmaceutical legislation.</w:t>
      </w:r>
    </w:p>
    <w:p w14:paraId="3153A0A6" w14:textId="77777777" w:rsidR="004C5377" w:rsidRPr="00EF40A6" w:rsidRDefault="004C5377" w:rsidP="004C5377">
      <w:pPr>
        <w:rPr>
          <w:b/>
        </w:rPr>
      </w:pPr>
      <w:r w:rsidRPr="00DC651A">
        <w:t xml:space="preserve">The </w:t>
      </w:r>
      <w:r>
        <w:t xml:space="preserve">measures in the </w:t>
      </w:r>
      <w:r w:rsidRPr="00DC651A">
        <w:t xml:space="preserve">proposed </w:t>
      </w:r>
      <w:r>
        <w:t xml:space="preserve">Regulation </w:t>
      </w:r>
      <w:r w:rsidRPr="00DC651A">
        <w:t xml:space="preserve">regarding </w:t>
      </w:r>
      <w:r>
        <w:t>collaborative</w:t>
      </w:r>
      <w:r w:rsidRPr="00DC651A">
        <w:t xml:space="preserve"> procurement </w:t>
      </w:r>
      <w:r>
        <w:t xml:space="preserve">are complementary to the </w:t>
      </w:r>
      <w:r w:rsidRPr="00EF40A6">
        <w:rPr>
          <w:b/>
          <w:bCs/>
        </w:rPr>
        <w:t>existing collaborative procurement</w:t>
      </w:r>
      <w:r>
        <w:t xml:space="preserve"> </w:t>
      </w:r>
      <w:r w:rsidRPr="00EF40A6">
        <w:rPr>
          <w:b/>
          <w:bCs/>
        </w:rPr>
        <w:t>tools</w:t>
      </w:r>
      <w:r>
        <w:t xml:space="preserve"> </w:t>
      </w:r>
      <w:r w:rsidRPr="00B356F5">
        <w:rPr>
          <w:lang w:val="en-IE"/>
        </w:rPr>
        <w:t xml:space="preserve">under Regulation (EU) 2022/2371 on serious cross-border </w:t>
      </w:r>
      <w:r>
        <w:rPr>
          <w:lang w:val="en-IE"/>
        </w:rPr>
        <w:t xml:space="preserve">threats to </w:t>
      </w:r>
      <w:r w:rsidRPr="00B356F5">
        <w:rPr>
          <w:lang w:val="en-IE"/>
        </w:rPr>
        <w:t>health</w:t>
      </w:r>
      <w:r>
        <w:rPr>
          <w:rStyle w:val="FootnoteReference"/>
          <w:lang w:val="en-IE"/>
        </w:rPr>
        <w:footnoteReference w:id="30"/>
      </w:r>
      <w:r w:rsidRPr="00B356F5">
        <w:rPr>
          <w:lang w:val="en-IE"/>
        </w:rPr>
        <w:t xml:space="preserve">, Regulation (EU) 2022/2372 </w:t>
      </w:r>
      <w:r>
        <w:rPr>
          <w:lang w:val="en-IE"/>
        </w:rPr>
        <w:t>on a</w:t>
      </w:r>
      <w:r w:rsidRPr="00B356F5">
        <w:rPr>
          <w:lang w:val="en-IE"/>
        </w:rPr>
        <w:t xml:space="preserve"> framework of measures for ensuring the supply of crisis-relevant medical countermeasures in the event of a public health emergency</w:t>
      </w:r>
      <w:r>
        <w:rPr>
          <w:lang w:val="en-IE"/>
        </w:rPr>
        <w:t xml:space="preserve"> at Union level</w:t>
      </w:r>
      <w:r>
        <w:rPr>
          <w:rStyle w:val="FootnoteReference"/>
          <w:lang w:val="en-IE"/>
        </w:rPr>
        <w:footnoteReference w:id="31"/>
      </w:r>
      <w:r>
        <w:rPr>
          <w:lang w:val="en-IE"/>
        </w:rPr>
        <w:t>.</w:t>
      </w:r>
      <w:r w:rsidRPr="00B356F5">
        <w:rPr>
          <w:lang w:val="en-IE"/>
        </w:rPr>
        <w:t xml:space="preserve"> </w:t>
      </w:r>
      <w:r>
        <w:rPr>
          <w:lang w:val="en-IE"/>
        </w:rPr>
        <w:t xml:space="preserve">The measures for collaborative procurement </w:t>
      </w:r>
      <w:r>
        <w:t xml:space="preserve">of medicinal products of common interest </w:t>
      </w:r>
      <w:r w:rsidRPr="00DC651A">
        <w:t xml:space="preserve">also build on the </w:t>
      </w:r>
      <w:r>
        <w:t>j</w:t>
      </w:r>
      <w:r w:rsidRPr="00DC651A">
        <w:t xml:space="preserve">oint </w:t>
      </w:r>
      <w:r>
        <w:t>c</w:t>
      </w:r>
      <w:r w:rsidRPr="00DC651A">
        <w:t xml:space="preserve">linical </w:t>
      </w:r>
      <w:r>
        <w:t>a</w:t>
      </w:r>
      <w:r w:rsidRPr="00DC651A">
        <w:t>ssessment</w:t>
      </w:r>
      <w:r>
        <w:t>s and voluntary cooperation among Member States</w:t>
      </w:r>
      <w:r w:rsidRPr="00DC651A">
        <w:t xml:space="preserve"> </w:t>
      </w:r>
      <w:r>
        <w:t xml:space="preserve">under </w:t>
      </w:r>
      <w:r w:rsidRPr="00DC651A">
        <w:t xml:space="preserve">Regulation (EU) 2021/2282 on </w:t>
      </w:r>
      <w:r w:rsidRPr="00EF40A6">
        <w:rPr>
          <w:b/>
          <w:bCs/>
        </w:rPr>
        <w:t>health technology assessment</w:t>
      </w:r>
      <w:r>
        <w:rPr>
          <w:rStyle w:val="FootnoteReference"/>
          <w:b/>
          <w:bCs/>
        </w:rPr>
        <w:footnoteReference w:id="32"/>
      </w:r>
      <w:r w:rsidRPr="005C37CD">
        <w:t>.</w:t>
      </w:r>
    </w:p>
    <w:p w14:paraId="7046C3BD" w14:textId="77777777" w:rsidR="004C5377" w:rsidRDefault="004C5377" w:rsidP="004C5377">
      <w:r>
        <w:t xml:space="preserve">The proposed Regulation takes into consideration the work of the </w:t>
      </w:r>
      <w:r w:rsidRPr="00B530E5">
        <w:rPr>
          <w:b/>
          <w:bCs/>
        </w:rPr>
        <w:t>Critical Medicines Alliance</w:t>
      </w:r>
      <w:r>
        <w:rPr>
          <w:rStyle w:val="FootnoteReference"/>
        </w:rPr>
        <w:footnoteReference w:id="33"/>
      </w:r>
      <w:r>
        <w:t>, focusing on addressing vulnerabilities in the supply chains of critical medicines.</w:t>
      </w:r>
    </w:p>
    <w:p w14:paraId="65D015C8" w14:textId="71F029CC" w:rsidR="004C5377" w:rsidRDefault="004C5377" w:rsidP="004C5377">
      <w:pPr>
        <w:rPr>
          <w:rFonts w:eastAsia="Times New Roman"/>
        </w:rPr>
      </w:pPr>
      <w:r>
        <w:rPr>
          <w:rFonts w:eastAsia="Times New Roman"/>
        </w:rPr>
        <w:t>Finally, t</w:t>
      </w:r>
      <w:r w:rsidRPr="431AECAA">
        <w:rPr>
          <w:rFonts w:eastAsia="Times New Roman"/>
        </w:rPr>
        <w:t>his proposal</w:t>
      </w:r>
      <w:r>
        <w:rPr>
          <w:rFonts w:eastAsia="Times New Roman"/>
        </w:rPr>
        <w:t xml:space="preserve"> takes into account all</w:t>
      </w:r>
      <w:r w:rsidRPr="431AECAA">
        <w:rPr>
          <w:rFonts w:eastAsia="Times New Roman"/>
        </w:rPr>
        <w:t xml:space="preserve"> </w:t>
      </w:r>
      <w:r>
        <w:rPr>
          <w:rFonts w:eastAsia="Times New Roman"/>
        </w:rPr>
        <w:t xml:space="preserve">funding </w:t>
      </w:r>
      <w:r w:rsidRPr="431AECAA">
        <w:rPr>
          <w:rFonts w:eastAsia="Times New Roman"/>
        </w:rPr>
        <w:t xml:space="preserve">opportunities </w:t>
      </w:r>
      <w:r>
        <w:rPr>
          <w:rFonts w:eastAsia="Times New Roman"/>
        </w:rPr>
        <w:t>available under the current MFF</w:t>
      </w:r>
      <w:r w:rsidRPr="431AECAA">
        <w:rPr>
          <w:rFonts w:eastAsia="Times New Roman"/>
        </w:rPr>
        <w:t xml:space="preserve"> </w:t>
      </w:r>
      <w:r>
        <w:rPr>
          <w:rFonts w:eastAsia="Times New Roman"/>
        </w:rPr>
        <w:t>that can support the objectives of this proposed Regulation.</w:t>
      </w:r>
    </w:p>
    <w:p w14:paraId="7AE077B0" w14:textId="77777777" w:rsidR="004C5377" w:rsidRPr="002D5EE2" w:rsidRDefault="004C5377" w:rsidP="004C5377">
      <w:pPr>
        <w:pStyle w:val="ManualHeading2"/>
        <w:rPr>
          <w:rFonts w:eastAsia="Arial Unicode MS"/>
        </w:rPr>
      </w:pPr>
      <w:r w:rsidRPr="002D5EE2">
        <w:rPr>
          <w:rFonts w:eastAsia="Arial Unicode MS"/>
          <w:color w:val="000000"/>
          <w:u w:color="000000"/>
          <w:bdr w:val="nil"/>
          <w:lang w:val="en-US" w:eastAsia="en-GB"/>
        </w:rPr>
        <w:t>•</w:t>
      </w:r>
      <w:r w:rsidRPr="002D5EE2">
        <w:rPr>
          <w:rFonts w:eastAsia="Arial Unicode MS"/>
          <w:color w:val="000000"/>
          <w:u w:color="000000"/>
          <w:bdr w:val="nil"/>
          <w:lang w:val="en-US" w:eastAsia="en-GB"/>
        </w:rPr>
        <w:tab/>
      </w:r>
      <w:r w:rsidRPr="002D5EE2">
        <w:rPr>
          <w:rFonts w:eastAsia="Arial Unicode MS"/>
        </w:rPr>
        <w:t xml:space="preserve">Consistency with other </w:t>
      </w:r>
      <w:r>
        <w:rPr>
          <w:rFonts w:eastAsia="Arial Unicode MS"/>
        </w:rPr>
        <w:t>EU</w:t>
      </w:r>
      <w:r w:rsidRPr="002D5EE2">
        <w:rPr>
          <w:rFonts w:eastAsia="Arial Unicode MS"/>
        </w:rPr>
        <w:t xml:space="preserve"> policies</w:t>
      </w:r>
    </w:p>
    <w:p w14:paraId="105C9992" w14:textId="77777777" w:rsidR="004C5377" w:rsidRDefault="004C5377" w:rsidP="004C5377">
      <w:r w:rsidRPr="009902DF">
        <w:t xml:space="preserve">This proposal is </w:t>
      </w:r>
      <w:r>
        <w:t>consistent</w:t>
      </w:r>
      <w:r w:rsidRPr="009902DF">
        <w:t xml:space="preserve"> with the </w:t>
      </w:r>
      <w:r w:rsidRPr="009902DF">
        <w:rPr>
          <w:b/>
          <w:bCs/>
        </w:rPr>
        <w:t xml:space="preserve">EU’s innovation and competitiveness policy, in </w:t>
      </w:r>
      <w:r w:rsidRPr="009902DF">
        <w:rPr>
          <w:b/>
        </w:rPr>
        <w:t>particular with the Competitiveness Compass</w:t>
      </w:r>
      <w:r>
        <w:rPr>
          <w:rStyle w:val="FootnoteReference"/>
        </w:rPr>
        <w:footnoteReference w:id="34"/>
      </w:r>
      <w:r w:rsidRPr="009902DF">
        <w:t xml:space="preserve">. </w:t>
      </w:r>
      <w:r>
        <w:t>This Communication lists the proposed Regulation as one of the flagship actions under Pillar 3 (</w:t>
      </w:r>
      <w:r w:rsidRPr="00321456">
        <w:t>reducing excessive dependencies and increasing security</w:t>
      </w:r>
      <w:r>
        <w:t xml:space="preserve">). It also mentions critical medicines as one of the possible selected areas for pilot cases where the Commission will propose to coordinate EU and Member States’ policies. </w:t>
      </w:r>
      <w:r w:rsidRPr="009902DF">
        <w:t xml:space="preserve">The </w:t>
      </w:r>
      <w:r>
        <w:t>proposed Regulation</w:t>
      </w:r>
      <w:r w:rsidRPr="009902DF">
        <w:t xml:space="preserve"> </w:t>
      </w:r>
      <w:r>
        <w:t xml:space="preserve">will have </w:t>
      </w:r>
      <w:r w:rsidRPr="00CA1E1A">
        <w:t>an indirect positive impact on the EU’s competitiveness by fostering a more stable and predictable market environment, encouraging investment and supporting innovation in the pharmaceutical sector</w:t>
      </w:r>
      <w:r w:rsidRPr="009902DF">
        <w:t>, which has traditionally played a fundamental role in the EU’s competitiveness</w:t>
      </w:r>
      <w:r>
        <w:rPr>
          <w:rStyle w:val="FootnoteReference"/>
        </w:rPr>
        <w:footnoteReference w:id="35"/>
      </w:r>
      <w:r w:rsidRPr="009902DF">
        <w:t>. The provisions under</w:t>
      </w:r>
      <w:r>
        <w:t xml:space="preserve"> the proposed Regulation may be supported by</w:t>
      </w:r>
      <w:r w:rsidRPr="009A2BD9">
        <w:t xml:space="preserve"> </w:t>
      </w:r>
      <w:r w:rsidRPr="002072AC">
        <w:rPr>
          <w:b/>
          <w:bCs/>
        </w:rPr>
        <w:t>Horizon Europe Partnerships</w:t>
      </w:r>
      <w:r>
        <w:rPr>
          <w:rStyle w:val="FootnoteReference"/>
        </w:rPr>
        <w:footnoteReference w:id="36"/>
      </w:r>
      <w:r>
        <w:t>,</w:t>
      </w:r>
      <w:r w:rsidRPr="009A2BD9">
        <w:t xml:space="preserve"> </w:t>
      </w:r>
      <w:r>
        <w:t xml:space="preserve">which provide funding for areas such as </w:t>
      </w:r>
      <w:r w:rsidRPr="009A2BD9">
        <w:t xml:space="preserve">research and innovation </w:t>
      </w:r>
      <w:r>
        <w:t>in</w:t>
      </w:r>
      <w:r w:rsidRPr="009A2BD9">
        <w:t xml:space="preserve"> technologies</w:t>
      </w:r>
      <w:r>
        <w:t xml:space="preserve"> with the potential to become essential enablers in the production process</w:t>
      </w:r>
      <w:r w:rsidRPr="009A2BD9">
        <w:t xml:space="preserve">. </w:t>
      </w:r>
    </w:p>
    <w:p w14:paraId="4B7C289E" w14:textId="2580699A" w:rsidR="004C5377" w:rsidRDefault="004C5377" w:rsidP="004C5377">
      <w:r w:rsidRPr="00D61634">
        <w:t xml:space="preserve">Furthermore, the </w:t>
      </w:r>
      <w:r w:rsidRPr="002072AC">
        <w:rPr>
          <w:b/>
          <w:bCs/>
        </w:rPr>
        <w:t>European Industrial Strategy</w:t>
      </w:r>
      <w:r>
        <w:rPr>
          <w:rStyle w:val="FootnoteReference"/>
        </w:rPr>
        <w:footnoteReference w:id="37"/>
      </w:r>
      <w:r w:rsidRPr="009A2BD9">
        <w:t xml:space="preserve"> aims to strengthen the single market's resilience and address</w:t>
      </w:r>
      <w:r>
        <w:t>es</w:t>
      </w:r>
      <w:r w:rsidRPr="009A2BD9">
        <w:t xml:space="preserve"> the EU's strategic dependencies. </w:t>
      </w:r>
      <w:r>
        <w:t>The proposed Regulation</w:t>
      </w:r>
      <w:r w:rsidRPr="009A2BD9">
        <w:t xml:space="preserve"> support</w:t>
      </w:r>
      <w:r>
        <w:t>s</w:t>
      </w:r>
      <w:r w:rsidRPr="009A2BD9">
        <w:t xml:space="preserve"> these objectives by </w:t>
      </w:r>
      <w:r>
        <w:t>strengthening</w:t>
      </w:r>
      <w:r w:rsidRPr="009A2BD9">
        <w:t xml:space="preserve"> the pharmaceutical supply chain's resilience</w:t>
      </w:r>
      <w:r>
        <w:t xml:space="preserve"> and</w:t>
      </w:r>
      <w:r w:rsidRPr="009A2BD9">
        <w:t xml:space="preserve"> reducing dependence on non-EU sources for critical medicines and active pharmaceutical ingredients</w:t>
      </w:r>
      <w:r>
        <w:t>.</w:t>
      </w:r>
      <w:r w:rsidRPr="009A2BD9">
        <w:t xml:space="preserve"> </w:t>
      </w:r>
      <w:r>
        <w:t xml:space="preserve">The proposed Regulation is also consistent with the Commission communication on a </w:t>
      </w:r>
      <w:r w:rsidRPr="001A57D8">
        <w:rPr>
          <w:b/>
        </w:rPr>
        <w:t>Clean Industrial Deal</w:t>
      </w:r>
      <w:r>
        <w:rPr>
          <w:rStyle w:val="FootnoteReference"/>
          <w:b/>
          <w:bCs/>
        </w:rPr>
        <w:footnoteReference w:id="38"/>
      </w:r>
      <w:r>
        <w:t xml:space="preserve">, which outlines concrete actions to turn decarbonisation into a driver of growth, in particular for energy-intensive industries. This includes demand side measures to create </w:t>
      </w:r>
      <w:r w:rsidRPr="0042372A">
        <w:t>the right conditions for companies to thrive</w:t>
      </w:r>
      <w:r>
        <w:t>, similar to those proposed in this Regulation</w:t>
      </w:r>
      <w:r w:rsidRPr="0042372A">
        <w:t>. </w:t>
      </w:r>
    </w:p>
    <w:p w14:paraId="752F002D" w14:textId="77777777" w:rsidR="004C5377" w:rsidRDefault="004C5377" w:rsidP="004C5377">
      <w:pPr>
        <w:spacing w:before="100" w:beforeAutospacing="1" w:after="100" w:afterAutospacing="1"/>
      </w:pPr>
      <w:r w:rsidRPr="000035A2">
        <w:t xml:space="preserve">The </w:t>
      </w:r>
      <w:r w:rsidRPr="002072AC">
        <w:rPr>
          <w:b/>
          <w:bCs/>
        </w:rPr>
        <w:t>EU’s Financial Regulation</w:t>
      </w:r>
      <w:r w:rsidRPr="000035A2">
        <w:t xml:space="preserve"> is the main point of reference for the principles and procedures governing the EU budget</w:t>
      </w:r>
      <w:r>
        <w:t>, including on joint procurement and procurement on behalf of, or in the name of Member States</w:t>
      </w:r>
      <w:r w:rsidRPr="000035A2">
        <w:t>.</w:t>
      </w:r>
      <w:r>
        <w:t xml:space="preserve"> Last year,</w:t>
      </w:r>
      <w:r w:rsidRPr="00ED0772">
        <w:t xml:space="preserve"> </w:t>
      </w:r>
      <w:r>
        <w:t>the</w:t>
      </w:r>
      <w:r w:rsidRPr="00ED0772">
        <w:t xml:space="preserve"> recast of the Financial Regulation entered into force</w:t>
      </w:r>
      <w:r>
        <w:rPr>
          <w:rStyle w:val="FootnoteReference"/>
        </w:rPr>
        <w:footnoteReference w:id="39"/>
      </w:r>
      <w:r w:rsidRPr="00ED0772">
        <w:t>. The</w:t>
      </w:r>
      <w:r>
        <w:t xml:space="preserve"> proposed Regulation provides a sector-by-sector basis for these types of procurement to be conducted for critical medicines and other medicines of common interest, being consistent with the procedural framework set out in the Financial Regulation, but setting specific conditions under which the joint procurement and procurement on behalf or in the name of Member states can be launched. These specific conditions related to certain threshold of Member states participating in the procedure and eligibility criteria as regards the medicinal products, reflect the assessment of where the Commission intervention would be the most appropriate in the light of the objectives of the act. </w:t>
      </w:r>
    </w:p>
    <w:p w14:paraId="2726A2D4" w14:textId="77777777" w:rsidR="004C5377" w:rsidRDefault="004C5377" w:rsidP="004C5377">
      <w:pPr>
        <w:spacing w:before="100" w:beforeAutospacing="1" w:after="100" w:afterAutospacing="1"/>
      </w:pPr>
      <w:r>
        <w:t>A</w:t>
      </w:r>
      <w:r w:rsidRPr="431AECAA">
        <w:rPr>
          <w:rFonts w:eastAsia="Times New Roman"/>
          <w:lang w:eastAsia="en-GB"/>
        </w:rPr>
        <w:t xml:space="preserve">n evaluation of the </w:t>
      </w:r>
      <w:r w:rsidRPr="002072AC">
        <w:rPr>
          <w:rFonts w:eastAsia="Times New Roman"/>
          <w:b/>
          <w:bCs/>
          <w:iCs/>
          <w:lang w:eastAsia="en-GB"/>
        </w:rPr>
        <w:t xml:space="preserve">EU’s </w:t>
      </w:r>
      <w:r>
        <w:rPr>
          <w:rFonts w:eastAsia="Times New Roman"/>
          <w:b/>
          <w:bCs/>
          <w:iCs/>
          <w:lang w:eastAsia="en-GB"/>
        </w:rPr>
        <w:t>p</w:t>
      </w:r>
      <w:r w:rsidRPr="002072AC">
        <w:rPr>
          <w:rFonts w:eastAsia="Times New Roman"/>
          <w:b/>
          <w:bCs/>
          <w:iCs/>
          <w:lang w:eastAsia="en-GB"/>
        </w:rPr>
        <w:t xml:space="preserve">ublic </w:t>
      </w:r>
      <w:r>
        <w:rPr>
          <w:rFonts w:eastAsia="Times New Roman"/>
          <w:b/>
          <w:bCs/>
          <w:iCs/>
          <w:lang w:eastAsia="en-GB"/>
        </w:rPr>
        <w:t>p</w:t>
      </w:r>
      <w:r w:rsidRPr="002072AC">
        <w:rPr>
          <w:rFonts w:eastAsia="Times New Roman"/>
          <w:b/>
          <w:bCs/>
          <w:iCs/>
          <w:lang w:eastAsia="en-GB"/>
        </w:rPr>
        <w:t xml:space="preserve">rocurement </w:t>
      </w:r>
      <w:r>
        <w:rPr>
          <w:rFonts w:eastAsia="Times New Roman"/>
          <w:b/>
          <w:bCs/>
          <w:iCs/>
          <w:lang w:eastAsia="en-GB"/>
        </w:rPr>
        <w:t>d</w:t>
      </w:r>
      <w:r w:rsidRPr="002072AC">
        <w:rPr>
          <w:rFonts w:eastAsia="Times New Roman"/>
          <w:b/>
          <w:bCs/>
          <w:iCs/>
          <w:lang w:eastAsia="en-GB"/>
        </w:rPr>
        <w:t>irectives</w:t>
      </w:r>
      <w:r w:rsidRPr="431AECAA">
        <w:rPr>
          <w:rFonts w:eastAsia="Times New Roman"/>
          <w:lang w:eastAsia="en-GB"/>
        </w:rPr>
        <w:t xml:space="preserve"> is currently ongoing</w:t>
      </w:r>
      <w:r>
        <w:rPr>
          <w:rStyle w:val="FootnoteReference"/>
          <w:rFonts w:eastAsia="Times New Roman"/>
          <w:lang w:eastAsia="en-GB"/>
        </w:rPr>
        <w:footnoteReference w:id="40"/>
      </w:r>
      <w:r w:rsidRPr="431AECAA">
        <w:rPr>
          <w:rFonts w:eastAsia="Times New Roman"/>
          <w:lang w:eastAsia="en-GB"/>
        </w:rPr>
        <w:t xml:space="preserve"> and the</w:t>
      </w:r>
      <w:r>
        <w:rPr>
          <w:rFonts w:eastAsia="Times New Roman"/>
          <w:lang w:eastAsia="en-GB"/>
        </w:rPr>
        <w:t xml:space="preserve"> Commission will make a proposal to revise the framework in 2026</w:t>
      </w:r>
      <w:r w:rsidRPr="00E64654">
        <w:t xml:space="preserve">. </w:t>
      </w:r>
      <w:r>
        <w:t xml:space="preserve">It will allow for sustainability, resilience and European preference criteria in EU public procurement for strategic sectors. The proposed Regulation would introduce measures related to national public procurement of certain pharmaceuticals in line with the objectives of this upcoming revision, </w:t>
      </w:r>
      <w:r w:rsidRPr="001D24DE">
        <w:t xml:space="preserve">to help ensure security of supply </w:t>
      </w:r>
      <w:r>
        <w:t xml:space="preserve">and </w:t>
      </w:r>
      <w:r w:rsidRPr="001D24DE">
        <w:t>enable preference for European products in public procurement for c</w:t>
      </w:r>
      <w:r>
        <w:t>ritical medicines and other medicines of common interest, to the extent this is necessary and in line with the Union’s international commitments</w:t>
      </w:r>
      <w:r w:rsidRPr="001D24DE">
        <w:t>.</w:t>
      </w:r>
    </w:p>
    <w:p w14:paraId="104168D3" w14:textId="77777777" w:rsidR="004C5377" w:rsidRPr="00E64654" w:rsidRDefault="004C5377" w:rsidP="004C5377">
      <w:pPr>
        <w:spacing w:before="100" w:beforeAutospacing="1" w:after="100" w:afterAutospacing="1"/>
      </w:pPr>
      <w:r>
        <w:t xml:space="preserve">The proposed Regulation is consistent with </w:t>
      </w:r>
      <w:r w:rsidRPr="00E64654">
        <w:t>broader efforts to moderni</w:t>
      </w:r>
      <w:r>
        <w:t>s</w:t>
      </w:r>
      <w:r w:rsidRPr="00E64654">
        <w:t>e and adapt EU legislation to current challenges</w:t>
      </w:r>
      <w:r>
        <w:t xml:space="preserve"> since</w:t>
      </w:r>
      <w:r w:rsidRPr="00E64654">
        <w:t xml:space="preserve"> </w:t>
      </w:r>
      <w:r>
        <w:t>it</w:t>
      </w:r>
      <w:r w:rsidRPr="00E64654">
        <w:t xml:space="preserve"> aim</w:t>
      </w:r>
      <w:r>
        <w:t>s at</w:t>
      </w:r>
      <w:r w:rsidRPr="00E64654">
        <w:t xml:space="preserve"> reducing administrative burdens</w:t>
      </w:r>
      <w:r>
        <w:t xml:space="preserve"> and facilitating permit-granting processes for strategic projects.</w:t>
      </w:r>
      <w:r w:rsidRPr="00E64654">
        <w:t xml:space="preserve"> </w:t>
      </w:r>
      <w:r w:rsidRPr="00EF52CE">
        <w:t xml:space="preserve">The </w:t>
      </w:r>
      <w:r>
        <w:t>proposed Regulation</w:t>
      </w:r>
      <w:r w:rsidRPr="00EF52CE">
        <w:t xml:space="preserve"> is in line with the </w:t>
      </w:r>
      <w:r w:rsidRPr="000D5CE6">
        <w:rPr>
          <w:b/>
        </w:rPr>
        <w:t>Omnibus Proposal</w:t>
      </w:r>
      <w:r w:rsidRPr="000D5CE6">
        <w:rPr>
          <w:rStyle w:val="FootnoteReference"/>
        </w:rPr>
        <w:footnoteReference w:id="41"/>
      </w:r>
      <w:r w:rsidRPr="00EF52CE">
        <w:t xml:space="preserve"> and aims to </w:t>
      </w:r>
      <w:r>
        <w:t>address</w:t>
      </w:r>
      <w:r w:rsidRPr="00EF52CE">
        <w:t xml:space="preserve"> vulnerabilities of </w:t>
      </w:r>
      <w:r>
        <w:t>medicine</w:t>
      </w:r>
      <w:r w:rsidRPr="00EF52CE">
        <w:t xml:space="preserve"> supply chains without increasing the overall burden on industry.</w:t>
      </w:r>
    </w:p>
    <w:p w14:paraId="385F16E8" w14:textId="77777777" w:rsidR="004C5377" w:rsidRPr="00E64654" w:rsidRDefault="004C5377" w:rsidP="004C5377">
      <w:pPr>
        <w:spacing w:before="100" w:beforeAutospacing="1" w:after="100" w:afterAutospacing="1"/>
        <w:rPr>
          <w:rFonts w:eastAsia="Times New Roman"/>
          <w:i/>
          <w:iCs/>
          <w:szCs w:val="24"/>
          <w:lang w:eastAsia="en-GB"/>
        </w:rPr>
      </w:pPr>
      <w:r w:rsidRPr="00E64654">
        <w:rPr>
          <w:rFonts w:eastAsia="Times New Roman"/>
          <w:i/>
          <w:iCs/>
          <w:szCs w:val="24"/>
          <w:lang w:eastAsia="en-GB"/>
        </w:rPr>
        <w:t>Digital</w:t>
      </w:r>
    </w:p>
    <w:p w14:paraId="32FE9B39" w14:textId="77777777" w:rsidR="004C5377" w:rsidRDefault="004C5377" w:rsidP="004C5377">
      <w:pPr>
        <w:spacing w:before="100" w:beforeAutospacing="1" w:after="100" w:afterAutospacing="1"/>
        <w:rPr>
          <w:rFonts w:eastAsia="Times New Roman"/>
          <w:szCs w:val="24"/>
          <w:lang w:eastAsia="en-GB"/>
        </w:rPr>
      </w:pPr>
      <w:r w:rsidRPr="431AECAA">
        <w:rPr>
          <w:rFonts w:eastAsia="Times New Roman"/>
          <w:lang w:eastAsia="en-GB"/>
        </w:rPr>
        <w:t xml:space="preserve">The </w:t>
      </w:r>
      <w:r>
        <w:rPr>
          <w:rFonts w:eastAsia="Times New Roman"/>
          <w:lang w:eastAsia="en-GB"/>
        </w:rPr>
        <w:t>proposed Regulation</w:t>
      </w:r>
      <w:r w:rsidRPr="431AECAA">
        <w:rPr>
          <w:rFonts w:eastAsia="Times New Roman"/>
          <w:lang w:eastAsia="en-GB"/>
        </w:rPr>
        <w:t xml:space="preserve"> </w:t>
      </w:r>
      <w:r>
        <w:rPr>
          <w:rFonts w:eastAsia="Times New Roman"/>
          <w:lang w:eastAsia="en-GB"/>
        </w:rPr>
        <w:t>is</w:t>
      </w:r>
      <w:r w:rsidRPr="431AECAA">
        <w:rPr>
          <w:rFonts w:eastAsia="Times New Roman"/>
          <w:lang w:eastAsia="en-GB"/>
        </w:rPr>
        <w:t xml:space="preserve"> aligned with </w:t>
      </w:r>
      <w:r>
        <w:rPr>
          <w:rFonts w:eastAsia="Times New Roman"/>
          <w:lang w:eastAsia="en-GB"/>
        </w:rPr>
        <w:t xml:space="preserve">recent </w:t>
      </w:r>
      <w:r w:rsidRPr="431AECAA">
        <w:rPr>
          <w:rFonts w:eastAsia="Times New Roman"/>
          <w:lang w:eastAsia="en-GB"/>
        </w:rPr>
        <w:t xml:space="preserve">key European digital initiatives </w:t>
      </w:r>
      <w:r w:rsidRPr="001D6F4E">
        <w:rPr>
          <w:rFonts w:eastAsia="Times New Roman"/>
          <w:lang w:eastAsia="en-GB"/>
        </w:rPr>
        <w:t>(</w:t>
      </w:r>
      <w:r>
        <w:rPr>
          <w:rFonts w:eastAsia="Times New Roman"/>
          <w:b/>
          <w:bCs/>
          <w:iCs/>
          <w:lang w:eastAsia="en-GB"/>
        </w:rPr>
        <w:t>Artificial Intelligence (</w:t>
      </w:r>
      <w:r w:rsidRPr="002072AC">
        <w:rPr>
          <w:rFonts w:eastAsia="Times New Roman"/>
          <w:b/>
          <w:bCs/>
          <w:iCs/>
          <w:lang w:eastAsia="en-GB"/>
        </w:rPr>
        <w:t>AI</w:t>
      </w:r>
      <w:r>
        <w:rPr>
          <w:rFonts w:eastAsia="Times New Roman"/>
          <w:b/>
          <w:bCs/>
          <w:iCs/>
          <w:lang w:eastAsia="en-GB"/>
        </w:rPr>
        <w:t>)</w:t>
      </w:r>
      <w:r w:rsidRPr="002072AC">
        <w:rPr>
          <w:rFonts w:eastAsia="Times New Roman"/>
          <w:b/>
          <w:bCs/>
          <w:iCs/>
          <w:lang w:eastAsia="en-GB"/>
        </w:rPr>
        <w:t xml:space="preserve"> </w:t>
      </w:r>
      <w:r w:rsidRPr="00190947">
        <w:rPr>
          <w:rFonts w:eastAsia="Times New Roman"/>
          <w:iCs/>
          <w:lang w:eastAsia="en-GB"/>
        </w:rPr>
        <w:t>and</w:t>
      </w:r>
      <w:r w:rsidRPr="002072AC">
        <w:rPr>
          <w:rFonts w:eastAsia="Times New Roman"/>
          <w:b/>
          <w:bCs/>
          <w:iCs/>
          <w:lang w:eastAsia="en-GB"/>
        </w:rPr>
        <w:t xml:space="preserve"> </w:t>
      </w:r>
      <w:r>
        <w:rPr>
          <w:rFonts w:eastAsia="Times New Roman"/>
          <w:b/>
          <w:bCs/>
          <w:iCs/>
          <w:lang w:eastAsia="en-GB"/>
        </w:rPr>
        <w:t>NIS 2 Directive</w:t>
      </w:r>
      <w:r w:rsidRPr="431AECAA">
        <w:rPr>
          <w:rFonts w:eastAsia="Times New Roman"/>
          <w:lang w:eastAsia="en-GB"/>
        </w:rPr>
        <w:t>) that aim to promote secure and interoperable data exchange</w:t>
      </w:r>
      <w:r>
        <w:rPr>
          <w:rFonts w:eastAsia="Times New Roman"/>
          <w:lang w:eastAsia="en-GB"/>
        </w:rPr>
        <w:t>,</w:t>
      </w:r>
      <w:r w:rsidRPr="431AECAA">
        <w:rPr>
          <w:rFonts w:eastAsia="Times New Roman"/>
          <w:lang w:eastAsia="en-GB"/>
        </w:rPr>
        <w:t xml:space="preserve"> the use of advanced technologies</w:t>
      </w:r>
      <w:r>
        <w:rPr>
          <w:rFonts w:eastAsia="Times New Roman"/>
          <w:lang w:eastAsia="en-GB"/>
        </w:rPr>
        <w:t xml:space="preserve"> and </w:t>
      </w:r>
      <w:r w:rsidRPr="005252CC">
        <w:rPr>
          <w:rFonts w:eastAsia="Times New Roman"/>
          <w:lang w:eastAsia="en-GB"/>
        </w:rPr>
        <w:t>a high common level of cybersecurity across the Union</w:t>
      </w:r>
      <w:r w:rsidRPr="431AECAA">
        <w:rPr>
          <w:rFonts w:eastAsia="Times New Roman"/>
          <w:lang w:eastAsia="en-GB"/>
        </w:rPr>
        <w:t>. The AI Act</w:t>
      </w:r>
      <w:r>
        <w:rPr>
          <w:rStyle w:val="FootnoteReference"/>
          <w:rFonts w:eastAsia="Times New Roman"/>
          <w:szCs w:val="24"/>
          <w:lang w:eastAsia="en-GB"/>
        </w:rPr>
        <w:footnoteReference w:id="42"/>
      </w:r>
      <w:r w:rsidRPr="431AECAA">
        <w:rPr>
          <w:rFonts w:eastAsia="Times New Roman"/>
          <w:lang w:eastAsia="en-GB"/>
        </w:rPr>
        <w:t xml:space="preserve"> and </w:t>
      </w:r>
      <w:r>
        <w:rPr>
          <w:rFonts w:eastAsia="Times New Roman"/>
          <w:lang w:eastAsia="en-GB"/>
        </w:rPr>
        <w:t>the NIS 2 Directive</w:t>
      </w:r>
      <w:r>
        <w:rPr>
          <w:rStyle w:val="FootnoteReference"/>
          <w:rFonts w:eastAsia="Times New Roman"/>
          <w:lang w:eastAsia="en-GB"/>
        </w:rPr>
        <w:footnoteReference w:id="43"/>
      </w:r>
      <w:r w:rsidRPr="431AECAA">
        <w:rPr>
          <w:rFonts w:eastAsia="Times New Roman"/>
          <w:lang w:eastAsia="en-GB"/>
        </w:rPr>
        <w:t xml:space="preserve"> provide frameworks for responsible AI use and </w:t>
      </w:r>
      <w:r>
        <w:rPr>
          <w:rFonts w:eastAsia="Times New Roman"/>
          <w:lang w:eastAsia="en-GB"/>
        </w:rPr>
        <w:t xml:space="preserve">a </w:t>
      </w:r>
      <w:r w:rsidRPr="005252CC">
        <w:rPr>
          <w:rFonts w:eastAsia="Times New Roman"/>
          <w:lang w:eastAsia="en-GB"/>
        </w:rPr>
        <w:t>high common level of cybersecurity</w:t>
      </w:r>
      <w:r w:rsidRPr="431AECAA">
        <w:rPr>
          <w:rFonts w:eastAsia="Times New Roman"/>
          <w:lang w:eastAsia="en-GB"/>
        </w:rPr>
        <w:t xml:space="preserve">. </w:t>
      </w:r>
    </w:p>
    <w:p w14:paraId="6C95A47C" w14:textId="77777777" w:rsidR="004C5377" w:rsidRPr="00E5598F" w:rsidRDefault="004C5377" w:rsidP="004C5377">
      <w:pPr>
        <w:spacing w:before="100" w:beforeAutospacing="1" w:after="100" w:afterAutospacing="1"/>
        <w:rPr>
          <w:rFonts w:eastAsia="Times New Roman"/>
          <w:szCs w:val="24"/>
          <w:lang w:eastAsia="en-GB"/>
        </w:rPr>
      </w:pPr>
      <w:r w:rsidRPr="431AECAA">
        <w:rPr>
          <w:rFonts w:eastAsia="Times New Roman"/>
          <w:lang w:eastAsia="en-GB"/>
        </w:rPr>
        <w:t xml:space="preserve">Furthermore, the </w:t>
      </w:r>
      <w:r w:rsidRPr="002072AC">
        <w:rPr>
          <w:rFonts w:eastAsia="Times New Roman"/>
          <w:b/>
          <w:bCs/>
          <w:iCs/>
          <w:lang w:eastAsia="en-GB"/>
        </w:rPr>
        <w:t>Interoperable Europe Act</w:t>
      </w:r>
      <w:r>
        <w:rPr>
          <w:rStyle w:val="FootnoteReference"/>
          <w:rFonts w:eastAsia="Times New Roman"/>
          <w:szCs w:val="24"/>
          <w:lang w:eastAsia="en-GB"/>
        </w:rPr>
        <w:footnoteReference w:id="44"/>
      </w:r>
      <w:r w:rsidRPr="431AECAA">
        <w:rPr>
          <w:rFonts w:eastAsia="Times New Roman"/>
          <w:lang w:eastAsia="en-GB"/>
        </w:rPr>
        <w:t xml:space="preserve">, along with dedicated tools like the </w:t>
      </w:r>
      <w:r w:rsidRPr="002072AC">
        <w:rPr>
          <w:rFonts w:eastAsia="Times New Roman"/>
          <w:b/>
          <w:bCs/>
          <w:lang w:eastAsia="en-GB"/>
        </w:rPr>
        <w:t>European Interoperability Framework (EIF) Toolbox</w:t>
      </w:r>
      <w:r w:rsidRPr="431AECAA">
        <w:rPr>
          <w:rFonts w:eastAsia="Times New Roman"/>
          <w:lang w:eastAsia="en-GB"/>
        </w:rPr>
        <w:t xml:space="preserve"> and reusable components, supports standardi</w:t>
      </w:r>
      <w:r>
        <w:rPr>
          <w:rFonts w:eastAsia="Times New Roman"/>
          <w:lang w:eastAsia="en-GB"/>
        </w:rPr>
        <w:t>s</w:t>
      </w:r>
      <w:r w:rsidRPr="431AECAA">
        <w:rPr>
          <w:rFonts w:eastAsia="Times New Roman"/>
          <w:lang w:eastAsia="en-GB"/>
        </w:rPr>
        <w:t xml:space="preserve">ed data exchange across </w:t>
      </w:r>
      <w:r>
        <w:rPr>
          <w:rFonts w:eastAsia="Times New Roman"/>
          <w:lang w:eastAsia="en-GB"/>
        </w:rPr>
        <w:t>M</w:t>
      </w:r>
      <w:r w:rsidRPr="431AECAA">
        <w:rPr>
          <w:rFonts w:eastAsia="Times New Roman"/>
          <w:lang w:eastAsia="en-GB"/>
        </w:rPr>
        <w:t xml:space="preserve">ember </w:t>
      </w:r>
      <w:r>
        <w:rPr>
          <w:rFonts w:eastAsia="Times New Roman"/>
          <w:lang w:eastAsia="en-GB"/>
        </w:rPr>
        <w:t>S</w:t>
      </w:r>
      <w:r w:rsidRPr="431AECAA">
        <w:rPr>
          <w:rFonts w:eastAsia="Times New Roman"/>
          <w:lang w:eastAsia="en-GB"/>
        </w:rPr>
        <w:t>tates. The recently redesigned Tenders Electronic Daily portal</w:t>
      </w:r>
      <w:r>
        <w:rPr>
          <w:rStyle w:val="FootnoteReference"/>
          <w:rFonts w:eastAsia="Times New Roman"/>
          <w:szCs w:val="24"/>
          <w:lang w:eastAsia="en-GB"/>
        </w:rPr>
        <w:footnoteReference w:id="45"/>
      </w:r>
      <w:r w:rsidRPr="431AECAA">
        <w:rPr>
          <w:rFonts w:eastAsia="Times New Roman"/>
          <w:lang w:eastAsia="en-GB"/>
        </w:rPr>
        <w:t xml:space="preserve"> (‘TED’) serves as an efficient tool for sharing and monitoring procurement procedure</w:t>
      </w:r>
      <w:r>
        <w:rPr>
          <w:rFonts w:eastAsia="Times New Roman"/>
          <w:lang w:eastAsia="en-GB"/>
        </w:rPr>
        <w:t>s</w:t>
      </w:r>
      <w:r w:rsidRPr="431AECAA">
        <w:rPr>
          <w:rFonts w:eastAsia="Times New Roman"/>
          <w:lang w:eastAsia="en-GB"/>
        </w:rPr>
        <w:t xml:space="preserve">. </w:t>
      </w:r>
    </w:p>
    <w:p w14:paraId="43D40D87" w14:textId="77777777" w:rsidR="004C5377" w:rsidRPr="002D5EE2" w:rsidRDefault="004C5377" w:rsidP="004C5377">
      <w:pPr>
        <w:pStyle w:val="ManualHeading1"/>
      </w:pPr>
      <w:r w:rsidRPr="002D5EE2">
        <w:t>2.</w:t>
      </w:r>
      <w:r w:rsidRPr="002D5EE2">
        <w:tab/>
        <w:t>LEGAL BASIS, SUBSIDIARITY AND PROPORTIONALITY</w:t>
      </w:r>
    </w:p>
    <w:p w14:paraId="3917BDD9" w14:textId="77777777" w:rsidR="004C5377" w:rsidRPr="002D5EE2" w:rsidRDefault="004C5377" w:rsidP="004C5377">
      <w:pPr>
        <w:pStyle w:val="ManualHeading2"/>
        <w:rPr>
          <w:rFonts w:eastAsia="Arial Unicode MS"/>
          <w:u w:color="000000"/>
          <w:bdr w:val="nil"/>
          <w:lang w:val="en-US" w:eastAsia="en-GB"/>
        </w:rPr>
      </w:pPr>
      <w:r w:rsidRPr="002D5EE2">
        <w:rPr>
          <w:rFonts w:eastAsia="Arial Unicode MS"/>
          <w:u w:color="000000"/>
          <w:bdr w:val="nil"/>
          <w:lang w:val="en-US" w:eastAsia="en-GB"/>
        </w:rPr>
        <w:t>•</w:t>
      </w:r>
      <w:r w:rsidRPr="002D5EE2">
        <w:rPr>
          <w:rFonts w:eastAsia="Arial Unicode MS"/>
          <w:u w:color="000000"/>
          <w:bdr w:val="nil"/>
          <w:lang w:val="en-US" w:eastAsia="en-GB"/>
        </w:rPr>
        <w:tab/>
        <w:t>Legal basis</w:t>
      </w:r>
    </w:p>
    <w:p w14:paraId="5EDB0473" w14:textId="77777777" w:rsidR="004C5377" w:rsidRDefault="004C5377" w:rsidP="004C5377">
      <w:r w:rsidRPr="00111D4A">
        <w:t>The proposal is based on Article 114 of the Treaty on the Functioning of the European Union (TFEU). This is consistent with the legal basis of existing EU pharmaceutical legislation. Article 114(1) has as its object the establishment and functioning of the internal market. In accordance with Article 114(3) TFEU, the proposal takes as a base a high level of health protection.</w:t>
      </w:r>
    </w:p>
    <w:p w14:paraId="134688B8" w14:textId="77777777" w:rsidR="004C5377" w:rsidRPr="002D5EE2" w:rsidRDefault="004C5377" w:rsidP="004C5377">
      <w:pPr>
        <w:pStyle w:val="ManualHeading2"/>
        <w:rPr>
          <w:rFonts w:eastAsia="Arial Unicode MS"/>
          <w:u w:color="000000"/>
          <w:bdr w:val="nil"/>
          <w:lang w:val="en-US" w:eastAsia="en-GB"/>
        </w:rPr>
      </w:pPr>
      <w:r w:rsidRPr="002D5EE2">
        <w:rPr>
          <w:rFonts w:eastAsia="Arial Unicode MS"/>
          <w:u w:color="000000"/>
          <w:bdr w:val="nil"/>
          <w:lang w:val="en-US" w:eastAsia="en-GB"/>
        </w:rPr>
        <w:t>•</w:t>
      </w:r>
      <w:r w:rsidRPr="002D5EE2">
        <w:rPr>
          <w:rFonts w:eastAsia="Arial Unicode MS"/>
          <w:u w:color="000000"/>
          <w:bdr w:val="nil"/>
          <w:lang w:val="en-US" w:eastAsia="en-GB"/>
        </w:rPr>
        <w:tab/>
        <w:t xml:space="preserve">Subsidiarity (for non-exclusive competence) </w:t>
      </w:r>
    </w:p>
    <w:p w14:paraId="13F7C5A0" w14:textId="77777777" w:rsidR="004C5377" w:rsidRDefault="004C5377" w:rsidP="004C5377">
      <w:r>
        <w:t>The objectives of this proposal cannot be sufficiently achieved by Member States acting individually, as the challenges of medicine shortages and supply chain vulnerabilities extend beyond national borders. EU-level action is needed to ensure a coordinated and effective response to these cross-border issues. The proposal takes into account this principle in the design of the individual actions, particularly when procuring critical medicines and other medicinal products of common interest.</w:t>
      </w:r>
    </w:p>
    <w:p w14:paraId="2365493E" w14:textId="77777777" w:rsidR="004C5377" w:rsidRDefault="004C5377" w:rsidP="004C5377">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Proportionality</w:t>
      </w:r>
    </w:p>
    <w:p w14:paraId="7FB79940" w14:textId="77777777" w:rsidR="004C5377" w:rsidRDefault="004C5377" w:rsidP="004C5377">
      <w:r>
        <w:t>The proposal targets</w:t>
      </w:r>
      <w:r w:rsidRPr="003F1B13">
        <w:t xml:space="preserve"> critical medicines </w:t>
      </w:r>
      <w:r>
        <w:t>for which</w:t>
      </w:r>
      <w:r w:rsidRPr="003F1B13">
        <w:t xml:space="preserve"> there is a demonstrated need to intervene, and the </w:t>
      </w:r>
      <w:r>
        <w:t xml:space="preserve">selected </w:t>
      </w:r>
      <w:r w:rsidRPr="003F1B13">
        <w:t xml:space="preserve">intervention can lead to </w:t>
      </w:r>
      <w:r>
        <w:t>an effective</w:t>
      </w:r>
      <w:r w:rsidRPr="003F1B13">
        <w:t xml:space="preserve"> reduction </w:t>
      </w:r>
      <w:r>
        <w:t>in</w:t>
      </w:r>
      <w:r w:rsidRPr="003F1B13">
        <w:t xml:space="preserve"> the risk of shortages. </w:t>
      </w:r>
      <w:r>
        <w:t>Specific measures also apply to other medicines of common interest affected by</w:t>
      </w:r>
      <w:r w:rsidRPr="00016337">
        <w:t xml:space="preserve"> market access issues</w:t>
      </w:r>
      <w:r>
        <w:t xml:space="preserve"> in Member States. </w:t>
      </w:r>
    </w:p>
    <w:p w14:paraId="417F2243" w14:textId="77777777" w:rsidR="004C5377" w:rsidRDefault="004C5377" w:rsidP="004C5377">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r>
      <w:r>
        <w:rPr>
          <w:rFonts w:eastAsia="Arial Unicode MS"/>
          <w:u w:color="000000"/>
          <w:bdr w:val="nil"/>
          <w:lang w:val="en-US" w:eastAsia="en-GB"/>
        </w:rPr>
        <w:t>Choice of the instrument</w:t>
      </w:r>
    </w:p>
    <w:p w14:paraId="4552417A" w14:textId="77777777" w:rsidR="004C5377" w:rsidRDefault="004C5377" w:rsidP="004C5377">
      <w:r>
        <w:t xml:space="preserve">The proposal takes the form of a Regulation of the European Parliament and of the Council. The selection of a Regulation over a Directive is driven by the need for immediate and uniform application across the EU. This choice ensures legal certainty by minimising the risk of divergent interpretations and implementations by Member States. In addition, the cross-border implications of the legislation require a cohesive and consistent approach, achievable through a Regulation. </w:t>
      </w:r>
    </w:p>
    <w:p w14:paraId="7FA6B6B0" w14:textId="77777777" w:rsidR="004C5377" w:rsidRPr="00550536" w:rsidRDefault="004C5377" w:rsidP="004C5377">
      <w:pPr>
        <w:pStyle w:val="ManualHeading1"/>
      </w:pPr>
      <w:r w:rsidRPr="00550536">
        <w:t>3.</w:t>
      </w:r>
      <w:r w:rsidRPr="00550536">
        <w:tab/>
        <w:t xml:space="preserve">RESULTS OF </w:t>
      </w:r>
      <w:r w:rsidRPr="00FC197F">
        <w:rPr>
          <w:i/>
        </w:rPr>
        <w:t>EX-POST</w:t>
      </w:r>
      <w:r w:rsidRPr="00550536">
        <w:t xml:space="preserve"> EVALUATIONS, STAKEHOLDER CONSULTATIONS AND IMPACT ASSESSMENTS</w:t>
      </w:r>
    </w:p>
    <w:p w14:paraId="39BB882E" w14:textId="77777777" w:rsidR="004C5377" w:rsidRPr="00A17E81" w:rsidRDefault="004C5377" w:rsidP="004C5377">
      <w:pPr>
        <w:rPr>
          <w:lang w:val="en-IE"/>
        </w:rPr>
      </w:pPr>
      <w:r>
        <w:t>T</w:t>
      </w:r>
      <w:r w:rsidRPr="00A17E81">
        <w:t xml:space="preserve">he growing issue of medicines shortages poses an immediate and alarming threat to public health. Without swift action to address vulnerabilities in the supply of critical medicines, disruptions could have severe consequences for patient care, including delayed treatments for life-threatening conditions. Our heavy reliance on non-EU suppliers, fragile global supply chains, and geopolitical tensions exacerbate the risk of shortages, making this a pressing challenge. </w:t>
      </w:r>
    </w:p>
    <w:p w14:paraId="6A642B7E" w14:textId="77777777" w:rsidR="004C5377" w:rsidRDefault="004C5377" w:rsidP="004C5377">
      <w:r w:rsidRPr="007336FE">
        <w:t xml:space="preserve">A </w:t>
      </w:r>
      <w:r>
        <w:t>rich</w:t>
      </w:r>
      <w:r w:rsidRPr="007336FE">
        <w:t xml:space="preserve"> evidence base and extensive stakeholder input concerning medicine shortages and critical medicines have been gathered and analy</w:t>
      </w:r>
      <w:r>
        <w:t>s</w:t>
      </w:r>
      <w:r w:rsidRPr="007336FE">
        <w:t xml:space="preserve">ed in preparation for the revision of the </w:t>
      </w:r>
      <w:r>
        <w:t>pharmaceutical reform</w:t>
      </w:r>
      <w:r>
        <w:rPr>
          <w:rStyle w:val="FootnoteReference"/>
        </w:rPr>
        <w:footnoteReference w:id="46"/>
      </w:r>
      <w:r w:rsidRPr="007336FE">
        <w:t xml:space="preserve">. </w:t>
      </w:r>
      <w:r>
        <w:t>In addition, t</w:t>
      </w:r>
      <w:r w:rsidRPr="007336FE">
        <w:t>h</w:t>
      </w:r>
      <w:r>
        <w:t>e</w:t>
      </w:r>
      <w:r w:rsidRPr="007336FE">
        <w:t xml:space="preserve"> </w:t>
      </w:r>
      <w:r>
        <w:t>proposed Regulation</w:t>
      </w:r>
      <w:r w:rsidRPr="007336FE">
        <w:t xml:space="preserve"> was preceded by comprehensive consultations with stakeholders through the </w:t>
      </w:r>
      <w:r>
        <w:t>s</w:t>
      </w:r>
      <w:r w:rsidRPr="007336FE">
        <w:t xml:space="preserve">tructured </w:t>
      </w:r>
      <w:r>
        <w:t>d</w:t>
      </w:r>
      <w:r w:rsidRPr="007336FE">
        <w:t xml:space="preserve">ialogue on the </w:t>
      </w:r>
      <w:r>
        <w:t>s</w:t>
      </w:r>
      <w:r w:rsidRPr="007336FE">
        <w:t xml:space="preserve">ecurity of </w:t>
      </w:r>
      <w:r>
        <w:t>m</w:t>
      </w:r>
      <w:r w:rsidRPr="007336FE">
        <w:t xml:space="preserve">edicines </w:t>
      </w:r>
      <w:r>
        <w:t>s</w:t>
      </w:r>
      <w:r w:rsidRPr="007336FE">
        <w:t>upply</w:t>
      </w:r>
      <w:r>
        <w:rPr>
          <w:rStyle w:val="FootnoteReference"/>
        </w:rPr>
        <w:footnoteReference w:id="47"/>
      </w:r>
      <w:r w:rsidRPr="007336FE">
        <w:t xml:space="preserve"> </w:t>
      </w:r>
      <w:r w:rsidRPr="0050323F">
        <w:t>and the Critical Medicines Alliance</w:t>
      </w:r>
      <w:r>
        <w:rPr>
          <w:rStyle w:val="FootnoteReference"/>
        </w:rPr>
        <w:footnoteReference w:id="48"/>
      </w:r>
      <w:r w:rsidRPr="0050323F">
        <w:t>.</w:t>
      </w:r>
      <w:r w:rsidRPr="007336FE">
        <w:t xml:space="preserve"> </w:t>
      </w:r>
    </w:p>
    <w:p w14:paraId="1FE5785C" w14:textId="77777777" w:rsidR="004C5377" w:rsidRPr="00A17E81" w:rsidRDefault="004C5377" w:rsidP="004C5377">
      <w:pPr>
        <w:rPr>
          <w:lang w:val="en-IE"/>
        </w:rPr>
      </w:pPr>
      <w:r w:rsidRPr="007336FE">
        <w:t xml:space="preserve">Given that </w:t>
      </w:r>
      <w:r>
        <w:t>security of supply and addressing medicine</w:t>
      </w:r>
      <w:r w:rsidRPr="007336FE">
        <w:t xml:space="preserve"> </w:t>
      </w:r>
      <w:r>
        <w:t>shortages</w:t>
      </w:r>
      <w:r w:rsidRPr="007336FE">
        <w:t xml:space="preserve"> were </w:t>
      </w:r>
      <w:r>
        <w:t>a</w:t>
      </w:r>
      <w:r w:rsidRPr="007336FE">
        <w:t xml:space="preserve"> central focus during the evidence-gathering activities for </w:t>
      </w:r>
      <w:r>
        <w:t>the above</w:t>
      </w:r>
      <w:r w:rsidRPr="007336FE">
        <w:t xml:space="preserve"> initiatives, along with the pressing need for </w:t>
      </w:r>
      <w:r>
        <w:t xml:space="preserve">urgent </w:t>
      </w:r>
      <w:r w:rsidRPr="007336FE">
        <w:t>action, no dedicated impact assessment or online public consultation</w:t>
      </w:r>
      <w:r>
        <w:t xml:space="preserve"> could be</w:t>
      </w:r>
      <w:r w:rsidRPr="007336FE">
        <w:t xml:space="preserve"> conducted </w:t>
      </w:r>
      <w:r w:rsidRPr="00FC197F">
        <w:rPr>
          <w:i/>
        </w:rPr>
        <w:t>ex-ante</w:t>
      </w:r>
      <w:r w:rsidRPr="007336FE">
        <w:t xml:space="preserve"> for this </w:t>
      </w:r>
      <w:r>
        <w:t>proposed Regulation</w:t>
      </w:r>
      <w:r w:rsidRPr="007336FE">
        <w:t>.</w:t>
      </w:r>
      <w:r>
        <w:t xml:space="preserve"> </w:t>
      </w:r>
    </w:p>
    <w:p w14:paraId="4147375D" w14:textId="77777777" w:rsidR="004C5377" w:rsidRDefault="004C5377" w:rsidP="004C5377">
      <w:r>
        <w:t xml:space="preserve">The </w:t>
      </w:r>
      <w:r w:rsidRPr="00312356">
        <w:rPr>
          <w:i/>
          <w:iCs/>
        </w:rPr>
        <w:t>evaluation</w:t>
      </w:r>
      <w:r>
        <w:t xml:space="preserve"> of the EU pharmaceutical legislation</w:t>
      </w:r>
      <w:r>
        <w:rPr>
          <w:rStyle w:val="FootnoteReference"/>
        </w:rPr>
        <w:footnoteReference w:id="49"/>
      </w:r>
      <w:r>
        <w:t xml:space="preserve"> highlighted that medicine shortages are an increasing problem in the EU and that they have grown worse since the COVID-19 pandemic. Overall, there has been a marked increase in the number of reported shortages across the EU. These shortages are placing a significant burden on health systems and health professionals, putting patients at risk of sub-optimal care and health systems at risk of higher healthcare costs</w:t>
      </w:r>
      <w:r>
        <w:rPr>
          <w:rStyle w:val="FootnoteReference"/>
        </w:rPr>
        <w:footnoteReference w:id="50"/>
      </w:r>
      <w:r>
        <w:t xml:space="preserve">. </w:t>
      </w:r>
    </w:p>
    <w:p w14:paraId="6423D1BC" w14:textId="77777777" w:rsidR="004C5377" w:rsidRPr="009F6C00" w:rsidRDefault="004C5377" w:rsidP="004C5377">
      <w:pPr>
        <w:rPr>
          <w:i/>
          <w:iCs/>
        </w:rPr>
      </w:pPr>
      <w:r>
        <w:rPr>
          <w:i/>
          <w:iCs/>
        </w:rPr>
        <w:t>Supporting evidence</w:t>
      </w:r>
    </w:p>
    <w:p w14:paraId="4D32092A" w14:textId="77777777" w:rsidR="004C5377" w:rsidRDefault="004C5377" w:rsidP="004C5377">
      <w:r>
        <w:t>The analysis and supporting evidence including studies commissioned by the Commission will be summarised in a staff working d</w:t>
      </w:r>
      <w:r w:rsidRPr="00BC7C43">
        <w:t>ocument and published within three months of the proposal’s publication.</w:t>
      </w:r>
    </w:p>
    <w:p w14:paraId="1396715E" w14:textId="77777777" w:rsidR="004C5377" w:rsidRDefault="004C5377" w:rsidP="004C5377">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r>
      <w:r w:rsidRPr="0088076B">
        <w:rPr>
          <w:rFonts w:eastAsia="Arial Unicode MS"/>
          <w:i/>
          <w:u w:color="000000"/>
          <w:bdr w:val="nil"/>
          <w:lang w:val="en-US" w:eastAsia="en-GB"/>
        </w:rPr>
        <w:t>Ex-post</w:t>
      </w:r>
      <w:r w:rsidRPr="007718A8">
        <w:rPr>
          <w:rFonts w:eastAsia="Arial Unicode MS"/>
          <w:u w:color="000000"/>
          <w:bdr w:val="nil"/>
          <w:lang w:val="en-US" w:eastAsia="en-GB"/>
        </w:rPr>
        <w:t xml:space="preserve"> evaluations/fitness checks</w:t>
      </w:r>
      <w:r>
        <w:rPr>
          <w:rFonts w:eastAsia="Arial Unicode MS"/>
          <w:u w:color="000000"/>
          <w:bdr w:val="nil"/>
          <w:lang w:val="en-US" w:eastAsia="en-GB"/>
        </w:rPr>
        <w:t xml:space="preserve"> of existing legislation</w:t>
      </w:r>
    </w:p>
    <w:p w14:paraId="0D87E636" w14:textId="77777777" w:rsidR="004C5377" w:rsidRDefault="004C5377" w:rsidP="004C5377">
      <w:r>
        <w:t>Not applicable</w:t>
      </w:r>
    </w:p>
    <w:p w14:paraId="31976EE6" w14:textId="77777777" w:rsidR="004C5377" w:rsidRDefault="004C5377" w:rsidP="004C5377">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r>
      <w:r>
        <w:t>Stakeholder consultations</w:t>
      </w:r>
    </w:p>
    <w:p w14:paraId="198639C2" w14:textId="77777777" w:rsidR="004C5377" w:rsidRDefault="004C5377" w:rsidP="004C5377">
      <w:r>
        <w:t>In</w:t>
      </w:r>
      <w:r w:rsidRPr="00FE340A">
        <w:t xml:space="preserve"> February 2021,</w:t>
      </w:r>
      <w:r>
        <w:t xml:space="preserve"> </w:t>
      </w:r>
      <w:r w:rsidRPr="00FE340A">
        <w:t xml:space="preserve">the Commission </w:t>
      </w:r>
      <w:r>
        <w:t>brought stakeholders together in a s</w:t>
      </w:r>
      <w:r w:rsidRPr="00FE340A">
        <w:t xml:space="preserve">tructured </w:t>
      </w:r>
      <w:r>
        <w:t>d</w:t>
      </w:r>
      <w:r w:rsidRPr="00FE340A">
        <w:t>ialogue on security of medicines supply</w:t>
      </w:r>
      <w:r>
        <w:rPr>
          <w:rStyle w:val="FootnoteReference"/>
        </w:rPr>
        <w:footnoteReference w:id="51"/>
      </w:r>
      <w:r>
        <w:t>.</w:t>
      </w:r>
      <w:r w:rsidRPr="00D35689">
        <w:t xml:space="preserve"> </w:t>
      </w:r>
      <w:r>
        <w:t>Participants in this dialogue included: (i) a</w:t>
      </w:r>
      <w:r w:rsidRPr="004F7E8B">
        <w:t>ctors in the supply chains of critical medicines</w:t>
      </w:r>
      <w:r>
        <w:t>; (ii)</w:t>
      </w:r>
      <w:r w:rsidRPr="004F7E8B">
        <w:t xml:space="preserve"> public authorities</w:t>
      </w:r>
      <w:r>
        <w:t>; (iii)</w:t>
      </w:r>
      <w:r w:rsidRPr="004F7E8B">
        <w:t xml:space="preserve"> patient and health non-governmental organisations</w:t>
      </w:r>
      <w:r>
        <w:t>;</w:t>
      </w:r>
      <w:r w:rsidRPr="004F7E8B">
        <w:t xml:space="preserve"> and </w:t>
      </w:r>
      <w:r>
        <w:t>(iv) </w:t>
      </w:r>
      <w:r w:rsidRPr="004F7E8B">
        <w:t>the research community</w:t>
      </w:r>
      <w:r>
        <w:t xml:space="preserve">. </w:t>
      </w:r>
      <w:r w:rsidRPr="00D35689">
        <w:t>Th</w:t>
      </w:r>
      <w:r>
        <w:t>is</w:t>
      </w:r>
      <w:r w:rsidRPr="00D35689">
        <w:t xml:space="preserve"> dialogue</w:t>
      </w:r>
      <w:r>
        <w:t xml:space="preserve"> further</w:t>
      </w:r>
      <w:r w:rsidRPr="00D35689">
        <w:t xml:space="preserve"> </w:t>
      </w:r>
      <w:r>
        <w:t>deepened</w:t>
      </w:r>
      <w:r w:rsidRPr="00D35689">
        <w:t xml:space="preserve"> the understanding of global pharmaceutical supply chains</w:t>
      </w:r>
      <w:r>
        <w:t xml:space="preserve">. </w:t>
      </w:r>
    </w:p>
    <w:p w14:paraId="4D6296E6" w14:textId="77777777" w:rsidR="004C5377" w:rsidRDefault="004C5377" w:rsidP="004C5377">
      <w:r>
        <w:t xml:space="preserve">Consultations for the </w:t>
      </w:r>
      <w:r w:rsidRPr="00B10DE1">
        <w:rPr>
          <w:b/>
          <w:bCs/>
        </w:rPr>
        <w:t>EU pharmaceutical reform</w:t>
      </w:r>
      <w:r>
        <w:t xml:space="preserve"> in the domain of shortages also explored the stakeholders’ view on this topic</w:t>
      </w:r>
      <w:r>
        <w:rPr>
          <w:rStyle w:val="FootnoteReference"/>
        </w:rPr>
        <w:footnoteReference w:id="52"/>
      </w:r>
      <w:r>
        <w:t>. These consultations confirmed that stakeholders (in particular, civil society organisations and healthcare professionals) see medicine shortages as a crucial issue. In the targeted surveys, civil society, public authorities and health service stakeholders considered that the area that legislation was the least effective in addressing was issues related to security of supply and medicine shortages. They also gave their view on policy measures, such as shortage prevention plans, a shortage monitoring system at EU level or the shortage notification. Furthermore, a dedicated validation workshop was held on supply chains in April 2022. During this workshop, various stakeholders explained that diversification of the supply chain is challenging and not always feasible due to the difficulty of finding alternative suppliers upstream in the supply chain</w:t>
      </w:r>
      <w:r>
        <w:rPr>
          <w:rStyle w:val="FootnoteReference"/>
        </w:rPr>
        <w:footnoteReference w:id="53"/>
      </w:r>
      <w:r>
        <w:t xml:space="preserve">. </w:t>
      </w:r>
    </w:p>
    <w:p w14:paraId="5A43E413" w14:textId="5B88C9E2" w:rsidR="004C5377" w:rsidRDefault="004C5377" w:rsidP="004C5377">
      <w:r>
        <w:t xml:space="preserve">More than 300 stakeholders of critical medicine supply chains, as members of the </w:t>
      </w:r>
      <w:r w:rsidRPr="00287862">
        <w:rPr>
          <w:b/>
          <w:bCs/>
        </w:rPr>
        <w:t>Critical Medicines Alliance</w:t>
      </w:r>
      <w:r>
        <w:t xml:space="preserve"> that includes industry representatives, trade associations, patient organisations, medical profession organisations and Member States, have been consulted on key topics of interest for critical medicines’ supply chain strengthening. After the launch of the Alliance in 2024, technical discussions took place at working group level throughout the rest of the year, aiming to prepare recommendations of actions to strengthen manufacturing capacity </w:t>
      </w:r>
      <w:r w:rsidRPr="00256913">
        <w:t>and</w:t>
      </w:r>
      <w:r>
        <w:t xml:space="preserve"> diversify supply chain through partnerships with like-minded non-EU countries. The r</w:t>
      </w:r>
      <w:r w:rsidRPr="0088076B">
        <w:t>esults of these recommendations, compiled by the Steering Board in its Strategic Report</w:t>
      </w:r>
      <w:r w:rsidRPr="0088076B">
        <w:rPr>
          <w:rStyle w:val="FootnoteReference"/>
        </w:rPr>
        <w:footnoteReference w:id="54"/>
      </w:r>
      <w:r w:rsidRPr="0088076B">
        <w:t>,</w:t>
      </w:r>
      <w:r w:rsidRPr="00D64FEF">
        <w:t xml:space="preserve"> provide for actions on vulnerability assessment, incentives for investments in manufacturing capacity, contingency stocks and procurement approaches, as well as leveraging partnerships with </w:t>
      </w:r>
      <w:r>
        <w:t>non-EU</w:t>
      </w:r>
      <w:r w:rsidRPr="00D64FEF">
        <w:t xml:space="preserve"> countries. In particular, the Alliance recommends</w:t>
      </w:r>
      <w:r>
        <w:t>: (i)</w:t>
      </w:r>
      <w:r w:rsidRPr="00D64FEF">
        <w:t xml:space="preserve"> establish</w:t>
      </w:r>
      <w:r>
        <w:t>ing</w:t>
      </w:r>
      <w:r w:rsidRPr="00D64FEF">
        <w:t xml:space="preserve"> a European list of Critical Vulnerable Medicines; </w:t>
      </w:r>
      <w:r>
        <w:t>(ii)</w:t>
      </w:r>
      <w:r w:rsidRPr="00D64FEF">
        <w:t xml:space="preserve"> implementing a European Investment plan to strengthen production capacities for critical medicines in Europe </w:t>
      </w:r>
      <w:r>
        <w:t>by</w:t>
      </w:r>
      <w:r w:rsidRPr="00D64FEF">
        <w:t xml:space="preserve"> combin</w:t>
      </w:r>
      <w:r>
        <w:t>ing</w:t>
      </w:r>
      <w:r w:rsidRPr="00D64FEF">
        <w:t xml:space="preserve"> EU funding programme</w:t>
      </w:r>
      <w:r>
        <w:t>s</w:t>
      </w:r>
      <w:r w:rsidRPr="00D64FEF">
        <w:t xml:space="preserve"> and State aid; </w:t>
      </w:r>
      <w:r>
        <w:t xml:space="preserve">(iii) </w:t>
      </w:r>
      <w:r w:rsidRPr="00D64FEF">
        <w:t>implement</w:t>
      </w:r>
      <w:r>
        <w:t>ing</w:t>
      </w:r>
      <w:r w:rsidRPr="00D64FEF">
        <w:t xml:space="preserve"> a comprehensive harmonised and balanced framework on contingency stocks; </w:t>
      </w:r>
      <w:r>
        <w:t xml:space="preserve">(iv) </w:t>
      </w:r>
      <w:r w:rsidRPr="00D64FEF">
        <w:t>promot</w:t>
      </w:r>
      <w:r>
        <w:t>ing</w:t>
      </w:r>
      <w:r w:rsidRPr="00D64FEF">
        <w:t xml:space="preserve"> virtuous public procurement practices </w:t>
      </w:r>
      <w:r>
        <w:t>by means of</w:t>
      </w:r>
      <w:r w:rsidRPr="00D64FEF">
        <w:t xml:space="preserve"> appl</w:t>
      </w:r>
      <w:r>
        <w:t>ying</w:t>
      </w:r>
      <w:r w:rsidRPr="00D64FEF">
        <w:t xml:space="preserve"> specific ‘MEAT’ criteria</w:t>
      </w:r>
      <w:r>
        <w:rPr>
          <w:rStyle w:val="FootnoteReference"/>
        </w:rPr>
        <w:footnoteReference w:id="55"/>
      </w:r>
      <w:r w:rsidRPr="00D64FEF">
        <w:t xml:space="preserve"> and mak</w:t>
      </w:r>
      <w:r>
        <w:t>ing</w:t>
      </w:r>
      <w:r w:rsidRPr="00D64FEF">
        <w:t xml:space="preserve"> further use of joint procurement; </w:t>
      </w:r>
      <w:r>
        <w:t xml:space="preserve">and (v) </w:t>
      </w:r>
      <w:r w:rsidRPr="00D64FEF">
        <w:t>promot</w:t>
      </w:r>
      <w:r>
        <w:t>ing</w:t>
      </w:r>
      <w:r w:rsidRPr="00D64FEF">
        <w:t xml:space="preserve"> a level playing field </w:t>
      </w:r>
      <w:r>
        <w:t>for</w:t>
      </w:r>
      <w:r w:rsidRPr="00D64FEF">
        <w:t xml:space="preserve"> environmental and social standards, as well as fair competition between critical medicines manufactured in the EU and in the rest of the world. On partnerships with non-EU countries, the Alliance specifically recommends making use of the developed methodology to assess the prospects of countries for different types of partnerships. Finally, the Alliance recommends </w:t>
      </w:r>
      <w:r>
        <w:t xml:space="preserve">that </w:t>
      </w:r>
      <w:r w:rsidRPr="00D64FEF">
        <w:t xml:space="preserve">the MSSG </w:t>
      </w:r>
      <w:r>
        <w:t>(Executive Steering Group on Shortages and Safety of Medicinal Products)</w:t>
      </w:r>
      <w:r w:rsidRPr="00D64FEF">
        <w:t xml:space="preserve"> formalise</w:t>
      </w:r>
      <w:r>
        <w:t>s</w:t>
      </w:r>
      <w:r w:rsidRPr="00D64FEF">
        <w:t xml:space="preserve"> the possibility for outreach to </w:t>
      </w:r>
      <w:r>
        <w:t>non-EU</w:t>
      </w:r>
      <w:r w:rsidRPr="00D64FEF">
        <w:t xml:space="preserve"> country jurisdictions, as part of the Voluntary Solidarity Mechanism.</w:t>
      </w:r>
    </w:p>
    <w:p w14:paraId="799183AB" w14:textId="77777777" w:rsidR="004C5377" w:rsidRDefault="004C5377" w:rsidP="004C5377">
      <w:r>
        <w:t xml:space="preserve">A general consultation on the proposed Regulation was launched in a </w:t>
      </w:r>
      <w:r w:rsidRPr="008928B3">
        <w:rPr>
          <w:b/>
        </w:rPr>
        <w:t>Call for Evidence</w:t>
      </w:r>
      <w:r>
        <w:t xml:space="preserve"> that was published on 30 January 2025</w:t>
      </w:r>
      <w:r>
        <w:rPr>
          <w:rStyle w:val="FootnoteReference"/>
        </w:rPr>
        <w:footnoteReference w:id="56"/>
      </w:r>
      <w:r>
        <w:t xml:space="preserve">. </w:t>
      </w:r>
    </w:p>
    <w:p w14:paraId="5E751DFF" w14:textId="4A600167" w:rsidR="004C5377" w:rsidRPr="008928B3" w:rsidRDefault="004C5377" w:rsidP="004C5377">
      <w:r w:rsidRPr="008928B3">
        <w:t>The Commission received 121 valid contributions</w:t>
      </w:r>
      <w:r>
        <w:t xml:space="preserve">, submitted by business associations (26%), company/businesses (25%), non-governmental organisations (22%), EU citizen (5%), public authorities (5%), trade unions (4%), consumer organisations (2%), academic/research institutions (1%), and other (9%). </w:t>
      </w:r>
    </w:p>
    <w:p w14:paraId="4E0CA89C" w14:textId="77777777" w:rsidR="004C5377" w:rsidRPr="008928B3" w:rsidRDefault="004C5377" w:rsidP="004C5377">
      <w:pPr>
        <w:rPr>
          <w:lang w:val="en-IE"/>
        </w:rPr>
      </w:pPr>
      <w:r>
        <w:t>The</w:t>
      </w:r>
      <w:r w:rsidRPr="008928B3">
        <w:t xml:space="preserve"> responses</w:t>
      </w:r>
      <w:r w:rsidRPr="008928B3">
        <w:rPr>
          <w:lang w:val="en-IE"/>
        </w:rPr>
        <w:t xml:space="preserve"> came from 22 countries (including 5 non-EU countries). Among these, Belgium is the most represented (32%) as most European business associations and civil society organisations are headquartered in the country, </w:t>
      </w:r>
      <w:r>
        <w:rPr>
          <w:lang w:val="en-IE"/>
        </w:rPr>
        <w:t xml:space="preserve">followed by </w:t>
      </w:r>
      <w:r w:rsidRPr="008928B3">
        <w:rPr>
          <w:lang w:val="en-IE"/>
        </w:rPr>
        <w:t>Germany (15%), France (7%), Italy (6%) and Spain (5%).</w:t>
      </w:r>
    </w:p>
    <w:p w14:paraId="56AD54DE" w14:textId="433CF27C" w:rsidR="004C5377" w:rsidRDefault="004C5377" w:rsidP="004C5377">
      <w:r w:rsidRPr="008928B3">
        <w:t>A broad majority of the responses supported the Commission in tabling a Critical Medicines Act, seeing it a</w:t>
      </w:r>
      <w:r>
        <w:t>s a</w:t>
      </w:r>
      <w:r w:rsidRPr="008928B3">
        <w:t xml:space="preserve"> crucial tool to address shortages of critical medicines. To highlight some key considerations</w:t>
      </w:r>
      <w:r>
        <w:t>,</w:t>
      </w:r>
      <w:r w:rsidRPr="008928B3">
        <w:t xml:space="preserve"> the various stakeholders’ groups, companies and business associations noted the persistent dependencies on non-EU suppliers, particularly for active pharmaceutical ingredients (APIs), and the resulting increased risk of medicine shortages. They welcomed the European Commission's commitment to securin</w:t>
      </w:r>
      <w:r>
        <w:t xml:space="preserve">g </w:t>
      </w:r>
      <w:r w:rsidRPr="008928B3">
        <w:t>supply chains, and call</w:t>
      </w:r>
      <w:r>
        <w:t>ed</w:t>
      </w:r>
      <w:r w:rsidRPr="008928B3">
        <w:t xml:space="preserve"> for a comprehensive legal framework, promoting EU-based production of APIs, coupled with an improved access to funding mechanisms. To ensure transparency, accountability and efficiency, many NGOs proposed regular risk assessments and vulnerability analyses of the pharmaceutical supply chains and a coordinated monitoring system taking into account existing national systems, to avoid duplications. Public authorities in particular supported the voluntary joint procurement of critical </w:t>
      </w:r>
      <w:r w:rsidRPr="00D175F4">
        <w:t>m</w:t>
      </w:r>
      <w:r w:rsidRPr="001838A9">
        <w:t>edicines</w:t>
      </w:r>
      <w:r w:rsidRPr="008928B3">
        <w:t xml:space="preserve">. Responses from various stakeholder groups noted the need to address fragmentation stemming from </w:t>
      </w:r>
      <w:r w:rsidRPr="001838A9">
        <w:t>nat</w:t>
      </w:r>
      <w:r w:rsidRPr="00D175F4">
        <w:t>i</w:t>
      </w:r>
      <w:r w:rsidRPr="001838A9">
        <w:t>onal</w:t>
      </w:r>
      <w:r w:rsidRPr="008928B3">
        <w:t xml:space="preserve"> stockpiling requirements. The importance of global partnerships </w:t>
      </w:r>
      <w:r>
        <w:t>aimed at</w:t>
      </w:r>
      <w:r w:rsidRPr="008928B3">
        <w:t xml:space="preserve"> maintain</w:t>
      </w:r>
      <w:r>
        <w:t>ing</w:t>
      </w:r>
      <w:r w:rsidRPr="008928B3">
        <w:t xml:space="preserve"> robust supply chains</w:t>
      </w:r>
      <w:r>
        <w:t xml:space="preserve"> was widely emphasised</w:t>
      </w:r>
      <w:r w:rsidRPr="008928B3">
        <w:t>.</w:t>
      </w:r>
      <w:r>
        <w:rPr>
          <w:lang w:val="en-IE"/>
        </w:rPr>
        <w:t xml:space="preserve"> </w:t>
      </w:r>
      <w:r w:rsidRPr="008928B3">
        <w:rPr>
          <w:lang w:val="en-IE"/>
        </w:rPr>
        <w:t>A more detailed analysis of the responses will be included in th</w:t>
      </w:r>
      <w:r>
        <w:rPr>
          <w:lang w:val="en-IE"/>
        </w:rPr>
        <w:t>e</w:t>
      </w:r>
      <w:r w:rsidRPr="008928B3">
        <w:rPr>
          <w:lang w:val="en-IE"/>
        </w:rPr>
        <w:t xml:space="preserve"> </w:t>
      </w:r>
      <w:r>
        <w:rPr>
          <w:lang w:val="en-IE"/>
        </w:rPr>
        <w:t>s</w:t>
      </w:r>
      <w:r w:rsidRPr="008928B3">
        <w:rPr>
          <w:lang w:val="en-IE"/>
        </w:rPr>
        <w:t xml:space="preserve">taff </w:t>
      </w:r>
      <w:r>
        <w:rPr>
          <w:lang w:val="en-IE"/>
        </w:rPr>
        <w:t>w</w:t>
      </w:r>
      <w:r w:rsidRPr="008928B3">
        <w:rPr>
          <w:lang w:val="en-IE"/>
        </w:rPr>
        <w:t xml:space="preserve">orking </w:t>
      </w:r>
      <w:r>
        <w:rPr>
          <w:lang w:val="en-IE"/>
        </w:rPr>
        <w:t>d</w:t>
      </w:r>
      <w:r w:rsidRPr="008928B3">
        <w:rPr>
          <w:lang w:val="en-IE"/>
        </w:rPr>
        <w:t xml:space="preserve">ocument to be produced </w:t>
      </w:r>
      <w:r>
        <w:rPr>
          <w:lang w:val="en-IE"/>
        </w:rPr>
        <w:t>that will be published by the second quarter of 2025</w:t>
      </w:r>
      <w:r w:rsidRPr="008928B3">
        <w:rPr>
          <w:lang w:val="en-IE"/>
        </w:rPr>
        <w:t>.</w:t>
      </w:r>
      <w:r>
        <w:rPr>
          <w:lang w:val="en-IE"/>
        </w:rPr>
        <w:t xml:space="preserve"> </w:t>
      </w:r>
      <w:r>
        <w:t>The Commission has also commissioned a study by an external contractor regarding the proposed regulation, which includes targeted consultations with various stakeholders.</w:t>
      </w:r>
    </w:p>
    <w:p w14:paraId="529DAD93" w14:textId="77777777" w:rsidR="004C5377" w:rsidRPr="00EF3690" w:rsidRDefault="004C5377" w:rsidP="004C5377">
      <w:pPr>
        <w:pStyle w:val="ManualHeading2"/>
      </w:pPr>
      <w:r w:rsidRPr="007718A8">
        <w:rPr>
          <w:rFonts w:eastAsia="Arial Unicode MS"/>
          <w:u w:color="000000"/>
          <w:bdr w:val="nil"/>
          <w:lang w:val="en-US" w:eastAsia="en-GB"/>
        </w:rPr>
        <w:t>•</w:t>
      </w:r>
      <w:r w:rsidRPr="007718A8">
        <w:rPr>
          <w:rFonts w:eastAsia="Arial Unicode MS"/>
          <w:u w:color="000000"/>
          <w:bdr w:val="nil"/>
          <w:lang w:val="en-US" w:eastAsia="en-GB"/>
        </w:rPr>
        <w:tab/>
      </w:r>
      <w:r>
        <w:rPr>
          <w:rFonts w:eastAsia="Arial Unicode MS"/>
          <w:u w:color="000000"/>
          <w:bdr w:val="nil"/>
          <w:lang w:val="en-US" w:eastAsia="en-GB"/>
        </w:rPr>
        <w:t xml:space="preserve">Collection and use of </w:t>
      </w:r>
      <w:r>
        <w:t>expertise</w:t>
      </w:r>
    </w:p>
    <w:p w14:paraId="0618D3F2" w14:textId="77777777" w:rsidR="004C5377" w:rsidRPr="00016B73" w:rsidRDefault="004C5377" w:rsidP="004C5377">
      <w:r w:rsidRPr="00B21DAA">
        <w:rPr>
          <w:b/>
          <w:bCs/>
        </w:rPr>
        <w:t>The Union List of Critical Medicines</w:t>
      </w:r>
      <w:r>
        <w:rPr>
          <w:rStyle w:val="FootnoteReference"/>
          <w:b/>
          <w:bCs/>
        </w:rPr>
        <w:footnoteReference w:id="57"/>
      </w:r>
      <w:r w:rsidRPr="00016B73">
        <w:t xml:space="preserve"> </w:t>
      </w:r>
      <w:r>
        <w:t>was</w:t>
      </w:r>
      <w:r w:rsidRPr="00016B73">
        <w:t xml:space="preserve"> compiled with the expertise of </w:t>
      </w:r>
      <w:r>
        <w:t>the H</w:t>
      </w:r>
      <w:r w:rsidRPr="00016B73">
        <w:t>eads of M</w:t>
      </w:r>
      <w:r>
        <w:t>edicines Agencies of the Member States,</w:t>
      </w:r>
      <w:r w:rsidRPr="00016B73">
        <w:t xml:space="preserve"> the European Commission, </w:t>
      </w:r>
      <w:r>
        <w:t>and the</w:t>
      </w:r>
      <w:r w:rsidRPr="00016B73">
        <w:t xml:space="preserve"> </w:t>
      </w:r>
      <w:r>
        <w:t xml:space="preserve">EMA </w:t>
      </w:r>
      <w:r w:rsidRPr="00016B73">
        <w:t>in consultation with key stakeholders, including patient organi</w:t>
      </w:r>
      <w:r>
        <w:t>s</w:t>
      </w:r>
      <w:r w:rsidRPr="00016B73">
        <w:t>ations and industry associations</w:t>
      </w:r>
      <w:r>
        <w:t xml:space="preserve">. </w:t>
      </w:r>
      <w:r w:rsidRPr="00016B73">
        <w:t xml:space="preserve">Published </w:t>
      </w:r>
      <w:r>
        <w:t xml:space="preserve">for the first time </w:t>
      </w:r>
      <w:r w:rsidRPr="00016B73">
        <w:t>in December 2023</w:t>
      </w:r>
      <w:r>
        <w:t xml:space="preserve"> and updated one year later</w:t>
      </w:r>
      <w:r w:rsidRPr="00016B73">
        <w:t>, the</w:t>
      </w:r>
      <w:r>
        <w:t xml:space="preserve"> list</w:t>
      </w:r>
      <w:r w:rsidRPr="00016B73">
        <w:t xml:space="preserve"> contains </w:t>
      </w:r>
      <w:r>
        <w:t>276</w:t>
      </w:r>
      <w:r w:rsidRPr="00016B73">
        <w:t xml:space="preserve"> active substances used in medicines for human use that are deemed critical </w:t>
      </w:r>
      <w:r>
        <w:t>using an</w:t>
      </w:r>
      <w:r w:rsidRPr="00016B73">
        <w:t xml:space="preserve"> agreed methodology</w:t>
      </w:r>
      <w:r>
        <w:t>, based on two key criteria</w:t>
      </w:r>
      <w:r w:rsidRPr="00016B73">
        <w:t>:</w:t>
      </w:r>
    </w:p>
    <w:p w14:paraId="0187A1D7" w14:textId="77777777" w:rsidR="004C5377" w:rsidRPr="00016B73" w:rsidRDefault="004C5377" w:rsidP="004C5377">
      <w:pPr>
        <w:pStyle w:val="Point0"/>
      </w:pPr>
      <w:r>
        <w:t>•</w:t>
      </w:r>
      <w:r>
        <w:tab/>
      </w:r>
      <w:r w:rsidRPr="00016B73">
        <w:t>The medicine's therapeutic indication targeting a serious condition</w:t>
      </w:r>
      <w:r>
        <w:t>;</w:t>
      </w:r>
    </w:p>
    <w:p w14:paraId="4B586E0D" w14:textId="77777777" w:rsidR="004C5377" w:rsidRPr="00016B73" w:rsidRDefault="004C5377" w:rsidP="004C5377">
      <w:pPr>
        <w:pStyle w:val="Point0"/>
      </w:pPr>
      <w:r>
        <w:t>•</w:t>
      </w:r>
      <w:r>
        <w:tab/>
      </w:r>
      <w:r w:rsidRPr="00016B73">
        <w:t>The limited availability of appropriate alternatives</w:t>
      </w:r>
      <w:r>
        <w:t>.</w:t>
      </w:r>
    </w:p>
    <w:p w14:paraId="1A82C45D" w14:textId="142F5631" w:rsidR="004C5377" w:rsidRDefault="004C5377" w:rsidP="004C5377">
      <w:r w:rsidRPr="00016B73">
        <w:t xml:space="preserve">Medicines are </w:t>
      </w:r>
      <w:r>
        <w:t xml:space="preserve">included on the Union list if they meet the above-mentioned criteria on their critical status and </w:t>
      </w:r>
      <w:r w:rsidRPr="00016B73">
        <w:t xml:space="preserve">if they meet </w:t>
      </w:r>
      <w:r>
        <w:t xml:space="preserve">additional </w:t>
      </w:r>
      <w:r w:rsidRPr="00016B73">
        <w:t>criteria</w:t>
      </w:r>
      <w:r w:rsidRPr="00894156">
        <w:t>, such as the number of Member States considering the medicine critical or the marketing status of the medicine</w:t>
      </w:r>
      <w:r>
        <w:t>. It is i</w:t>
      </w:r>
      <w:r w:rsidRPr="00EA25E4">
        <w:t>mportant</w:t>
      </w:r>
      <w:r>
        <w:t xml:space="preserve"> to note that</w:t>
      </w:r>
      <w:r w:rsidRPr="00EA25E4">
        <w:t xml:space="preserve"> inclusion on the list does not necessarily indicate an imminent shortage</w:t>
      </w:r>
      <w:r>
        <w:t>,</w:t>
      </w:r>
      <w:r w:rsidRPr="00EA25E4">
        <w:t xml:space="preserve"> rather </w:t>
      </w:r>
      <w:r>
        <w:t xml:space="preserve">it </w:t>
      </w:r>
      <w:r w:rsidRPr="00EA25E4">
        <w:t>prioriti</w:t>
      </w:r>
      <w:r>
        <w:t>s</w:t>
      </w:r>
      <w:r w:rsidRPr="00EA25E4">
        <w:t>es prevention efforts for these critical medicines</w:t>
      </w:r>
      <w:r>
        <w:t>.</w:t>
      </w:r>
    </w:p>
    <w:p w14:paraId="25B3E859" w14:textId="62170A0A" w:rsidR="004C5377" w:rsidRDefault="004C5377" w:rsidP="004C5377">
      <w:r>
        <w:t>The Commission conducted a technical assessment of supply chain vulnerabilities for critical medicines</w:t>
      </w:r>
      <w:r>
        <w:rPr>
          <w:rStyle w:val="FootnoteReference"/>
        </w:rPr>
        <w:footnoteReference w:id="58"/>
      </w:r>
      <w:r>
        <w:t xml:space="preserve">. The analysis focused on a selection of 11 critical medicines from the Union list. </w:t>
      </w:r>
      <w:r>
        <w:rPr>
          <w:rFonts w:eastAsia="Times New Roman"/>
          <w:lang w:eastAsia="en-GB"/>
        </w:rPr>
        <w:t xml:space="preserve">The issues identified by the pilot included the significant dependences on non-EU active substances suppliers for 4 of the 11 molecules and risks stemming from market concentration. The pilot pointed to the need to strengthen resilience, such as diversifying supply sources, increasing production capacity flexibility and developing robust risk management frameworks to handle economic and market variability effectively. </w:t>
      </w:r>
      <w:r w:rsidRPr="002D17DA">
        <w:rPr>
          <w:rFonts w:eastAsia="Times New Roman"/>
          <w:lang w:eastAsia="en-GB"/>
        </w:rPr>
        <w:t xml:space="preserve">The outcomes </w:t>
      </w:r>
      <w:r>
        <w:rPr>
          <w:rFonts w:eastAsia="Times New Roman"/>
          <w:lang w:eastAsia="en-GB"/>
        </w:rPr>
        <w:t>of</w:t>
      </w:r>
      <w:r w:rsidRPr="002D17DA">
        <w:rPr>
          <w:rFonts w:eastAsia="Times New Roman"/>
          <w:lang w:eastAsia="en-GB"/>
        </w:rPr>
        <w:t xml:space="preserve"> this pilot exercise also showed some limitations, such as the lack of legal basis </w:t>
      </w:r>
      <w:r>
        <w:rPr>
          <w:rFonts w:eastAsia="Times New Roman"/>
          <w:lang w:eastAsia="en-GB"/>
        </w:rPr>
        <w:t>for</w:t>
      </w:r>
      <w:r w:rsidRPr="002D17DA">
        <w:rPr>
          <w:rFonts w:eastAsia="Times New Roman"/>
          <w:lang w:eastAsia="en-GB"/>
        </w:rPr>
        <w:t xml:space="preserve"> data collection and information sharing, the absence of harmonised data format and standards leading to interoperability issues</w:t>
      </w:r>
      <w:r>
        <w:rPr>
          <w:rFonts w:eastAsia="Times New Roman"/>
          <w:lang w:eastAsia="en-GB"/>
        </w:rPr>
        <w:t>,</w:t>
      </w:r>
      <w:r w:rsidRPr="002D17DA">
        <w:rPr>
          <w:rFonts w:eastAsia="Times New Roman"/>
          <w:lang w:eastAsia="en-GB"/>
        </w:rPr>
        <w:t xml:space="preserve"> and the hesitancy of pharmaceutical companies to share highly sensitive commercial data.</w:t>
      </w:r>
    </w:p>
    <w:p w14:paraId="01E55988" w14:textId="77777777" w:rsidR="004C5377" w:rsidRDefault="004C5377" w:rsidP="004C5377">
      <w:pPr>
        <w:rPr>
          <w:rFonts w:eastAsia="Times New Roman"/>
          <w:lang w:eastAsia="en-GB"/>
        </w:rPr>
      </w:pPr>
      <w:r w:rsidRPr="00287D48">
        <w:rPr>
          <w:rFonts w:eastAsia="Times New Roman"/>
          <w:b/>
          <w:bCs/>
          <w:lang w:eastAsia="en-GB"/>
        </w:rPr>
        <w:t>Studies</w:t>
      </w:r>
      <w:r>
        <w:rPr>
          <w:rFonts w:eastAsia="Times New Roman"/>
          <w:lang w:eastAsia="en-GB"/>
        </w:rPr>
        <w:t xml:space="preserve">: a study by an external contractor is being conducted </w:t>
      </w:r>
      <w:r w:rsidRPr="0089421C">
        <w:rPr>
          <w:rFonts w:eastAsia="Times New Roman"/>
          <w:lang w:eastAsia="en-GB"/>
        </w:rPr>
        <w:t>that focuses on the assessment of policy options in the realm of three main policy strands: horizontal (scope, governance, data); enabling conditions for investments in critical medicines; demand-side measures.</w:t>
      </w:r>
      <w:r>
        <w:rPr>
          <w:rFonts w:eastAsia="Times New Roman"/>
          <w:lang w:eastAsia="en-GB"/>
        </w:rPr>
        <w:t xml:space="preserve"> The interim report of the study has been taken into account in the preparation of this proposed Regulation, and further results of the study will feed into the staff working document that will be published by the second quarter of 2025 to provide the analysis and all supporting evidence underpinning this proposal. </w:t>
      </w:r>
    </w:p>
    <w:p w14:paraId="56A8568D" w14:textId="29B5C64F" w:rsidR="004C5377" w:rsidRDefault="004C5377" w:rsidP="004C5377">
      <w:pPr>
        <w:rPr>
          <w:rFonts w:eastAsia="Times New Roman"/>
          <w:lang w:eastAsia="en-GB"/>
        </w:rPr>
      </w:pPr>
      <w:r w:rsidRPr="00616791">
        <w:rPr>
          <w:rFonts w:eastAsia="Times New Roman"/>
          <w:lang w:eastAsia="en-GB"/>
        </w:rPr>
        <w:t>The Study on best practices in the public procurement of medicines</w:t>
      </w:r>
      <w:r>
        <w:rPr>
          <w:rStyle w:val="FootnoteReference"/>
          <w:rFonts w:eastAsia="Times New Roman"/>
          <w:lang w:eastAsia="en-GB"/>
        </w:rPr>
        <w:footnoteReference w:id="59"/>
      </w:r>
      <w:r w:rsidRPr="00616791">
        <w:rPr>
          <w:rFonts w:eastAsia="Times New Roman"/>
          <w:lang w:eastAsia="en-GB"/>
        </w:rPr>
        <w:t>, published in 2022</w:t>
      </w:r>
      <w:r>
        <w:rPr>
          <w:rFonts w:eastAsia="Times New Roman"/>
          <w:lang w:eastAsia="en-GB"/>
        </w:rPr>
        <w:t>, mapped and analysed</w:t>
      </w:r>
      <w:r w:rsidRPr="00695784">
        <w:rPr>
          <w:rFonts w:eastAsia="Times New Roman"/>
          <w:lang w:eastAsia="en-GB"/>
        </w:rPr>
        <w:t xml:space="preserve"> practices </w:t>
      </w:r>
      <w:r>
        <w:rPr>
          <w:rFonts w:eastAsia="Times New Roman"/>
          <w:lang w:eastAsia="en-GB"/>
        </w:rPr>
        <w:t>in the public procurement of medicines</w:t>
      </w:r>
      <w:r w:rsidRPr="00695784">
        <w:rPr>
          <w:rFonts w:eastAsia="Times New Roman"/>
          <w:lang w:eastAsia="en-GB"/>
        </w:rPr>
        <w:t xml:space="preserve"> across 32 European countries. The report presents findings </w:t>
      </w:r>
      <w:r>
        <w:rPr>
          <w:rFonts w:eastAsia="Times New Roman"/>
          <w:lang w:eastAsia="en-GB"/>
        </w:rPr>
        <w:t>on</w:t>
      </w:r>
      <w:r w:rsidRPr="00695784">
        <w:rPr>
          <w:rFonts w:eastAsia="Times New Roman"/>
          <w:lang w:eastAsia="en-GB"/>
        </w:rPr>
        <w:t xml:space="preserve"> organisational form</w:t>
      </w:r>
      <w:r>
        <w:rPr>
          <w:rFonts w:eastAsia="Times New Roman"/>
          <w:lang w:eastAsia="en-GB"/>
        </w:rPr>
        <w:t>s</w:t>
      </w:r>
      <w:r w:rsidRPr="00695784">
        <w:rPr>
          <w:rFonts w:eastAsia="Times New Roman"/>
          <w:lang w:eastAsia="en-GB"/>
        </w:rPr>
        <w:t xml:space="preserve"> of procurement </w:t>
      </w:r>
      <w:r>
        <w:rPr>
          <w:rFonts w:eastAsia="Times New Roman"/>
          <w:lang w:eastAsia="en-GB"/>
        </w:rPr>
        <w:t>and the use</w:t>
      </w:r>
      <w:r w:rsidRPr="00695784">
        <w:rPr>
          <w:rFonts w:eastAsia="Times New Roman"/>
          <w:lang w:eastAsia="en-GB"/>
        </w:rPr>
        <w:t xml:space="preserve"> of different forms of procedures and techniques (including the use of different </w:t>
      </w:r>
      <w:r w:rsidR="00E93FEB">
        <w:rPr>
          <w:rFonts w:eastAsia="Times New Roman"/>
          <w:lang w:eastAsia="en-GB"/>
        </w:rPr>
        <w:t>procurement requirements</w:t>
      </w:r>
      <w:r w:rsidRPr="00695784">
        <w:rPr>
          <w:rFonts w:eastAsia="Times New Roman"/>
          <w:lang w:eastAsia="en-GB"/>
        </w:rPr>
        <w:t xml:space="preserve">, such as the Most Economically Advantageous Tender). </w:t>
      </w:r>
      <w:r>
        <w:rPr>
          <w:rFonts w:eastAsia="Times New Roman"/>
          <w:lang w:eastAsia="en-GB"/>
        </w:rPr>
        <w:t>The p</w:t>
      </w:r>
      <w:r w:rsidRPr="00695784">
        <w:rPr>
          <w:rFonts w:eastAsia="Times New Roman"/>
          <w:lang w:eastAsia="en-GB"/>
        </w:rPr>
        <w:t xml:space="preserve">ossible impacts of </w:t>
      </w:r>
      <w:r>
        <w:rPr>
          <w:rFonts w:eastAsia="Times New Roman"/>
          <w:lang w:eastAsia="en-GB"/>
        </w:rPr>
        <w:t xml:space="preserve">public procurement of medicines on </w:t>
      </w:r>
      <w:r w:rsidRPr="00695784">
        <w:rPr>
          <w:rFonts w:eastAsia="Times New Roman"/>
          <w:lang w:eastAsia="en-GB"/>
        </w:rPr>
        <w:t>access to medicines, affordability and availability of medicines</w:t>
      </w:r>
      <w:r>
        <w:rPr>
          <w:rFonts w:eastAsia="Times New Roman"/>
          <w:lang w:eastAsia="en-GB"/>
        </w:rPr>
        <w:t xml:space="preserve"> and</w:t>
      </w:r>
      <w:r w:rsidRPr="00695784">
        <w:rPr>
          <w:rFonts w:eastAsia="Times New Roman"/>
          <w:lang w:eastAsia="en-GB"/>
        </w:rPr>
        <w:t xml:space="preserve"> security of supply</w:t>
      </w:r>
      <w:r>
        <w:rPr>
          <w:rFonts w:eastAsia="Times New Roman"/>
          <w:lang w:eastAsia="en-GB"/>
        </w:rPr>
        <w:t xml:space="preserve"> </w:t>
      </w:r>
      <w:r w:rsidRPr="00695784">
        <w:rPr>
          <w:rFonts w:eastAsia="Times New Roman"/>
          <w:lang w:eastAsia="en-GB"/>
        </w:rPr>
        <w:t xml:space="preserve">were assessed. </w:t>
      </w:r>
    </w:p>
    <w:p w14:paraId="130D3625" w14:textId="77777777" w:rsidR="004C5377" w:rsidRDefault="004C5377" w:rsidP="004C5377">
      <w:pPr>
        <w:rPr>
          <w:rFonts w:eastAsia="Times New Roman"/>
          <w:lang w:eastAsia="en-GB"/>
        </w:rPr>
      </w:pPr>
      <w:r w:rsidRPr="18EC0B61">
        <w:rPr>
          <w:rFonts w:eastAsia="Times New Roman"/>
          <w:lang w:eastAsia="en-GB"/>
        </w:rPr>
        <w:t xml:space="preserve">Through the work of the Alliance, several studies have </w:t>
      </w:r>
      <w:r>
        <w:rPr>
          <w:rFonts w:eastAsia="Times New Roman"/>
          <w:lang w:eastAsia="en-GB"/>
        </w:rPr>
        <w:t xml:space="preserve">also </w:t>
      </w:r>
      <w:r w:rsidRPr="18EC0B61">
        <w:rPr>
          <w:rFonts w:eastAsia="Times New Roman"/>
          <w:lang w:eastAsia="en-GB"/>
        </w:rPr>
        <w:t xml:space="preserve">been used as evidence for the preparation of the recommendations, </w:t>
      </w:r>
      <w:r>
        <w:rPr>
          <w:rFonts w:eastAsia="Times New Roman"/>
          <w:lang w:eastAsia="en-GB"/>
        </w:rPr>
        <w:t xml:space="preserve">including </w:t>
      </w:r>
      <w:r w:rsidRPr="18EC0B61">
        <w:rPr>
          <w:rFonts w:eastAsia="Times New Roman"/>
          <w:lang w:eastAsia="en-GB"/>
        </w:rPr>
        <w:t xml:space="preserve">the </w:t>
      </w:r>
      <w:r>
        <w:rPr>
          <w:rFonts w:eastAsia="Times New Roman"/>
          <w:lang w:eastAsia="en-GB"/>
        </w:rPr>
        <w:t>A</w:t>
      </w:r>
      <w:r w:rsidRPr="18EC0B61">
        <w:rPr>
          <w:rFonts w:eastAsia="Times New Roman"/>
          <w:lang w:eastAsia="en-GB"/>
        </w:rPr>
        <w:t>dvanc</w:t>
      </w:r>
      <w:r>
        <w:rPr>
          <w:rFonts w:eastAsia="Times New Roman"/>
          <w:lang w:eastAsia="en-GB"/>
        </w:rPr>
        <w:t>y</w:t>
      </w:r>
      <w:r w:rsidRPr="18EC0B61">
        <w:rPr>
          <w:rFonts w:eastAsia="Times New Roman"/>
          <w:lang w:eastAsia="en-GB"/>
        </w:rPr>
        <w:t xml:space="preserve"> study on </w:t>
      </w:r>
      <w:r>
        <w:rPr>
          <w:rFonts w:eastAsia="Times New Roman"/>
          <w:lang w:eastAsia="en-GB"/>
        </w:rPr>
        <w:t>‘</w:t>
      </w:r>
      <w:r w:rsidRPr="18EC0B61">
        <w:rPr>
          <w:rFonts w:eastAsia="Times New Roman"/>
          <w:lang w:eastAsia="en-GB"/>
        </w:rPr>
        <w:t>Strengthening API production industry in France and Europe</w:t>
      </w:r>
      <w:r>
        <w:rPr>
          <w:rFonts w:eastAsia="Times New Roman"/>
          <w:lang w:eastAsia="en-GB"/>
        </w:rPr>
        <w:t>’</w:t>
      </w:r>
      <w:r>
        <w:rPr>
          <w:rStyle w:val="FootnoteReference"/>
        </w:rPr>
        <w:footnoteReference w:id="60"/>
      </w:r>
      <w:r w:rsidRPr="009C260C">
        <w:rPr>
          <w:rFonts w:eastAsia="Times New Roman"/>
          <w:lang w:eastAsia="en-GB"/>
        </w:rPr>
        <w:t>.</w:t>
      </w:r>
      <w:r w:rsidRPr="4A19BE1D">
        <w:rPr>
          <w:rFonts w:eastAsia="Times New Roman"/>
          <w:lang w:eastAsia="en-GB"/>
        </w:rPr>
        <w:t xml:space="preserve"> </w:t>
      </w:r>
      <w:r w:rsidRPr="79F1DFE9">
        <w:rPr>
          <w:rFonts w:eastAsia="Times New Roman"/>
          <w:lang w:eastAsia="en-GB"/>
        </w:rPr>
        <w:t>Th</w:t>
      </w:r>
      <w:r>
        <w:rPr>
          <w:rFonts w:eastAsia="Times New Roman"/>
          <w:lang w:eastAsia="en-GB"/>
        </w:rPr>
        <w:t>is</w:t>
      </w:r>
      <w:r w:rsidRPr="79F1DFE9">
        <w:rPr>
          <w:rFonts w:eastAsia="Times New Roman"/>
          <w:lang w:eastAsia="en-GB"/>
        </w:rPr>
        <w:t xml:space="preserve"> study highlights the significant </w:t>
      </w:r>
      <w:r w:rsidRPr="4CEF5AB2">
        <w:rPr>
          <w:rFonts w:eastAsia="Times New Roman"/>
          <w:lang w:eastAsia="en-GB"/>
        </w:rPr>
        <w:t xml:space="preserve">competitiveness deficit faced by the </w:t>
      </w:r>
      <w:r w:rsidRPr="22C153FE">
        <w:rPr>
          <w:rFonts w:eastAsia="Times New Roman"/>
          <w:lang w:eastAsia="en-GB"/>
        </w:rPr>
        <w:t xml:space="preserve">European pharmaceutical sector, particularly in the production of essential </w:t>
      </w:r>
      <w:r w:rsidRPr="79A447BD">
        <w:rPr>
          <w:rFonts w:eastAsia="Times New Roman"/>
          <w:lang w:eastAsia="en-GB"/>
        </w:rPr>
        <w:t xml:space="preserve">medicines and </w:t>
      </w:r>
      <w:r>
        <w:rPr>
          <w:rFonts w:eastAsia="Times New Roman"/>
          <w:lang w:eastAsia="en-GB"/>
        </w:rPr>
        <w:t>active substances</w:t>
      </w:r>
      <w:r w:rsidRPr="0887A5CA">
        <w:rPr>
          <w:rFonts w:eastAsia="Times New Roman"/>
          <w:lang w:eastAsia="en-GB"/>
        </w:rPr>
        <w:t xml:space="preserve">. </w:t>
      </w:r>
      <w:r>
        <w:rPr>
          <w:rFonts w:eastAsia="Times New Roman"/>
          <w:lang w:eastAsia="en-GB"/>
        </w:rPr>
        <w:t>Furthermore, t</w:t>
      </w:r>
      <w:r w:rsidRPr="36E6603A">
        <w:rPr>
          <w:rFonts w:eastAsia="Times New Roman"/>
          <w:lang w:eastAsia="en-GB"/>
        </w:rPr>
        <w:t xml:space="preserve">he OECD Report on </w:t>
      </w:r>
      <w:r>
        <w:rPr>
          <w:rFonts w:eastAsia="Times New Roman"/>
          <w:lang w:eastAsia="en-GB"/>
        </w:rPr>
        <w:t>‘</w:t>
      </w:r>
      <w:r w:rsidRPr="36E6603A">
        <w:rPr>
          <w:rFonts w:eastAsia="Times New Roman"/>
          <w:lang w:eastAsia="en-GB"/>
        </w:rPr>
        <w:t>Shortages of medicines in OECD countries</w:t>
      </w:r>
      <w:r>
        <w:rPr>
          <w:rFonts w:eastAsia="Times New Roman"/>
          <w:lang w:eastAsia="en-GB"/>
        </w:rPr>
        <w:t>’</w:t>
      </w:r>
      <w:r>
        <w:rPr>
          <w:rStyle w:val="FootnoteReference"/>
        </w:rPr>
        <w:footnoteReference w:id="61"/>
      </w:r>
      <w:r w:rsidRPr="009C1CDE">
        <w:rPr>
          <w:rFonts w:eastAsia="Times New Roman"/>
          <w:vertAlign w:val="superscript"/>
          <w:lang w:eastAsia="en-GB"/>
        </w:rPr>
        <w:t xml:space="preserve"> </w:t>
      </w:r>
      <w:r w:rsidRPr="36E6603A">
        <w:rPr>
          <w:rFonts w:eastAsia="Times New Roman"/>
          <w:lang w:eastAsia="en-GB"/>
        </w:rPr>
        <w:t>also served as evidence to the Alliance</w:t>
      </w:r>
      <w:r w:rsidRPr="31EB7B52">
        <w:rPr>
          <w:rFonts w:eastAsia="Times New Roman"/>
          <w:lang w:eastAsia="en-GB"/>
        </w:rPr>
        <w:t>; th</w:t>
      </w:r>
      <w:r>
        <w:rPr>
          <w:rFonts w:eastAsia="Times New Roman"/>
          <w:lang w:eastAsia="en-GB"/>
        </w:rPr>
        <w:t>is study</w:t>
      </w:r>
      <w:r w:rsidRPr="31EB7B52">
        <w:rPr>
          <w:rFonts w:eastAsia="Times New Roman"/>
          <w:lang w:eastAsia="en-GB"/>
        </w:rPr>
        <w:t xml:space="preserve"> examined the nature and exten</w:t>
      </w:r>
      <w:r>
        <w:rPr>
          <w:rFonts w:eastAsia="Times New Roman"/>
          <w:lang w:eastAsia="en-GB"/>
        </w:rPr>
        <w:t>t</w:t>
      </w:r>
      <w:r w:rsidRPr="31EB7B52">
        <w:rPr>
          <w:rFonts w:eastAsia="Times New Roman"/>
          <w:lang w:eastAsia="en-GB"/>
        </w:rPr>
        <w:t xml:space="preserve"> of medicine shortages pre-COVID and explored the reasons for this global problem</w:t>
      </w:r>
      <w:r w:rsidRPr="4F2A011E">
        <w:rPr>
          <w:rFonts w:eastAsia="Times New Roman"/>
          <w:lang w:eastAsia="en-GB"/>
        </w:rPr>
        <w:t xml:space="preserve">. </w:t>
      </w:r>
      <w:r>
        <w:rPr>
          <w:rFonts w:eastAsia="Times New Roman"/>
          <w:lang w:eastAsia="en-GB"/>
        </w:rPr>
        <w:t>It concludes that a global multistakeholder approach is necessary, involving all relevant actors, also beyond healthcare.</w:t>
      </w:r>
    </w:p>
    <w:p w14:paraId="7CE2E887" w14:textId="77777777" w:rsidR="004C5377" w:rsidRDefault="004C5377" w:rsidP="004C5377">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Impact assessment</w:t>
      </w:r>
    </w:p>
    <w:p w14:paraId="27FF8100" w14:textId="3D858B0F" w:rsidR="004C5377" w:rsidRPr="004A5E99" w:rsidRDefault="004C5377" w:rsidP="004C5377">
      <w:pPr>
        <w:spacing w:before="0" w:after="0"/>
        <w:rPr>
          <w:rFonts w:eastAsia="Times New Roman"/>
          <w:lang w:eastAsia="en-GB"/>
        </w:rPr>
      </w:pPr>
      <w:r>
        <w:rPr>
          <w:rFonts w:eastAsia="Times New Roman"/>
          <w:lang w:eastAsia="en-GB"/>
        </w:rPr>
        <w:t>Given the</w:t>
      </w:r>
      <w:r w:rsidRPr="004A5E99">
        <w:rPr>
          <w:rFonts w:eastAsia="Times New Roman"/>
          <w:lang w:eastAsia="en-GB"/>
        </w:rPr>
        <w:t xml:space="preserve"> urgen</w:t>
      </w:r>
      <w:r>
        <w:rPr>
          <w:rFonts w:eastAsia="Times New Roman"/>
          <w:lang w:eastAsia="en-GB"/>
        </w:rPr>
        <w:t>t</w:t>
      </w:r>
      <w:r w:rsidRPr="004A5E99">
        <w:rPr>
          <w:rFonts w:eastAsia="Times New Roman"/>
          <w:lang w:eastAsia="en-GB"/>
        </w:rPr>
        <w:t xml:space="preserve"> </w:t>
      </w:r>
      <w:r>
        <w:rPr>
          <w:rFonts w:eastAsia="Times New Roman"/>
          <w:lang w:eastAsia="en-GB"/>
        </w:rPr>
        <w:t>need to</w:t>
      </w:r>
      <w:r w:rsidRPr="004A5E99">
        <w:rPr>
          <w:rFonts w:eastAsia="Times New Roman"/>
          <w:lang w:eastAsia="en-GB"/>
        </w:rPr>
        <w:t xml:space="preserve"> address the</w:t>
      </w:r>
      <w:r>
        <w:rPr>
          <w:rFonts w:eastAsia="Times New Roman"/>
          <w:lang w:eastAsia="en-GB"/>
        </w:rPr>
        <w:t xml:space="preserve"> </w:t>
      </w:r>
      <w:r w:rsidRPr="004A5E99">
        <w:rPr>
          <w:rFonts w:eastAsia="Times New Roman"/>
          <w:lang w:eastAsia="en-GB"/>
        </w:rPr>
        <w:t xml:space="preserve">policy </w:t>
      </w:r>
      <w:r>
        <w:rPr>
          <w:rFonts w:eastAsia="Times New Roman"/>
          <w:lang w:eastAsia="en-GB"/>
        </w:rPr>
        <w:t>challenges identified</w:t>
      </w:r>
      <w:r w:rsidRPr="004A5E99">
        <w:rPr>
          <w:rFonts w:eastAsia="Times New Roman"/>
          <w:lang w:eastAsia="en-GB"/>
        </w:rPr>
        <w:t xml:space="preserve">, the </w:t>
      </w:r>
      <w:r>
        <w:rPr>
          <w:rFonts w:eastAsia="Times New Roman"/>
          <w:lang w:eastAsia="en-GB"/>
        </w:rPr>
        <w:t>proposed Regulation</w:t>
      </w:r>
      <w:r w:rsidRPr="004A5E99">
        <w:rPr>
          <w:rFonts w:eastAsia="Times New Roman"/>
          <w:lang w:eastAsia="en-GB"/>
        </w:rPr>
        <w:t xml:space="preserve"> will be </w:t>
      </w:r>
      <w:r>
        <w:rPr>
          <w:rFonts w:eastAsia="Times New Roman"/>
          <w:lang w:eastAsia="en-GB"/>
        </w:rPr>
        <w:t xml:space="preserve">proposed </w:t>
      </w:r>
      <w:r w:rsidRPr="004A5E99">
        <w:rPr>
          <w:rFonts w:eastAsia="Times New Roman"/>
          <w:lang w:eastAsia="en-GB"/>
        </w:rPr>
        <w:t xml:space="preserve">without an impact assessment. </w:t>
      </w:r>
      <w:r>
        <w:rPr>
          <w:rFonts w:eastAsia="Times New Roman"/>
          <w:lang w:eastAsia="en-GB"/>
        </w:rPr>
        <w:t>However, its provisions are based on existing analyses, stakeholder consultations, and lessons learned from past initiatives to ensure a proportionate and evidence– based approach. To further assess its expected impacts, a</w:t>
      </w:r>
      <w:r w:rsidRPr="004A5E99">
        <w:rPr>
          <w:rFonts w:eastAsia="Times New Roman"/>
          <w:lang w:eastAsia="en-GB"/>
        </w:rPr>
        <w:t xml:space="preserve"> </w:t>
      </w:r>
      <w:r>
        <w:rPr>
          <w:rFonts w:eastAsia="Times New Roman"/>
          <w:lang w:eastAsia="en-GB"/>
        </w:rPr>
        <w:t>s</w:t>
      </w:r>
      <w:r w:rsidRPr="004A5E99">
        <w:rPr>
          <w:rFonts w:eastAsia="Times New Roman"/>
          <w:lang w:eastAsia="en-GB"/>
        </w:rPr>
        <w:t xml:space="preserve">taff </w:t>
      </w:r>
      <w:r>
        <w:rPr>
          <w:rFonts w:eastAsia="Times New Roman"/>
          <w:lang w:eastAsia="en-GB"/>
        </w:rPr>
        <w:t>w</w:t>
      </w:r>
      <w:r w:rsidRPr="004A5E99">
        <w:rPr>
          <w:rFonts w:eastAsia="Times New Roman"/>
          <w:lang w:eastAsia="en-GB"/>
        </w:rPr>
        <w:t xml:space="preserve">orking </w:t>
      </w:r>
      <w:r>
        <w:rPr>
          <w:rFonts w:eastAsia="Times New Roman"/>
          <w:lang w:eastAsia="en-GB"/>
        </w:rPr>
        <w:t>d</w:t>
      </w:r>
      <w:r w:rsidRPr="004A5E99">
        <w:rPr>
          <w:rFonts w:eastAsia="Times New Roman"/>
          <w:lang w:eastAsia="en-GB"/>
        </w:rPr>
        <w:t>ocument will be published within three months of the proposal’s adoption</w:t>
      </w:r>
      <w:r>
        <w:rPr>
          <w:rFonts w:eastAsia="Times New Roman"/>
          <w:lang w:eastAsia="en-GB"/>
        </w:rPr>
        <w:t xml:space="preserve">, providing a summary of available evidence on </w:t>
      </w:r>
      <w:r w:rsidRPr="004A5E99">
        <w:rPr>
          <w:rFonts w:eastAsia="Times New Roman"/>
          <w:lang w:eastAsia="en-GB"/>
        </w:rPr>
        <w:t>the expected impacts</w:t>
      </w:r>
      <w:r>
        <w:rPr>
          <w:rFonts w:eastAsia="Times New Roman"/>
          <w:lang w:eastAsia="en-GB"/>
        </w:rPr>
        <w:t xml:space="preserve"> of the proposed Regulation and the analysis underpinning the proposal</w:t>
      </w:r>
      <w:r w:rsidRPr="004A5E99">
        <w:rPr>
          <w:rFonts w:eastAsia="Times New Roman"/>
          <w:lang w:eastAsia="en-GB"/>
        </w:rPr>
        <w:t>.</w:t>
      </w:r>
    </w:p>
    <w:p w14:paraId="10049D84" w14:textId="77777777" w:rsidR="004C5377" w:rsidRDefault="004C5377" w:rsidP="004C5377">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Regulatory fitness and simplification</w:t>
      </w:r>
    </w:p>
    <w:p w14:paraId="1C1B937E" w14:textId="77777777" w:rsidR="004C5377" w:rsidRDefault="004C5377" w:rsidP="004C5377">
      <w:r>
        <w:t xml:space="preserve">The proposal does not envisage significant additional regulatory burden. For undertakings developing a strategic project, it will facilitate the creation or expansion of manufacturing capacities of critical medicines, their active substances and key inputs in the EU by fast-tracking permit-granting procedures, streamlining environmental assessments and providing targeted support when needed. For national public administrations, certain reporting obligations are foreseen in relation to financial support provided to strategic projects, national programmes to ensure sustainability and resilience in public procurement and collaborative procurement initiatives. Nevertheless, the proposed Regulation will also generate further synergies and ensure efficient coordination and collaboration between Member States to reach the Union’s strategic objective to strengthen the security of supply and availability of critical medicines. </w:t>
      </w:r>
    </w:p>
    <w:p w14:paraId="68F607A3" w14:textId="77777777" w:rsidR="004C5377" w:rsidRDefault="004C5377" w:rsidP="004C5377">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Fundamental rights</w:t>
      </w:r>
    </w:p>
    <w:p w14:paraId="418FE144" w14:textId="77777777" w:rsidR="004C5377" w:rsidRDefault="004C5377" w:rsidP="004C5377">
      <w:r w:rsidRPr="007E7527">
        <w:t xml:space="preserve">The proposal </w:t>
      </w:r>
      <w:r>
        <w:t>helps</w:t>
      </w:r>
      <w:r w:rsidRPr="007E7527">
        <w:t xml:space="preserve"> achiev</w:t>
      </w:r>
      <w:r>
        <w:t>e</w:t>
      </w:r>
      <w:r w:rsidRPr="007E7527">
        <w:t xml:space="preserve"> a high level of human health protection and is therefore consistent with Article 35 of the Charter of Fundamental Rights of the European Union</w:t>
      </w:r>
      <w:r>
        <w:t xml:space="preserve"> (‘the Charter’)</w:t>
      </w:r>
      <w:r w:rsidRPr="007E7527">
        <w:t>.</w:t>
      </w:r>
      <w:r w:rsidRPr="00C43337">
        <w:rPr>
          <w:color w:val="000000"/>
          <w:shd w:val="clear" w:color="auto" w:fill="FFFFFF"/>
        </w:rPr>
        <w:t xml:space="preserve"> </w:t>
      </w:r>
      <w:r w:rsidRPr="00C43337">
        <w:t xml:space="preserve">Article 16 of the Charter provides for the freedom to conduct a business. The measures under this proposal </w:t>
      </w:r>
      <w:r>
        <w:t>support creation or expansion of</w:t>
      </w:r>
      <w:r w:rsidRPr="00C43337">
        <w:t xml:space="preserve"> </w:t>
      </w:r>
      <w:r>
        <w:t>manufacturing</w:t>
      </w:r>
      <w:r w:rsidRPr="00C43337">
        <w:t xml:space="preserve"> capacity and foster demand for </w:t>
      </w:r>
      <w:r>
        <w:t>critical medicines and other medicines of common interest with resilient supply chains</w:t>
      </w:r>
      <w:r w:rsidRPr="00C43337">
        <w:t>, which can reinforce the freedom to conduct a business in accordance with Union law and national laws and practices.</w:t>
      </w:r>
    </w:p>
    <w:p w14:paraId="47C1BA81" w14:textId="77777777" w:rsidR="004C5377" w:rsidRDefault="004C5377" w:rsidP="004C5377">
      <w:pPr>
        <w:pStyle w:val="ManualHeading1"/>
      </w:pPr>
      <w:r w:rsidRPr="00550536">
        <w:t>4.</w:t>
      </w:r>
      <w:r w:rsidRPr="00550536">
        <w:tab/>
        <w:t>BUDGETARY IMPLICATIONS</w:t>
      </w:r>
    </w:p>
    <w:p w14:paraId="6E1CC7AB" w14:textId="77777777" w:rsidR="004C5377" w:rsidRPr="00014715" w:rsidRDefault="004C5377" w:rsidP="004C5377">
      <w:r w:rsidRPr="00526801">
        <w:t>The legislative financial statement attached to this proposal sets out the budgetary, human and administrative resource implications. Appropriations will be reallocated within the financial envelope</w:t>
      </w:r>
      <w:r>
        <w:t xml:space="preserve">. The costs of this proposal will be fully covered through redeployments within existing financial envelopes of the current multiannual financial framework. </w:t>
      </w:r>
      <w:r w:rsidRPr="00014715">
        <w:rPr>
          <w:rFonts w:eastAsia="Times New Roman"/>
          <w:lang w:eastAsia="en-GB"/>
        </w:rPr>
        <w:t>For the duration of the 2021-2027</w:t>
      </w:r>
      <w:r>
        <w:rPr>
          <w:rFonts w:eastAsia="Times New Roman"/>
          <w:lang w:eastAsia="en-GB"/>
        </w:rPr>
        <w:t xml:space="preserve"> MFF</w:t>
      </w:r>
      <w:r>
        <w:rPr>
          <w:rStyle w:val="FootnoteReference"/>
        </w:rPr>
        <w:footnoteReference w:id="62"/>
      </w:r>
      <w:r w:rsidRPr="00014715">
        <w:rPr>
          <w:rFonts w:eastAsia="Times New Roman"/>
          <w:lang w:eastAsia="en-GB"/>
        </w:rPr>
        <w:t xml:space="preserve">, the Strategic Projects </w:t>
      </w:r>
      <w:r>
        <w:rPr>
          <w:rFonts w:eastAsia="Times New Roman"/>
          <w:lang w:eastAsia="en-GB"/>
        </w:rPr>
        <w:t>may</w:t>
      </w:r>
      <w:r w:rsidRPr="00014715">
        <w:rPr>
          <w:rFonts w:eastAsia="Times New Roman"/>
          <w:lang w:eastAsia="en-GB"/>
        </w:rPr>
        <w:t xml:space="preserve"> be supported by EU funding, including but not limited to EU4Health </w:t>
      </w:r>
      <w:r>
        <w:rPr>
          <w:rFonts w:eastAsia="Times New Roman"/>
          <w:lang w:eastAsia="en-GB"/>
        </w:rPr>
        <w:t>P</w:t>
      </w:r>
      <w:r w:rsidRPr="00014715">
        <w:rPr>
          <w:rFonts w:eastAsia="Times New Roman"/>
          <w:lang w:eastAsia="en-GB"/>
        </w:rPr>
        <w:t>rogramme</w:t>
      </w:r>
      <w:r>
        <w:rPr>
          <w:rStyle w:val="FootnoteReference"/>
        </w:rPr>
        <w:footnoteReference w:id="63"/>
      </w:r>
      <w:r w:rsidRPr="00014715">
        <w:rPr>
          <w:rFonts w:eastAsia="Times New Roman"/>
          <w:lang w:eastAsia="en-GB"/>
        </w:rPr>
        <w:t>, Horizon Europe</w:t>
      </w:r>
      <w:r>
        <w:rPr>
          <w:rStyle w:val="FootnoteReference"/>
        </w:rPr>
        <w:footnoteReference w:id="64"/>
      </w:r>
      <w:r w:rsidRPr="00014715">
        <w:rPr>
          <w:rFonts w:eastAsia="Times New Roman"/>
          <w:lang w:eastAsia="en-GB"/>
        </w:rPr>
        <w:t xml:space="preserve">, and the Digital Europe </w:t>
      </w:r>
      <w:r>
        <w:rPr>
          <w:rFonts w:eastAsia="Times New Roman"/>
          <w:lang w:eastAsia="en-GB"/>
        </w:rPr>
        <w:t>p</w:t>
      </w:r>
      <w:r w:rsidRPr="00014715">
        <w:rPr>
          <w:rFonts w:eastAsia="Times New Roman"/>
          <w:lang w:eastAsia="en-GB"/>
        </w:rPr>
        <w:t>rogramme</w:t>
      </w:r>
      <w:r>
        <w:rPr>
          <w:rStyle w:val="FootnoteReference"/>
        </w:rPr>
        <w:footnoteReference w:id="65"/>
      </w:r>
      <w:r w:rsidRPr="00014715">
        <w:rPr>
          <w:rFonts w:eastAsia="Times New Roman"/>
          <w:lang w:eastAsia="en-GB"/>
        </w:rPr>
        <w:t>, provided that the</w:t>
      </w:r>
      <w:r>
        <w:rPr>
          <w:rFonts w:eastAsia="Times New Roman"/>
          <w:lang w:eastAsia="en-GB"/>
        </w:rPr>
        <w:t>y</w:t>
      </w:r>
      <w:r w:rsidRPr="00014715">
        <w:rPr>
          <w:rFonts w:eastAsia="Times New Roman"/>
          <w:lang w:eastAsia="en-GB"/>
        </w:rPr>
        <w:t xml:space="preserve"> comply with the requirements provided for in these instruments.</w:t>
      </w:r>
    </w:p>
    <w:p w14:paraId="6124DF09" w14:textId="77777777" w:rsidR="004C5377" w:rsidRDefault="004C5377" w:rsidP="004C5377">
      <w:r>
        <w:t xml:space="preserve">The indicative overall budgetary impact of the proposal is EUR 83.02 million for the period 2026-2027 under Heading 2b. This amount will finance manufacturing investments and manufacturing capacity and will also cover expenses for meetings. These appropriations will be redeployed within the existing financial envelope of the EU4Health programme. This amount will also cover the increase to the EU contribution to EMA (EUR 1.4 million), due to increased EMA costs for staff, IT investments, and meeting costs. The increased EU contribution to EMA will be covered by the EU4Health programme's budgetary envelope in 2026 and 2027. </w:t>
      </w:r>
    </w:p>
    <w:p w14:paraId="5E8D361B" w14:textId="77777777" w:rsidR="004C5377" w:rsidRDefault="004C5377" w:rsidP="004C5377">
      <w:r>
        <w:t>The budgetary impact under Heading 7 amounts to EUR 5,5. This amount will cover staff costs and missions’ costs and will be covered through internal redeployment.</w:t>
      </w:r>
    </w:p>
    <w:p w14:paraId="6A61A1D7" w14:textId="77777777" w:rsidR="004C5377" w:rsidRPr="00550536" w:rsidRDefault="004C5377" w:rsidP="004C5377">
      <w:pPr>
        <w:pStyle w:val="ManualHeading1"/>
      </w:pPr>
      <w:r w:rsidRPr="00550536">
        <w:t>5.</w:t>
      </w:r>
      <w:r w:rsidRPr="00550536">
        <w:tab/>
        <w:t>OTHER ELEMENTS</w:t>
      </w:r>
    </w:p>
    <w:p w14:paraId="3E8AB4DC" w14:textId="77777777" w:rsidR="004C5377" w:rsidRDefault="004C5377" w:rsidP="004C5377">
      <w:pPr>
        <w:pStyle w:val="ManualHeading2"/>
        <w:rPr>
          <w:rFonts w:eastAsia="Arial Unicode MS"/>
          <w:u w:color="000000"/>
          <w:bdr w:val="nil"/>
          <w:lang w:val="en-US" w:eastAsia="en-GB"/>
        </w:rPr>
      </w:pPr>
      <w:r>
        <w:rPr>
          <w:rFonts w:eastAsia="Arial Unicode MS"/>
          <w:u w:color="000000"/>
          <w:bdr w:val="nil"/>
          <w:lang w:val="en-US" w:eastAsia="en-GB"/>
        </w:rPr>
        <w:t>•</w:t>
      </w:r>
      <w:r>
        <w:rPr>
          <w:rFonts w:eastAsia="Arial Unicode MS"/>
          <w:u w:color="000000"/>
          <w:bdr w:val="nil"/>
          <w:lang w:val="en-US" w:eastAsia="en-GB"/>
        </w:rPr>
        <w:tab/>
        <w:t xml:space="preserve">Implementation plans and </w:t>
      </w:r>
      <w:r w:rsidRPr="007718A8">
        <w:rPr>
          <w:rFonts w:eastAsia="Arial Unicode MS"/>
          <w:u w:color="000000"/>
          <w:bdr w:val="nil"/>
          <w:lang w:val="en-US" w:eastAsia="en-GB"/>
        </w:rPr>
        <w:t>monitoring, evaluation and reporting arrangements</w:t>
      </w:r>
    </w:p>
    <w:p w14:paraId="6A492A25" w14:textId="77777777" w:rsidR="004C5377" w:rsidRPr="001D7C2D" w:rsidRDefault="004C5377" w:rsidP="004C5377">
      <w:pPr>
        <w:pBdr>
          <w:top w:val="nil"/>
          <w:left w:val="nil"/>
          <w:bottom w:val="nil"/>
          <w:right w:val="nil"/>
          <w:between w:val="nil"/>
          <w:bar w:val="nil"/>
        </w:pBdr>
        <w:spacing w:before="0" w:after="240"/>
      </w:pPr>
      <w:r>
        <w:t xml:space="preserve">The Commission will evaluate the impact of this proposed Regulation and whether its objectives have been achieved by five years after the date of application and every five years thereafter. The main findings of the evaluation will be presented in a report to the European Parliament and the Council, which will be made public. </w:t>
      </w:r>
    </w:p>
    <w:p w14:paraId="13E2BF8F" w14:textId="4734876E" w:rsidR="004C5377" w:rsidRPr="00044058" w:rsidRDefault="004C5377" w:rsidP="004C5377">
      <w:pPr>
        <w:pBdr>
          <w:top w:val="nil"/>
          <w:left w:val="nil"/>
          <w:bottom w:val="nil"/>
          <w:right w:val="nil"/>
          <w:between w:val="nil"/>
          <w:bar w:val="nil"/>
        </w:pBdr>
        <w:spacing w:before="0" w:after="240"/>
        <w:rPr>
          <w:rFonts w:eastAsia="Arial Unicode MS"/>
        </w:rPr>
      </w:pPr>
      <w:r w:rsidRPr="00D4660E">
        <w:rPr>
          <w:rFonts w:eastAsia="Arial Unicode MS"/>
        </w:rPr>
        <w:t xml:space="preserve">This proposal introduces a requirement for Member States to inform the Critical Medicines Coordination Group </w:t>
      </w:r>
      <w:r>
        <w:rPr>
          <w:rFonts w:eastAsia="Arial Unicode MS"/>
        </w:rPr>
        <w:t>about their intention to provide national financial support to s</w:t>
      </w:r>
      <w:r w:rsidRPr="00D4660E">
        <w:rPr>
          <w:rFonts w:eastAsia="Arial Unicode MS"/>
        </w:rPr>
        <w:t xml:space="preserve">trategic </w:t>
      </w:r>
      <w:r>
        <w:rPr>
          <w:rFonts w:eastAsia="Arial Unicode MS"/>
        </w:rPr>
        <w:t>p</w:t>
      </w:r>
      <w:r w:rsidRPr="00D4660E">
        <w:rPr>
          <w:rFonts w:eastAsia="Arial Unicode MS"/>
        </w:rPr>
        <w:t>rojects, as well as for the Commission to inform</w:t>
      </w:r>
      <w:r>
        <w:rPr>
          <w:rFonts w:eastAsia="Arial Unicode MS"/>
        </w:rPr>
        <w:t xml:space="preserve"> periodically</w:t>
      </w:r>
      <w:r w:rsidRPr="00D4660E">
        <w:rPr>
          <w:rFonts w:eastAsia="Arial Unicode MS"/>
        </w:rPr>
        <w:t xml:space="preserve"> the </w:t>
      </w:r>
      <w:r>
        <w:rPr>
          <w:rFonts w:eastAsia="Arial Unicode MS"/>
        </w:rPr>
        <w:t>Critical Medicines Group</w:t>
      </w:r>
      <w:r w:rsidRPr="00D4660E">
        <w:rPr>
          <w:rFonts w:eastAsia="Arial Unicode MS"/>
        </w:rPr>
        <w:t xml:space="preserve"> of the Strategic Projects that benefit</w:t>
      </w:r>
      <w:r>
        <w:rPr>
          <w:rFonts w:eastAsia="Arial Unicode MS"/>
        </w:rPr>
        <w:t>ed</w:t>
      </w:r>
      <w:r w:rsidRPr="00D4660E">
        <w:rPr>
          <w:rFonts w:eastAsia="Arial Unicode MS"/>
        </w:rPr>
        <w:t xml:space="preserve"> from financial support from the Union</w:t>
      </w:r>
      <w:r>
        <w:rPr>
          <w:rFonts w:eastAsia="Arial Unicode MS"/>
        </w:rPr>
        <w:t xml:space="preserve"> and of setting up any new funding possibilities</w:t>
      </w:r>
      <w:r w:rsidR="00557B53">
        <w:rPr>
          <w:rFonts w:eastAsia="Arial Unicode MS"/>
        </w:rPr>
        <w:t>.</w:t>
      </w:r>
      <w:r>
        <w:rPr>
          <w:rFonts w:eastAsia="Arial Unicode MS"/>
        </w:rPr>
        <w:t xml:space="preserve"> </w:t>
      </w:r>
      <w:r w:rsidRPr="00D4660E">
        <w:rPr>
          <w:rFonts w:eastAsia="Arial Unicode MS"/>
        </w:rPr>
        <w:t>The data gathered is necessary to monitor and evaluate the success of this Regulation over time.</w:t>
      </w:r>
    </w:p>
    <w:p w14:paraId="7CDB9CEC" w14:textId="77777777" w:rsidR="004C5377" w:rsidRDefault="004C5377" w:rsidP="004C5377">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 xml:space="preserve">Detailed explanation of </w:t>
      </w:r>
      <w:r>
        <w:rPr>
          <w:rFonts w:eastAsia="Arial Unicode MS"/>
          <w:u w:color="000000"/>
          <w:bdr w:val="nil"/>
          <w:lang w:val="en-US" w:eastAsia="en-GB"/>
        </w:rPr>
        <w:t xml:space="preserve">the </w:t>
      </w:r>
      <w:r w:rsidRPr="007718A8">
        <w:rPr>
          <w:rFonts w:eastAsia="Arial Unicode MS"/>
          <w:u w:color="000000"/>
          <w:bdr w:val="nil"/>
          <w:lang w:val="en-US" w:eastAsia="en-GB"/>
        </w:rPr>
        <w:t>specific provisions of the proposal</w:t>
      </w:r>
    </w:p>
    <w:p w14:paraId="102010FC" w14:textId="77777777" w:rsidR="004C5377" w:rsidRPr="00116E97" w:rsidRDefault="004C5377" w:rsidP="004C5377">
      <w:r w:rsidRPr="004B42AD">
        <w:t>Th</w:t>
      </w:r>
      <w:r>
        <w:t>is proposal</w:t>
      </w:r>
      <w:r w:rsidRPr="004B42AD">
        <w:t xml:space="preserve"> consists of a proposal for a new regulatio</w:t>
      </w:r>
      <w:r>
        <w:t xml:space="preserve">n. The proposed Regulation </w:t>
      </w:r>
      <w:r w:rsidRPr="00116E97">
        <w:t>includes the following main areas:</w:t>
      </w:r>
    </w:p>
    <w:p w14:paraId="393841C7" w14:textId="77777777" w:rsidR="004C5377" w:rsidRPr="00DB28C5" w:rsidRDefault="004C5377" w:rsidP="004C5377">
      <w:pPr>
        <w:rPr>
          <w:b/>
          <w:bCs/>
        </w:rPr>
      </w:pPr>
      <w:r w:rsidRPr="00DB28C5">
        <w:rPr>
          <w:b/>
          <w:bCs/>
        </w:rPr>
        <w:t>General provisions</w:t>
      </w:r>
    </w:p>
    <w:p w14:paraId="3E404BE8" w14:textId="77777777" w:rsidR="004C5377" w:rsidRDefault="004C5377" w:rsidP="004C5377">
      <w:r w:rsidRPr="008D5E3F">
        <w:t>Chapter I</w:t>
      </w:r>
      <w:r>
        <w:rPr>
          <w:b/>
          <w:bCs/>
        </w:rPr>
        <w:t xml:space="preserve"> </w:t>
      </w:r>
      <w:r w:rsidRPr="00A07037">
        <w:t xml:space="preserve">presents the </w:t>
      </w:r>
      <w:r>
        <w:t xml:space="preserve">objectives and </w:t>
      </w:r>
      <w:r w:rsidRPr="00A07037">
        <w:t xml:space="preserve">subject matter of the </w:t>
      </w:r>
      <w:r>
        <w:t>proposed Regulation</w:t>
      </w:r>
      <w:r w:rsidRPr="00A07037">
        <w:t>.</w:t>
      </w:r>
      <w:r>
        <w:t xml:space="preserve"> The proposal establishes a</w:t>
      </w:r>
      <w:r w:rsidRPr="0003710D">
        <w:t xml:space="preserve"> framework </w:t>
      </w:r>
      <w:r>
        <w:t xml:space="preserve">for strengthening the </w:t>
      </w:r>
      <w:r w:rsidRPr="0003710D">
        <w:t>security of supply and the availability of critical medicin</w:t>
      </w:r>
      <w:r>
        <w:t>es as well as</w:t>
      </w:r>
      <w:r w:rsidRPr="0003710D">
        <w:t xml:space="preserve"> the availability </w:t>
      </w:r>
      <w:r>
        <w:t xml:space="preserve">of </w:t>
      </w:r>
      <w:r w:rsidRPr="0003710D">
        <w:t xml:space="preserve">and accessibility </w:t>
      </w:r>
      <w:r>
        <w:t>to</w:t>
      </w:r>
      <w:r w:rsidRPr="0003710D">
        <w:t xml:space="preserve"> certain other medicin</w:t>
      </w:r>
      <w:r>
        <w:t xml:space="preserve">es. It also clarifies the scope of the proposed Regulation. While the proposal applies mainly to critical medicines on the </w:t>
      </w:r>
      <w:r w:rsidRPr="00A02202">
        <w:t xml:space="preserve">Union </w:t>
      </w:r>
      <w:r w:rsidRPr="00E10173">
        <w:t>L</w:t>
      </w:r>
      <w:r w:rsidRPr="00A02202">
        <w:t xml:space="preserve">ist of </w:t>
      </w:r>
      <w:r w:rsidRPr="00E10173">
        <w:t>C</w:t>
      </w:r>
      <w:r w:rsidRPr="00A02202">
        <w:t xml:space="preserve">ritical </w:t>
      </w:r>
      <w:r w:rsidRPr="00E10173">
        <w:t>M</w:t>
      </w:r>
      <w:r w:rsidRPr="00A02202">
        <w:t xml:space="preserve">edicinal </w:t>
      </w:r>
      <w:r w:rsidRPr="00E10173">
        <w:t>P</w:t>
      </w:r>
      <w:r w:rsidRPr="00A02202">
        <w:t xml:space="preserve">roducts </w:t>
      </w:r>
      <w:r>
        <w:t>which is established</w:t>
      </w:r>
      <w:r w:rsidRPr="00A02202">
        <w:t xml:space="preserve"> in the proposed </w:t>
      </w:r>
      <w:r>
        <w:t>P</w:t>
      </w:r>
      <w:r w:rsidRPr="00A02202">
        <w:t>harmaceutical Regulation</w:t>
      </w:r>
      <w:r>
        <w:t xml:space="preserve">, some provisions of the proposed Regulation also apply to medicines of common interest facing market access issues in a number of Member States, especially demand-side measures. Finally, key definitions used throughout the proposed Regulation are introduced. </w:t>
      </w:r>
    </w:p>
    <w:p w14:paraId="43ACCA3D" w14:textId="453C5DA7" w:rsidR="004C5377" w:rsidRPr="00DB28C5" w:rsidRDefault="004C5377" w:rsidP="004C5377">
      <w:pPr>
        <w:rPr>
          <w:b/>
          <w:bCs/>
        </w:rPr>
      </w:pPr>
      <w:r w:rsidRPr="00DB28C5">
        <w:rPr>
          <w:b/>
          <w:bCs/>
        </w:rPr>
        <w:t xml:space="preserve">Strengthening the </w:t>
      </w:r>
      <w:r>
        <w:rPr>
          <w:b/>
          <w:bCs/>
        </w:rPr>
        <w:t>EU</w:t>
      </w:r>
      <w:r w:rsidRPr="00DB28C5">
        <w:rPr>
          <w:b/>
          <w:bCs/>
        </w:rPr>
        <w:t xml:space="preserve">’s security of supply </w:t>
      </w:r>
    </w:p>
    <w:p w14:paraId="56D76086" w14:textId="77777777" w:rsidR="004C5377" w:rsidRPr="008D5E3F" w:rsidRDefault="004C5377" w:rsidP="004C5377">
      <w:r w:rsidRPr="008D5E3F">
        <w:t xml:space="preserve">Chapter II </w:t>
      </w:r>
      <w:r>
        <w:t xml:space="preserve">clarifies that the security of supply and availability of critical medicines for all patients is one of the EU’s strategic objectives. This objective requires a coordinated approach from the Member States and the Commission. </w:t>
      </w:r>
    </w:p>
    <w:p w14:paraId="1F9ED0C5" w14:textId="77777777" w:rsidR="004C5377" w:rsidRPr="00DB28C5" w:rsidRDefault="004C5377" w:rsidP="004C5377">
      <w:pPr>
        <w:rPr>
          <w:b/>
          <w:bCs/>
        </w:rPr>
      </w:pPr>
      <w:r w:rsidRPr="00DB28C5">
        <w:rPr>
          <w:b/>
          <w:bCs/>
        </w:rPr>
        <w:t xml:space="preserve">Enabling conditions for investment </w:t>
      </w:r>
    </w:p>
    <w:p w14:paraId="2ABBD21C" w14:textId="77777777" w:rsidR="004C5377" w:rsidRPr="00E10173" w:rsidRDefault="004C5377" w:rsidP="004C5377">
      <w:pPr>
        <w:rPr>
          <w:i/>
          <w:iCs/>
        </w:rPr>
      </w:pPr>
      <w:r w:rsidRPr="00E10173">
        <w:rPr>
          <w:i/>
          <w:iCs/>
        </w:rPr>
        <w:t xml:space="preserve">Criteria and procedure for the recognition of strategic projects </w:t>
      </w:r>
    </w:p>
    <w:p w14:paraId="02784D06" w14:textId="28E908D0" w:rsidR="004C5377" w:rsidRDefault="004C5377" w:rsidP="004C5377">
      <w:r>
        <w:t xml:space="preserve">Section I of </w:t>
      </w:r>
      <w:r w:rsidRPr="002607B4">
        <w:t>Chapter I</w:t>
      </w:r>
      <w:r>
        <w:t>II</w:t>
      </w:r>
      <w:r w:rsidRPr="002607B4">
        <w:t xml:space="preserve"> defines criteria for recogni</w:t>
      </w:r>
      <w:r>
        <w:t>sing</w:t>
      </w:r>
      <w:r w:rsidRPr="002607B4">
        <w:t xml:space="preserve"> </w:t>
      </w:r>
      <w:r>
        <w:t>some</w:t>
      </w:r>
      <w:r w:rsidRPr="002607B4">
        <w:t xml:space="preserve"> projects as Strategic Project</w:t>
      </w:r>
      <w:r>
        <w:t xml:space="preserve">s and describes the steps to recognise such projects at Member State level. A Member State’s authority is designated to assess and confirm, upon request, whether the specific project meets the criteria laid down. </w:t>
      </w:r>
    </w:p>
    <w:p w14:paraId="5C2F9248" w14:textId="77777777" w:rsidR="004C5377" w:rsidRPr="006A067A" w:rsidRDefault="004C5377" w:rsidP="004C5377">
      <w:pPr>
        <w:rPr>
          <w:i/>
          <w:iCs/>
        </w:rPr>
      </w:pPr>
      <w:r>
        <w:rPr>
          <w:i/>
          <w:iCs/>
        </w:rPr>
        <w:t xml:space="preserve">Facilitating administrative and permit-granting processes </w:t>
      </w:r>
    </w:p>
    <w:p w14:paraId="280BA95B" w14:textId="37E1AF94" w:rsidR="004C5377" w:rsidRDefault="004C5377" w:rsidP="004C5377">
      <w:r w:rsidRPr="008D5E3F">
        <w:t>Section I</w:t>
      </w:r>
      <w:r>
        <w:t>I</w:t>
      </w:r>
      <w:r w:rsidRPr="008D5E3F">
        <w:t xml:space="preserve"> of Chapter </w:t>
      </w:r>
      <w:r>
        <w:t>III</w:t>
      </w:r>
      <w:r>
        <w:rPr>
          <w:b/>
          <w:bCs/>
        </w:rPr>
        <w:t xml:space="preserve"> </w:t>
      </w:r>
      <w:r>
        <w:t>provides for a priority status for Strategic Projects that are considered to be in the public interest, in the context of permit-granting processes. To ensure</w:t>
      </w:r>
      <w:r w:rsidRPr="006B0B35">
        <w:t xml:space="preserve"> the </w:t>
      </w:r>
      <w:r>
        <w:t>fast-tracking of</w:t>
      </w:r>
      <w:r w:rsidRPr="006B0B35">
        <w:t xml:space="preserve"> permit-granting processes</w:t>
      </w:r>
      <w:r>
        <w:t xml:space="preserve">, Strategic Projects may also request to be granted the status of highest national significance in Member States where such status exists and </w:t>
      </w:r>
      <w:r w:rsidR="00502E07">
        <w:t>request</w:t>
      </w:r>
      <w:r>
        <w:t xml:space="preserve"> a coordinated or joint procedure when an environmental assessment is required under different EU legislation. Finally, the proposal also provides for the possibility for Strategic Projects promotors to request administrative, regulatory and scientific support from the relevant authorities. </w:t>
      </w:r>
    </w:p>
    <w:p w14:paraId="626CC054" w14:textId="77777777" w:rsidR="004C5377" w:rsidRDefault="004C5377" w:rsidP="004C5377">
      <w:r>
        <w:rPr>
          <w:i/>
          <w:iCs/>
        </w:rPr>
        <w:t>Financial incentives</w:t>
      </w:r>
    </w:p>
    <w:p w14:paraId="011B402B" w14:textId="134E7B91" w:rsidR="004C5377" w:rsidRPr="008D5E3F" w:rsidRDefault="004C5377" w:rsidP="004C5377">
      <w:r w:rsidRPr="008D5E3F">
        <w:t>Section II</w:t>
      </w:r>
      <w:r>
        <w:t>I</w:t>
      </w:r>
      <w:r w:rsidRPr="008D5E3F">
        <w:t xml:space="preserve"> of Chapter </w:t>
      </w:r>
      <w:r>
        <w:t>III</w:t>
      </w:r>
      <w:r w:rsidRPr="008D5E3F">
        <w:t xml:space="preserve"> </w:t>
      </w:r>
      <w:r w:rsidR="00476B11">
        <w:t>provides for</w:t>
      </w:r>
      <w:r w:rsidR="0031631D">
        <w:t xml:space="preserve"> </w:t>
      </w:r>
      <w:r w:rsidR="00146654">
        <w:t>the possibility for</w:t>
      </w:r>
      <w:r w:rsidR="00146654" w:rsidRPr="008D5E3F">
        <w:t xml:space="preserve"> </w:t>
      </w:r>
      <w:r w:rsidRPr="008D5E3F">
        <w:t>Member States to</w:t>
      </w:r>
      <w:r w:rsidR="00146654">
        <w:t xml:space="preserve"> prioritise financial support </w:t>
      </w:r>
      <w:r w:rsidR="00476B11">
        <w:t>for</w:t>
      </w:r>
      <w:r w:rsidR="00195EFB">
        <w:t xml:space="preserve"> strategic projects that address a</w:t>
      </w:r>
      <w:r w:rsidR="00270CC5">
        <w:t xml:space="preserve"> supply chain vul</w:t>
      </w:r>
      <w:r w:rsidR="009159C7">
        <w:t>nerability</w:t>
      </w:r>
      <w:r w:rsidR="00806687">
        <w:t xml:space="preserve"> and</w:t>
      </w:r>
      <w:r>
        <w:t xml:space="preserve"> </w:t>
      </w:r>
      <w:r w:rsidR="00D94860">
        <w:t xml:space="preserve">requires </w:t>
      </w:r>
      <w:r>
        <w:t>due consideration to the outcome of vulnerability evaluation</w:t>
      </w:r>
      <w:r w:rsidR="00F64D2E">
        <w:t>s</w:t>
      </w:r>
      <w:r>
        <w:t xml:space="preserve"> and the strategic orientations of the Critical Medicines Group. Strategic projects may be supported by EU funding under the current MFF, if strategic projects fulfil the conditions and requirements of the calls under the available programmes. Finally, exchange of information on strategic projects that have or will receive financial support at Member State or EU level is ensured via the Critical Medicines Group. </w:t>
      </w:r>
    </w:p>
    <w:p w14:paraId="0D796972" w14:textId="77777777" w:rsidR="004C5377" w:rsidRPr="00DB28C5" w:rsidRDefault="004C5377" w:rsidP="004C5377">
      <w:pPr>
        <w:rPr>
          <w:b/>
          <w:bCs/>
        </w:rPr>
      </w:pPr>
      <w:r w:rsidRPr="00DB28C5">
        <w:rPr>
          <w:b/>
          <w:bCs/>
        </w:rPr>
        <w:t xml:space="preserve">Demand side measures </w:t>
      </w:r>
    </w:p>
    <w:p w14:paraId="05CEFA42" w14:textId="44E724B8" w:rsidR="004C5377" w:rsidRPr="00DB28C5" w:rsidRDefault="004C5377" w:rsidP="004C5377">
      <w:pPr>
        <w:rPr>
          <w:i/>
          <w:iCs/>
        </w:rPr>
      </w:pPr>
      <w:r>
        <w:rPr>
          <w:i/>
          <w:iCs/>
        </w:rPr>
        <w:t>Award</w:t>
      </w:r>
      <w:r w:rsidRPr="00DB28C5">
        <w:rPr>
          <w:i/>
          <w:iCs/>
        </w:rPr>
        <w:t xml:space="preserve"> criteria </w:t>
      </w:r>
      <w:r w:rsidR="00776349">
        <w:rPr>
          <w:i/>
          <w:iCs/>
        </w:rPr>
        <w:t>and other</w:t>
      </w:r>
      <w:r w:rsidR="003950CF">
        <w:rPr>
          <w:i/>
          <w:iCs/>
        </w:rPr>
        <w:t xml:space="preserve"> procurement</w:t>
      </w:r>
      <w:r w:rsidR="00776349">
        <w:rPr>
          <w:i/>
          <w:iCs/>
        </w:rPr>
        <w:t xml:space="preserve"> requirements</w:t>
      </w:r>
      <w:r w:rsidRPr="00DB28C5">
        <w:rPr>
          <w:i/>
          <w:iCs/>
        </w:rPr>
        <w:t xml:space="preserve"> </w:t>
      </w:r>
      <w:r w:rsidR="003950CF">
        <w:rPr>
          <w:i/>
          <w:iCs/>
        </w:rPr>
        <w:t>and related measures</w:t>
      </w:r>
      <w:r>
        <w:rPr>
          <w:i/>
          <w:iCs/>
        </w:rPr>
        <w:t xml:space="preserve"> </w:t>
      </w:r>
    </w:p>
    <w:p w14:paraId="70636BA9" w14:textId="214B6369" w:rsidR="004C5377" w:rsidRPr="00BC10F7" w:rsidRDefault="004C5377" w:rsidP="004C5377">
      <w:pPr>
        <w:rPr>
          <w:lang w:val="en-IE"/>
        </w:rPr>
      </w:pPr>
      <w:r w:rsidRPr="008D5E3F">
        <w:t xml:space="preserve">Section I of Chapter </w:t>
      </w:r>
      <w:r>
        <w:t>I</w:t>
      </w:r>
      <w:r w:rsidRPr="008D5E3F">
        <w:t xml:space="preserve">V </w:t>
      </w:r>
      <w:r>
        <w:t>imposes</w:t>
      </w:r>
      <w:r>
        <w:rPr>
          <w:b/>
          <w:bCs/>
        </w:rPr>
        <w:t xml:space="preserve"> </w:t>
      </w:r>
      <w:r>
        <w:t>the use of</w:t>
      </w:r>
      <w:r w:rsidRPr="007210A7">
        <w:t xml:space="preserve"> </w:t>
      </w:r>
      <w:r w:rsidR="000D1861">
        <w:t>procurement requirements</w:t>
      </w:r>
      <w:r w:rsidRPr="007210A7">
        <w:t xml:space="preserve"> other than price in the context of public procurement procedures </w:t>
      </w:r>
      <w:r w:rsidR="00474F5E">
        <w:t>by contracting authorities in the Member States</w:t>
      </w:r>
      <w:r>
        <w:t xml:space="preserve">, unless </w:t>
      </w:r>
      <w:r w:rsidRPr="007210A7">
        <w:t xml:space="preserve">justified by market analysis and considerations related to </w:t>
      </w:r>
      <w:r>
        <w:t xml:space="preserve">the </w:t>
      </w:r>
      <w:r w:rsidRPr="007210A7">
        <w:t>financing of health</w:t>
      </w:r>
      <w:r>
        <w:t xml:space="preserve"> services. The proposal also requires, in </w:t>
      </w:r>
      <w:r w:rsidRPr="00F873C3">
        <w:t>specific cases</w:t>
      </w:r>
      <w:r>
        <w:t>, when justified by a vulnerability analysis,</w:t>
      </w:r>
      <w:r w:rsidRPr="007210A7">
        <w:t xml:space="preserve"> that</w:t>
      </w:r>
      <w:r>
        <w:t xml:space="preserve"> the contracting authorities</w:t>
      </w:r>
      <w:r w:rsidRPr="007210A7">
        <w:t xml:space="preserve"> </w:t>
      </w:r>
      <w:r>
        <w:t xml:space="preserve">apply </w:t>
      </w:r>
      <w:r w:rsidR="00C92801">
        <w:t>procurement requirements</w:t>
      </w:r>
      <w:r w:rsidRPr="007210A7">
        <w:t xml:space="preserve"> </w:t>
      </w:r>
      <w:r w:rsidR="0039140B">
        <w:t xml:space="preserve">that favour </w:t>
      </w:r>
      <w:r w:rsidR="006F57C8">
        <w:t>suppliers that manufacture a significant portion of these critical me</w:t>
      </w:r>
      <w:r w:rsidR="00341ACA">
        <w:t>dicines in the EU</w:t>
      </w:r>
      <w:r w:rsidR="00BC42EC">
        <w:t>.</w:t>
      </w:r>
      <w:r w:rsidR="00077DFD">
        <w:t xml:space="preserve"> The compliance with Union’s international commitments should be ensured.</w:t>
      </w:r>
      <w:r w:rsidR="0039140B">
        <w:t xml:space="preserve"> </w:t>
      </w:r>
      <w:r>
        <w:t xml:space="preserve">Finally, </w:t>
      </w:r>
      <w:r w:rsidRPr="00BC10F7">
        <w:rPr>
          <w:lang w:val="en-IE"/>
        </w:rPr>
        <w:t xml:space="preserve">Member States </w:t>
      </w:r>
      <w:r>
        <w:rPr>
          <w:lang w:val="en-IE"/>
        </w:rPr>
        <w:t xml:space="preserve">will be required </w:t>
      </w:r>
      <w:r w:rsidRPr="00BC10F7">
        <w:rPr>
          <w:lang w:val="en-IE"/>
        </w:rPr>
        <w:t>to develop national programme</w:t>
      </w:r>
      <w:r>
        <w:rPr>
          <w:lang w:val="en-IE"/>
        </w:rPr>
        <w:t>s</w:t>
      </w:r>
      <w:r w:rsidRPr="00BC10F7">
        <w:rPr>
          <w:lang w:val="en-IE"/>
        </w:rPr>
        <w:t xml:space="preserve"> to ensure security of supply of critical medicines via procurement</w:t>
      </w:r>
      <w:r>
        <w:rPr>
          <w:lang w:val="en-IE"/>
        </w:rPr>
        <w:t>, and, possibly, pricing and reimbursement</w:t>
      </w:r>
      <w:r w:rsidRPr="00BC10F7">
        <w:rPr>
          <w:lang w:val="en-IE"/>
        </w:rPr>
        <w:t xml:space="preserve"> practices. </w:t>
      </w:r>
      <w:r w:rsidR="009472C7">
        <w:rPr>
          <w:lang w:val="en-IE"/>
        </w:rPr>
        <w:t xml:space="preserve">When imposing </w:t>
      </w:r>
      <w:r w:rsidR="00E625CF">
        <w:rPr>
          <w:lang w:val="en-IE"/>
        </w:rPr>
        <w:t>contingency stocks on supply chain actors, Member States shall ensure these requirements are proportionate and</w:t>
      </w:r>
      <w:r w:rsidR="00B24671">
        <w:rPr>
          <w:lang w:val="en-IE"/>
        </w:rPr>
        <w:t xml:space="preserve"> respect the principles of transparency and solidarity.</w:t>
      </w:r>
    </w:p>
    <w:p w14:paraId="31262500" w14:textId="77777777" w:rsidR="004C5377" w:rsidRDefault="004C5377" w:rsidP="004C5377">
      <w:pPr>
        <w:rPr>
          <w:i/>
          <w:iCs/>
        </w:rPr>
      </w:pPr>
      <w:r w:rsidRPr="00DB28C5">
        <w:rPr>
          <w:i/>
          <w:iCs/>
        </w:rPr>
        <w:t xml:space="preserve">Collaborative procurements </w:t>
      </w:r>
    </w:p>
    <w:p w14:paraId="1F6630C4" w14:textId="64317B99" w:rsidR="004C5377" w:rsidRPr="008D5E3F" w:rsidRDefault="004C5377" w:rsidP="004C5377">
      <w:pPr>
        <w:rPr>
          <w:iCs/>
        </w:rPr>
      </w:pPr>
      <w:r>
        <w:rPr>
          <w:iCs/>
        </w:rPr>
        <w:t>Section II of Chapter IV provides a framework for Member States to request Commission support in the use of different collaborative procurement tools for critical medicines and other medicines of common interest, depending on the context and respecting the principles of subsidiarity and proportionality. This includes Commission facilitation of cross-border procurement between Member States</w:t>
      </w:r>
      <w:r w:rsidR="00CC078F">
        <w:rPr>
          <w:iCs/>
        </w:rPr>
        <w:t xml:space="preserve">, </w:t>
      </w:r>
      <w:r>
        <w:rPr>
          <w:iCs/>
        </w:rPr>
        <w:t xml:space="preserve">Commission procurement on behalf of or in the name of Member States, as well as the Commission and Member States engagement in Joint Procurement. </w:t>
      </w:r>
    </w:p>
    <w:p w14:paraId="2E6998C9" w14:textId="77777777" w:rsidR="004C5377" w:rsidRPr="00DB28C5" w:rsidRDefault="004C5377" w:rsidP="004C5377">
      <w:pPr>
        <w:rPr>
          <w:b/>
          <w:bCs/>
        </w:rPr>
      </w:pPr>
      <w:r w:rsidRPr="00DB28C5">
        <w:rPr>
          <w:b/>
          <w:bCs/>
        </w:rPr>
        <w:t xml:space="preserve">Critical Medicines Coordination Group </w:t>
      </w:r>
    </w:p>
    <w:p w14:paraId="241718BC" w14:textId="033A6BE3" w:rsidR="004C5377" w:rsidRDefault="004C5377" w:rsidP="004C5377">
      <w:r w:rsidRPr="008D5E3F">
        <w:t xml:space="preserve">Chapter V </w:t>
      </w:r>
      <w:r>
        <w:t>established</w:t>
      </w:r>
      <w:r w:rsidRPr="008D5E3F">
        <w:t xml:space="preserve"> the </w:t>
      </w:r>
      <w:r w:rsidRPr="00581CA9">
        <w:t>Critical Medicines Coordination Group</w:t>
      </w:r>
      <w:r>
        <w:t xml:space="preserve">, which is </w:t>
      </w:r>
      <w:r w:rsidRPr="00C82EC4">
        <w:t xml:space="preserve">composed of </w:t>
      </w:r>
      <w:r>
        <w:t xml:space="preserve">the Commission and </w:t>
      </w:r>
      <w:r w:rsidRPr="00C82EC4">
        <w:t>Member States’ representatives</w:t>
      </w:r>
      <w:r>
        <w:t>. The Critical Medicines Group’s m</w:t>
      </w:r>
      <w:r w:rsidRPr="001D5101">
        <w:t>ain task</w:t>
      </w:r>
      <w:r>
        <w:t xml:space="preserve"> is to</w:t>
      </w:r>
      <w:r w:rsidRPr="001D5101">
        <w:t xml:space="preserve"> facilitate </w:t>
      </w:r>
      <w:r w:rsidR="001A6A91">
        <w:t>the application of the Regulation</w:t>
      </w:r>
      <w:r w:rsidRPr="001D5101">
        <w:t xml:space="preserve"> including</w:t>
      </w:r>
      <w:r>
        <w:t xml:space="preserve"> by</w:t>
      </w:r>
      <w:r w:rsidR="00441253">
        <w:t xml:space="preserve"> facilitating</w:t>
      </w:r>
      <w:r>
        <w:t xml:space="preserve">: a) </w:t>
      </w:r>
      <w:r w:rsidR="007A6845">
        <w:t xml:space="preserve">discussion on </w:t>
      </w:r>
      <w:r>
        <w:t>s</w:t>
      </w:r>
      <w:r w:rsidRPr="001D5101">
        <w:t>trategic orientation for financial support of Strategic Projects</w:t>
      </w:r>
      <w:r>
        <w:t xml:space="preserve">; b) </w:t>
      </w:r>
      <w:r w:rsidR="00065801">
        <w:t xml:space="preserve">exchanges </w:t>
      </w:r>
      <w:r>
        <w:t xml:space="preserve">and, where appropriate, </w:t>
      </w:r>
      <w:r w:rsidR="00065801">
        <w:t>co</w:t>
      </w:r>
      <w:r w:rsidR="00F92531">
        <w:t xml:space="preserve">operation on </w:t>
      </w:r>
      <w:r w:rsidRPr="001D5101">
        <w:t>national procurement policies</w:t>
      </w:r>
      <w:r>
        <w:t xml:space="preserve">; c) </w:t>
      </w:r>
      <w:r w:rsidR="00065801">
        <w:t xml:space="preserve">discussion on a need for </w:t>
      </w:r>
      <w:r w:rsidRPr="001D5101">
        <w:t>collaborative procurement initiatives</w:t>
      </w:r>
      <w:r>
        <w:t xml:space="preserve">; d) advice on the order of priority for </w:t>
      </w:r>
      <w:r w:rsidRPr="001D5101">
        <w:t>the vulnerability evaluation</w:t>
      </w:r>
      <w:r>
        <w:t xml:space="preserve"> of critical medicines;</w:t>
      </w:r>
      <w:r w:rsidR="00065801">
        <w:t>. The Critical Medicines Group</w:t>
      </w:r>
      <w:r>
        <w:t xml:space="preserve"> </w:t>
      </w:r>
      <w:r w:rsidR="00065801">
        <w:t>will also enable a discussion</w:t>
      </w:r>
      <w:r>
        <w:t xml:space="preserve"> </w:t>
      </w:r>
      <w:r w:rsidRPr="001D5101">
        <w:t xml:space="preserve"> on strategic partnerships</w:t>
      </w:r>
      <w:r>
        <w:t xml:space="preserve">. </w:t>
      </w:r>
    </w:p>
    <w:p w14:paraId="251CA33D" w14:textId="1FE3D1E7" w:rsidR="004C5377" w:rsidRPr="00B37DAE" w:rsidRDefault="004C5377" w:rsidP="004C5377">
      <w:pPr>
        <w:rPr>
          <w:b/>
          <w:bCs/>
        </w:rPr>
      </w:pPr>
      <w:r w:rsidRPr="00B37DAE">
        <w:rPr>
          <w:b/>
          <w:bCs/>
        </w:rPr>
        <w:t>Internation</w:t>
      </w:r>
      <w:r w:rsidR="00B13911">
        <w:rPr>
          <w:b/>
          <w:bCs/>
        </w:rPr>
        <w:t>al</w:t>
      </w:r>
      <w:r w:rsidRPr="00B37DAE">
        <w:rPr>
          <w:b/>
          <w:bCs/>
        </w:rPr>
        <w:t xml:space="preserve"> cooperation </w:t>
      </w:r>
    </w:p>
    <w:p w14:paraId="56AF24D0" w14:textId="77777777" w:rsidR="004C5377" w:rsidRPr="004A1386" w:rsidRDefault="004C5377" w:rsidP="004C5377">
      <w:r w:rsidRPr="004A1386">
        <w:t xml:space="preserve">Chapter VI requires the Commission to investigate </w:t>
      </w:r>
      <w:r>
        <w:t xml:space="preserve">the </w:t>
      </w:r>
      <w:r w:rsidRPr="004A1386">
        <w:t>possibilit</w:t>
      </w:r>
      <w:r>
        <w:t xml:space="preserve">y </w:t>
      </w:r>
      <w:r w:rsidRPr="004A1386">
        <w:t>of establishing strategic p</w:t>
      </w:r>
      <w:r>
        <w:t>artnerships</w:t>
      </w:r>
      <w:r w:rsidRPr="004A1386">
        <w:t xml:space="preserve">. </w:t>
      </w:r>
    </w:p>
    <w:p w14:paraId="18242E9C" w14:textId="77777777" w:rsidR="004C5377" w:rsidRPr="00B37DAE" w:rsidRDefault="004C5377" w:rsidP="004C5377">
      <w:pPr>
        <w:rPr>
          <w:b/>
          <w:bCs/>
        </w:rPr>
      </w:pPr>
      <w:r w:rsidRPr="00B37DAE">
        <w:rPr>
          <w:b/>
          <w:bCs/>
        </w:rPr>
        <w:t>Final provisions</w:t>
      </w:r>
    </w:p>
    <w:p w14:paraId="3F1CD17E" w14:textId="77777777" w:rsidR="004C5377" w:rsidRPr="00D76DAF" w:rsidRDefault="004C5377" w:rsidP="004C5377">
      <w:r w:rsidRPr="007F5616">
        <w:t xml:space="preserve">Chapter </w:t>
      </w:r>
      <w:r>
        <w:t xml:space="preserve">VII </w:t>
      </w:r>
      <w:r w:rsidRPr="007F5616">
        <w:t>contain</w:t>
      </w:r>
      <w:r>
        <w:t>s</w:t>
      </w:r>
      <w:r w:rsidRPr="007F5616">
        <w:t xml:space="preserve"> provisions </w:t>
      </w:r>
      <w:r>
        <w:t xml:space="preserve">amending Regulation (EU) 2024/795. Chapter VIII imposes an obligation on the market actors to provide the information necessary for the application of the proposed regulation. It also defines the timeline for the evaluation of the proposed Regulation and sets the dates of entry into force and application of the different provisions. </w:t>
      </w:r>
    </w:p>
    <w:p w14:paraId="4F9D98CD" w14:textId="77777777" w:rsidR="004C5377" w:rsidRPr="00F96E01" w:rsidRDefault="004C5377">
      <w:pPr>
        <w:sectPr w:rsidR="004C5377" w:rsidRPr="00F96E01" w:rsidSect="009A3128">
          <w:headerReference w:type="even" r:id="rId19"/>
          <w:footerReference w:type="even" r:id="rId20"/>
          <w:footerReference w:type="default" r:id="rId21"/>
          <w:headerReference w:type="first" r:id="rId22"/>
          <w:footerReference w:type="first" r:id="rId23"/>
          <w:footnotePr>
            <w:numRestart w:val="eachSect"/>
          </w:footnotePr>
          <w:pgSz w:w="11907" w:h="16839"/>
          <w:pgMar w:top="1134" w:right="1417" w:bottom="1134" w:left="1417" w:header="709" w:footer="709" w:gutter="0"/>
          <w:cols w:space="708"/>
          <w:docGrid w:linePitch="360"/>
        </w:sectPr>
      </w:pPr>
    </w:p>
    <w:p w14:paraId="1AB71BF3" w14:textId="3D4EC6A5" w:rsidR="0047134C" w:rsidRDefault="001D7C2D" w:rsidP="001D7C2D">
      <w:pPr>
        <w:pStyle w:val="Rfrenceinterinstitutionnelle"/>
      </w:pPr>
      <w:r w:rsidRPr="001D7C2D">
        <w:t>2025/102 (COD)</w:t>
      </w:r>
    </w:p>
    <w:p w14:paraId="6BFBDBFE" w14:textId="33F92B5E" w:rsidR="004C5377" w:rsidRPr="00F96E01" w:rsidRDefault="001D7C2D" w:rsidP="001D7C2D">
      <w:pPr>
        <w:pStyle w:val="Statut"/>
      </w:pPr>
      <w:r w:rsidRPr="001D7C2D">
        <w:t>Proposal for a</w:t>
      </w:r>
    </w:p>
    <w:p w14:paraId="38339237" w14:textId="4CFF6443" w:rsidR="004C5377" w:rsidRPr="00F96E01" w:rsidRDefault="001D7C2D" w:rsidP="001D7C2D">
      <w:pPr>
        <w:pStyle w:val="Typedudocument"/>
      </w:pPr>
      <w:r w:rsidRPr="001D7C2D">
        <w:t>REGULATION OF THE EUROPEAN PARLIAMENT AND OF THE COUNCIL</w:t>
      </w:r>
    </w:p>
    <w:p w14:paraId="2D7D1409" w14:textId="7528D34B" w:rsidR="004C5377" w:rsidRPr="00F96E01" w:rsidRDefault="001D7C2D" w:rsidP="001D7C2D">
      <w:pPr>
        <w:pStyle w:val="Titreobjet"/>
      </w:pPr>
      <w:r w:rsidRPr="001D7C2D">
        <w:t>laying a framework for strengthening the availability and security of supply of critical medicinal products as well as the availability of, and accessibility of, medicinal products of common interest, and amending Regulation (EU) 2024/795</w:t>
      </w:r>
    </w:p>
    <w:p w14:paraId="32765EC2" w14:textId="1A365CDF" w:rsidR="004C5377" w:rsidRPr="004C5377" w:rsidRDefault="001D7C2D" w:rsidP="001D7C2D">
      <w:pPr>
        <w:pStyle w:val="IntrtEEE"/>
      </w:pPr>
      <w:r w:rsidRPr="001D7C2D">
        <w:t>(Text with EEA relevance)</w:t>
      </w:r>
    </w:p>
    <w:p w14:paraId="021E08E1" w14:textId="77777777" w:rsidR="00EE2AB0" w:rsidRPr="00F96E01" w:rsidRDefault="00EE2AB0" w:rsidP="00EE2AB0">
      <w:pPr>
        <w:pStyle w:val="Institutionquiagit"/>
      </w:pPr>
      <w:r w:rsidRPr="00F96E01">
        <w:t>THE EUROPEAN PARLIAMENT AND THE COUNCIL OF THE EUROPEAN UNION,</w:t>
      </w:r>
    </w:p>
    <w:p w14:paraId="55474F64" w14:textId="77777777" w:rsidR="00EE2AB0" w:rsidRPr="001E110A" w:rsidRDefault="00EE2AB0" w:rsidP="00EE2AB0">
      <w:r w:rsidRPr="001E110A">
        <w:t>Having regard to the Treaty on the Functioning of the European Union, and in particular Article</w:t>
      </w:r>
      <w:r w:rsidRPr="00AB5CD5">
        <w:t xml:space="preserve"> </w:t>
      </w:r>
      <w:r w:rsidRPr="008B56A1">
        <w:t xml:space="preserve">114 </w:t>
      </w:r>
      <w:r w:rsidRPr="001E110A">
        <w:t>thereof,</w:t>
      </w:r>
    </w:p>
    <w:p w14:paraId="2BBD9D40" w14:textId="77777777" w:rsidR="00EE2AB0" w:rsidRPr="00F96E01" w:rsidRDefault="00EE2AB0" w:rsidP="00EE2AB0">
      <w:r w:rsidRPr="00F96E01">
        <w:t>Having regard to the proposal from the European Commission,</w:t>
      </w:r>
    </w:p>
    <w:p w14:paraId="24467CA3" w14:textId="77777777" w:rsidR="00EE2AB0" w:rsidRPr="00F96E01" w:rsidRDefault="00EE2AB0" w:rsidP="00EE2AB0">
      <w:r w:rsidRPr="00F96E01">
        <w:t xml:space="preserve">After transmission of the draft legislative act to the national </w:t>
      </w:r>
      <w:r>
        <w:t>p</w:t>
      </w:r>
      <w:r w:rsidRPr="00F96E01">
        <w:t>arliaments,</w:t>
      </w:r>
    </w:p>
    <w:p w14:paraId="3F2851A1" w14:textId="77777777" w:rsidR="00EE2AB0" w:rsidRPr="00F96E01" w:rsidRDefault="00EE2AB0" w:rsidP="00EE2AB0">
      <w:r w:rsidRPr="00F96E01">
        <w:t>Having regard to the opinion of the European Economic and Social Committee</w:t>
      </w:r>
      <w:r>
        <w:rPr>
          <w:rStyle w:val="FootnoteReference"/>
        </w:rPr>
        <w:footnoteReference w:id="66"/>
      </w:r>
      <w:r w:rsidRPr="00F96E01">
        <w:t xml:space="preserve">, </w:t>
      </w:r>
    </w:p>
    <w:p w14:paraId="08D07438" w14:textId="77777777" w:rsidR="00EE2AB0" w:rsidRPr="00F96E01" w:rsidRDefault="00EE2AB0" w:rsidP="00EE2AB0">
      <w:r w:rsidRPr="00F96E01">
        <w:t>Acting in accordance with the ordinary legislative procedure,</w:t>
      </w:r>
    </w:p>
    <w:p w14:paraId="40073CF2" w14:textId="77777777" w:rsidR="004C5377" w:rsidRPr="00F96E01" w:rsidRDefault="00EE2AB0" w:rsidP="00EE2AB0">
      <w:r w:rsidRPr="00F96E01">
        <w:t>Whereas:</w:t>
      </w:r>
    </w:p>
    <w:p w14:paraId="70B9D705" w14:textId="1E8C2F61" w:rsidR="00917777" w:rsidRPr="00D76DAF" w:rsidRDefault="001D7C2D" w:rsidP="001D7C2D">
      <w:pPr>
        <w:pStyle w:val="ManualConsidrant"/>
      </w:pPr>
      <w:r w:rsidRPr="001D7C2D">
        <w:t>(1)</w:t>
      </w:r>
      <w:r w:rsidRPr="001D7C2D">
        <w:tab/>
      </w:r>
      <w:r w:rsidR="00917777" w:rsidRPr="001E110A">
        <w:rPr>
          <w:shd w:val="clear" w:color="auto" w:fill="FFFFFF"/>
        </w:rPr>
        <w:t>Pursuant to Article 9 of the Treaty on the Functioning of the European Union (‘TFEU’) and Article 35 of the Charter of Fundamental Rights of the European Union (the ‘Charter’), the Union is to ensure a high level of human health protection in all Union policies and activities</w:t>
      </w:r>
      <w:r w:rsidR="00917777" w:rsidRPr="001E110A">
        <w:rPr>
          <w:rFonts w:eastAsia="Times New Roman"/>
        </w:rPr>
        <w:t>. The availability of safe, efficacious and high-quality medicinal products is vital to achieving this objective and to safeguarding public health across the Union.</w:t>
      </w:r>
    </w:p>
    <w:p w14:paraId="04CB98D7" w14:textId="03FD1145" w:rsidR="00895EF6" w:rsidRDefault="001D7C2D" w:rsidP="001D7C2D">
      <w:pPr>
        <w:pStyle w:val="ManualConsidrant"/>
        <w:rPr>
          <w:rFonts w:eastAsia="Times New Roman"/>
        </w:rPr>
      </w:pPr>
      <w:r w:rsidRPr="001D7C2D">
        <w:t>(2)</w:t>
      </w:r>
      <w:r w:rsidRPr="001D7C2D">
        <w:tab/>
      </w:r>
      <w:r w:rsidR="00917777" w:rsidRPr="001E110A">
        <w:t>In recent years, the Union has experienced an increasing number of shortages of medicinal products, including shortages of medicinal products for which insufficient supply results in serious harm or risk of serious harm to patients</w:t>
      </w:r>
      <w:r w:rsidR="00917777">
        <w:t>.</w:t>
      </w:r>
      <w:r w:rsidR="00917777" w:rsidRPr="00FC36DB">
        <w:rPr>
          <w:rFonts w:eastAsia="Times New Roman"/>
        </w:rPr>
        <w:t xml:space="preserve"> </w:t>
      </w:r>
    </w:p>
    <w:p w14:paraId="247AC31E" w14:textId="5B8B2451" w:rsidR="00917777" w:rsidRDefault="001D7C2D" w:rsidP="001D7C2D">
      <w:pPr>
        <w:pStyle w:val="ManualConsidrant"/>
        <w:rPr>
          <w:rFonts w:eastAsia="Times New Roman"/>
        </w:rPr>
      </w:pPr>
      <w:r w:rsidRPr="001D7C2D">
        <w:t>(3)</w:t>
      </w:r>
      <w:r w:rsidRPr="001D7C2D">
        <w:tab/>
      </w:r>
      <w:r w:rsidR="00917777" w:rsidRPr="001E110A">
        <w:rPr>
          <w:rFonts w:eastAsia="Times New Roman"/>
        </w:rPr>
        <w:t>Shortages of medicinal products can have very different and complex root causes</w:t>
      </w:r>
      <w:r w:rsidR="00917777" w:rsidRPr="001E110A">
        <w:rPr>
          <w:shd w:val="clear" w:color="auto" w:fill="FFFFFF"/>
        </w:rPr>
        <w:t>,</w:t>
      </w:r>
      <w:r w:rsidR="00917777" w:rsidRPr="001E110A">
        <w:rPr>
          <w:rFonts w:eastAsia="Times New Roman"/>
        </w:rPr>
        <w:t xml:space="preserve"> </w:t>
      </w:r>
      <w:r w:rsidR="00917777" w:rsidRPr="001E110A">
        <w:rPr>
          <w:shd w:val="clear" w:color="auto" w:fill="FFFFFF"/>
        </w:rPr>
        <w:t>with challenges identified along the entire pharmaceutical value chain. In particular, shortages of medicinal products can result from supply chain disruptions and vulnerabilities affecting the supply of key ingredients and components.</w:t>
      </w:r>
      <w:r w:rsidR="00917777" w:rsidRPr="001E110A">
        <w:rPr>
          <w:rFonts w:eastAsia="Times New Roman"/>
        </w:rPr>
        <w:t xml:space="preserve"> These include existing dependencies on a limited number of suppliers</w:t>
      </w:r>
      <w:r w:rsidR="00917777">
        <w:rPr>
          <w:rFonts w:eastAsia="Times New Roman"/>
        </w:rPr>
        <w:t xml:space="preserve"> globally</w:t>
      </w:r>
      <w:r w:rsidR="00917777" w:rsidRPr="126304DD">
        <w:rPr>
          <w:rFonts w:eastAsia="Times New Roman"/>
        </w:rPr>
        <w:t xml:space="preserve"> and</w:t>
      </w:r>
      <w:r w:rsidR="00917777" w:rsidRPr="001E110A">
        <w:rPr>
          <w:rFonts w:eastAsia="Times New Roman"/>
        </w:rPr>
        <w:t xml:space="preserve"> lack of </w:t>
      </w:r>
      <w:r w:rsidR="00917777">
        <w:rPr>
          <w:rFonts w:eastAsia="Times New Roman"/>
        </w:rPr>
        <w:t>Union</w:t>
      </w:r>
      <w:r w:rsidR="00917777" w:rsidRPr="001E110A">
        <w:rPr>
          <w:rFonts w:eastAsia="Times New Roman"/>
        </w:rPr>
        <w:t xml:space="preserve"> capacities to produce certain medicinal products</w:t>
      </w:r>
      <w:r w:rsidR="00B315FB">
        <w:rPr>
          <w:rFonts w:eastAsia="Times New Roman"/>
        </w:rPr>
        <w:t>,</w:t>
      </w:r>
      <w:r w:rsidR="00917777" w:rsidRPr="001E110A">
        <w:rPr>
          <w:rFonts w:eastAsia="Times New Roman"/>
        </w:rPr>
        <w:t xml:space="preserve"> their active substances</w:t>
      </w:r>
      <w:r w:rsidR="00876EE3">
        <w:rPr>
          <w:rFonts w:eastAsia="Times New Roman"/>
        </w:rPr>
        <w:t xml:space="preserve"> or </w:t>
      </w:r>
      <w:r w:rsidR="00876EE3">
        <w:t>key raw pharmaceutical materials</w:t>
      </w:r>
      <w:r w:rsidR="00917777" w:rsidRPr="001E110A">
        <w:rPr>
          <w:rFonts w:eastAsia="Times New Roman"/>
        </w:rPr>
        <w:t xml:space="preserve">. </w:t>
      </w:r>
      <w:r w:rsidR="00302C5A">
        <w:t xml:space="preserve">Through diversification of supply sources and investment in local production, the Union can </w:t>
      </w:r>
      <w:r w:rsidR="002967A2">
        <w:t xml:space="preserve">reduce </w:t>
      </w:r>
      <w:r w:rsidR="00476B11">
        <w:t>its</w:t>
      </w:r>
      <w:r w:rsidR="002967A2">
        <w:t xml:space="preserve"> risk of </w:t>
      </w:r>
      <w:r w:rsidR="00302C5A">
        <w:t>expos</w:t>
      </w:r>
      <w:r w:rsidR="00476B11">
        <w:t>ure</w:t>
      </w:r>
      <w:r w:rsidR="00302C5A">
        <w:t xml:space="preserve"> </w:t>
      </w:r>
      <w:r w:rsidR="007D78C5">
        <w:t xml:space="preserve">to </w:t>
      </w:r>
      <w:r w:rsidR="007D78C5" w:rsidRPr="001E110A">
        <w:t>shortages of medicinal products</w:t>
      </w:r>
      <w:r w:rsidR="00302C5A">
        <w:t>.</w:t>
      </w:r>
    </w:p>
    <w:p w14:paraId="0EE3389F" w14:textId="74EA4CA4" w:rsidR="007A5A04" w:rsidRPr="00B86CFD" w:rsidRDefault="001D7C2D" w:rsidP="001D7C2D">
      <w:pPr>
        <w:pStyle w:val="ManualConsidrant"/>
        <w:rPr>
          <w:rFonts w:eastAsia="Times New Roman"/>
        </w:rPr>
      </w:pPr>
      <w:r w:rsidRPr="001D7C2D">
        <w:t>(4)</w:t>
      </w:r>
      <w:r w:rsidRPr="001D7C2D">
        <w:tab/>
      </w:r>
      <w:r w:rsidR="007A5A04">
        <w:t xml:space="preserve">Industrial challenges and a lack of investments in manufacturing capacities in the </w:t>
      </w:r>
      <w:r w:rsidR="00EB2137">
        <w:t>Union</w:t>
      </w:r>
      <w:r w:rsidR="007A5A04">
        <w:t xml:space="preserve"> have contributed to increased dependency on third country suppliers, in particular, for key raw pharmaceutical materials and active substances. </w:t>
      </w:r>
      <w:r w:rsidR="007A5A04" w:rsidRPr="00B86CFD">
        <w:rPr>
          <w:rFonts w:eastAsia="Times New Roman"/>
        </w:rPr>
        <w:t xml:space="preserve">Setting up new, or modernising existing manufacturing capacities in the </w:t>
      </w:r>
      <w:r w:rsidR="00EB2137">
        <w:rPr>
          <w:rFonts w:eastAsia="Times New Roman"/>
        </w:rPr>
        <w:t>Union</w:t>
      </w:r>
      <w:r w:rsidR="007A5A04" w:rsidRPr="00B86CFD">
        <w:rPr>
          <w:rFonts w:eastAsia="Times New Roman"/>
        </w:rPr>
        <w:t xml:space="preserve"> for critical medicinal products</w:t>
      </w:r>
      <w:r w:rsidR="007A5A04">
        <w:rPr>
          <w:rFonts w:eastAsia="Times New Roman"/>
        </w:rPr>
        <w:t>,</w:t>
      </w:r>
      <w:r w:rsidR="007A5A04" w:rsidRPr="00B86CFD">
        <w:rPr>
          <w:rFonts w:eastAsia="Times New Roman"/>
        </w:rPr>
        <w:t xml:space="preserve"> their key inputs</w:t>
      </w:r>
      <w:r w:rsidR="007A5A04">
        <w:rPr>
          <w:rFonts w:eastAsia="Times New Roman"/>
        </w:rPr>
        <w:t xml:space="preserve"> and active substances</w:t>
      </w:r>
      <w:r w:rsidR="007A5A04" w:rsidRPr="00B86CFD">
        <w:rPr>
          <w:rFonts w:eastAsia="Times New Roman"/>
        </w:rPr>
        <w:t xml:space="preserve">, </w:t>
      </w:r>
      <w:r w:rsidR="007A5A04">
        <w:rPr>
          <w:rFonts w:eastAsia="Times New Roman"/>
        </w:rPr>
        <w:t xml:space="preserve">which </w:t>
      </w:r>
      <w:r w:rsidR="007A5A04" w:rsidRPr="00B86CFD">
        <w:rPr>
          <w:rFonts w:eastAsia="Times New Roman"/>
        </w:rPr>
        <w:t xml:space="preserve">have </w:t>
      </w:r>
      <w:r w:rsidR="007A5A04">
        <w:rPr>
          <w:rFonts w:eastAsia="Times New Roman"/>
        </w:rPr>
        <w:t xml:space="preserve">often </w:t>
      </w:r>
      <w:r w:rsidR="007A5A04" w:rsidRPr="00B86CFD">
        <w:rPr>
          <w:rFonts w:eastAsia="Times New Roman"/>
        </w:rPr>
        <w:t xml:space="preserve">been on the market for a long time and </w:t>
      </w:r>
      <w:r w:rsidR="007A5A04">
        <w:rPr>
          <w:rFonts w:eastAsia="Times New Roman"/>
        </w:rPr>
        <w:t xml:space="preserve">are considered to be </w:t>
      </w:r>
      <w:r w:rsidR="007A5A04" w:rsidRPr="00B86CFD">
        <w:rPr>
          <w:rFonts w:eastAsia="Times New Roman"/>
        </w:rPr>
        <w:t xml:space="preserve">relatively inexpensive, is currently not seen as </w:t>
      </w:r>
      <w:r w:rsidR="007A5A04">
        <w:rPr>
          <w:rFonts w:eastAsia="Times New Roman"/>
        </w:rPr>
        <w:t xml:space="preserve">a </w:t>
      </w:r>
      <w:r w:rsidR="007A5A04" w:rsidRPr="00B86CFD">
        <w:rPr>
          <w:rFonts w:eastAsia="Times New Roman"/>
        </w:rPr>
        <w:t xml:space="preserve">sufficiently attractive </w:t>
      </w:r>
      <w:r w:rsidR="007A5A04">
        <w:rPr>
          <w:rFonts w:eastAsia="Times New Roman"/>
        </w:rPr>
        <w:t xml:space="preserve">option </w:t>
      </w:r>
      <w:r w:rsidR="007A5A04" w:rsidRPr="00B86CFD">
        <w:rPr>
          <w:rFonts w:eastAsia="Times New Roman"/>
        </w:rPr>
        <w:t xml:space="preserve">for private investment, also in view of lower energy costs, lesser environmental and other legal requirements elsewhere in the world.  </w:t>
      </w:r>
      <w:r w:rsidR="007A5A04">
        <w:t xml:space="preserve">Workforce shortages and the need for specialised skills in pharmaceutical manufacturing further add to the industrial challenges to manufacturing in the </w:t>
      </w:r>
      <w:r w:rsidR="00EB2137">
        <w:t>Union</w:t>
      </w:r>
      <w:r w:rsidR="007A5A04">
        <w:t xml:space="preserve">. </w:t>
      </w:r>
      <w:r w:rsidR="007A5A04" w:rsidRPr="00B86CFD">
        <w:rPr>
          <w:rFonts w:eastAsia="Times New Roman"/>
        </w:rPr>
        <w:t>T</w:t>
      </w:r>
      <w:r w:rsidR="007A5A04" w:rsidRPr="00530D3E">
        <w:rPr>
          <w:rFonts w:eastAsia="Times New Roman"/>
        </w:rPr>
        <w:t xml:space="preserve">argeted financial incentives, simplified administrative processes, and better </w:t>
      </w:r>
      <w:r w:rsidR="00EB2137">
        <w:rPr>
          <w:rFonts w:eastAsia="Times New Roman"/>
        </w:rPr>
        <w:t>Union</w:t>
      </w:r>
      <w:r w:rsidR="00667C6C">
        <w:rPr>
          <w:rFonts w:eastAsia="Times New Roman"/>
        </w:rPr>
        <w:t>-</w:t>
      </w:r>
      <w:r w:rsidR="007A5A04" w:rsidRPr="00530D3E">
        <w:rPr>
          <w:rFonts w:eastAsia="Times New Roman"/>
        </w:rPr>
        <w:t xml:space="preserve">level coordination </w:t>
      </w:r>
      <w:r w:rsidR="007A5A04" w:rsidRPr="00B86CFD">
        <w:rPr>
          <w:rFonts w:eastAsia="Times New Roman"/>
        </w:rPr>
        <w:t xml:space="preserve">can </w:t>
      </w:r>
      <w:r w:rsidR="007A5A04">
        <w:rPr>
          <w:rFonts w:eastAsia="Times New Roman"/>
        </w:rPr>
        <w:t xml:space="preserve">contribute to </w:t>
      </w:r>
      <w:r w:rsidR="007A5A04" w:rsidRPr="00B86CFD">
        <w:rPr>
          <w:rFonts w:eastAsia="Times New Roman"/>
        </w:rPr>
        <w:t>support</w:t>
      </w:r>
      <w:r w:rsidR="007A5A04">
        <w:rPr>
          <w:rFonts w:eastAsia="Times New Roman"/>
        </w:rPr>
        <w:t xml:space="preserve">ing efforts to increase manufacturing capacities in the </w:t>
      </w:r>
      <w:r w:rsidR="00EB2137">
        <w:rPr>
          <w:rFonts w:eastAsia="Times New Roman"/>
        </w:rPr>
        <w:t>Union</w:t>
      </w:r>
      <w:r w:rsidR="007A5A04">
        <w:rPr>
          <w:rFonts w:eastAsia="Times New Roman"/>
        </w:rPr>
        <w:t xml:space="preserve"> and</w:t>
      </w:r>
      <w:r w:rsidR="007A5A04" w:rsidRPr="00B86CFD">
        <w:rPr>
          <w:rFonts w:eastAsia="Times New Roman"/>
        </w:rPr>
        <w:t xml:space="preserve"> strengthen</w:t>
      </w:r>
      <w:r w:rsidR="007A5A04" w:rsidRPr="00530D3E">
        <w:rPr>
          <w:rFonts w:eastAsia="Times New Roman"/>
        </w:rPr>
        <w:t xml:space="preserve"> the supply </w:t>
      </w:r>
      <w:r w:rsidR="007A5A04">
        <w:rPr>
          <w:rFonts w:eastAsia="Times New Roman"/>
        </w:rPr>
        <w:t xml:space="preserve">chains for </w:t>
      </w:r>
      <w:r w:rsidR="007A5A04" w:rsidRPr="00530D3E">
        <w:rPr>
          <w:rFonts w:eastAsia="Times New Roman"/>
        </w:rPr>
        <w:t>critical medicines</w:t>
      </w:r>
      <w:r w:rsidR="007A5A04" w:rsidRPr="00B86CFD">
        <w:rPr>
          <w:rFonts w:eastAsia="Times New Roman"/>
        </w:rPr>
        <w:t>.</w:t>
      </w:r>
    </w:p>
    <w:p w14:paraId="149C29BF" w14:textId="52E34C13" w:rsidR="00917777" w:rsidRPr="001E110A" w:rsidRDefault="001D7C2D" w:rsidP="001D7C2D">
      <w:pPr>
        <w:pStyle w:val="ManualConsidrant"/>
      </w:pPr>
      <w:r w:rsidRPr="001D7C2D">
        <w:t>(5)</w:t>
      </w:r>
      <w:r w:rsidRPr="001D7C2D">
        <w:tab/>
      </w:r>
      <w:r w:rsidR="00917777" w:rsidRPr="001E110A">
        <w:t xml:space="preserve">To enhance </w:t>
      </w:r>
      <w:r w:rsidR="00917777">
        <w:t xml:space="preserve">the </w:t>
      </w:r>
      <w:r w:rsidR="00917777" w:rsidRPr="001E110A">
        <w:t xml:space="preserve">security of supply for medicinal products and </w:t>
      </w:r>
      <w:r w:rsidR="00917777">
        <w:t>thereby</w:t>
      </w:r>
      <w:r w:rsidR="00917777" w:rsidRPr="001E110A">
        <w:t xml:space="preserve"> contribute to a high level of public health protection, the Union has implemented a range of measures that contribute to building a European Health Union. In particular, Regulation (EU) 2022/123</w:t>
      </w:r>
      <w:r w:rsidR="00917777">
        <w:t xml:space="preserve"> of the European Parliament and of the Council</w:t>
      </w:r>
      <w:r w:rsidR="00917777">
        <w:rPr>
          <w:rStyle w:val="FootnoteReference"/>
        </w:rPr>
        <w:footnoteReference w:id="67"/>
      </w:r>
      <w:r w:rsidR="00917777" w:rsidRPr="001E110A">
        <w:t xml:space="preserve"> has reinforced the European Medicines Agency’s (‘the Agency’) mandate by enhancing monitoring, coordination, and reporting mechanisms to prevent and mitigate supply disruptions of critical medicinal products across Member States. Th</w:t>
      </w:r>
      <w:r w:rsidR="00917777">
        <w:t>at</w:t>
      </w:r>
      <w:r w:rsidR="00917777" w:rsidRPr="001E110A">
        <w:t xml:space="preserve"> Regulation also established the Agency’s Executive Steering Group on Shortages and Safety of Medicinal Products (</w:t>
      </w:r>
      <w:r w:rsidR="00917777">
        <w:t xml:space="preserve">‘the </w:t>
      </w:r>
      <w:r w:rsidR="00917777" w:rsidRPr="001E110A">
        <w:t>MSSG</w:t>
      </w:r>
      <w:r w:rsidR="00917777">
        <w:t>’</w:t>
      </w:r>
      <w:r w:rsidR="00917777" w:rsidRPr="001E110A">
        <w:t>), which brings together representatives from the Agency and Member States, to coordinate urgent actions within the Union to manage existing shortages and issues related to the quality, safety</w:t>
      </w:r>
      <w:r w:rsidR="00917777">
        <w:t>,</w:t>
      </w:r>
      <w:r w:rsidR="00917777" w:rsidRPr="001E110A">
        <w:t xml:space="preserve"> and efficacy of medicinal products. </w:t>
      </w:r>
    </w:p>
    <w:p w14:paraId="45FA41AE" w14:textId="0BDA5B0A" w:rsidR="00917777" w:rsidRPr="001E110A" w:rsidRDefault="001D7C2D" w:rsidP="001D7C2D">
      <w:pPr>
        <w:pStyle w:val="ManualConsidrant"/>
      </w:pPr>
      <w:r w:rsidRPr="001D7C2D">
        <w:t>(6)</w:t>
      </w:r>
      <w:r w:rsidRPr="001D7C2D">
        <w:tab/>
      </w:r>
      <w:r w:rsidR="00917777">
        <w:t>In addition, Regulation (EU) …/… of the European Parliament and of the Council</w:t>
      </w:r>
      <w:r w:rsidR="00917777">
        <w:rPr>
          <w:rStyle w:val="FootnoteReference"/>
        </w:rPr>
        <w:footnoteReference w:id="68"/>
      </w:r>
      <w:r w:rsidR="00917777">
        <w:t xml:space="preserve"> No </w:t>
      </w:r>
      <w:r w:rsidR="00917777" w:rsidRPr="00414B23">
        <w:rPr>
          <w:i/>
          <w:iCs/>
        </w:rPr>
        <w:t>[reference to be added after adoption cf.</w:t>
      </w:r>
      <w:r w:rsidR="00917777" w:rsidRPr="00414B23">
        <w:t xml:space="preserve"> </w:t>
      </w:r>
      <w:r w:rsidR="00917777" w:rsidRPr="00414B23">
        <w:rPr>
          <w:i/>
          <w:iCs/>
        </w:rPr>
        <w:t>COM(2023) 193 final</w:t>
      </w:r>
      <w:r w:rsidR="00917777" w:rsidRPr="00414B23">
        <w:t>] further</w:t>
      </w:r>
      <w:r w:rsidR="00917777">
        <w:t xml:space="preserve"> strengthens the continuity of supply and availability of medicinal products through developing the core tasks already granted to the Agency by Regulation (EU) 2022/123 and setting out a framework for the activities to be deployed by the Member States and the Agency to improve the Union capacity to react efficiently and in coordinated manner to support the shortages management and security of supply of medicinal products, including by strengthening the obligations of marketing authorisation holders as it regards the shortages prevention and reporting.</w:t>
      </w:r>
      <w:r w:rsidR="00917777" w:rsidRPr="3B6F6A98">
        <w:rPr>
          <w:color w:val="0000FF"/>
        </w:rPr>
        <w:t xml:space="preserve"> </w:t>
      </w:r>
    </w:p>
    <w:p w14:paraId="2CB67A04" w14:textId="5DCC90C2" w:rsidR="00917777" w:rsidRPr="000D3A6E" w:rsidRDefault="001D7C2D" w:rsidP="001D7C2D">
      <w:pPr>
        <w:pStyle w:val="ManualConsidrant"/>
      </w:pPr>
      <w:r w:rsidRPr="001D7C2D">
        <w:t>(7)</w:t>
      </w:r>
      <w:r w:rsidRPr="001D7C2D">
        <w:tab/>
      </w:r>
      <w:r w:rsidR="00917777">
        <w:t>However, despite regulatory obligations on marketing authorisation holders to ensure the continuous supply of medicinal products to meet patients’ demand and the additional regulatory mechanism introduced by Regulation of the European Parliament and of the Council (EU) 2022/123 and Regulation (EU) …/… [</w:t>
      </w:r>
      <w:r w:rsidR="00917777" w:rsidRPr="04049F90">
        <w:rPr>
          <w:i/>
          <w:iCs/>
        </w:rPr>
        <w:t>reference to be added after adoption cf. COM(2023)193 final</w:t>
      </w:r>
      <w:r w:rsidR="00917777">
        <w:t xml:space="preserve">] to mitigate and respond to shortages, the functioning of markets alone does not always guarantee the availability of medicinal products. This risk is particularly evident in cases of supply chain disruptions, especially when the supply of a given medicinal product relies on a limited number of global suppliers and production facilities or where there is a high dependency on </w:t>
      </w:r>
      <w:r w:rsidR="00917777" w:rsidRPr="000D3A6E">
        <w:t xml:space="preserve">a </w:t>
      </w:r>
      <w:r w:rsidR="00917777" w:rsidRPr="00A302E2">
        <w:t xml:space="preserve">single </w:t>
      </w:r>
      <w:r w:rsidR="00FD64B3" w:rsidRPr="00A302E2">
        <w:t xml:space="preserve">or a </w:t>
      </w:r>
      <w:r w:rsidR="00E034D0" w:rsidRPr="000D3A6E">
        <w:t xml:space="preserve">limited number of </w:t>
      </w:r>
      <w:r w:rsidR="00917777" w:rsidRPr="000D3A6E">
        <w:t>third countr</w:t>
      </w:r>
      <w:r w:rsidR="00E034D0" w:rsidRPr="000D3A6E">
        <w:t>ies</w:t>
      </w:r>
      <w:r w:rsidR="00917777" w:rsidRPr="000D3A6E">
        <w:t xml:space="preserve">. </w:t>
      </w:r>
    </w:p>
    <w:p w14:paraId="6F73C211" w14:textId="7ECB7175" w:rsidR="00917777" w:rsidRPr="003D4EEA" w:rsidRDefault="001D7C2D" w:rsidP="001D7C2D">
      <w:pPr>
        <w:pStyle w:val="ManualConsidrant"/>
      </w:pPr>
      <w:r w:rsidRPr="001D7C2D">
        <w:t>(8)</w:t>
      </w:r>
      <w:r w:rsidRPr="001D7C2D">
        <w:tab/>
      </w:r>
      <w:r w:rsidR="00917777">
        <w:t>As the Union market for medicinal products remains fragmented, there is a need for better coordination between Member States to leverage in full the Union’s potential to strengthen the security of supply of medicinal products, without calling into question Member States’ responsibilities for the organisation and delivery of health services and medical care. Uncoordinated national measures risk disrupting the internal market, fail to address broader supply chain issues, and are insufficient to resolve cross-border issues, including the Union's dependency on third countries. The regulatory framework for medicinal products therefore needs to be complemented by targeted actions providing for further harmonisation.</w:t>
      </w:r>
    </w:p>
    <w:p w14:paraId="46E9057B" w14:textId="3615D64F" w:rsidR="00917777" w:rsidRPr="001E110A" w:rsidRDefault="001D7C2D" w:rsidP="001D7C2D">
      <w:pPr>
        <w:pStyle w:val="ManualConsidrant"/>
      </w:pPr>
      <w:r w:rsidRPr="001D7C2D">
        <w:t>(9)</w:t>
      </w:r>
      <w:r w:rsidRPr="001D7C2D">
        <w:tab/>
      </w:r>
      <w:r w:rsidR="00917777">
        <w:t>Some medicinal products of common interest which are key for the provision of adapted care to patients, while not affected by supply security issues, may still not be available to patients in some Member States. This may be caused by a variety of factors, including product or geographical demand market size, which can impact the timely availability of medicinal products in certain Member States.</w:t>
      </w:r>
    </w:p>
    <w:p w14:paraId="74840A89" w14:textId="54D97978" w:rsidR="00917777" w:rsidRDefault="001D7C2D" w:rsidP="001D7C2D">
      <w:pPr>
        <w:pStyle w:val="ManualConsidrant"/>
      </w:pPr>
      <w:r w:rsidRPr="001D7C2D">
        <w:t>(10)</w:t>
      </w:r>
      <w:r w:rsidRPr="001D7C2D">
        <w:tab/>
      </w:r>
      <w:r w:rsidR="00917777">
        <w:t>The smooth functioning of the internal market and a high level of protection of human health should be ensured as regards medicinal products and it should be aimed to complementing other Union pharmaceutical legislation by providing for a harmonised framework supporting Member States’ coordinated efforts to encourage investments in new and existing manufacturing capacities for critical medicinal products, encouraging the strategic use of public procurement instruments by the Member States as well as the coordination of the Member States</w:t>
      </w:r>
      <w:r w:rsidR="0096619A">
        <w:t>’</w:t>
      </w:r>
      <w:r w:rsidR="00917777">
        <w:t xml:space="preserve"> approaches, including through leveraging aggregated demand through Commission facilitated collaborative procurement procedures of critical medicinal products and medicinal products of common interest. Due to the international dimension of the security of supply, in particular taking into account that diversification of supply chains and an overall increase of supply are elements of a solution for ensuring the security of supply, international cooperation should be encouraged. </w:t>
      </w:r>
    </w:p>
    <w:p w14:paraId="08951538" w14:textId="1ED10C81" w:rsidR="00917777" w:rsidRPr="001E110A" w:rsidRDefault="001D7C2D" w:rsidP="001D7C2D">
      <w:pPr>
        <w:pStyle w:val="ManualConsidrant"/>
        <w:rPr>
          <w:lang w:eastAsia="en-GB"/>
        </w:rPr>
      </w:pPr>
      <w:r w:rsidRPr="001D7C2D">
        <w:t>(11)</w:t>
      </w:r>
      <w:r w:rsidRPr="001D7C2D">
        <w:tab/>
      </w:r>
      <w:r w:rsidR="00917777">
        <w:t xml:space="preserve">The measures introduced by this Regulation are without prejudice to marketing authorisation holders’ obligations, in particular under </w:t>
      </w:r>
      <w:r w:rsidR="00917777" w:rsidRPr="001E110A">
        <w:rPr>
          <w:lang w:eastAsia="en-GB"/>
        </w:rPr>
        <w:t xml:space="preserve">Directive </w:t>
      </w:r>
      <w:r w:rsidR="00917777">
        <w:rPr>
          <w:lang w:eastAsia="en-GB"/>
        </w:rPr>
        <w:t>(EU) …/… of the European Parliament and of the Council [</w:t>
      </w:r>
      <w:r w:rsidR="00917777" w:rsidRPr="00A70BF7">
        <w:rPr>
          <w:i/>
          <w:iCs/>
          <w:lang w:eastAsia="en-GB"/>
        </w:rPr>
        <w:t>reference to be added to corresponding Article after adoption of cf. COM(2023)192 final</w:t>
      </w:r>
      <w:r w:rsidR="00917777">
        <w:rPr>
          <w:lang w:eastAsia="en-GB"/>
        </w:rPr>
        <w:t xml:space="preserve">],  </w:t>
      </w:r>
      <w:r w:rsidR="00917777">
        <w:t>Regulation (EU) …/… [</w:t>
      </w:r>
      <w:r w:rsidR="00917777" w:rsidRPr="3B6F6A98">
        <w:rPr>
          <w:i/>
          <w:iCs/>
        </w:rPr>
        <w:t>reference to be added after adoption cf. COM(2023) 193 final</w:t>
      </w:r>
      <w:r w:rsidR="00917777">
        <w:t>] and Regulation (EU) 2022/123, including the obligation to ensure sufficient supplies of medicinal products, within the limits of their responsibility. These measures are aligned with the principles of the internal market. This Regulation is without prejudice to Union competition law, including antitrust, merger and State aid rules.</w:t>
      </w:r>
    </w:p>
    <w:p w14:paraId="5A5BCB1A" w14:textId="01185DBF" w:rsidR="00917777" w:rsidRPr="001E110A" w:rsidRDefault="001D7C2D" w:rsidP="001D7C2D">
      <w:pPr>
        <w:pStyle w:val="ManualConsidrant"/>
      </w:pPr>
      <w:r w:rsidRPr="001D7C2D">
        <w:t>(12)</w:t>
      </w:r>
      <w:r w:rsidRPr="001D7C2D">
        <w:tab/>
      </w:r>
      <w:r w:rsidR="00917777">
        <w:t xml:space="preserve">While the primary objective of this Regulation should be to strengthen the security of supply and ensure the availability of critical medicinal products and of medicinal products of common interest, </w:t>
      </w:r>
      <w:r w:rsidR="00C41180">
        <w:t xml:space="preserve">given a lack of critical medicinal products can affect the functioning of the economy as a whole, </w:t>
      </w:r>
      <w:r w:rsidR="00917777">
        <w:t xml:space="preserve">this Regulation </w:t>
      </w:r>
      <w:r w:rsidR="00585E62">
        <w:t>should also</w:t>
      </w:r>
      <w:r w:rsidR="00917777">
        <w:t xml:space="preserve"> </w:t>
      </w:r>
      <w:r w:rsidR="00472939">
        <w:t>support</w:t>
      </w:r>
      <w:r w:rsidR="00917777">
        <w:t xml:space="preserve"> the Union’s competitiveness by fostering a more stable and predictable market environment, encouraging investment and supporting innovation in the pharmaceutical sector. Ensuring the security of supply and availability of critical medicinal products and the availability and accessibility of other medicinal products of common interest </w:t>
      </w:r>
      <w:r w:rsidR="00472939">
        <w:t>should moreover</w:t>
      </w:r>
      <w:r w:rsidR="003B0B23">
        <w:t xml:space="preserve"> contribute</w:t>
      </w:r>
      <w:r w:rsidR="00917777">
        <w:t xml:space="preserve"> to the Union’s preparedness, resilience</w:t>
      </w:r>
      <w:r w:rsidR="00C41180">
        <w:t>,</w:t>
      </w:r>
      <w:r w:rsidR="00917777">
        <w:t xml:space="preserve"> and economic </w:t>
      </w:r>
      <w:r w:rsidR="005F6783">
        <w:t xml:space="preserve">and overall </w:t>
      </w:r>
      <w:r w:rsidR="00917777">
        <w:t>security</w:t>
      </w:r>
      <w:r w:rsidR="005F6783">
        <w:t xml:space="preserve">, including </w:t>
      </w:r>
      <w:r w:rsidR="00F4484C">
        <w:t xml:space="preserve">when </w:t>
      </w:r>
      <w:r w:rsidR="00CD6245">
        <w:t>cross-</w:t>
      </w:r>
      <w:r w:rsidR="00F4484C">
        <w:t xml:space="preserve">border supply chains </w:t>
      </w:r>
      <w:r w:rsidR="00DD1C37">
        <w:t xml:space="preserve">risk being </w:t>
      </w:r>
      <w:r w:rsidR="00F4484C">
        <w:t>disrupted</w:t>
      </w:r>
      <w:r w:rsidR="00DD1C37">
        <w:t xml:space="preserve">. </w:t>
      </w:r>
    </w:p>
    <w:p w14:paraId="0E8B8269" w14:textId="3D304D75" w:rsidR="00917777" w:rsidRPr="001E110A" w:rsidRDefault="001D7C2D" w:rsidP="001D7C2D">
      <w:pPr>
        <w:pStyle w:val="ManualConsidrant"/>
      </w:pPr>
      <w:r w:rsidRPr="001D7C2D">
        <w:t>(13)</w:t>
      </w:r>
      <w:r w:rsidRPr="001D7C2D">
        <w:tab/>
      </w:r>
      <w:r w:rsidR="00917777">
        <w:t>Taking into account the different root causes of the availability issues affecting critical medicinal products and medicinal products of common interest, some measures should apply to critical medicinal products only.</w:t>
      </w:r>
    </w:p>
    <w:p w14:paraId="1916A115" w14:textId="7CB4BFD5" w:rsidR="00917777" w:rsidRPr="001E110A" w:rsidRDefault="001D7C2D" w:rsidP="001D7C2D">
      <w:pPr>
        <w:pStyle w:val="ManualConsidrant"/>
      </w:pPr>
      <w:r w:rsidRPr="001D7C2D">
        <w:t>(14)</w:t>
      </w:r>
      <w:r w:rsidRPr="001D7C2D">
        <w:tab/>
      </w:r>
      <w:r w:rsidR="00917777">
        <w:t xml:space="preserve">The availability and the security of supply of critical medicinal products are essential to safeguard public health </w:t>
      </w:r>
      <w:r w:rsidR="00761D62">
        <w:t xml:space="preserve">and </w:t>
      </w:r>
      <w:r w:rsidR="00707D4C">
        <w:t xml:space="preserve">the </w:t>
      </w:r>
      <w:r w:rsidR="00761D62">
        <w:t xml:space="preserve">economic </w:t>
      </w:r>
      <w:r w:rsidR="00707D4C">
        <w:t xml:space="preserve">and overall </w:t>
      </w:r>
      <w:r w:rsidR="00761D62">
        <w:t xml:space="preserve">security </w:t>
      </w:r>
      <w:r w:rsidR="00020D77">
        <w:t>of</w:t>
      </w:r>
      <w:r w:rsidR="00917777">
        <w:t xml:space="preserve"> the Union and therefore should be considered strategic objectives of the Union.</w:t>
      </w:r>
    </w:p>
    <w:p w14:paraId="142E592E" w14:textId="22C1B7CC" w:rsidR="00917777" w:rsidRDefault="001D7C2D" w:rsidP="001D7C2D">
      <w:pPr>
        <w:pStyle w:val="ManualConsidrant"/>
      </w:pPr>
      <w:r w:rsidRPr="001D7C2D">
        <w:t>(15)</w:t>
      </w:r>
      <w:r w:rsidRPr="001D7C2D">
        <w:tab/>
      </w:r>
      <w:r w:rsidR="00917777">
        <w:t xml:space="preserve">A well-defined list of critical medicinal products is essential to ensure that the measures are targeted, effective, and proportionate. The critical medicinal products covered by this Regulation should be those for which insufficient supply results in serious harm or risk of serious harm to patients. For this reason this Regulation should apply to critical medicinal products on the Union list of critical </w:t>
      </w:r>
      <w:r w:rsidR="007A022E">
        <w:t>medicinal products</w:t>
      </w:r>
      <w:r w:rsidR="00917777">
        <w:t>, as established by</w:t>
      </w:r>
      <w:r w:rsidR="00917777" w:rsidRPr="00355C7B">
        <w:t xml:space="preserve"> </w:t>
      </w:r>
      <w:r w:rsidR="00917777">
        <w:t>Regulation (EU) …/… [</w:t>
      </w:r>
      <w:r w:rsidR="00917777" w:rsidRPr="3B6F6A98">
        <w:rPr>
          <w:i/>
          <w:iCs/>
        </w:rPr>
        <w:t>reference to be added after adoption cf. COM(2023) 193 final</w:t>
      </w:r>
      <w:r w:rsidR="00917777">
        <w:t xml:space="preserve">]. That list builds upon the experiences of the European Medicines Agency and Member States’ Agencies that in 2024, in anticipation of the reform of pharmaceutical legislation, identified a list of 276 critical medicinal products. </w:t>
      </w:r>
    </w:p>
    <w:p w14:paraId="511FF62D" w14:textId="4C603AEF" w:rsidR="00917777" w:rsidRPr="001E110A" w:rsidRDefault="001D7C2D" w:rsidP="001D7C2D">
      <w:pPr>
        <w:pStyle w:val="ManualConsidrant"/>
      </w:pPr>
      <w:r w:rsidRPr="001D7C2D">
        <w:t>(16)</w:t>
      </w:r>
      <w:r w:rsidRPr="001D7C2D">
        <w:tab/>
      </w:r>
      <w:r w:rsidR="00917777">
        <w:t xml:space="preserve">To ensure that the measures are applied where justified and proportionate, it is necessary to demonstrate that some measures address a vulnerability in the supply chains of a given critical medicinal product. This Regulation should rely on the vulnerability evaluation performed for the purpose of </w:t>
      </w:r>
      <w:r w:rsidR="005F72FD">
        <w:t xml:space="preserve">the </w:t>
      </w:r>
      <w:r w:rsidR="00917777">
        <w:t>application of</w:t>
      </w:r>
      <w:r w:rsidR="005F72FD">
        <w:t xml:space="preserve"> the</w:t>
      </w:r>
      <w:r w:rsidR="00917777">
        <w:t xml:space="preserve"> general pharmaceutical legislation as per Regulation (EU) No …/… [</w:t>
      </w:r>
      <w:r w:rsidR="00917777" w:rsidRPr="3B6F6A98">
        <w:rPr>
          <w:i/>
          <w:iCs/>
        </w:rPr>
        <w:t>reference to be added after adoption cf. COM(2023) 193 final</w:t>
      </w:r>
      <w:r w:rsidR="00917777">
        <w:t xml:space="preserve">]. To detect a vulnerability in the supply chains it is necessary to look at aggregated data across all medicinal products authorised in the Union and containing the same active substance, route of administration and formulation. Such an approach allows for the determination whether, for a critical medicinal product with a given active substance, the Union is highly dependent on </w:t>
      </w:r>
      <w:r w:rsidR="00917777" w:rsidRPr="00310B24">
        <w:t xml:space="preserve">a </w:t>
      </w:r>
      <w:r w:rsidR="00917777" w:rsidRPr="00A302E2">
        <w:t xml:space="preserve">single </w:t>
      </w:r>
      <w:r w:rsidR="00FD64B3" w:rsidRPr="00A302E2">
        <w:t xml:space="preserve">or a </w:t>
      </w:r>
      <w:r w:rsidR="00E034D0" w:rsidRPr="00310B24">
        <w:t>limited number of third</w:t>
      </w:r>
      <w:r w:rsidR="00917777" w:rsidRPr="00310B24">
        <w:t xml:space="preserve"> countr</w:t>
      </w:r>
      <w:r w:rsidR="00E034D0" w:rsidRPr="00310B24">
        <w:t>ies</w:t>
      </w:r>
      <w:r w:rsidR="00917777">
        <w:t>, or a limited number of sites, for active substances, key inputs, or finished dosage forms.</w:t>
      </w:r>
    </w:p>
    <w:p w14:paraId="52340C97" w14:textId="58EB0D0B" w:rsidR="00917777" w:rsidRDefault="001D7C2D" w:rsidP="001D7C2D">
      <w:pPr>
        <w:pStyle w:val="ManualConsidrant"/>
      </w:pPr>
      <w:bookmarkStart w:id="1" w:name="_Hlk192166739"/>
      <w:r w:rsidRPr="001D7C2D">
        <w:t>(17)</w:t>
      </w:r>
      <w:r w:rsidRPr="001D7C2D">
        <w:tab/>
      </w:r>
      <w:r w:rsidR="00917777">
        <w:t xml:space="preserve">Certain projects can have a positive impact on security of supply as they increase the Union’s manufacturing </w:t>
      </w:r>
      <w:r w:rsidR="00E633FA">
        <w:t xml:space="preserve">capacity </w:t>
      </w:r>
      <w:r w:rsidR="00917777">
        <w:t>for critical medicinal products and strengthen the resilience of the Union’s supply chains. In order to encourage private investments in these projects, the concept of strategic projects should be introduced. Given their role in ensuring the Union’s security of supply for critical medicinal products, the relevant permitting authority should consider strategic projects to be in the public interest. To ensure their expedient implementation, national authorities should ensure that the relevant permit granting processes are carried</w:t>
      </w:r>
      <w:r w:rsidR="009F3ED3">
        <w:t xml:space="preserve"> out</w:t>
      </w:r>
      <w:r w:rsidR="00917777">
        <w:t xml:space="preserve"> in the fastest way possible making available, in particular any form of accelerated procedures that exists in applicable Union and national law. National authorities should </w:t>
      </w:r>
      <w:r w:rsidR="00917777" w:rsidRPr="005616A7">
        <w:t>consider, when possible, their streamlining as well as enable digital submission of required information.</w:t>
      </w:r>
    </w:p>
    <w:bookmarkEnd w:id="1"/>
    <w:p w14:paraId="31D3DA71" w14:textId="6FACF2C9" w:rsidR="00917777" w:rsidRPr="003C6210" w:rsidRDefault="001D7C2D" w:rsidP="001D7C2D">
      <w:pPr>
        <w:pStyle w:val="ManualConsidrant"/>
        <w:rPr>
          <w:rFonts w:eastAsia="Times New Roman"/>
        </w:rPr>
      </w:pPr>
      <w:r w:rsidRPr="001D7C2D">
        <w:t>(18)</w:t>
      </w:r>
      <w:r w:rsidRPr="001D7C2D">
        <w:tab/>
      </w:r>
      <w:r w:rsidR="00917777">
        <w:t>To avoid unnecessary delays and the creation of additional administrative layers, the verification of whether a project fulfils the strategic project criteria should be performed by any Member State authority requested to provide advantages offered in this Regulation. A designated authority should, when solicited, verify whether a given project is a strategic project. In order to accelerate and facilitate their deployment, strategic projects should benefit from streamlined administrative processes, priority status in the context of permit granting procedures and related dispute resolution procedures, as well as, be offered targeted regulatory support. In this context, the Member States should give particular attention to small and medium sized enterprises (SMEs) which should have a fair chance to initiate strategic projects.</w:t>
      </w:r>
    </w:p>
    <w:p w14:paraId="276FF5DF" w14:textId="5F7A3E17" w:rsidR="00917777" w:rsidRPr="001E110A" w:rsidRDefault="001D7C2D" w:rsidP="001D7C2D">
      <w:pPr>
        <w:pStyle w:val="ManualConsidrant"/>
      </w:pPr>
      <w:r w:rsidRPr="001D7C2D">
        <w:t>(19)</w:t>
      </w:r>
      <w:r w:rsidRPr="001D7C2D">
        <w:tab/>
      </w:r>
      <w:r w:rsidR="00917777">
        <w:t xml:space="preserve">The production of </w:t>
      </w:r>
      <w:r w:rsidR="005522FA">
        <w:t>medicinal products</w:t>
      </w:r>
      <w:r w:rsidR="00917777">
        <w:t xml:space="preserve"> has environmental implications and may negatively impact not only the environment itself but also human health. The environmental assessments and authorisations required under Union law are an integral part of the permit-granting process for strategic projects and an essential safeguard to ensure negative environmental impacts are prevented or minimised. However, to ensure that permit-granting processes for strategic projects are predictable and timely, it should be possible to streamline the required assessments and authorisations by the relevant authority, while not lowering the level of environmental protection. </w:t>
      </w:r>
    </w:p>
    <w:p w14:paraId="0D38372B" w14:textId="019C2D15" w:rsidR="00917777" w:rsidRPr="007B35C0" w:rsidRDefault="001D7C2D" w:rsidP="001D7C2D">
      <w:pPr>
        <w:pStyle w:val="ManualConsidrant"/>
      </w:pPr>
      <w:r w:rsidRPr="001D7C2D">
        <w:t>(20)</w:t>
      </w:r>
      <w:r w:rsidRPr="001D7C2D">
        <w:tab/>
      </w:r>
      <w:r w:rsidR="00917777">
        <w:t xml:space="preserve">Land use conflicts can create barriers to the deployment of strategic projects. The relevant national, regional or local authority responsible for preparing zoning, spatial and land use plans should consider whether to introduce in these plans certain provisions related to strategic projects. Those plans have the potential to help balance the public interest and common good, decreasing the potential for conflict and accelerating the sustainable deployment of strategic projects in the Union. </w:t>
      </w:r>
    </w:p>
    <w:p w14:paraId="40A92737" w14:textId="7E619B9F" w:rsidR="00917777" w:rsidRDefault="001D7C2D" w:rsidP="001D7C2D">
      <w:pPr>
        <w:pStyle w:val="ManualConsidrant"/>
      </w:pPr>
      <w:r w:rsidRPr="001D7C2D">
        <w:t>(21)</w:t>
      </w:r>
      <w:r w:rsidRPr="001D7C2D">
        <w:tab/>
      </w:r>
      <w:r w:rsidR="00917777">
        <w:t xml:space="preserve">Given the capital-intensive nature of pharmaceutical production, including the establishment or expansion of manufacturing sites for critical medicinal products, active substances, and key inputs, targeted financial support can play a crucial role in incentivising production within the Union. To strengthen the security of supply of critical medicinal products, and where private investment alone is not sufficient, financial support of investments in manufacturing capacity within the Union may be justified. </w:t>
      </w:r>
      <w:r w:rsidR="00917777" w:rsidRPr="00462DFA">
        <w:t xml:space="preserve">Member States should be able </w:t>
      </w:r>
      <w:r w:rsidR="00A71FD1">
        <w:t>to</w:t>
      </w:r>
      <w:r w:rsidR="00917777" w:rsidRPr="00462DFA">
        <w:t xml:space="preserve"> prioritise financial support for strategic projects that address specific vulnerabilities in the supply chains, while ensuring that such support </w:t>
      </w:r>
      <w:r w:rsidR="00917777" w:rsidRPr="00F12074">
        <w:t>complies with the Union’s State aid rules</w:t>
      </w:r>
      <w:r w:rsidR="00917777" w:rsidRPr="00044262">
        <w:t>.</w:t>
      </w:r>
      <w:r w:rsidR="00917777">
        <w:t xml:space="preserve"> For this purpose, specific guidance to clarify the application of EU State aid rules to assist the Member States</w:t>
      </w:r>
      <w:r w:rsidR="00D13100">
        <w:t xml:space="preserve"> has been provided by the Commission services and will be updated as necessary</w:t>
      </w:r>
      <w:r w:rsidR="00917777">
        <w:t xml:space="preserve">. </w:t>
      </w:r>
    </w:p>
    <w:p w14:paraId="34524478" w14:textId="3C0A9E24" w:rsidR="00917777" w:rsidRPr="00F12074" w:rsidRDefault="001D7C2D" w:rsidP="001D7C2D">
      <w:pPr>
        <w:pStyle w:val="ManualConsidrant"/>
      </w:pPr>
      <w:r w:rsidRPr="001D7C2D">
        <w:t>(22)</w:t>
      </w:r>
      <w:r w:rsidRPr="001D7C2D">
        <w:tab/>
      </w:r>
      <w:r w:rsidR="00917777" w:rsidRPr="00F12074">
        <w:t>Union-level funding may be leveraged to facilitate investments in strategic projects. Strategic projects may benefit from access to existing EU funding instruments, such as the EU4Health Programme</w:t>
      </w:r>
      <w:r w:rsidR="00BE431F">
        <w:rPr>
          <w:rStyle w:val="FootnoteReference"/>
        </w:rPr>
        <w:footnoteReference w:id="69"/>
      </w:r>
      <w:r w:rsidR="00917777" w:rsidRPr="00F12074">
        <w:t>, Digital Europe Programme</w:t>
      </w:r>
      <w:r w:rsidR="00BE431F">
        <w:rPr>
          <w:rStyle w:val="FootnoteReference"/>
        </w:rPr>
        <w:footnoteReference w:id="70"/>
      </w:r>
      <w:r w:rsidR="00917777">
        <w:t xml:space="preserve"> and</w:t>
      </w:r>
      <w:r w:rsidR="00917777" w:rsidRPr="00F12074">
        <w:t xml:space="preserve"> Horizon Europe</w:t>
      </w:r>
      <w:r w:rsidR="00BE431F">
        <w:rPr>
          <w:rStyle w:val="FootnoteReference"/>
        </w:rPr>
        <w:footnoteReference w:id="71"/>
      </w:r>
      <w:r w:rsidR="00477803">
        <w:t xml:space="preserve"> </w:t>
      </w:r>
      <w:r w:rsidR="00F83D92">
        <w:t>(</w:t>
      </w:r>
      <w:r w:rsidR="00477803">
        <w:t xml:space="preserve">relevant, </w:t>
      </w:r>
      <w:r w:rsidR="00B8653E">
        <w:t xml:space="preserve">for example, </w:t>
      </w:r>
      <w:r w:rsidR="00477803">
        <w:t>for active substances</w:t>
      </w:r>
      <w:r w:rsidR="00BD1757">
        <w:t xml:space="preserve"> referred </w:t>
      </w:r>
      <w:r w:rsidR="00020D77">
        <w:t>to in</w:t>
      </w:r>
      <w:r w:rsidR="00BD1757">
        <w:t xml:space="preserve"> Article 5(d)</w:t>
      </w:r>
      <w:r w:rsidR="00213E11">
        <w:t xml:space="preserve"> of Regulation (EU)2021/695</w:t>
      </w:r>
      <w:r w:rsidR="00C63DED">
        <w:t>)</w:t>
      </w:r>
      <w:r w:rsidR="00917777" w:rsidRPr="00F12074">
        <w:t>, a</w:t>
      </w:r>
      <w:r w:rsidR="00917777">
        <w:t>s well as</w:t>
      </w:r>
      <w:r w:rsidR="00917777" w:rsidRPr="00F12074">
        <w:t xml:space="preserve"> the Strategic Technologies for Europe Platform (STEP), when they fulfil the criteria established in these instruments. </w:t>
      </w:r>
      <w:r w:rsidR="00917777" w:rsidRPr="00F12074">
        <w:rPr>
          <w:lang w:val="en-US" w:eastAsia="en-GB"/>
        </w:rPr>
        <w:t xml:space="preserve">Authorities in charge of the Union programmes covered by Regulation </w:t>
      </w:r>
      <w:r w:rsidR="001405E2">
        <w:rPr>
          <w:lang w:val="en-US" w:eastAsia="en-GB"/>
        </w:rPr>
        <w:t xml:space="preserve">(EU) 2024/795 </w:t>
      </w:r>
      <w:r w:rsidR="00BE431F">
        <w:rPr>
          <w:lang w:val="en-US" w:eastAsia="en-GB"/>
        </w:rPr>
        <w:t>of the European Parliament and of the Council</w:t>
      </w:r>
      <w:r w:rsidR="001405E2" w:rsidRPr="00F12074">
        <w:rPr>
          <w:rStyle w:val="FootnoteReference"/>
        </w:rPr>
        <w:footnoteReference w:id="72"/>
      </w:r>
      <w:r w:rsidR="001405E2" w:rsidRPr="00F12074">
        <w:t xml:space="preserve"> </w:t>
      </w:r>
      <w:r w:rsidR="006F66CF">
        <w:rPr>
          <w:lang w:val="en-US" w:eastAsia="en-GB"/>
        </w:rPr>
        <w:t>(STEP)</w:t>
      </w:r>
      <w:r w:rsidR="00BE431F">
        <w:rPr>
          <w:lang w:val="en-US" w:eastAsia="en-GB"/>
        </w:rPr>
        <w:t xml:space="preserve"> </w:t>
      </w:r>
      <w:r w:rsidR="00917777" w:rsidRPr="00F12074">
        <w:rPr>
          <w:lang w:val="en-US" w:eastAsia="en-GB"/>
        </w:rPr>
        <w:t>should in particular consider supporting strategic projects addressing a vulnerability in the supply chains of critical medicinal products</w:t>
      </w:r>
      <w:r w:rsidR="00460547">
        <w:rPr>
          <w:lang w:val="en-US" w:eastAsia="en-GB"/>
        </w:rPr>
        <w:t xml:space="preserve"> and therefore</w:t>
      </w:r>
      <w:r w:rsidR="00917777" w:rsidRPr="00F12074">
        <w:rPr>
          <w:lang w:val="en-US" w:eastAsia="en-GB"/>
        </w:rPr>
        <w:t xml:space="preserve"> </w:t>
      </w:r>
      <w:r w:rsidR="00917777" w:rsidRPr="00F12074">
        <w:t>Regulation (EU) 2024/795 should be amended.</w:t>
      </w:r>
    </w:p>
    <w:p w14:paraId="5319811D" w14:textId="716147C1" w:rsidR="00917777" w:rsidRPr="001E110A" w:rsidRDefault="001D7C2D" w:rsidP="001D7C2D">
      <w:pPr>
        <w:pStyle w:val="ManualConsidrant"/>
      </w:pPr>
      <w:r w:rsidRPr="001D7C2D">
        <w:t>(23)</w:t>
      </w:r>
      <w:r w:rsidRPr="001D7C2D">
        <w:tab/>
      </w:r>
      <w:r w:rsidR="00917777">
        <w:t>To allow for a more coordinated approach to financial support, it is appropriate that Member States and the Commission exchange the information on financial support to strategic projects.</w:t>
      </w:r>
      <w:r w:rsidR="00917777" w:rsidRPr="00E82E53">
        <w:rPr>
          <w:rFonts w:ascii="Segoe UI" w:hAnsi="Segoe UI" w:cs="Segoe UI"/>
          <w:b/>
          <w:bCs/>
          <w:i/>
          <w:iCs/>
          <w:sz w:val="18"/>
          <w:szCs w:val="18"/>
        </w:rPr>
        <w:t xml:space="preserve"> </w:t>
      </w:r>
      <w:r w:rsidR="00917777">
        <w:t>As regards the s</w:t>
      </w:r>
      <w:r w:rsidR="00917777" w:rsidRPr="00292DF1">
        <w:t xml:space="preserve">trategic </w:t>
      </w:r>
      <w:r w:rsidR="00917777">
        <w:t>p</w:t>
      </w:r>
      <w:r w:rsidR="00917777" w:rsidRPr="00292DF1">
        <w:t xml:space="preserve">rojects that have benefitted from EU funding, </w:t>
      </w:r>
      <w:r w:rsidR="00917777">
        <w:t>the beneficiaries</w:t>
      </w:r>
      <w:r w:rsidR="00917777" w:rsidRPr="00292DF1">
        <w:t xml:space="preserve"> should </w:t>
      </w:r>
      <w:r w:rsidR="00917777">
        <w:t>follow</w:t>
      </w:r>
      <w:r w:rsidR="00917777" w:rsidRPr="00292DF1">
        <w:t xml:space="preserve"> the relevant communication and visibility rules</w:t>
      </w:r>
      <w:r w:rsidR="00917777" w:rsidRPr="007E14DA">
        <w:rPr>
          <w:rStyle w:val="FootnoteReference"/>
          <w:szCs w:val="20"/>
        </w:rPr>
        <w:footnoteReference w:id="73"/>
      </w:r>
      <w:r w:rsidR="00917777">
        <w:t>.</w:t>
      </w:r>
    </w:p>
    <w:p w14:paraId="147B275B" w14:textId="200B6CFF" w:rsidR="00917777" w:rsidRDefault="001D7C2D" w:rsidP="001D7C2D">
      <w:pPr>
        <w:pStyle w:val="ManualConsidrant"/>
      </w:pPr>
      <w:r w:rsidRPr="001D7C2D">
        <w:t>(24)</w:t>
      </w:r>
      <w:r w:rsidRPr="001D7C2D">
        <w:tab/>
      </w:r>
      <w:r w:rsidR="00917777">
        <w:t xml:space="preserve">Given that public authorities or entities are the principal buyers of medicinal products for the inpatient sector and that the public procurement of medicinal products is a powerful tool to improve security of supply and the availability and accessibility of other medicinal products of common interest, it is necessary to establish rules that require the use of the </w:t>
      </w:r>
      <w:r w:rsidR="000D1861">
        <w:t>procurement requirements</w:t>
      </w:r>
      <w:r w:rsidR="00917777">
        <w:t xml:space="preserve"> referring to Most Economically Advantageous Tender (MEAT) that take into account the supply security and availability considerations. </w:t>
      </w:r>
      <w:r w:rsidR="000D1861">
        <w:t>Procurement requirements</w:t>
      </w:r>
      <w:r w:rsidR="00917777">
        <w:t xml:space="preserve"> based on such considerations should include stockholding obligations, a number of diversified suppliers, state of the art monitoring of supply chains, their transparency to the contracting authority and contract performance clauses on timely delivery and measures in case of non-timely delivery. </w:t>
      </w:r>
    </w:p>
    <w:p w14:paraId="53A17E29" w14:textId="2C5DA839" w:rsidR="00917777" w:rsidRPr="001E110A" w:rsidRDefault="001D7C2D" w:rsidP="001D7C2D">
      <w:pPr>
        <w:pStyle w:val="ManualConsidrant"/>
      </w:pPr>
      <w:r w:rsidRPr="001D7C2D">
        <w:t>(25)</w:t>
      </w:r>
      <w:r w:rsidRPr="001D7C2D">
        <w:tab/>
      </w:r>
      <w:r w:rsidR="00917777">
        <w:t xml:space="preserve">Inconsistent use of </w:t>
      </w:r>
      <w:r w:rsidR="00B07D7D">
        <w:t>procurement requirements</w:t>
      </w:r>
      <w:r w:rsidR="00917777">
        <w:t xml:space="preserve"> in public procurement procedures may have negative impact on the internal market as it creates obstacles to cross</w:t>
      </w:r>
      <w:r w:rsidR="00047108">
        <w:t>-</w:t>
      </w:r>
      <w:r w:rsidR="00917777">
        <w:t xml:space="preserve">border participation and a lack of predictability for bidders. In order to avoid such negative outcomes, the use of MEAT criteria should be mandatory. </w:t>
      </w:r>
    </w:p>
    <w:p w14:paraId="7571DC42" w14:textId="4A795924" w:rsidR="00917777" w:rsidRPr="00044262" w:rsidRDefault="001D7C2D" w:rsidP="001D7C2D">
      <w:pPr>
        <w:pStyle w:val="ManualConsidrant"/>
      </w:pPr>
      <w:r w:rsidRPr="001D7C2D">
        <w:t>(26)</w:t>
      </w:r>
      <w:r w:rsidRPr="001D7C2D">
        <w:tab/>
      </w:r>
      <w:r w:rsidR="00917777">
        <w:t>To</w:t>
      </w:r>
      <w:r w:rsidR="00917777" w:rsidRPr="00044262">
        <w:t xml:space="preserve"> ensure a high level of</w:t>
      </w:r>
      <w:r w:rsidR="00D7299A">
        <w:t xml:space="preserve"> </w:t>
      </w:r>
      <w:r w:rsidR="00917777" w:rsidRPr="00044262">
        <w:t>health protection</w:t>
      </w:r>
      <w:r w:rsidR="00B07D7D">
        <w:t xml:space="preserve"> and security of supply</w:t>
      </w:r>
      <w:r w:rsidR="00D7299A">
        <w:t>,</w:t>
      </w:r>
      <w:r w:rsidR="00917777" w:rsidRPr="00044262">
        <w:t xml:space="preserve"> it is necessary to </w:t>
      </w:r>
      <w:r w:rsidR="00917777">
        <w:t xml:space="preserve">procure in a way </w:t>
      </w:r>
      <w:r w:rsidR="00917777" w:rsidRPr="00044262">
        <w:t>that promote</w:t>
      </w:r>
      <w:r w:rsidR="00917777">
        <w:t>s</w:t>
      </w:r>
      <w:r w:rsidR="00917777" w:rsidRPr="00044262">
        <w:t xml:space="preserve"> diversification of suppliers where dependency on</w:t>
      </w:r>
      <w:r w:rsidR="00917777">
        <w:t xml:space="preserve"> </w:t>
      </w:r>
      <w:r w:rsidR="00917777" w:rsidRPr="00F51597">
        <w:t xml:space="preserve">a </w:t>
      </w:r>
      <w:r w:rsidR="00A1264F" w:rsidRPr="00F51597">
        <w:t xml:space="preserve">single or </w:t>
      </w:r>
      <w:r w:rsidR="00DF5537" w:rsidRPr="00F51597">
        <w:t xml:space="preserve">a </w:t>
      </w:r>
      <w:r w:rsidR="005B3276" w:rsidRPr="00F51597">
        <w:t>limited number of</w:t>
      </w:r>
      <w:r w:rsidR="00917777" w:rsidRPr="00F51597">
        <w:t xml:space="preserve"> third countr</w:t>
      </w:r>
      <w:r w:rsidR="005B3276" w:rsidRPr="00F51597">
        <w:t>ies</w:t>
      </w:r>
      <w:r w:rsidR="00917777" w:rsidRPr="00044262">
        <w:t>, threatening the security of supply, has been established through a vulnerability evaluation. In such situations,</w:t>
      </w:r>
      <w:r w:rsidR="00917777">
        <w:t xml:space="preserve"> contracting authorities in the</w:t>
      </w:r>
      <w:r w:rsidR="00917777" w:rsidRPr="00044262">
        <w:t xml:space="preserve"> Member States </w:t>
      </w:r>
      <w:r w:rsidR="00B34B5F">
        <w:t>should</w:t>
      </w:r>
      <w:r w:rsidR="00917777" w:rsidRPr="00044262">
        <w:t xml:space="preserve"> introduce </w:t>
      </w:r>
      <w:r w:rsidR="003547FE">
        <w:t>procurement</w:t>
      </w:r>
      <w:r w:rsidR="00B63F38">
        <w:t xml:space="preserve"> requirements</w:t>
      </w:r>
      <w:r w:rsidR="00917777" w:rsidRPr="00044262">
        <w:t xml:space="preserve"> that </w:t>
      </w:r>
      <w:r w:rsidR="005B3276">
        <w:t>favour</w:t>
      </w:r>
      <w:r w:rsidR="00917777" w:rsidRPr="00044262">
        <w:t xml:space="preserve"> suppliers of critical medicinal</w:t>
      </w:r>
      <w:r w:rsidR="005B3276">
        <w:t xml:space="preserve"> products</w:t>
      </w:r>
      <w:r w:rsidR="00CF3BDD">
        <w:t xml:space="preserve"> that manufacture </w:t>
      </w:r>
      <w:r w:rsidR="006002E3">
        <w:t xml:space="preserve">a </w:t>
      </w:r>
      <w:r w:rsidR="00D755E7">
        <w:t>significant portion of these products in the EU</w:t>
      </w:r>
      <w:r w:rsidR="00917777" w:rsidRPr="00044262">
        <w:t xml:space="preserve">. </w:t>
      </w:r>
      <w:r w:rsidR="00264C28">
        <w:t>Moreover, the</w:t>
      </w:r>
      <w:r w:rsidR="00917777">
        <w:t xml:space="preserve"> contracting authorities in the </w:t>
      </w:r>
      <w:r w:rsidR="00917777" w:rsidRPr="00044262">
        <w:rPr>
          <w:lang w:eastAsia="en-GB"/>
        </w:rPr>
        <w:t>Member States, when justified</w:t>
      </w:r>
      <w:r w:rsidR="00917777">
        <w:rPr>
          <w:lang w:eastAsia="en-GB"/>
        </w:rPr>
        <w:t xml:space="preserve"> by market analysis and public health considerations</w:t>
      </w:r>
      <w:r w:rsidR="00917777" w:rsidRPr="00044262">
        <w:rPr>
          <w:lang w:eastAsia="en-GB"/>
        </w:rPr>
        <w:t xml:space="preserve">, </w:t>
      </w:r>
      <w:r w:rsidR="002551BB">
        <w:rPr>
          <w:lang w:eastAsia="en-GB"/>
        </w:rPr>
        <w:t>may</w:t>
      </w:r>
      <w:r w:rsidR="002551BB" w:rsidRPr="00044262">
        <w:rPr>
          <w:lang w:eastAsia="en-GB"/>
        </w:rPr>
        <w:t xml:space="preserve"> </w:t>
      </w:r>
      <w:r w:rsidR="00917777" w:rsidRPr="00044262">
        <w:rPr>
          <w:lang w:eastAsia="en-GB"/>
        </w:rPr>
        <w:t xml:space="preserve">apply </w:t>
      </w:r>
      <w:r w:rsidR="003547FE">
        <w:rPr>
          <w:lang w:eastAsia="en-GB"/>
        </w:rPr>
        <w:t xml:space="preserve">procurement </w:t>
      </w:r>
      <w:r w:rsidR="00A33257">
        <w:rPr>
          <w:lang w:eastAsia="en-GB"/>
        </w:rPr>
        <w:t>requirements that favour</w:t>
      </w:r>
      <w:r w:rsidR="0009586C">
        <w:rPr>
          <w:lang w:eastAsia="en-GB"/>
        </w:rPr>
        <w:t xml:space="preserve"> </w:t>
      </w:r>
      <w:r w:rsidR="00917777" w:rsidRPr="00044262">
        <w:t xml:space="preserve"> suppliers of medicinal products </w:t>
      </w:r>
      <w:r w:rsidR="009008CA">
        <w:t xml:space="preserve">of common </w:t>
      </w:r>
      <w:r w:rsidR="00CF3BDD">
        <w:t>interest</w:t>
      </w:r>
      <w:r w:rsidR="00917777" w:rsidRPr="00044262" w:rsidDel="0009586C">
        <w:t xml:space="preserve"> </w:t>
      </w:r>
      <w:r w:rsidR="00D755E7">
        <w:t xml:space="preserve">that manufacture </w:t>
      </w:r>
      <w:r w:rsidR="00B400C0">
        <w:t xml:space="preserve">a </w:t>
      </w:r>
      <w:r w:rsidR="00D755E7">
        <w:t>significant portion of these medicinal products in the EU</w:t>
      </w:r>
      <w:r w:rsidR="00917777">
        <w:t>.</w:t>
      </w:r>
      <w:r w:rsidR="00917777" w:rsidRPr="00044262">
        <w:t xml:space="preserve"> These measures should be designed and applied in line with the Union's international obligations including the principles of non-discrimination and proportionality.</w:t>
      </w:r>
    </w:p>
    <w:p w14:paraId="2C1BC95D" w14:textId="18A9F06E" w:rsidR="00917777" w:rsidRPr="001E110A" w:rsidRDefault="001D7C2D" w:rsidP="001D7C2D">
      <w:pPr>
        <w:pStyle w:val="ManualConsidrant"/>
      </w:pPr>
      <w:r w:rsidRPr="001D7C2D">
        <w:t>(27)</w:t>
      </w:r>
      <w:r w:rsidRPr="001D7C2D">
        <w:tab/>
      </w:r>
      <w:r w:rsidR="00917777">
        <w:t xml:space="preserve">The application of </w:t>
      </w:r>
      <w:r w:rsidR="000D1861">
        <w:t>procurement requirements</w:t>
      </w:r>
      <w:r w:rsidR="00917777">
        <w:t xml:space="preserve"> should take into account the specific market conditions and public health needs of each procurement procedure, whilst bearing in mind the considerations related to affordability of medicinal products. Certain </w:t>
      </w:r>
      <w:r w:rsidR="000D1861">
        <w:t>procurement requirements</w:t>
      </w:r>
      <w:r w:rsidR="00917777">
        <w:t xml:space="preserve"> may not be justified if they result in disproportionate cost for procurers or discourage participation, leading to no bids.</w:t>
      </w:r>
    </w:p>
    <w:p w14:paraId="4108B227" w14:textId="7870C106" w:rsidR="00917777" w:rsidRPr="001E110A" w:rsidRDefault="001D7C2D" w:rsidP="001D7C2D">
      <w:pPr>
        <w:pStyle w:val="ManualConsidrant"/>
      </w:pPr>
      <w:r w:rsidRPr="001D7C2D">
        <w:t>(28)</w:t>
      </w:r>
      <w:r w:rsidRPr="001D7C2D">
        <w:tab/>
      </w:r>
      <w:r w:rsidR="00917777">
        <w:t xml:space="preserve">In accordance with Article 168(7) TFEU Member States’ responsibilities for the definition of their health policy and for the organisation and delivery of health services and medical care, including the allocation of financial resources, are to be respected. The contracting authorities should therefore retain the ability, where justified by the considerations related to the market analysis or considerations related to financing of health services, to adopt procurement approaches that differ from those set out in this Regulation as long as they are in line with the Union’s international obligations. </w:t>
      </w:r>
    </w:p>
    <w:p w14:paraId="05A752F2" w14:textId="18C92A84" w:rsidR="00917777" w:rsidRPr="006C2B52" w:rsidRDefault="001D7C2D" w:rsidP="001D7C2D">
      <w:pPr>
        <w:pStyle w:val="ManualConsidrant"/>
      </w:pPr>
      <w:r w:rsidRPr="001D7C2D">
        <w:t>(29)</w:t>
      </w:r>
      <w:r w:rsidRPr="001D7C2D">
        <w:tab/>
      </w:r>
      <w:r w:rsidR="000C1059">
        <w:t>T</w:t>
      </w:r>
      <w:r w:rsidR="00651AEC">
        <w:t xml:space="preserve">he Commission intends to issue guidelines designed to </w:t>
      </w:r>
      <w:r w:rsidR="0054574E">
        <w:t xml:space="preserve">support </w:t>
      </w:r>
      <w:r w:rsidR="00BB1166">
        <w:t xml:space="preserve">Member </w:t>
      </w:r>
      <w:r w:rsidR="009F4D88">
        <w:t>S</w:t>
      </w:r>
      <w:r w:rsidR="00BB1166">
        <w:t xml:space="preserve">tates </w:t>
      </w:r>
      <w:r w:rsidR="00581BEB">
        <w:t xml:space="preserve">in implementing </w:t>
      </w:r>
      <w:r w:rsidR="00BB1166">
        <w:t xml:space="preserve">their obligations to use </w:t>
      </w:r>
      <w:r w:rsidR="00D7299A">
        <w:t xml:space="preserve">procurement requirements including </w:t>
      </w:r>
      <w:r w:rsidR="009760A8">
        <w:t xml:space="preserve">award </w:t>
      </w:r>
      <w:r w:rsidR="00BB1166">
        <w:t xml:space="preserve">criteria beyond price </w:t>
      </w:r>
      <w:r w:rsidR="00BB1166" w:rsidRPr="00F452B3">
        <w:t xml:space="preserve">considerations </w:t>
      </w:r>
      <w:r w:rsidR="006D582D" w:rsidRPr="00F452B3">
        <w:t xml:space="preserve">with a view to </w:t>
      </w:r>
      <w:r w:rsidR="00E64F3A" w:rsidRPr="00F452B3">
        <w:t>strengthen</w:t>
      </w:r>
      <w:r w:rsidR="006D582D" w:rsidRPr="00F452B3">
        <w:t>ing</w:t>
      </w:r>
      <w:r w:rsidR="00E64F3A" w:rsidRPr="00F452B3">
        <w:t xml:space="preserve"> the security of supply, </w:t>
      </w:r>
      <w:r w:rsidR="00917777" w:rsidRPr="00F452B3">
        <w:t>building on</w:t>
      </w:r>
      <w:r w:rsidR="00917777" w:rsidRPr="006C2B52">
        <w:t xml:space="preserve"> best practices identified in the context of the cooperation of national competent authorities on pricing and reimbursement and public health care payers and detailing procurement practices that support availability and security of supply is appropriate. </w:t>
      </w:r>
    </w:p>
    <w:p w14:paraId="7F25BA0B" w14:textId="7F98823C" w:rsidR="00917777" w:rsidRDefault="001D7C2D" w:rsidP="001D7C2D">
      <w:pPr>
        <w:pStyle w:val="ManualConsidrant"/>
      </w:pPr>
      <w:r w:rsidRPr="001D7C2D">
        <w:t>(30)</w:t>
      </w:r>
      <w:r w:rsidRPr="001D7C2D">
        <w:tab/>
      </w:r>
      <w:r w:rsidR="00917777" w:rsidRPr="3B6F6A98">
        <w:t>The procurement of medicinal products is organised differently across Member States, involving various actors. To strengthen the security of supply chains for critical medicinal products, Member States should establish national programmes that promote the consistent use of procurement criteria by contracting authorities within their territory, including the application of multi-winner approaches where beneficial, based on thorough market analysis. To ensure a comprehensive approach, and considering that critical medicinal products are also relevant for outpatient sector</w:t>
      </w:r>
      <w:r w:rsidR="00917777">
        <w:t xml:space="preserve"> where they are often </w:t>
      </w:r>
      <w:r w:rsidR="00917777" w:rsidRPr="3B6F6A98">
        <w:t xml:space="preserve">not purchased through public procurement, these programmes may also encompass </w:t>
      </w:r>
      <w:r w:rsidR="00917777" w:rsidRPr="00627EDF">
        <w:t xml:space="preserve">measures </w:t>
      </w:r>
      <w:r w:rsidR="00917777" w:rsidRPr="00292DF1">
        <w:rPr>
          <w:lang w:eastAsia="en-GB"/>
        </w:rPr>
        <w:t xml:space="preserve">to strengthen supply chain resilience and sustainability through measures </w:t>
      </w:r>
      <w:r w:rsidR="00917777" w:rsidRPr="00627EDF">
        <w:t>rel</w:t>
      </w:r>
      <w:r w:rsidR="00917777" w:rsidRPr="3B6F6A98">
        <w:t>ated to pricing and reimbursement, where appropriate. The programmes should be shared with the Commission and the Critical Medicines Coordination Group</w:t>
      </w:r>
      <w:r w:rsidR="00917777">
        <w:t xml:space="preserve">, </w:t>
      </w:r>
      <w:r w:rsidR="00917777" w:rsidRPr="3B6F6A98">
        <w:t xml:space="preserve">established by this Regulation, to facilitate the exchange of best practices and coordination between </w:t>
      </w:r>
      <w:r w:rsidR="00917777">
        <w:t xml:space="preserve">the </w:t>
      </w:r>
      <w:r w:rsidR="00917777" w:rsidRPr="3B6F6A98">
        <w:t>Member States. This cooperation should enhance the overall effectiveness of the various measures put forward to secure the supply of critical medicinal products, while respecting the principles of subsidiarity and proportionality.</w:t>
      </w:r>
      <w:r w:rsidR="00F153AA">
        <w:t xml:space="preserve"> </w:t>
      </w:r>
    </w:p>
    <w:p w14:paraId="117F062A" w14:textId="1D0C6557" w:rsidR="00F153AA" w:rsidRPr="00A21FC6" w:rsidRDefault="001D7C2D" w:rsidP="001D7C2D">
      <w:pPr>
        <w:pStyle w:val="ManualConsidrant"/>
      </w:pPr>
      <w:r w:rsidRPr="001D7C2D">
        <w:t>(31)</w:t>
      </w:r>
      <w:r w:rsidRPr="001D7C2D">
        <w:tab/>
      </w:r>
      <w:r w:rsidR="00E75666">
        <w:t>O</w:t>
      </w:r>
      <w:r w:rsidR="00B72734">
        <w:t xml:space="preserve">bligations imposed by the Member States on </w:t>
      </w:r>
      <w:r w:rsidR="00CD6FFF">
        <w:t xml:space="preserve">companies </w:t>
      </w:r>
      <w:r w:rsidR="006918F8">
        <w:t xml:space="preserve">in the pharmaceutical supply chain </w:t>
      </w:r>
      <w:r w:rsidR="00CD6FFF">
        <w:t>to hold contingency stocks</w:t>
      </w:r>
      <w:r w:rsidR="00591B8B">
        <w:t xml:space="preserve"> can have </w:t>
      </w:r>
      <w:r w:rsidR="009348AB">
        <w:t xml:space="preserve">a serious </w:t>
      </w:r>
      <w:r w:rsidR="00591B8B">
        <w:t>negative impact on the internal market and other</w:t>
      </w:r>
      <w:r w:rsidR="009348AB">
        <w:t xml:space="preserve"> Member States. To avoid such </w:t>
      </w:r>
      <w:r w:rsidR="00020D77">
        <w:t xml:space="preserve">an </w:t>
      </w:r>
      <w:r w:rsidR="009348AB">
        <w:t>impact</w:t>
      </w:r>
      <w:r w:rsidR="00CD6FFF">
        <w:t>,</w:t>
      </w:r>
      <w:r w:rsidR="00321A62">
        <w:t xml:space="preserve"> these obligations should </w:t>
      </w:r>
      <w:r w:rsidR="00020D77">
        <w:t>b</w:t>
      </w:r>
      <w:r w:rsidR="00321A62">
        <w:t xml:space="preserve">e designed taking into consideration the </w:t>
      </w:r>
      <w:r w:rsidR="00CD6FFF">
        <w:t>principles of proportionality</w:t>
      </w:r>
      <w:r w:rsidR="00795236">
        <w:t xml:space="preserve">, </w:t>
      </w:r>
      <w:r w:rsidR="00CD6FFF">
        <w:t>transparency</w:t>
      </w:r>
      <w:r w:rsidR="00795236">
        <w:t xml:space="preserve"> and solidarity</w:t>
      </w:r>
      <w:r w:rsidR="00321A62">
        <w:t xml:space="preserve">. The </w:t>
      </w:r>
      <w:r w:rsidR="003F4000">
        <w:t>Member States should give due consideration</w:t>
      </w:r>
      <w:r w:rsidR="00321A62">
        <w:t xml:space="preserve"> to </w:t>
      </w:r>
      <w:r w:rsidR="003F4000">
        <w:t xml:space="preserve">forthcoming Commission </w:t>
      </w:r>
      <w:r w:rsidR="00321A62">
        <w:t>guidelines</w:t>
      </w:r>
      <w:r w:rsidR="003F4000">
        <w:t xml:space="preserve"> </w:t>
      </w:r>
      <w:r w:rsidR="00321A62">
        <w:t>designed</w:t>
      </w:r>
      <w:r w:rsidR="00D812EE">
        <w:t xml:space="preserve"> to facilitate the</w:t>
      </w:r>
      <w:r w:rsidR="007552B9">
        <w:t xml:space="preserve"> fulfilment of Member States</w:t>
      </w:r>
      <w:r w:rsidR="00020D77">
        <w:t>’</w:t>
      </w:r>
      <w:r w:rsidR="007552B9">
        <w:t xml:space="preserve"> obligations as regards the absence of </w:t>
      </w:r>
      <w:r w:rsidR="00020D77">
        <w:t xml:space="preserve">any </w:t>
      </w:r>
      <w:r w:rsidR="007552B9">
        <w:t>negative impact</w:t>
      </w:r>
      <w:r w:rsidR="007004BE">
        <w:t xml:space="preserve"> on </w:t>
      </w:r>
      <w:r w:rsidR="00020D77">
        <w:t xml:space="preserve">the </w:t>
      </w:r>
      <w:r w:rsidR="007004BE">
        <w:t>internal market when proposing and defining the scope and timing of any form of</w:t>
      </w:r>
      <w:r w:rsidR="0064488A">
        <w:t xml:space="preserve"> requirements for companies to hold </w:t>
      </w:r>
      <w:r w:rsidR="00020D77">
        <w:t xml:space="preserve">such </w:t>
      </w:r>
      <w:r w:rsidR="0064488A">
        <w:t>stocks.</w:t>
      </w:r>
    </w:p>
    <w:p w14:paraId="655F37AC" w14:textId="3889E469" w:rsidR="00917777" w:rsidRPr="001E110A" w:rsidRDefault="001D7C2D" w:rsidP="001D7C2D">
      <w:pPr>
        <w:pStyle w:val="ManualConsidrant"/>
      </w:pPr>
      <w:r w:rsidRPr="001D7C2D">
        <w:t>(32)</w:t>
      </w:r>
      <w:r w:rsidRPr="001D7C2D">
        <w:tab/>
      </w:r>
      <w:r w:rsidR="00917777">
        <w:t>Availability and access disparities exist for critical medicinal products and medicinal products of common interest throughout the Union, disproportionately affecting some Member States. The collaborative procurement of critical medicinal products and of medicinal products of common interest can be a powerful tool to improve their security of supply and accessibility.</w:t>
      </w:r>
    </w:p>
    <w:p w14:paraId="10E7AF1C" w14:textId="3FD0639A" w:rsidR="00917777" w:rsidRPr="001E110A" w:rsidRDefault="001D7C2D" w:rsidP="001D7C2D">
      <w:pPr>
        <w:pStyle w:val="ManualConsidrant"/>
      </w:pPr>
      <w:r w:rsidRPr="001D7C2D">
        <w:t>(33)</w:t>
      </w:r>
      <w:r w:rsidRPr="001D7C2D">
        <w:tab/>
      </w:r>
      <w:r w:rsidR="00917777">
        <w:t>Directive 2014/24/EU of the European Parliament and of the Council</w:t>
      </w:r>
      <w:r w:rsidR="00917777">
        <w:rPr>
          <w:rStyle w:val="FootnoteReference"/>
        </w:rPr>
        <w:footnoteReference w:id="74"/>
      </w:r>
      <w:r w:rsidR="00917777">
        <w:t xml:space="preserve"> provides for the possibility of procurement involving contracting authorities from different Member States. Whereas it has been found helpful to make small markets attractive for suppliers, thereby achieving better availability of medicinal products, its implementation is time- and resource-intensive, especially in the starting phase, and considered a limiting factor. To facilitate the deployment of procurement initiatives involving contracting authorities from different Member States, the Commission, when requested, should provide its assistance during the preliminary phase of setting up such a procurement initiative.</w:t>
      </w:r>
    </w:p>
    <w:p w14:paraId="23356EAF" w14:textId="137D0FB6" w:rsidR="00917777" w:rsidRPr="001E110A" w:rsidRDefault="001D7C2D" w:rsidP="001D7C2D">
      <w:pPr>
        <w:pStyle w:val="ManualConsidrant"/>
      </w:pPr>
      <w:r w:rsidRPr="001D7C2D">
        <w:t>(34)</w:t>
      </w:r>
      <w:r w:rsidRPr="001D7C2D">
        <w:tab/>
      </w:r>
      <w:r w:rsidR="00917777">
        <w:t>Taking into account experiences resulting from the implementation of joint procurement of medical countermeasures pursuant to Regulation (EU) 2022/2371 of the European Parliament and of the Council</w:t>
      </w:r>
      <w:r w:rsidR="00917777">
        <w:rPr>
          <w:rStyle w:val="FootnoteReference"/>
        </w:rPr>
        <w:footnoteReference w:id="75"/>
      </w:r>
      <w:r w:rsidR="00917777">
        <w:t xml:space="preserve"> and of COVID-19 vaccines, pursuant to Council Regulation (EU) 2016/369</w:t>
      </w:r>
      <w:r w:rsidR="00917777">
        <w:rPr>
          <w:rStyle w:val="FootnoteReference"/>
        </w:rPr>
        <w:footnoteReference w:id="76"/>
      </w:r>
      <w:r w:rsidR="00917777">
        <w:t xml:space="preserve"> in the context of the EU Vaccines Strategy and acknowledging potential benefits that leveraging of several Member States demand in one procurement procedure may have, Member States should be able to consider the use of joint procurement or to consider requesting the Commission to procure on their behalf, or in their name, where such procurement could contribute to the achievement of the objectives of this Regulation. </w:t>
      </w:r>
    </w:p>
    <w:p w14:paraId="53E3FB2D" w14:textId="7134D931" w:rsidR="00917777" w:rsidRPr="001E110A" w:rsidRDefault="001D7C2D" w:rsidP="001D7C2D">
      <w:pPr>
        <w:pStyle w:val="ManualConsidrant"/>
      </w:pPr>
      <w:r w:rsidRPr="001D7C2D">
        <w:t>(35)</w:t>
      </w:r>
      <w:r w:rsidRPr="001D7C2D">
        <w:tab/>
      </w:r>
      <w:r w:rsidR="00917777">
        <w:t>To ensure that the collaborative procurement initiatives contribute to the achievement of the objectives of this Regulation, while fully respecting the principle of subsidiarity, the Commission</w:t>
      </w:r>
      <w:r w:rsidR="006D2355">
        <w:t>’s</w:t>
      </w:r>
      <w:r w:rsidR="00917777">
        <w:t xml:space="preserve"> involvement in joint procurement and procurement on behalf, or in the name of the Member States, should be limited to defined cases. For this reason derogations from Article 168 (2) and (3) of Regulation (EU, Euratom) 2024/2509 of the European Parliament and of the Council</w:t>
      </w:r>
      <w:r w:rsidR="00917777">
        <w:rPr>
          <w:rStyle w:val="FootnoteReference"/>
        </w:rPr>
        <w:footnoteReference w:id="77"/>
      </w:r>
      <w:r w:rsidR="00917777">
        <w:t xml:space="preserve"> should be provided. </w:t>
      </w:r>
    </w:p>
    <w:p w14:paraId="4EA69BE0" w14:textId="2F8089D7" w:rsidR="00917777" w:rsidRPr="001E110A" w:rsidRDefault="001D7C2D" w:rsidP="001D7C2D">
      <w:pPr>
        <w:pStyle w:val="ManualConsidrant"/>
      </w:pPr>
      <w:r w:rsidRPr="001D7C2D">
        <w:t>(36)</w:t>
      </w:r>
      <w:r w:rsidRPr="001D7C2D">
        <w:tab/>
      </w:r>
      <w:r w:rsidR="00917777">
        <w:t xml:space="preserve">To ensure transparency, legal clarity, and effective coordination, structured agreement between the Member States and the Commission should govern procurement procedures under this Regulation that rely on an active Commission involvement. Such agreement should set out the division of responsibilities, decision-making processes, </w:t>
      </w:r>
      <w:r w:rsidR="00CB37DE" w:rsidRPr="00CB37DE">
        <w:t>the</w:t>
      </w:r>
      <w:r w:rsidR="00CB37DE">
        <w:t xml:space="preserve"> </w:t>
      </w:r>
      <w:r w:rsidR="00CB37DE" w:rsidRPr="00CB37DE">
        <w:t>information to be shared as relevant to the procurement procedure, including information on</w:t>
      </w:r>
      <w:r w:rsidR="00CB37DE">
        <w:t xml:space="preserve"> </w:t>
      </w:r>
      <w:r w:rsidR="00CB37DE" w:rsidRPr="00CB37DE">
        <w:t>M</w:t>
      </w:r>
      <w:r w:rsidR="00CB37DE">
        <w:t xml:space="preserve">ember </w:t>
      </w:r>
      <w:r w:rsidR="00CB37DE" w:rsidRPr="00CB37DE">
        <w:t>S</w:t>
      </w:r>
      <w:r w:rsidR="00CB37DE">
        <w:t>tates</w:t>
      </w:r>
      <w:r w:rsidR="00E326D3">
        <w:t>’</w:t>
      </w:r>
      <w:r w:rsidR="00CB37DE" w:rsidRPr="00CB37DE">
        <w:t xml:space="preserve"> participation in parallel negotiations through different channels in relation to the same medicinal products or the same active </w:t>
      </w:r>
      <w:r w:rsidR="00E326D3">
        <w:t>substances</w:t>
      </w:r>
      <w:r w:rsidR="00E326D3" w:rsidRPr="00CB37DE">
        <w:t xml:space="preserve"> </w:t>
      </w:r>
      <w:r w:rsidR="00CB37DE" w:rsidRPr="00CB37DE">
        <w:t xml:space="preserve">as appropriate, </w:t>
      </w:r>
      <w:r w:rsidR="00917777">
        <w:t>and liability provisions, ensuring a fair and efficient framework for participating Member States while preventing market distortions and supply disruptions. This Regulation is without prejudice to and does not prevent the use of joint procurement procedures established under Regulation (EU) 2022/2371 of the European Parliament and of the Council for those critical medicinal products and other medicinal products that also fall within the definition of medical countermeasures as set out in that Regulation. For such medicinal products, the objective of the joint procurement initiative should determine the applicable framework. Where a joint procurement procedure is initiated with the aim of advance purchasing of these medicinal products as medical countermeasures to prepare for and respond to serious cross-border threats to health, such a procurement procedure should be carried out in accordance with Regulation (EU) 2022/2371. This Regulation is without prejudice to Council Regulation (EU) 2022/2372</w:t>
      </w:r>
      <w:r w:rsidR="00917777">
        <w:rPr>
          <w:rStyle w:val="FootnoteReference"/>
        </w:rPr>
        <w:footnoteReference w:id="78"/>
      </w:r>
      <w:r w:rsidR="00917777">
        <w:t xml:space="preserve"> setting the framework of measures for ensuring the supply of crisis-relevant medical countermeasures in the event of a public health emergency at Union level.</w:t>
      </w:r>
      <w:r w:rsidR="00917777" w:rsidRPr="00664B1A">
        <w:t xml:space="preserve"> </w:t>
      </w:r>
    </w:p>
    <w:p w14:paraId="68B6B438" w14:textId="0E21532C" w:rsidR="00917777" w:rsidRPr="001E110A" w:rsidRDefault="001D7C2D" w:rsidP="001D7C2D">
      <w:pPr>
        <w:pStyle w:val="ManualConsidrant"/>
        <w:rPr>
          <w:lang w:val="en-IE"/>
        </w:rPr>
      </w:pPr>
      <w:r w:rsidRPr="001D7C2D">
        <w:t>(37)</w:t>
      </w:r>
      <w:r w:rsidRPr="001D7C2D">
        <w:tab/>
      </w:r>
      <w:r w:rsidR="00917777" w:rsidRPr="3B6F6A98">
        <w:rPr>
          <w:lang w:val="en-IE"/>
        </w:rPr>
        <w:t>Ensuring a structured and coordinated approach to strengthening the security of supply of critical medicinal products requires collaboration between the Member States and the Commission. To facilitate this,</w:t>
      </w:r>
      <w:r w:rsidR="00917777">
        <w:rPr>
          <w:lang w:val="en-IE"/>
        </w:rPr>
        <w:t xml:space="preserve"> the</w:t>
      </w:r>
      <w:r w:rsidR="00917777" w:rsidRPr="3B6F6A98">
        <w:rPr>
          <w:lang w:val="en-IE"/>
        </w:rPr>
        <w:t xml:space="preserve"> </w:t>
      </w:r>
      <w:r w:rsidR="00917777" w:rsidRPr="3B6F6A98">
        <w:rPr>
          <w:lang w:val="en-US"/>
        </w:rPr>
        <w:t>Critical Medicines Coordination Group (</w:t>
      </w:r>
      <w:r w:rsidR="00917777">
        <w:rPr>
          <w:lang w:val="en-US"/>
        </w:rPr>
        <w:t xml:space="preserve">‘the </w:t>
      </w:r>
      <w:r w:rsidR="00917777" w:rsidRPr="3B6F6A98">
        <w:rPr>
          <w:lang w:val="en-US"/>
        </w:rPr>
        <w:t>C</w:t>
      </w:r>
      <w:r w:rsidR="00917777">
        <w:rPr>
          <w:lang w:val="en-US"/>
        </w:rPr>
        <w:t xml:space="preserve">ritical </w:t>
      </w:r>
      <w:r w:rsidR="00917777" w:rsidRPr="3B6F6A98">
        <w:rPr>
          <w:lang w:val="en-US"/>
        </w:rPr>
        <w:t>M</w:t>
      </w:r>
      <w:r w:rsidR="00917777">
        <w:rPr>
          <w:lang w:val="en-US"/>
        </w:rPr>
        <w:t xml:space="preserve">edicines </w:t>
      </w:r>
      <w:r w:rsidR="00917777" w:rsidRPr="3B6F6A98">
        <w:rPr>
          <w:lang w:val="en-US"/>
        </w:rPr>
        <w:t>G</w:t>
      </w:r>
      <w:r w:rsidR="00917777">
        <w:rPr>
          <w:lang w:val="en-US"/>
        </w:rPr>
        <w:t>roup’</w:t>
      </w:r>
      <w:r w:rsidR="00917777" w:rsidRPr="3B6F6A98">
        <w:rPr>
          <w:lang w:val="en-US"/>
        </w:rPr>
        <w:t>)</w:t>
      </w:r>
      <w:r w:rsidR="00917777">
        <w:rPr>
          <w:lang w:val="en-US"/>
        </w:rPr>
        <w:t xml:space="preserve"> should be established</w:t>
      </w:r>
      <w:r w:rsidR="00917777" w:rsidRPr="00784A02">
        <w:rPr>
          <w:lang w:val="en-IE"/>
        </w:rPr>
        <w:t xml:space="preserve"> </w:t>
      </w:r>
      <w:r w:rsidR="00917777" w:rsidRPr="3B6F6A98">
        <w:rPr>
          <w:lang w:val="en-IE"/>
        </w:rPr>
        <w:t>to facilitate effective coordination across the relevant policy areas</w:t>
      </w:r>
      <w:r w:rsidR="00917777" w:rsidRPr="3B6F6A98">
        <w:rPr>
          <w:lang w:val="en-US"/>
        </w:rPr>
        <w:t xml:space="preserve">. </w:t>
      </w:r>
      <w:r w:rsidR="00917777" w:rsidRPr="3B6F6A98">
        <w:rPr>
          <w:lang w:val="en-IE"/>
        </w:rPr>
        <w:t>The C</w:t>
      </w:r>
      <w:r w:rsidR="00917777">
        <w:rPr>
          <w:lang w:val="en-IE"/>
        </w:rPr>
        <w:t xml:space="preserve">ritical </w:t>
      </w:r>
      <w:r w:rsidR="00917777" w:rsidRPr="3B6F6A98">
        <w:rPr>
          <w:lang w:val="en-IE"/>
        </w:rPr>
        <w:t>M</w:t>
      </w:r>
      <w:r w:rsidR="00917777">
        <w:rPr>
          <w:lang w:val="en-IE"/>
        </w:rPr>
        <w:t xml:space="preserve">edicines </w:t>
      </w:r>
      <w:r w:rsidR="00917777" w:rsidRPr="3B6F6A98">
        <w:rPr>
          <w:lang w:val="en-IE"/>
        </w:rPr>
        <w:t>G</w:t>
      </w:r>
      <w:r w:rsidR="00917777">
        <w:rPr>
          <w:lang w:val="en-IE"/>
        </w:rPr>
        <w:t>roup</w:t>
      </w:r>
      <w:r w:rsidR="00917777" w:rsidRPr="3B6F6A98">
        <w:rPr>
          <w:lang w:val="en-IE"/>
        </w:rPr>
        <w:t xml:space="preserve"> should be composed of high-level representatives of Member States with expertise in medicinal product procurement policies, industrial policy related to pharmaceuticals and public health</w:t>
      </w:r>
      <w:r w:rsidR="00917777">
        <w:rPr>
          <w:lang w:val="en-IE"/>
        </w:rPr>
        <w:t xml:space="preserve">. The Commission should be a member of the group. </w:t>
      </w:r>
      <w:r w:rsidR="00917777">
        <w:t xml:space="preserve">To ensure structured discussions, </w:t>
      </w:r>
      <w:r w:rsidR="00917777" w:rsidRPr="3B6F6A98">
        <w:rPr>
          <w:lang w:val="en-IE"/>
        </w:rPr>
        <w:t>the Commission should chair the C</w:t>
      </w:r>
      <w:r w:rsidR="00917777">
        <w:rPr>
          <w:lang w:val="en-IE"/>
        </w:rPr>
        <w:t xml:space="preserve">ritical </w:t>
      </w:r>
      <w:r w:rsidR="00917777" w:rsidRPr="3B6F6A98">
        <w:rPr>
          <w:lang w:val="en-IE"/>
        </w:rPr>
        <w:t>M</w:t>
      </w:r>
      <w:r w:rsidR="00917777">
        <w:rPr>
          <w:lang w:val="en-IE"/>
        </w:rPr>
        <w:t xml:space="preserve">edicines </w:t>
      </w:r>
      <w:r w:rsidR="00917777" w:rsidRPr="3B6F6A98">
        <w:rPr>
          <w:lang w:val="en-IE"/>
        </w:rPr>
        <w:t>G</w:t>
      </w:r>
      <w:r w:rsidR="00917777">
        <w:rPr>
          <w:lang w:val="en-IE"/>
        </w:rPr>
        <w:t>roup</w:t>
      </w:r>
      <w:r w:rsidR="00917777" w:rsidRPr="3B6F6A98">
        <w:rPr>
          <w:lang w:val="en-IE"/>
        </w:rPr>
        <w:t xml:space="preserve"> and </w:t>
      </w:r>
      <w:r w:rsidR="00917777">
        <w:rPr>
          <w:lang w:val="en-IE"/>
        </w:rPr>
        <w:t>perform the functions of</w:t>
      </w:r>
      <w:r w:rsidR="00917777" w:rsidRPr="3B6F6A98">
        <w:rPr>
          <w:lang w:val="en-IE"/>
        </w:rPr>
        <w:t xml:space="preserve"> its secretariat. </w:t>
      </w:r>
    </w:p>
    <w:p w14:paraId="442CAC00" w14:textId="0222DA67" w:rsidR="00917777" w:rsidRPr="001E110A" w:rsidRDefault="001D7C2D" w:rsidP="001D7C2D">
      <w:pPr>
        <w:pStyle w:val="ManualConsidrant"/>
        <w:rPr>
          <w:rFonts w:eastAsia="Aptos"/>
        </w:rPr>
      </w:pPr>
      <w:r w:rsidRPr="001D7C2D">
        <w:t>(38)</w:t>
      </w:r>
      <w:r w:rsidRPr="001D7C2D">
        <w:tab/>
      </w:r>
      <w:r w:rsidR="00917777">
        <w:rPr>
          <w:lang w:val="en-US"/>
        </w:rPr>
        <w:t>To</w:t>
      </w:r>
      <w:r w:rsidR="00917777" w:rsidRPr="3B6F6A98">
        <w:rPr>
          <w:lang w:val="en-US"/>
        </w:rPr>
        <w:t xml:space="preserve"> ensure coordinated implementation of this Regulation, the C</w:t>
      </w:r>
      <w:r w:rsidR="00917777">
        <w:rPr>
          <w:lang w:val="en-US"/>
        </w:rPr>
        <w:t xml:space="preserve">ritical </w:t>
      </w:r>
      <w:r w:rsidR="00917777" w:rsidRPr="3B6F6A98">
        <w:rPr>
          <w:lang w:val="en-US"/>
        </w:rPr>
        <w:t>M</w:t>
      </w:r>
      <w:r w:rsidR="00917777">
        <w:rPr>
          <w:lang w:val="en-US"/>
        </w:rPr>
        <w:t xml:space="preserve">edicines </w:t>
      </w:r>
      <w:r w:rsidR="00917777" w:rsidRPr="3B6F6A98">
        <w:rPr>
          <w:lang w:val="en-US"/>
        </w:rPr>
        <w:t>G</w:t>
      </w:r>
      <w:r w:rsidR="00917777">
        <w:rPr>
          <w:lang w:val="en-US"/>
        </w:rPr>
        <w:t>roup</w:t>
      </w:r>
      <w:r w:rsidR="00917777" w:rsidRPr="3B6F6A98">
        <w:rPr>
          <w:lang w:val="en-US"/>
        </w:rPr>
        <w:t xml:space="preserve"> should </w:t>
      </w:r>
      <w:r w:rsidR="00917777">
        <w:rPr>
          <w:lang w:val="en-US"/>
        </w:rPr>
        <w:t xml:space="preserve">enable exchanges of information related to funding of strategic projects and facilitate </w:t>
      </w:r>
      <w:r w:rsidR="00917777" w:rsidRPr="3B6F6A98">
        <w:rPr>
          <w:lang w:val="en-US"/>
        </w:rPr>
        <w:t xml:space="preserve">the strategic orientation of financial support for </w:t>
      </w:r>
      <w:r w:rsidR="00917777">
        <w:rPr>
          <w:lang w:val="en-US"/>
        </w:rPr>
        <w:t>s</w:t>
      </w:r>
      <w:r w:rsidR="00917777" w:rsidRPr="3B6F6A98">
        <w:rPr>
          <w:lang w:val="en-US"/>
        </w:rPr>
        <w:t xml:space="preserve">trategic </w:t>
      </w:r>
      <w:r w:rsidR="00917777">
        <w:rPr>
          <w:lang w:val="en-US"/>
        </w:rPr>
        <w:t>p</w:t>
      </w:r>
      <w:r w:rsidR="00917777" w:rsidRPr="3B6F6A98">
        <w:rPr>
          <w:lang w:val="en-US"/>
        </w:rPr>
        <w:t>rojects</w:t>
      </w:r>
      <w:r w:rsidR="00917777">
        <w:rPr>
          <w:lang w:val="en-US"/>
        </w:rPr>
        <w:t>. The Critical Medicines Group should also</w:t>
      </w:r>
      <w:r w:rsidR="00917777" w:rsidRPr="3B6F6A98">
        <w:rPr>
          <w:lang w:val="en-US"/>
        </w:rPr>
        <w:t xml:space="preserve"> facilitate the exchange of information on national programmes</w:t>
      </w:r>
      <w:r w:rsidR="00917777">
        <w:rPr>
          <w:lang w:val="en-US"/>
        </w:rPr>
        <w:t>, including on the approach to contingency stock requirements in public procurement contracts. W</w:t>
      </w:r>
      <w:r w:rsidR="00917777" w:rsidRPr="3B6F6A98">
        <w:rPr>
          <w:lang w:val="en-US"/>
        </w:rPr>
        <w:t>hen relevant, the</w:t>
      </w:r>
      <w:r w:rsidR="00917777">
        <w:rPr>
          <w:lang w:val="en-US"/>
        </w:rPr>
        <w:t xml:space="preserve"> Critical Medicines Group should facilitate the</w:t>
      </w:r>
      <w:r w:rsidR="00917777" w:rsidRPr="3B6F6A98">
        <w:rPr>
          <w:lang w:val="en-US"/>
        </w:rPr>
        <w:t xml:space="preserve"> coordination </w:t>
      </w:r>
      <w:r w:rsidR="00917777">
        <w:rPr>
          <w:lang w:val="en-US"/>
        </w:rPr>
        <w:t>of national programmes</w:t>
      </w:r>
      <w:r w:rsidR="00917777" w:rsidRPr="3B6F6A98">
        <w:rPr>
          <w:lang w:val="en-US"/>
        </w:rPr>
        <w:t>. The C</w:t>
      </w:r>
      <w:r w:rsidR="00917777">
        <w:rPr>
          <w:lang w:val="en-US"/>
        </w:rPr>
        <w:t xml:space="preserve">ritical </w:t>
      </w:r>
      <w:r w:rsidR="00917777" w:rsidRPr="3B6F6A98">
        <w:rPr>
          <w:lang w:val="en-US"/>
        </w:rPr>
        <w:t>M</w:t>
      </w:r>
      <w:r w:rsidR="00917777">
        <w:rPr>
          <w:lang w:val="en-US"/>
        </w:rPr>
        <w:t xml:space="preserve">edicines </w:t>
      </w:r>
      <w:r w:rsidR="00917777" w:rsidRPr="3B6F6A98">
        <w:rPr>
          <w:lang w:val="en-US"/>
        </w:rPr>
        <w:t>G</w:t>
      </w:r>
      <w:r w:rsidR="00917777">
        <w:rPr>
          <w:lang w:val="en-US"/>
        </w:rPr>
        <w:t>roup</w:t>
      </w:r>
      <w:r w:rsidR="00917777" w:rsidRPr="3B6F6A98">
        <w:rPr>
          <w:lang w:val="en-US"/>
        </w:rPr>
        <w:t xml:space="preserve"> </w:t>
      </w:r>
      <w:r w:rsidR="00917777">
        <w:rPr>
          <w:lang w:val="en-US"/>
        </w:rPr>
        <w:t>should furthermore</w:t>
      </w:r>
      <w:r w:rsidR="00917777" w:rsidRPr="3B6F6A98">
        <w:rPr>
          <w:lang w:val="en-US"/>
        </w:rPr>
        <w:t xml:space="preserve"> </w:t>
      </w:r>
      <w:r w:rsidR="00917777">
        <w:rPr>
          <w:lang w:val="en-US"/>
        </w:rPr>
        <w:t>facilitate discussions on</w:t>
      </w:r>
      <w:r w:rsidR="00917777" w:rsidRPr="3B6F6A98">
        <w:rPr>
          <w:lang w:val="en-US"/>
        </w:rPr>
        <w:t xml:space="preserve"> the need to launch a collaborative procurement initiative and the need to prioritise the vulnerability evaluation for </w:t>
      </w:r>
      <w:r w:rsidR="00917777">
        <w:rPr>
          <w:lang w:val="en-US"/>
        </w:rPr>
        <w:t xml:space="preserve">specific </w:t>
      </w:r>
      <w:r w:rsidR="00917777" w:rsidRPr="3B6F6A98">
        <w:rPr>
          <w:lang w:val="en-US"/>
        </w:rPr>
        <w:t xml:space="preserve">critical medicinal products. </w:t>
      </w:r>
    </w:p>
    <w:p w14:paraId="00CF45CF" w14:textId="514FEC23" w:rsidR="00917777" w:rsidRPr="00292DF1" w:rsidRDefault="001D7C2D" w:rsidP="001D7C2D">
      <w:pPr>
        <w:pStyle w:val="ManualConsidrant"/>
        <w:rPr>
          <w:rStyle w:val="eop"/>
        </w:rPr>
      </w:pPr>
      <w:r w:rsidRPr="001D7C2D">
        <w:rPr>
          <w:rStyle w:val="eop"/>
        </w:rPr>
        <w:t>(39)</w:t>
      </w:r>
      <w:r w:rsidRPr="001D7C2D">
        <w:rPr>
          <w:rStyle w:val="eop"/>
        </w:rPr>
        <w:tab/>
      </w:r>
      <w:r w:rsidR="00917777" w:rsidRPr="00292DF1">
        <w:rPr>
          <w:rStyle w:val="normaltextrun"/>
          <w:shd w:val="clear" w:color="auto" w:fill="FFFFFF"/>
        </w:rPr>
        <w:t xml:space="preserve">The Union could further enhance the availability and security of supply of critical medicinal products by providing access to alternative sources of supply in third countries through international trade agreements or other forms of international cooperation. The Union could, to that end, rely on its network of existing trade agreements and additionally pursue strategic partnerships with third countries to further deepen bilateral cooperation, especially with </w:t>
      </w:r>
      <w:r w:rsidR="00917777" w:rsidRPr="000C703B">
        <w:rPr>
          <w:rStyle w:val="normaltextrun"/>
          <w:shd w:val="clear" w:color="auto" w:fill="FFFFFF"/>
        </w:rPr>
        <w:t xml:space="preserve">candidate countries. </w:t>
      </w:r>
      <w:r w:rsidR="00917777" w:rsidRPr="00292DF1">
        <w:rPr>
          <w:rStyle w:val="normaltextrun"/>
          <w:shd w:val="clear" w:color="auto" w:fill="FFFFFF"/>
        </w:rPr>
        <w:t>In this context, the Commission should assess whether existing partnerships effectively address the intended aims or could be further improved</w:t>
      </w:r>
      <w:r w:rsidR="00CA7307">
        <w:rPr>
          <w:rStyle w:val="normaltextrun"/>
          <w:shd w:val="clear" w:color="auto" w:fill="FFFFFF"/>
        </w:rPr>
        <w:t xml:space="preserve"> or</w:t>
      </w:r>
      <w:r w:rsidR="00D362EB">
        <w:rPr>
          <w:rStyle w:val="normaltextrun"/>
          <w:shd w:val="clear" w:color="auto" w:fill="FFFFFF"/>
        </w:rPr>
        <w:t xml:space="preserve"> </w:t>
      </w:r>
      <w:r w:rsidR="00917777" w:rsidRPr="00292DF1">
        <w:rPr>
          <w:rStyle w:val="normaltextrun"/>
          <w:shd w:val="clear" w:color="auto" w:fill="FFFFFF"/>
        </w:rPr>
        <w:t xml:space="preserve">upgraded, and what types of potential partnerships could be concluded with the most relevant third countries. This should be done without prejudice to the prerogatives of the Council in accordance with the Treaties. </w:t>
      </w:r>
    </w:p>
    <w:p w14:paraId="2AB5C674" w14:textId="3D6B1D4D" w:rsidR="00917777" w:rsidRDefault="001D7C2D" w:rsidP="001D7C2D">
      <w:pPr>
        <w:pStyle w:val="ManualConsidrant"/>
        <w:rPr>
          <w:lang w:val="en-IE"/>
        </w:rPr>
      </w:pPr>
      <w:r w:rsidRPr="001D7C2D">
        <w:t>(40)</w:t>
      </w:r>
      <w:r w:rsidRPr="001D7C2D">
        <w:tab/>
      </w:r>
      <w:r w:rsidR="008C354C">
        <w:rPr>
          <w:lang w:val="en-IE"/>
        </w:rPr>
        <w:t xml:space="preserve">To ensure </w:t>
      </w:r>
      <w:r w:rsidR="00D7299A">
        <w:rPr>
          <w:lang w:val="en-IE"/>
        </w:rPr>
        <w:t>the</w:t>
      </w:r>
      <w:r w:rsidR="008C354C">
        <w:rPr>
          <w:lang w:val="en-IE"/>
        </w:rPr>
        <w:t xml:space="preserve"> </w:t>
      </w:r>
      <w:r w:rsidR="005F7F14">
        <w:rPr>
          <w:lang w:val="en-IE"/>
        </w:rPr>
        <w:t xml:space="preserve">application of this Regulation, </w:t>
      </w:r>
      <w:r w:rsidR="001B30C4">
        <w:rPr>
          <w:lang w:val="en-IE"/>
        </w:rPr>
        <w:t>it is necessary</w:t>
      </w:r>
      <w:r w:rsidR="005F7F14">
        <w:rPr>
          <w:lang w:val="en-IE"/>
        </w:rPr>
        <w:t xml:space="preserve"> </w:t>
      </w:r>
      <w:r w:rsidR="00A80A45">
        <w:rPr>
          <w:lang w:val="en-IE"/>
        </w:rPr>
        <w:t xml:space="preserve">that </w:t>
      </w:r>
      <w:r w:rsidR="00937E79">
        <w:rPr>
          <w:lang w:val="en-IE"/>
        </w:rPr>
        <w:t xml:space="preserve">economic operators </w:t>
      </w:r>
      <w:r w:rsidR="00F97AED">
        <w:rPr>
          <w:lang w:val="en-IE"/>
        </w:rPr>
        <w:t xml:space="preserve">make available information and </w:t>
      </w:r>
      <w:r w:rsidR="0000495C">
        <w:rPr>
          <w:lang w:val="en-IE"/>
        </w:rPr>
        <w:t xml:space="preserve">data </w:t>
      </w:r>
      <w:r w:rsidR="00020D77">
        <w:rPr>
          <w:lang w:val="en-IE"/>
        </w:rPr>
        <w:t>to</w:t>
      </w:r>
      <w:r w:rsidR="0000495C">
        <w:rPr>
          <w:lang w:val="en-IE"/>
        </w:rPr>
        <w:t xml:space="preserve"> public authorities</w:t>
      </w:r>
      <w:r w:rsidR="00937E79">
        <w:rPr>
          <w:lang w:val="en-IE"/>
        </w:rPr>
        <w:t xml:space="preserve">. </w:t>
      </w:r>
      <w:r w:rsidR="00917777" w:rsidRPr="006053BD">
        <w:rPr>
          <w:lang w:val="en-IE"/>
        </w:rPr>
        <w:t xml:space="preserve">The Member </w:t>
      </w:r>
      <w:r w:rsidR="00917777">
        <w:rPr>
          <w:lang w:val="en-IE"/>
        </w:rPr>
        <w:t>S</w:t>
      </w:r>
      <w:r w:rsidR="00917777" w:rsidRPr="006053BD">
        <w:rPr>
          <w:lang w:val="en-IE"/>
        </w:rPr>
        <w:t>tates</w:t>
      </w:r>
      <w:r w:rsidR="00917777">
        <w:rPr>
          <w:lang w:val="en-IE"/>
        </w:rPr>
        <w:t xml:space="preserve"> and the Commission</w:t>
      </w:r>
      <w:r w:rsidR="00917777" w:rsidRPr="006053BD">
        <w:rPr>
          <w:lang w:val="en-IE"/>
        </w:rPr>
        <w:t xml:space="preserve"> </w:t>
      </w:r>
      <w:r w:rsidR="00905F34">
        <w:rPr>
          <w:lang w:val="en-IE"/>
        </w:rPr>
        <w:t xml:space="preserve">must therefore </w:t>
      </w:r>
      <w:r w:rsidR="00917777" w:rsidRPr="006053BD">
        <w:rPr>
          <w:lang w:val="en-IE"/>
        </w:rPr>
        <w:t>be able to</w:t>
      </w:r>
      <w:r w:rsidR="00655EDE" w:rsidRPr="00655EDE">
        <w:rPr>
          <w:lang w:val="en-IE"/>
        </w:rPr>
        <w:t xml:space="preserve"> </w:t>
      </w:r>
      <w:r w:rsidR="00655EDE" w:rsidRPr="006053BD">
        <w:rPr>
          <w:lang w:val="en-IE"/>
        </w:rPr>
        <w:t>request</w:t>
      </w:r>
      <w:r w:rsidR="00AA4106">
        <w:rPr>
          <w:lang w:val="en-IE"/>
        </w:rPr>
        <w:t xml:space="preserve">, when </w:t>
      </w:r>
      <w:r w:rsidR="006E01DE">
        <w:rPr>
          <w:lang w:val="en-IE"/>
        </w:rPr>
        <w:t>necessary</w:t>
      </w:r>
      <w:r w:rsidR="00B83F99">
        <w:rPr>
          <w:lang w:val="en-IE"/>
        </w:rPr>
        <w:t xml:space="preserve"> and avoid duplication of information request</w:t>
      </w:r>
      <w:r w:rsidR="00531D9E">
        <w:rPr>
          <w:lang w:val="en-IE"/>
        </w:rPr>
        <w:t>s</w:t>
      </w:r>
      <w:r w:rsidR="00655EDE">
        <w:rPr>
          <w:lang w:val="en-IE"/>
        </w:rPr>
        <w:t>,</w:t>
      </w:r>
      <w:r w:rsidR="00917777" w:rsidRPr="006053BD">
        <w:rPr>
          <w:lang w:val="en-IE"/>
        </w:rPr>
        <w:t xml:space="preserve"> the information necessary for the application of this Regulation</w:t>
      </w:r>
      <w:r w:rsidR="00B95967">
        <w:rPr>
          <w:lang w:val="en-IE"/>
        </w:rPr>
        <w:t>,</w:t>
      </w:r>
      <w:r w:rsidR="008D75C8">
        <w:rPr>
          <w:lang w:val="en-IE"/>
        </w:rPr>
        <w:t xml:space="preserve"> including</w:t>
      </w:r>
      <w:r w:rsidR="001056B3">
        <w:rPr>
          <w:lang w:val="en-IE"/>
        </w:rPr>
        <w:t xml:space="preserve"> its evaluation</w:t>
      </w:r>
      <w:r w:rsidR="00B95967">
        <w:rPr>
          <w:lang w:val="en-IE"/>
        </w:rPr>
        <w:t>,</w:t>
      </w:r>
      <w:r w:rsidR="001056B3">
        <w:rPr>
          <w:lang w:val="en-IE"/>
        </w:rPr>
        <w:t xml:space="preserve"> </w:t>
      </w:r>
      <w:r w:rsidR="00917777" w:rsidRPr="006053BD">
        <w:rPr>
          <w:lang w:val="en-IE"/>
        </w:rPr>
        <w:t xml:space="preserve">from </w:t>
      </w:r>
      <w:r w:rsidR="00B95967">
        <w:rPr>
          <w:lang w:val="en-IE"/>
        </w:rPr>
        <w:t xml:space="preserve">any </w:t>
      </w:r>
      <w:r w:rsidR="00917777" w:rsidRPr="006053BD">
        <w:rPr>
          <w:lang w:val="en-IE"/>
        </w:rPr>
        <w:t>economic operator in the supply and distribution chains of critical medicinal products</w:t>
      </w:r>
      <w:r w:rsidR="00917777">
        <w:rPr>
          <w:lang w:val="en-IE"/>
        </w:rPr>
        <w:t xml:space="preserve"> and medicinal products of common interest. </w:t>
      </w:r>
    </w:p>
    <w:p w14:paraId="1A8B2916" w14:textId="0D8B8B49" w:rsidR="00917777" w:rsidRPr="006622FE" w:rsidRDefault="001D7C2D" w:rsidP="001D7C2D">
      <w:pPr>
        <w:pStyle w:val="ManualConsidrant"/>
        <w:rPr>
          <w:lang w:val="en-IE"/>
        </w:rPr>
      </w:pPr>
      <w:r w:rsidRPr="001D7C2D">
        <w:t>(41)</w:t>
      </w:r>
      <w:r w:rsidRPr="001D7C2D">
        <w:tab/>
      </w:r>
      <w:r w:rsidR="00917777" w:rsidRPr="00CA4C19">
        <w:rPr>
          <w:lang w:val="en-IE"/>
        </w:rPr>
        <w:t>In order to ensure that this Regulation effectively meets its objectives, it is essential to assess its implementation and impact over time. The Commission should carry out a</w:t>
      </w:r>
      <w:r w:rsidR="00917777">
        <w:rPr>
          <w:lang w:val="en-IE"/>
        </w:rPr>
        <w:t>n</w:t>
      </w:r>
      <w:r w:rsidR="00917777" w:rsidRPr="00CA4C19">
        <w:rPr>
          <w:lang w:val="en-IE"/>
        </w:rPr>
        <w:t xml:space="preserve"> evaluation of this Regulation five years after its application and every five years thereafter. This evaluation should include an assessment of the extent to which the Regulation’s objectives, as set out in Article 1, have been achieved, including its impact on stakeholders, regulatory procedures, and market dynamics. In particular, the Commission’s evaluation should take into account the views of Member States, economic operators, and other relevant stakeholders, ensuring that their feedback contributes to the continuous improvement of the regulatory framework. The results of this evaluation should be presented to the European Parliament, the Council, the European Economic and Social Committee</w:t>
      </w:r>
      <w:r w:rsidR="00DE520E">
        <w:rPr>
          <w:lang w:val="en-IE"/>
        </w:rPr>
        <w:t xml:space="preserve"> and the Committee of </w:t>
      </w:r>
      <w:r w:rsidR="009955BD">
        <w:rPr>
          <w:lang w:val="en-IE"/>
        </w:rPr>
        <w:t xml:space="preserve">the </w:t>
      </w:r>
      <w:r w:rsidR="00DE520E">
        <w:rPr>
          <w:lang w:val="en-IE"/>
        </w:rPr>
        <w:t>Regions</w:t>
      </w:r>
      <w:r w:rsidR="00917777" w:rsidRPr="00CA4C19">
        <w:rPr>
          <w:lang w:val="en-IE"/>
        </w:rPr>
        <w:t>. In order to facilitate this evaluation, national authorities and economic operators should provide relevant data and information upon request to support the Commission’s assessment.</w:t>
      </w:r>
    </w:p>
    <w:p w14:paraId="67B3E0E8" w14:textId="12276CF4" w:rsidR="004C5377" w:rsidRPr="00F96E01" w:rsidRDefault="001D7C2D" w:rsidP="001D7C2D">
      <w:pPr>
        <w:pStyle w:val="ManualConsidrant"/>
      </w:pPr>
      <w:r w:rsidRPr="001D7C2D">
        <w:t>(42)</w:t>
      </w:r>
      <w:r w:rsidRPr="001D7C2D">
        <w:tab/>
      </w:r>
      <w:r w:rsidR="00917777" w:rsidRPr="006622FE">
        <w:t xml:space="preserve">Since the objectives of this Regulation to establish a framework to strengthen the availability </w:t>
      </w:r>
      <w:r w:rsidR="00917777" w:rsidRPr="3B6F6A98">
        <w:t xml:space="preserve">and security of supply of critical medicinal products within the Union and to improve the availability and accessibility of </w:t>
      </w:r>
      <w:r w:rsidR="00917777">
        <w:t>medicinal</w:t>
      </w:r>
      <w:r w:rsidR="00917777" w:rsidRPr="3B6F6A98">
        <w:t xml:space="preserve"> products of common interest through coordinated and targeted action of Member States cannot be sufficiently achieved by the Member State</w:t>
      </w:r>
      <w:r w:rsidR="00E82158">
        <w:t>s</w:t>
      </w:r>
      <w:r w:rsidR="00917777" w:rsidRPr="3B6F6A98">
        <w:t xml:space="preserve"> acting alone, but can rather, by reason of its scale, be better achieved at Union level, the Union may adopt measures in accordance with the principle of subsidiarity, as set out in Article 5 of the </w:t>
      </w:r>
      <w:r w:rsidR="00917777">
        <w:t>TFEU</w:t>
      </w:r>
      <w:r w:rsidR="00917777" w:rsidRPr="3B6F6A98">
        <w:t>. In accordance with the principle of proportionality, as set out in that Article, this Regulation does not go beyond what is necessary in order to achieve its objectives</w:t>
      </w:r>
      <w:r w:rsidR="00917777">
        <w:t>.</w:t>
      </w:r>
    </w:p>
    <w:p w14:paraId="7AC81768" w14:textId="77777777" w:rsidR="004C5377" w:rsidRPr="00F96E01" w:rsidRDefault="004C5377">
      <w:pPr>
        <w:pStyle w:val="Formuledadoption"/>
      </w:pPr>
      <w:r w:rsidRPr="00F96E01">
        <w:t>HAVE ADOPTED THIS REGULATION:</w:t>
      </w:r>
    </w:p>
    <w:p w14:paraId="6936E152" w14:textId="77777777" w:rsidR="00917777" w:rsidRPr="006A11B9" w:rsidRDefault="00917777" w:rsidP="00917777">
      <w:pPr>
        <w:pStyle w:val="ChapterTitle"/>
        <w:rPr>
          <w:b w:val="0"/>
          <w:bCs/>
          <w:iCs/>
        </w:rPr>
      </w:pPr>
      <w:r w:rsidRPr="001E110A">
        <w:t>Chapter I</w:t>
      </w:r>
      <w:r>
        <w:br/>
      </w:r>
      <w:r w:rsidRPr="00716D85">
        <w:rPr>
          <w:bCs/>
          <w:iCs/>
        </w:rPr>
        <w:t xml:space="preserve">General </w:t>
      </w:r>
      <w:r w:rsidRPr="001E110A">
        <w:rPr>
          <w:bCs/>
          <w:iCs/>
        </w:rPr>
        <w:t>provisions</w:t>
      </w:r>
    </w:p>
    <w:p w14:paraId="796F0065" w14:textId="77777777" w:rsidR="00917777" w:rsidRPr="00F96E01" w:rsidRDefault="00917777" w:rsidP="00917777">
      <w:pPr>
        <w:pStyle w:val="Titrearticle"/>
      </w:pPr>
      <w:r w:rsidRPr="00F96E01">
        <w:t>Article 1</w:t>
      </w:r>
    </w:p>
    <w:p w14:paraId="326F1B54" w14:textId="77777777" w:rsidR="00917777" w:rsidRPr="00197B17" w:rsidRDefault="00917777" w:rsidP="00917777">
      <w:pPr>
        <w:jc w:val="center"/>
        <w:rPr>
          <w:i/>
          <w:iCs/>
        </w:rPr>
      </w:pPr>
      <w:r w:rsidRPr="6253DC90">
        <w:rPr>
          <w:i/>
          <w:iCs/>
        </w:rPr>
        <w:t>Objectives</w:t>
      </w:r>
      <w:r>
        <w:rPr>
          <w:i/>
          <w:iCs/>
        </w:rPr>
        <w:t xml:space="preserve"> and s</w:t>
      </w:r>
      <w:r w:rsidRPr="00197B17">
        <w:rPr>
          <w:i/>
          <w:iCs/>
        </w:rPr>
        <w:t xml:space="preserve">ubject matter </w:t>
      </w:r>
    </w:p>
    <w:p w14:paraId="6B782A13" w14:textId="3E6819AB" w:rsidR="00917777" w:rsidRPr="001E110A" w:rsidRDefault="00917777" w:rsidP="00917777">
      <w:pPr>
        <w:pStyle w:val="Point0"/>
        <w:rPr>
          <w:rFonts w:eastAsia="Times New Roman"/>
          <w:lang w:eastAsia="en-GB"/>
        </w:rPr>
      </w:pPr>
      <w:r>
        <w:rPr>
          <w:rFonts w:eastAsia="Times New Roman"/>
          <w:lang w:eastAsia="en-GB"/>
        </w:rPr>
        <w:t>1.</w:t>
      </w:r>
      <w:r>
        <w:tab/>
      </w:r>
      <w:r w:rsidRPr="17BCACE3">
        <w:rPr>
          <w:rFonts w:eastAsia="Times New Roman"/>
          <w:lang w:eastAsia="en-GB"/>
        </w:rPr>
        <w:t>The objective of this</w:t>
      </w:r>
      <w:r w:rsidRPr="001E110A">
        <w:rPr>
          <w:rFonts w:eastAsia="Times New Roman"/>
          <w:lang w:eastAsia="en-GB"/>
        </w:rPr>
        <w:t xml:space="preserve"> Regulation</w:t>
      </w:r>
      <w:r>
        <w:rPr>
          <w:rFonts w:eastAsia="Times New Roman"/>
          <w:lang w:eastAsia="en-GB"/>
        </w:rPr>
        <w:t xml:space="preserve"> </w:t>
      </w:r>
      <w:r w:rsidR="00020D77">
        <w:rPr>
          <w:rFonts w:eastAsia="Times New Roman"/>
          <w:lang w:eastAsia="en-GB"/>
        </w:rPr>
        <w:t>is</w:t>
      </w:r>
      <w:r>
        <w:rPr>
          <w:rFonts w:eastAsia="Times New Roman"/>
          <w:lang w:eastAsia="en-GB"/>
        </w:rPr>
        <w:t xml:space="preserve"> to </w:t>
      </w:r>
      <w:r w:rsidRPr="001E110A">
        <w:rPr>
          <w:lang w:eastAsia="en-GB"/>
        </w:rPr>
        <w:t>strengthen the security of supply and the availability of critical medicinal products within the Union</w:t>
      </w:r>
      <w:r w:rsidR="007D732D">
        <w:rPr>
          <w:lang w:eastAsia="en-GB"/>
        </w:rPr>
        <w:t xml:space="preserve">, </w:t>
      </w:r>
      <w:r w:rsidR="00020D77">
        <w:rPr>
          <w:lang w:eastAsia="en-GB"/>
        </w:rPr>
        <w:t xml:space="preserve">thereby </w:t>
      </w:r>
      <w:r w:rsidR="007D732D">
        <w:rPr>
          <w:lang w:eastAsia="en-GB"/>
        </w:rPr>
        <w:t>ensuring a high level of public health</w:t>
      </w:r>
      <w:r w:rsidR="00020D77">
        <w:rPr>
          <w:lang w:eastAsia="en-GB"/>
        </w:rPr>
        <w:t xml:space="preserve"> protection</w:t>
      </w:r>
      <w:r w:rsidR="007D732D">
        <w:rPr>
          <w:lang w:eastAsia="en-GB"/>
        </w:rPr>
        <w:t xml:space="preserve"> and supporting </w:t>
      </w:r>
      <w:r w:rsidR="00402491">
        <w:rPr>
          <w:lang w:eastAsia="en-GB"/>
        </w:rPr>
        <w:t>the</w:t>
      </w:r>
      <w:r w:rsidR="00020D77">
        <w:rPr>
          <w:lang w:eastAsia="en-GB"/>
        </w:rPr>
        <w:t xml:space="preserve"> </w:t>
      </w:r>
      <w:r w:rsidR="001F7FB6">
        <w:rPr>
          <w:lang w:eastAsia="en-GB"/>
        </w:rPr>
        <w:t>security</w:t>
      </w:r>
      <w:r w:rsidR="00306367">
        <w:rPr>
          <w:lang w:eastAsia="en-GB"/>
        </w:rPr>
        <w:t xml:space="preserve"> of the Union</w:t>
      </w:r>
      <w:r w:rsidR="001F7FB6">
        <w:rPr>
          <w:lang w:eastAsia="en-GB"/>
        </w:rPr>
        <w:t xml:space="preserve">. The objective of this Regulation </w:t>
      </w:r>
      <w:r w:rsidR="00C338AF">
        <w:rPr>
          <w:lang w:eastAsia="en-GB"/>
        </w:rPr>
        <w:t>is</w:t>
      </w:r>
      <w:r w:rsidR="00B94CD4">
        <w:rPr>
          <w:lang w:eastAsia="en-GB"/>
        </w:rPr>
        <w:t xml:space="preserve"> also</w:t>
      </w:r>
      <w:r w:rsidR="00C338AF">
        <w:rPr>
          <w:lang w:eastAsia="en-GB"/>
        </w:rPr>
        <w:t xml:space="preserve"> to</w:t>
      </w:r>
      <w:r>
        <w:rPr>
          <w:lang w:eastAsia="en-GB"/>
        </w:rPr>
        <w:t xml:space="preserve"> improve the </w:t>
      </w:r>
      <w:r w:rsidRPr="001E110A">
        <w:rPr>
          <w:rFonts w:eastAsia="Times New Roman"/>
          <w:lang w:eastAsia="en-GB"/>
        </w:rPr>
        <w:t>availability and accessibility of other medicinal products, where the functioning of the market does not otherwise sufficiently ensure the availability and accessibility of th</w:t>
      </w:r>
      <w:r>
        <w:rPr>
          <w:rFonts w:eastAsia="Times New Roman"/>
          <w:lang w:eastAsia="en-GB"/>
        </w:rPr>
        <w:t>o</w:t>
      </w:r>
      <w:r w:rsidRPr="001E110A">
        <w:rPr>
          <w:rFonts w:eastAsia="Times New Roman"/>
          <w:lang w:eastAsia="en-GB"/>
        </w:rPr>
        <w:t>se medicinal products to patients</w:t>
      </w:r>
      <w:r>
        <w:rPr>
          <w:rFonts w:eastAsia="Times New Roman"/>
          <w:lang w:eastAsia="en-GB"/>
        </w:rPr>
        <w:t xml:space="preserve">, </w:t>
      </w:r>
      <w:r w:rsidRPr="006053BD">
        <w:rPr>
          <w:rFonts w:eastAsia="Times New Roman"/>
          <w:lang w:eastAsia="en-GB"/>
        </w:rPr>
        <w:t xml:space="preserve">whilst giving due consideration to </w:t>
      </w:r>
      <w:r w:rsidRPr="00214AEA">
        <w:rPr>
          <w:rFonts w:eastAsia="Times New Roman"/>
          <w:lang w:eastAsia="en-GB"/>
        </w:rPr>
        <w:t>the appropriateness to ensure</w:t>
      </w:r>
      <w:r w:rsidRPr="006053BD">
        <w:rPr>
          <w:rFonts w:eastAsia="Times New Roman"/>
          <w:lang w:eastAsia="en-GB"/>
        </w:rPr>
        <w:t xml:space="preserve"> the affordability of medicinal products</w:t>
      </w:r>
      <w:r w:rsidRPr="001E110A">
        <w:rPr>
          <w:rFonts w:eastAsia="Times New Roman"/>
          <w:lang w:eastAsia="en-GB"/>
        </w:rPr>
        <w:t>.</w:t>
      </w:r>
      <w:r>
        <w:rPr>
          <w:rFonts w:eastAsia="Times New Roman"/>
          <w:lang w:eastAsia="en-GB"/>
        </w:rPr>
        <w:t xml:space="preserve"> </w:t>
      </w:r>
    </w:p>
    <w:p w14:paraId="7BF2FC75" w14:textId="77777777" w:rsidR="00917777" w:rsidRPr="001E110A" w:rsidRDefault="00917777" w:rsidP="00917777">
      <w:pPr>
        <w:pStyle w:val="Point0"/>
        <w:rPr>
          <w:rFonts w:eastAsia="Times New Roman"/>
          <w:lang w:eastAsia="en-GB"/>
        </w:rPr>
      </w:pPr>
      <w:r>
        <w:rPr>
          <w:rFonts w:eastAsia="Times New Roman"/>
          <w:lang w:eastAsia="en-GB"/>
        </w:rPr>
        <w:t>2.</w:t>
      </w:r>
      <w:r>
        <w:rPr>
          <w:rFonts w:eastAsia="Times New Roman"/>
          <w:lang w:eastAsia="en-GB"/>
        </w:rPr>
        <w:tab/>
      </w:r>
      <w:r w:rsidRPr="001E110A">
        <w:rPr>
          <w:rFonts w:eastAsia="Times New Roman"/>
          <w:lang w:eastAsia="en-GB"/>
        </w:rPr>
        <w:t>T</w:t>
      </w:r>
      <w:r>
        <w:rPr>
          <w:rFonts w:eastAsia="Times New Roman"/>
          <w:lang w:eastAsia="en-GB"/>
        </w:rPr>
        <w:t xml:space="preserve">o achieve the objectives referred to in paragraph 1, the Regulation sets out </w:t>
      </w:r>
      <w:r w:rsidRPr="31FE91B8">
        <w:rPr>
          <w:rFonts w:eastAsia="Times New Roman"/>
          <w:lang w:eastAsia="en-GB"/>
        </w:rPr>
        <w:t>a</w:t>
      </w:r>
      <w:r>
        <w:rPr>
          <w:rFonts w:eastAsia="Times New Roman"/>
          <w:lang w:eastAsia="en-GB"/>
        </w:rPr>
        <w:t xml:space="preserve"> framework to</w:t>
      </w:r>
      <w:r w:rsidRPr="001E110A">
        <w:rPr>
          <w:rFonts w:eastAsia="Times New Roman"/>
          <w:lang w:eastAsia="en-GB"/>
        </w:rPr>
        <w:t>:</w:t>
      </w:r>
    </w:p>
    <w:p w14:paraId="33CC0187" w14:textId="77777777" w:rsidR="00917777" w:rsidRPr="001E110A" w:rsidRDefault="00917777" w:rsidP="00917777">
      <w:pPr>
        <w:pStyle w:val="Point1"/>
        <w:rPr>
          <w:rFonts w:eastAsia="Times New Roman"/>
          <w:lang w:eastAsia="en-GB"/>
        </w:rPr>
      </w:pPr>
      <w:r w:rsidRPr="08682112">
        <w:rPr>
          <w:rFonts w:eastAsia="Times New Roman"/>
          <w:lang w:eastAsia="en-GB"/>
        </w:rPr>
        <w:t>(a)</w:t>
      </w:r>
      <w:r>
        <w:tab/>
      </w:r>
      <w:r w:rsidRPr="08682112">
        <w:rPr>
          <w:rFonts w:eastAsia="Times New Roman"/>
          <w:lang w:eastAsia="en-GB"/>
        </w:rPr>
        <w:t>facilitate investments in manufacturing capacity for critical medicinal products, their active substances and other key inputs</w:t>
      </w:r>
      <w:r>
        <w:rPr>
          <w:rFonts w:eastAsia="Times New Roman"/>
          <w:lang w:eastAsia="en-GB"/>
        </w:rPr>
        <w:t xml:space="preserve"> in the Union</w:t>
      </w:r>
      <w:r w:rsidRPr="08682112">
        <w:rPr>
          <w:rFonts w:eastAsia="Times New Roman"/>
          <w:lang w:eastAsia="en-GB"/>
        </w:rPr>
        <w:t>;</w:t>
      </w:r>
    </w:p>
    <w:p w14:paraId="3463569C" w14:textId="77777777" w:rsidR="00917777" w:rsidRPr="001E110A" w:rsidRDefault="00917777" w:rsidP="00917777">
      <w:pPr>
        <w:pStyle w:val="Point1"/>
        <w:rPr>
          <w:rFonts w:eastAsia="Times New Roman"/>
          <w:lang w:eastAsia="en-GB"/>
        </w:rPr>
      </w:pPr>
      <w:r>
        <w:rPr>
          <w:rFonts w:eastAsia="Times New Roman"/>
          <w:lang w:eastAsia="en-GB"/>
        </w:rPr>
        <w:t>(b)</w:t>
      </w:r>
      <w:r>
        <w:rPr>
          <w:rFonts w:eastAsia="Times New Roman"/>
          <w:lang w:eastAsia="en-GB"/>
        </w:rPr>
        <w:tab/>
      </w:r>
      <w:r w:rsidRPr="001E110A">
        <w:rPr>
          <w:rFonts w:eastAsia="Times New Roman"/>
          <w:lang w:eastAsia="en-GB"/>
        </w:rPr>
        <w:t>lower the risk of supply disruptions and strengthen availability by incentivising supply chain</w:t>
      </w:r>
      <w:r>
        <w:rPr>
          <w:rFonts w:eastAsia="Times New Roman"/>
          <w:lang w:eastAsia="en-GB"/>
        </w:rPr>
        <w:t xml:space="preserve"> diversification and resilience</w:t>
      </w:r>
      <w:r w:rsidRPr="001E110A">
        <w:rPr>
          <w:rFonts w:eastAsia="Times New Roman"/>
          <w:lang w:eastAsia="en-GB"/>
        </w:rPr>
        <w:t xml:space="preserve"> in the public procurement procedures of critical medicinal products and other medicinal products of common interest;</w:t>
      </w:r>
    </w:p>
    <w:p w14:paraId="61FE6BD9" w14:textId="77777777" w:rsidR="00917777" w:rsidRDefault="00917777" w:rsidP="00917777">
      <w:pPr>
        <w:pStyle w:val="Point1"/>
        <w:rPr>
          <w:rFonts w:eastAsia="Times New Roman"/>
          <w:lang w:eastAsia="en-GB"/>
        </w:rPr>
      </w:pPr>
      <w:r>
        <w:rPr>
          <w:rFonts w:eastAsia="Times New Roman"/>
          <w:lang w:eastAsia="en-GB"/>
        </w:rPr>
        <w:t>(c)</w:t>
      </w:r>
      <w:r>
        <w:rPr>
          <w:rFonts w:eastAsia="Times New Roman"/>
          <w:lang w:eastAsia="en-GB"/>
        </w:rPr>
        <w:tab/>
      </w:r>
      <w:r w:rsidRPr="001E110A">
        <w:rPr>
          <w:rFonts w:eastAsia="Times New Roman"/>
          <w:lang w:eastAsia="en-GB"/>
        </w:rPr>
        <w:t xml:space="preserve">leverage the aggregated demand of </w:t>
      </w:r>
      <w:r>
        <w:rPr>
          <w:rFonts w:eastAsia="Times New Roman"/>
          <w:lang w:eastAsia="en-GB"/>
        </w:rPr>
        <w:t>participating</w:t>
      </w:r>
      <w:r w:rsidRPr="001E110A">
        <w:rPr>
          <w:rFonts w:eastAsia="Times New Roman"/>
          <w:lang w:eastAsia="en-GB"/>
        </w:rPr>
        <w:t xml:space="preserve"> Member States through collaborative procurement procedures</w:t>
      </w:r>
      <w:r>
        <w:rPr>
          <w:rFonts w:eastAsia="Times New Roman"/>
          <w:lang w:eastAsia="en-GB"/>
        </w:rPr>
        <w:t>, and</w:t>
      </w:r>
    </w:p>
    <w:p w14:paraId="787C411D" w14:textId="77777777" w:rsidR="00917777" w:rsidRDefault="00917777" w:rsidP="00917777">
      <w:pPr>
        <w:pStyle w:val="Point1"/>
        <w:rPr>
          <w:rFonts w:eastAsia="Times New Roman"/>
          <w:lang w:eastAsia="en-GB"/>
        </w:rPr>
      </w:pPr>
      <w:r w:rsidRPr="001B39EB">
        <w:rPr>
          <w:rFonts w:eastAsia="Times New Roman"/>
          <w:lang w:eastAsia="en-GB"/>
        </w:rPr>
        <w:t>(d)</w:t>
      </w:r>
      <w:r>
        <w:tab/>
      </w:r>
      <w:r w:rsidRPr="0061321F">
        <w:rPr>
          <w:rFonts w:eastAsia="Times New Roman"/>
          <w:lang w:eastAsia="en-GB"/>
        </w:rPr>
        <w:t>support the diversification of supply chains also by facilitating</w:t>
      </w:r>
      <w:r w:rsidRPr="001B39EB">
        <w:rPr>
          <w:rFonts w:eastAsia="Times New Roman"/>
          <w:lang w:eastAsia="en-GB"/>
        </w:rPr>
        <w:t xml:space="preserve"> </w:t>
      </w:r>
      <w:r w:rsidRPr="0061321F">
        <w:rPr>
          <w:rFonts w:eastAsia="Times New Roman"/>
          <w:lang w:eastAsia="en-GB"/>
        </w:rPr>
        <w:t xml:space="preserve">the </w:t>
      </w:r>
      <w:r w:rsidRPr="001B39EB">
        <w:rPr>
          <w:rFonts w:eastAsia="Times New Roman"/>
          <w:lang w:eastAsia="en-GB"/>
        </w:rPr>
        <w:t xml:space="preserve">conclusion of strategic </w:t>
      </w:r>
      <w:r w:rsidRPr="0061321F">
        <w:rPr>
          <w:rFonts w:eastAsia="Times New Roman"/>
          <w:lang w:eastAsia="en-GB"/>
        </w:rPr>
        <w:t>partnerships</w:t>
      </w:r>
      <w:r w:rsidRPr="001B39EB">
        <w:rPr>
          <w:rFonts w:eastAsia="Times New Roman"/>
          <w:lang w:eastAsia="en-GB"/>
        </w:rPr>
        <w:t>.</w:t>
      </w:r>
    </w:p>
    <w:p w14:paraId="51DAFB35" w14:textId="77777777" w:rsidR="00917777" w:rsidRDefault="00917777" w:rsidP="00046C83">
      <w:pPr>
        <w:pStyle w:val="Titrearticle"/>
      </w:pPr>
      <w:r w:rsidRPr="001E110A">
        <w:t>Article 2</w:t>
      </w:r>
    </w:p>
    <w:p w14:paraId="58E3FBE4" w14:textId="77777777" w:rsidR="00917777" w:rsidRPr="00046C83" w:rsidRDefault="00917777" w:rsidP="00046C83">
      <w:pPr>
        <w:jc w:val="center"/>
        <w:rPr>
          <w:i/>
          <w:iCs/>
          <w:lang w:val="en-IE"/>
        </w:rPr>
      </w:pPr>
      <w:r w:rsidRPr="00046C83">
        <w:rPr>
          <w:i/>
          <w:iCs/>
          <w:lang w:val="en-US"/>
        </w:rPr>
        <w:t>Scope</w:t>
      </w:r>
    </w:p>
    <w:p w14:paraId="3D43394A" w14:textId="77777777" w:rsidR="00917777" w:rsidRPr="001E110A" w:rsidRDefault="00917777" w:rsidP="00917777">
      <w:pPr>
        <w:pStyle w:val="Point0"/>
        <w:rPr>
          <w:rFonts w:eastAsia="Times New Roman"/>
          <w:lang w:eastAsia="en-GB"/>
        </w:rPr>
      </w:pPr>
      <w:r>
        <w:rPr>
          <w:rFonts w:eastAsia="Times New Roman"/>
          <w:lang w:eastAsia="en-GB"/>
        </w:rPr>
        <w:t>1.</w:t>
      </w:r>
      <w:r>
        <w:rPr>
          <w:rFonts w:eastAsia="Times New Roman"/>
          <w:lang w:eastAsia="en-GB"/>
        </w:rPr>
        <w:tab/>
      </w:r>
      <w:r w:rsidRPr="006053BD">
        <w:rPr>
          <w:rFonts w:eastAsia="Times New Roman"/>
          <w:lang w:eastAsia="en-GB"/>
        </w:rPr>
        <w:t xml:space="preserve">This Regulation applies to the critical medicinal products listed in the Union List of Critical Medicinal Products referred to in Article 131 of </w:t>
      </w:r>
      <w:r w:rsidRPr="006053BD">
        <w:t>Regulation (EU) …/… [</w:t>
      </w:r>
      <w:r w:rsidRPr="006053BD">
        <w:rPr>
          <w:i/>
        </w:rPr>
        <w:t>reference to be added after adoption cf. COM(2023) 193 final</w:t>
      </w:r>
      <w:r w:rsidRPr="006053BD">
        <w:t>].</w:t>
      </w:r>
    </w:p>
    <w:p w14:paraId="56F98F18" w14:textId="572A5111" w:rsidR="00917777" w:rsidRDefault="00917777" w:rsidP="00917777">
      <w:pPr>
        <w:pStyle w:val="Point0"/>
        <w:rPr>
          <w:rFonts w:eastAsia="Times New Roman"/>
          <w:lang w:eastAsia="en-GB"/>
        </w:rPr>
      </w:pPr>
      <w:r>
        <w:rPr>
          <w:rFonts w:eastAsia="Times New Roman"/>
          <w:lang w:eastAsia="en-GB"/>
        </w:rPr>
        <w:t>2.</w:t>
      </w:r>
      <w:r>
        <w:rPr>
          <w:rFonts w:eastAsia="Times New Roman"/>
          <w:lang w:eastAsia="en-GB"/>
        </w:rPr>
        <w:tab/>
        <w:t>Chapter IV and Article 26(2) point (c) also apply to medicinal products of common interest. Chapter III does not apply to medicinal products of common interest.</w:t>
      </w:r>
    </w:p>
    <w:p w14:paraId="3EF362F0" w14:textId="77777777" w:rsidR="00917777" w:rsidRPr="0061321F" w:rsidRDefault="00917777" w:rsidP="00046C83">
      <w:pPr>
        <w:pStyle w:val="Titrearticle"/>
        <w:rPr>
          <w:i w:val="0"/>
          <w:iCs/>
        </w:rPr>
      </w:pPr>
      <w:r w:rsidRPr="0061321F">
        <w:rPr>
          <w:iCs/>
        </w:rPr>
        <w:t>Article 3</w:t>
      </w:r>
    </w:p>
    <w:p w14:paraId="1A275526" w14:textId="77777777" w:rsidR="00917777" w:rsidRPr="0061321F" w:rsidRDefault="00917777" w:rsidP="00917777">
      <w:pPr>
        <w:jc w:val="center"/>
        <w:rPr>
          <w:i/>
          <w:iCs/>
        </w:rPr>
      </w:pPr>
      <w:r w:rsidRPr="0061321F">
        <w:rPr>
          <w:i/>
          <w:iCs/>
        </w:rPr>
        <w:t>Definitions</w:t>
      </w:r>
    </w:p>
    <w:p w14:paraId="71FA62FA" w14:textId="77777777" w:rsidR="00917777" w:rsidRPr="001E110A" w:rsidRDefault="00917777" w:rsidP="00917777">
      <w:r w:rsidRPr="001E110A">
        <w:t>For the purpose of this Regulation, the following definitions shall apply:</w:t>
      </w:r>
    </w:p>
    <w:p w14:paraId="2DB3F84C" w14:textId="0D74D5F1" w:rsidR="00917777" w:rsidRPr="001E110A" w:rsidRDefault="00917777" w:rsidP="00917777">
      <w:pPr>
        <w:pStyle w:val="Point0"/>
        <w:rPr>
          <w:lang w:eastAsia="en-GB"/>
        </w:rPr>
      </w:pPr>
      <w:r w:rsidRPr="6A61AFA6">
        <w:rPr>
          <w:lang w:eastAsia="en-GB"/>
        </w:rPr>
        <w:t>(1)</w:t>
      </w:r>
      <w:r>
        <w:tab/>
      </w:r>
      <w:r w:rsidRPr="6A61AFA6">
        <w:rPr>
          <w:lang w:eastAsia="en-GB"/>
        </w:rPr>
        <w:t xml:space="preserve">‘medicinal product’ means a medicinal product as defined in Article 4 point (1) of </w:t>
      </w:r>
      <w:bookmarkStart w:id="2" w:name="_Hlk191888892"/>
      <w:r w:rsidRPr="6A61AFA6">
        <w:rPr>
          <w:lang w:eastAsia="en-GB"/>
        </w:rPr>
        <w:t>Directive (EU) …/… of the European Parliament and of the Council [</w:t>
      </w:r>
      <w:r w:rsidRPr="6A61AFA6">
        <w:rPr>
          <w:i/>
          <w:iCs/>
          <w:lang w:eastAsia="en-GB"/>
        </w:rPr>
        <w:t>reference to be added to corresponding Article after adoption of cf. COM(2023)192 final</w:t>
      </w:r>
      <w:r w:rsidRPr="6A61AFA6">
        <w:rPr>
          <w:lang w:eastAsia="en-GB"/>
        </w:rPr>
        <w:t>]</w:t>
      </w:r>
      <w:bookmarkEnd w:id="2"/>
      <w:r w:rsidRPr="6A61AFA6">
        <w:rPr>
          <w:lang w:eastAsia="en-GB"/>
        </w:rPr>
        <w:t xml:space="preserve">; </w:t>
      </w:r>
    </w:p>
    <w:p w14:paraId="6C494F9A" w14:textId="77777777" w:rsidR="00917777" w:rsidRPr="001E110A" w:rsidRDefault="00917777" w:rsidP="00917777">
      <w:pPr>
        <w:pStyle w:val="Point0"/>
        <w:rPr>
          <w:rFonts w:eastAsia="Times New Roman"/>
          <w:lang w:eastAsia="en-GB"/>
        </w:rPr>
      </w:pPr>
      <w:r>
        <w:rPr>
          <w:rFonts w:eastAsia="Times New Roman"/>
          <w:lang w:eastAsia="en-GB"/>
        </w:rPr>
        <w:t>(2)</w:t>
      </w:r>
      <w:r>
        <w:tab/>
      </w:r>
      <w:r w:rsidRPr="001E110A">
        <w:rPr>
          <w:rFonts w:eastAsia="Times New Roman"/>
          <w:lang w:eastAsia="en-GB"/>
        </w:rPr>
        <w:t xml:space="preserve">‘key input’ means input material other than </w:t>
      </w:r>
      <w:r w:rsidRPr="15489BED">
        <w:rPr>
          <w:rFonts w:eastAsia="Times New Roman"/>
          <w:lang w:eastAsia="en-GB"/>
        </w:rPr>
        <w:t xml:space="preserve">an </w:t>
      </w:r>
      <w:r w:rsidRPr="001E110A">
        <w:rPr>
          <w:rFonts w:eastAsia="Times New Roman"/>
          <w:lang w:eastAsia="en-GB"/>
        </w:rPr>
        <w:t xml:space="preserve">active substance required in </w:t>
      </w:r>
      <w:r>
        <w:rPr>
          <w:rFonts w:eastAsia="Times New Roman"/>
          <w:lang w:eastAsia="en-GB"/>
        </w:rPr>
        <w:t xml:space="preserve">the </w:t>
      </w:r>
      <w:r w:rsidRPr="001E110A">
        <w:rPr>
          <w:rFonts w:eastAsia="Times New Roman"/>
          <w:lang w:eastAsia="en-GB"/>
        </w:rPr>
        <w:t>manufacturing process of a given medicinal product, including primary packaging materials, excipients, solvents and reagents;</w:t>
      </w:r>
    </w:p>
    <w:p w14:paraId="537FB889" w14:textId="77777777" w:rsidR="00917777" w:rsidRPr="001E110A" w:rsidRDefault="00917777" w:rsidP="00917777">
      <w:pPr>
        <w:pStyle w:val="Point0"/>
        <w:rPr>
          <w:rFonts w:eastAsia="Times New Roman"/>
          <w:lang w:eastAsia="en-GB"/>
        </w:rPr>
      </w:pPr>
      <w:r>
        <w:rPr>
          <w:rFonts w:eastAsia="Times New Roman"/>
          <w:lang w:eastAsia="en-GB"/>
        </w:rPr>
        <w:t>(3)</w:t>
      </w:r>
      <w:r>
        <w:rPr>
          <w:rFonts w:eastAsia="Times New Roman"/>
          <w:lang w:eastAsia="en-GB"/>
        </w:rPr>
        <w:tab/>
      </w:r>
      <w:r w:rsidRPr="001E110A">
        <w:rPr>
          <w:rFonts w:eastAsia="Times New Roman"/>
          <w:lang w:eastAsia="en-GB"/>
        </w:rPr>
        <w:t xml:space="preserve">‘active substance’ means </w:t>
      </w:r>
      <w:r>
        <w:rPr>
          <w:rFonts w:eastAsia="Times New Roman"/>
          <w:lang w:eastAsia="en-GB"/>
        </w:rPr>
        <w:t xml:space="preserve">an </w:t>
      </w:r>
      <w:r w:rsidRPr="001E110A">
        <w:rPr>
          <w:rFonts w:eastAsia="Times New Roman"/>
          <w:lang w:eastAsia="en-GB"/>
        </w:rPr>
        <w:t xml:space="preserve">active substance as defined in Article </w:t>
      </w:r>
      <w:r>
        <w:rPr>
          <w:rFonts w:eastAsia="Times New Roman"/>
          <w:lang w:eastAsia="en-GB"/>
        </w:rPr>
        <w:t>4 point (3)</w:t>
      </w:r>
      <w:r w:rsidRPr="001E110A">
        <w:rPr>
          <w:rFonts w:eastAsia="Times New Roman"/>
          <w:lang w:eastAsia="en-GB"/>
        </w:rPr>
        <w:t xml:space="preserve"> of </w:t>
      </w:r>
      <w:r w:rsidRPr="001E110A">
        <w:rPr>
          <w:lang w:eastAsia="en-GB"/>
        </w:rPr>
        <w:t xml:space="preserve">Directive </w:t>
      </w:r>
      <w:r>
        <w:rPr>
          <w:lang w:eastAsia="en-GB"/>
        </w:rPr>
        <w:t>(EU) …/… [</w:t>
      </w:r>
      <w:r w:rsidRPr="0061321F">
        <w:rPr>
          <w:i/>
          <w:iCs/>
          <w:lang w:eastAsia="en-GB"/>
        </w:rPr>
        <w:t xml:space="preserve">reference to be added to corresponding Article </w:t>
      </w:r>
      <w:r w:rsidRPr="001E110A">
        <w:rPr>
          <w:rFonts w:eastAsia="Times New Roman"/>
          <w:i/>
          <w:lang w:eastAsia="en-GB"/>
        </w:rPr>
        <w:t>after adoption of</w:t>
      </w:r>
      <w:r w:rsidRPr="0061321F">
        <w:rPr>
          <w:i/>
          <w:iCs/>
          <w:lang w:eastAsia="en-GB"/>
        </w:rPr>
        <w:t xml:space="preserve"> </w:t>
      </w:r>
      <w:r w:rsidRPr="001E110A">
        <w:rPr>
          <w:rFonts w:eastAsia="Times New Roman"/>
          <w:i/>
          <w:lang w:eastAsia="en-GB"/>
        </w:rPr>
        <w:t>cf. COM(2023)192 final</w:t>
      </w:r>
      <w:r>
        <w:rPr>
          <w:lang w:eastAsia="en-GB"/>
        </w:rPr>
        <w:t>]</w:t>
      </w:r>
      <w:r w:rsidRPr="001E110A">
        <w:rPr>
          <w:rFonts w:eastAsia="Times New Roman"/>
          <w:lang w:eastAsia="en-GB"/>
        </w:rPr>
        <w:t>;</w:t>
      </w:r>
    </w:p>
    <w:p w14:paraId="65D747B1" w14:textId="77777777" w:rsidR="00917777" w:rsidRPr="001E110A" w:rsidRDefault="00917777" w:rsidP="00917777">
      <w:pPr>
        <w:pStyle w:val="Point0"/>
        <w:rPr>
          <w:rFonts w:eastAsia="Times New Roman"/>
          <w:lang w:eastAsia="en-GB"/>
        </w:rPr>
      </w:pPr>
      <w:bookmarkStart w:id="3" w:name="_Hlk188600619"/>
      <w:r>
        <w:rPr>
          <w:rFonts w:eastAsia="Times New Roman"/>
          <w:lang w:eastAsia="en-GB"/>
        </w:rPr>
        <w:t>(4)</w:t>
      </w:r>
      <w:r>
        <w:rPr>
          <w:rFonts w:eastAsia="Times New Roman"/>
          <w:lang w:eastAsia="en-GB"/>
        </w:rPr>
        <w:tab/>
      </w:r>
      <w:r w:rsidRPr="001E110A">
        <w:rPr>
          <w:rFonts w:eastAsia="Times New Roman"/>
          <w:lang w:eastAsia="en-GB"/>
        </w:rPr>
        <w:t xml:space="preserve">‘critical medicinal product’ </w:t>
      </w:r>
      <w:r w:rsidRPr="000741CF">
        <w:rPr>
          <w:rFonts w:eastAsia="Times New Roman"/>
          <w:lang w:eastAsia="en-GB"/>
        </w:rPr>
        <w:t xml:space="preserve">means a medicinal product for which insufficient supply results in serious harm or risk of serious harm to patients as defined in Article 4 point (13) of </w:t>
      </w:r>
      <w:r w:rsidRPr="000741CF">
        <w:t>Regulation (EU) …/… [</w:t>
      </w:r>
      <w:r w:rsidRPr="000741CF">
        <w:rPr>
          <w:i/>
        </w:rPr>
        <w:t>reference to be added after adoption cf. COM(2023) 193 final</w:t>
      </w:r>
      <w:r w:rsidRPr="000741CF">
        <w:t>]</w:t>
      </w:r>
      <w:r w:rsidRPr="001E110A">
        <w:rPr>
          <w:rFonts w:eastAsia="Times New Roman"/>
          <w:lang w:eastAsia="en-GB"/>
        </w:rPr>
        <w:t>;</w:t>
      </w:r>
    </w:p>
    <w:p w14:paraId="0EE64F09" w14:textId="77777777" w:rsidR="00917777" w:rsidRPr="001E110A" w:rsidRDefault="00917777" w:rsidP="00917777">
      <w:pPr>
        <w:pStyle w:val="Point0"/>
        <w:rPr>
          <w:rFonts w:eastAsia="Times New Roman"/>
          <w:lang w:eastAsia="en-GB"/>
        </w:rPr>
      </w:pPr>
      <w:r>
        <w:rPr>
          <w:rFonts w:eastAsia="Times New Roman"/>
          <w:lang w:eastAsia="en-GB"/>
        </w:rPr>
        <w:t>(5)</w:t>
      </w:r>
      <w:r>
        <w:rPr>
          <w:rFonts w:eastAsia="Times New Roman"/>
          <w:lang w:eastAsia="en-GB"/>
        </w:rPr>
        <w:tab/>
      </w:r>
      <w:r w:rsidRPr="001E110A">
        <w:rPr>
          <w:rFonts w:eastAsia="Times New Roman"/>
          <w:lang w:eastAsia="en-GB"/>
        </w:rPr>
        <w:t xml:space="preserve">‘medicinal product of common interest’ means a medicinal product, other than a critical medicinal product, for which in three or more Member States the functioning of the market does not sufficiently ensure the availability and accessibility to patients in the quantities and presentations necessary to cover the needs of patients in those Member States; </w:t>
      </w:r>
      <w:bookmarkEnd w:id="3"/>
    </w:p>
    <w:p w14:paraId="3472B7CE" w14:textId="449D4972" w:rsidR="00917777" w:rsidRPr="00197B17" w:rsidRDefault="00917777" w:rsidP="00917777">
      <w:pPr>
        <w:pStyle w:val="Point0"/>
      </w:pPr>
      <w:bookmarkStart w:id="4" w:name="_Hlk188962024"/>
      <w:r>
        <w:t>(6)</w:t>
      </w:r>
      <w:r>
        <w:tab/>
      </w:r>
      <w:r w:rsidRPr="00197B17">
        <w:t>‘</w:t>
      </w:r>
      <w:r>
        <w:t>v</w:t>
      </w:r>
      <w:r w:rsidRPr="00197B17">
        <w:t>ulnerability in the supply chains’ means risks and weaknesses within the supply chains of critical medicinal products</w:t>
      </w:r>
      <w:r>
        <w:t>, identified at the aggregated level, taking into account all authorised medicinal products in the EU and grouped under a common name</w:t>
      </w:r>
      <w:r w:rsidRPr="002B7CBD">
        <w:t xml:space="preserve"> </w:t>
      </w:r>
      <w:r>
        <w:t>with the same route of administration and formulation,</w:t>
      </w:r>
      <w:r w:rsidRPr="00197B17">
        <w:t xml:space="preserve"> that compromise the continuous supply of such medicinal products to patients in the Union</w:t>
      </w:r>
      <w:r>
        <w:t>;</w:t>
      </w:r>
    </w:p>
    <w:bookmarkEnd w:id="4"/>
    <w:p w14:paraId="300221C5" w14:textId="4DB474E1" w:rsidR="00917777" w:rsidRPr="001E110A" w:rsidRDefault="00917777" w:rsidP="00917777">
      <w:pPr>
        <w:pStyle w:val="Point0"/>
        <w:rPr>
          <w:rFonts w:eastAsia="Times New Roman"/>
          <w:lang w:eastAsia="en-GB"/>
        </w:rPr>
      </w:pPr>
      <w:r>
        <w:rPr>
          <w:rFonts w:eastAsia="Times New Roman"/>
          <w:lang w:eastAsia="en-GB"/>
        </w:rPr>
        <w:t>(7)</w:t>
      </w:r>
      <w:r>
        <w:rPr>
          <w:rFonts w:eastAsia="Times New Roman"/>
          <w:lang w:eastAsia="en-GB"/>
        </w:rPr>
        <w:tab/>
      </w:r>
      <w:r w:rsidRPr="001E110A">
        <w:rPr>
          <w:rFonts w:eastAsia="Times New Roman"/>
          <w:lang w:eastAsia="en-GB"/>
        </w:rPr>
        <w:t xml:space="preserve">‘vulnerability evaluation’ means the evaluation of the supply chains of critical medicinal products to identify </w:t>
      </w:r>
      <w:r>
        <w:rPr>
          <w:rFonts w:eastAsia="Times New Roman"/>
          <w:lang w:eastAsia="en-GB"/>
        </w:rPr>
        <w:t xml:space="preserve">their </w:t>
      </w:r>
      <w:r w:rsidRPr="001E110A">
        <w:rPr>
          <w:rFonts w:eastAsia="Times New Roman"/>
          <w:lang w:eastAsia="en-GB"/>
        </w:rPr>
        <w:t xml:space="preserve">vulnerabilities </w:t>
      </w:r>
      <w:r>
        <w:rPr>
          <w:rFonts w:eastAsia="Times New Roman"/>
          <w:lang w:eastAsia="en-GB"/>
        </w:rPr>
        <w:t xml:space="preserve">performed by the MSSG </w:t>
      </w:r>
      <w:r w:rsidRPr="001E110A">
        <w:rPr>
          <w:rFonts w:eastAsia="Times New Roman"/>
          <w:lang w:eastAsia="en-GB"/>
        </w:rPr>
        <w:t xml:space="preserve">in accordance </w:t>
      </w:r>
      <w:bookmarkStart w:id="5" w:name="_Hlk189229336"/>
      <w:r>
        <w:rPr>
          <w:rFonts w:eastAsia="Times New Roman"/>
          <w:lang w:eastAsia="en-GB"/>
        </w:rPr>
        <w:t xml:space="preserve">with </w:t>
      </w:r>
      <w:r w:rsidRPr="027CFF77">
        <w:rPr>
          <w:rFonts w:eastAsia="Times New Roman"/>
          <w:lang w:eastAsia="en-GB"/>
        </w:rPr>
        <w:t>Regulation (EU) …/… of the European Parliament and of the Council</w:t>
      </w:r>
      <w:r w:rsidRPr="027CFF77">
        <w:rPr>
          <w:rStyle w:val="FootnoteReference"/>
          <w:rFonts w:eastAsia="Times New Roman"/>
          <w:lang w:eastAsia="en-GB"/>
        </w:rPr>
        <w:footnoteReference w:id="79"/>
      </w:r>
      <w:r w:rsidRPr="027CFF77">
        <w:rPr>
          <w:rFonts w:eastAsia="Times New Roman"/>
          <w:i/>
          <w:iCs/>
          <w:lang w:eastAsia="en-GB"/>
        </w:rPr>
        <w:t xml:space="preserve"> [reference to be added after adoption cf. </w:t>
      </w:r>
      <w:bookmarkEnd w:id="5"/>
      <w:r w:rsidRPr="027CFF77">
        <w:rPr>
          <w:rFonts w:eastAsia="Times New Roman"/>
          <w:i/>
          <w:iCs/>
          <w:lang w:eastAsia="en-GB"/>
        </w:rPr>
        <w:t>COM(2023) 193 final];</w:t>
      </w:r>
    </w:p>
    <w:p w14:paraId="5CD6446D" w14:textId="0308EDFE" w:rsidR="00917777" w:rsidRPr="001E110A" w:rsidRDefault="00917777" w:rsidP="00917777">
      <w:pPr>
        <w:pStyle w:val="Point0"/>
        <w:rPr>
          <w:rFonts w:eastAsia="Times New Roman"/>
          <w:lang w:eastAsia="en-GB"/>
        </w:rPr>
      </w:pPr>
      <w:r>
        <w:rPr>
          <w:rFonts w:eastAsia="Times New Roman"/>
          <w:lang w:eastAsia="en-GB"/>
        </w:rPr>
        <w:t>(8)</w:t>
      </w:r>
      <w:r>
        <w:rPr>
          <w:rFonts w:eastAsia="Times New Roman"/>
          <w:lang w:eastAsia="en-GB"/>
        </w:rPr>
        <w:tab/>
      </w:r>
      <w:r w:rsidRPr="001E110A">
        <w:rPr>
          <w:rFonts w:eastAsia="Times New Roman"/>
          <w:lang w:eastAsia="en-GB"/>
        </w:rPr>
        <w:t xml:space="preserve">‘common name’ means a common name as defined in Article </w:t>
      </w:r>
      <w:r>
        <w:rPr>
          <w:rFonts w:eastAsia="Times New Roman"/>
          <w:lang w:eastAsia="en-GB"/>
        </w:rPr>
        <w:t xml:space="preserve">4 point </w:t>
      </w:r>
      <w:r w:rsidRPr="001E110A">
        <w:rPr>
          <w:rFonts w:eastAsia="Times New Roman"/>
          <w:lang w:eastAsia="en-GB"/>
        </w:rPr>
        <w:t>(</w:t>
      </w:r>
      <w:r>
        <w:rPr>
          <w:rFonts w:eastAsia="Times New Roman"/>
          <w:lang w:eastAsia="en-GB"/>
        </w:rPr>
        <w:t>48</w:t>
      </w:r>
      <w:r w:rsidRPr="001E110A">
        <w:rPr>
          <w:rFonts w:eastAsia="Times New Roman"/>
          <w:lang w:eastAsia="en-GB"/>
        </w:rPr>
        <w:t xml:space="preserve">) of </w:t>
      </w:r>
      <w:r w:rsidRPr="001E110A">
        <w:rPr>
          <w:lang w:eastAsia="en-GB"/>
        </w:rPr>
        <w:t xml:space="preserve">Directive </w:t>
      </w:r>
      <w:r>
        <w:rPr>
          <w:lang w:eastAsia="en-GB"/>
        </w:rPr>
        <w:t>(EU) …/… of the European Parliament and of the Council</w:t>
      </w:r>
      <w:r>
        <w:rPr>
          <w:rStyle w:val="FootnoteReference"/>
          <w:lang w:eastAsia="en-GB"/>
        </w:rPr>
        <w:t xml:space="preserve"> </w:t>
      </w:r>
      <w:r>
        <w:rPr>
          <w:lang w:eastAsia="en-GB"/>
        </w:rPr>
        <w:t>[</w:t>
      </w:r>
      <w:r w:rsidRPr="0061321F">
        <w:rPr>
          <w:i/>
          <w:iCs/>
          <w:lang w:eastAsia="en-GB"/>
        </w:rPr>
        <w:t xml:space="preserve">reference to be added to corresponding Article </w:t>
      </w:r>
      <w:r w:rsidRPr="001E110A">
        <w:rPr>
          <w:rFonts w:eastAsia="Times New Roman"/>
          <w:i/>
          <w:lang w:eastAsia="en-GB"/>
        </w:rPr>
        <w:t>after adoption of</w:t>
      </w:r>
      <w:r w:rsidRPr="0061321F">
        <w:rPr>
          <w:i/>
          <w:iCs/>
          <w:lang w:eastAsia="en-GB"/>
        </w:rPr>
        <w:t xml:space="preserve"> </w:t>
      </w:r>
      <w:r w:rsidRPr="001E110A">
        <w:rPr>
          <w:rFonts w:eastAsia="Times New Roman"/>
          <w:i/>
          <w:lang w:eastAsia="en-GB"/>
        </w:rPr>
        <w:t>cf. COM(2023)192 final</w:t>
      </w:r>
      <w:r>
        <w:rPr>
          <w:lang w:eastAsia="en-GB"/>
        </w:rPr>
        <w:t>]</w:t>
      </w:r>
      <w:r>
        <w:rPr>
          <w:rFonts w:eastAsia="Times New Roman"/>
          <w:lang w:eastAsia="en-GB"/>
        </w:rPr>
        <w:t>;</w:t>
      </w:r>
    </w:p>
    <w:p w14:paraId="230BFCD7" w14:textId="77777777" w:rsidR="00917777" w:rsidRPr="001E110A" w:rsidRDefault="00917777" w:rsidP="00917777">
      <w:pPr>
        <w:pStyle w:val="Point0"/>
        <w:rPr>
          <w:rFonts w:eastAsia="Times New Roman"/>
          <w:lang w:eastAsia="en-GB"/>
        </w:rPr>
      </w:pPr>
      <w:r w:rsidRPr="6A61AFA6">
        <w:rPr>
          <w:rFonts w:eastAsia="Times New Roman"/>
          <w:lang w:eastAsia="en-GB"/>
        </w:rPr>
        <w:t>(9)</w:t>
      </w:r>
      <w:r>
        <w:tab/>
      </w:r>
      <w:r w:rsidRPr="6A61AFA6">
        <w:rPr>
          <w:rFonts w:eastAsia="Times New Roman"/>
          <w:lang w:eastAsia="en-GB"/>
        </w:rPr>
        <w:t>‘contracting authorities’ means contracting authorities as defined in Article 2(1) point (1) of Directive 2014/24/EU;</w:t>
      </w:r>
    </w:p>
    <w:p w14:paraId="1DEF8585" w14:textId="77777777" w:rsidR="00917777" w:rsidRPr="001E110A" w:rsidRDefault="00917777" w:rsidP="00917777">
      <w:pPr>
        <w:pStyle w:val="Point0"/>
        <w:rPr>
          <w:rFonts w:eastAsia="Times New Roman"/>
          <w:lang w:eastAsia="en-GB"/>
        </w:rPr>
      </w:pPr>
      <w:r>
        <w:rPr>
          <w:rFonts w:eastAsia="Times New Roman"/>
          <w:lang w:eastAsia="en-GB"/>
        </w:rPr>
        <w:t>(10)</w:t>
      </w:r>
      <w:r>
        <w:rPr>
          <w:rFonts w:eastAsia="Times New Roman"/>
          <w:lang w:eastAsia="en-GB"/>
        </w:rPr>
        <w:tab/>
      </w:r>
      <w:r w:rsidRPr="001E110A">
        <w:rPr>
          <w:rFonts w:eastAsia="Times New Roman"/>
          <w:lang w:eastAsia="en-GB"/>
        </w:rPr>
        <w:t>‘</w:t>
      </w:r>
      <w:r>
        <w:rPr>
          <w:rFonts w:eastAsia="Times New Roman"/>
          <w:lang w:eastAsia="en-GB"/>
        </w:rPr>
        <w:t>s</w:t>
      </w:r>
      <w:r w:rsidRPr="001E110A">
        <w:rPr>
          <w:rFonts w:eastAsia="Times New Roman"/>
          <w:lang w:eastAsia="en-GB"/>
        </w:rPr>
        <w:t xml:space="preserve">trategic </w:t>
      </w:r>
      <w:r>
        <w:rPr>
          <w:rFonts w:eastAsia="Times New Roman"/>
          <w:lang w:eastAsia="en-GB"/>
        </w:rPr>
        <w:t>p</w:t>
      </w:r>
      <w:r w:rsidRPr="001E110A">
        <w:rPr>
          <w:rFonts w:eastAsia="Times New Roman"/>
          <w:lang w:eastAsia="en-GB"/>
        </w:rPr>
        <w:t xml:space="preserve">roject’ means an industrial project identified pursuant to the criteria set out in Article </w:t>
      </w:r>
      <w:r w:rsidRPr="000741CF">
        <w:rPr>
          <w:rFonts w:eastAsia="Times New Roman"/>
          <w:lang w:eastAsia="en-GB"/>
        </w:rPr>
        <w:t>5</w:t>
      </w:r>
      <w:r w:rsidRPr="001E110A">
        <w:rPr>
          <w:rFonts w:eastAsia="Times New Roman"/>
          <w:lang w:eastAsia="en-GB"/>
        </w:rPr>
        <w:t>;</w:t>
      </w:r>
    </w:p>
    <w:p w14:paraId="08E208C0" w14:textId="77777777" w:rsidR="00917777" w:rsidRPr="001E110A" w:rsidRDefault="00917777" w:rsidP="00917777">
      <w:pPr>
        <w:pStyle w:val="Point0"/>
        <w:rPr>
          <w:rFonts w:eastAsia="Times New Roman"/>
          <w:lang w:eastAsia="en-GB"/>
        </w:rPr>
      </w:pPr>
      <w:r>
        <w:rPr>
          <w:rFonts w:eastAsia="Times New Roman"/>
          <w:lang w:eastAsia="en-GB"/>
        </w:rPr>
        <w:t>(11)</w:t>
      </w:r>
      <w:r>
        <w:rPr>
          <w:rFonts w:eastAsia="Times New Roman"/>
          <w:lang w:eastAsia="en-GB"/>
        </w:rPr>
        <w:tab/>
      </w:r>
      <w:r w:rsidRPr="001E110A">
        <w:rPr>
          <w:rFonts w:eastAsia="Times New Roman"/>
          <w:lang w:eastAsia="en-GB"/>
        </w:rPr>
        <w:t xml:space="preserve">‘project promoter’ means any undertaking or consortium of undertakings developing a </w:t>
      </w:r>
      <w:r>
        <w:rPr>
          <w:rFonts w:eastAsia="Times New Roman"/>
          <w:lang w:eastAsia="en-GB"/>
        </w:rPr>
        <w:t>s</w:t>
      </w:r>
      <w:r w:rsidRPr="001E110A">
        <w:rPr>
          <w:rFonts w:eastAsia="Times New Roman"/>
          <w:lang w:eastAsia="en-GB"/>
        </w:rPr>
        <w:t xml:space="preserve">trategic </w:t>
      </w:r>
      <w:r>
        <w:rPr>
          <w:rFonts w:eastAsia="Times New Roman"/>
          <w:lang w:eastAsia="en-GB"/>
        </w:rPr>
        <w:t>p</w:t>
      </w:r>
      <w:r w:rsidRPr="001E110A">
        <w:rPr>
          <w:rFonts w:eastAsia="Times New Roman"/>
          <w:lang w:eastAsia="en-GB"/>
        </w:rPr>
        <w:t>roject;</w:t>
      </w:r>
    </w:p>
    <w:p w14:paraId="62766186" w14:textId="77777777" w:rsidR="00917777" w:rsidRPr="001E110A" w:rsidRDefault="00917777" w:rsidP="00917777">
      <w:pPr>
        <w:pStyle w:val="Point0"/>
        <w:rPr>
          <w:rFonts w:eastAsia="Times New Roman"/>
          <w:lang w:eastAsia="en-GB"/>
        </w:rPr>
      </w:pPr>
      <w:r>
        <w:rPr>
          <w:rFonts w:eastAsia="Times New Roman"/>
          <w:lang w:eastAsia="en-GB"/>
        </w:rPr>
        <w:t>(12)</w:t>
      </w:r>
      <w:r>
        <w:rPr>
          <w:rFonts w:eastAsia="Times New Roman"/>
          <w:lang w:eastAsia="en-GB"/>
        </w:rPr>
        <w:tab/>
      </w:r>
      <w:r w:rsidRPr="001E110A">
        <w:rPr>
          <w:rFonts w:eastAsia="Times New Roman"/>
          <w:lang w:eastAsia="en-GB"/>
        </w:rPr>
        <w:t xml:space="preserve">‘permit granting process’ means a process covering all relevant permits to build and operate a </w:t>
      </w:r>
      <w:r>
        <w:rPr>
          <w:rFonts w:eastAsia="Times New Roman"/>
          <w:lang w:eastAsia="en-GB"/>
        </w:rPr>
        <w:t>s</w:t>
      </w:r>
      <w:r w:rsidRPr="001E110A">
        <w:rPr>
          <w:rFonts w:eastAsia="Times New Roman"/>
          <w:lang w:eastAsia="en-GB"/>
        </w:rPr>
        <w:t xml:space="preserve">trategic </w:t>
      </w:r>
      <w:r>
        <w:rPr>
          <w:rFonts w:eastAsia="Times New Roman"/>
          <w:lang w:eastAsia="en-GB"/>
        </w:rPr>
        <w:t>p</w:t>
      </w:r>
      <w:r w:rsidRPr="001E110A">
        <w:rPr>
          <w:rFonts w:eastAsia="Times New Roman"/>
          <w:lang w:eastAsia="en-GB"/>
        </w:rPr>
        <w:t>roject, including building, chemical and grid connection permits and environmental assessments and authorisations where those are required and encompassing all applications and procedures;</w:t>
      </w:r>
    </w:p>
    <w:p w14:paraId="72883F39" w14:textId="77777777" w:rsidR="00917777" w:rsidRPr="001E110A" w:rsidRDefault="00917777" w:rsidP="00917777">
      <w:pPr>
        <w:pStyle w:val="Point0"/>
        <w:rPr>
          <w:rFonts w:eastAsia="Times New Roman"/>
          <w:lang w:eastAsia="en-GB"/>
        </w:rPr>
      </w:pPr>
      <w:r>
        <w:rPr>
          <w:rFonts w:eastAsia="Times New Roman"/>
          <w:lang w:eastAsia="en-GB"/>
        </w:rPr>
        <w:t>(13)</w:t>
      </w:r>
      <w:r>
        <w:rPr>
          <w:rFonts w:eastAsia="Times New Roman"/>
          <w:lang w:eastAsia="en-GB"/>
        </w:rPr>
        <w:tab/>
      </w:r>
      <w:r w:rsidRPr="001E110A">
        <w:rPr>
          <w:rFonts w:eastAsia="Times New Roman"/>
          <w:lang w:eastAsia="en-GB"/>
        </w:rPr>
        <w:t xml:space="preserve">‘innovative manufacturing process’ means </w:t>
      </w:r>
      <w:r>
        <w:rPr>
          <w:rFonts w:eastAsia="Times New Roman"/>
          <w:lang w:eastAsia="en-GB"/>
        </w:rPr>
        <w:t xml:space="preserve">a </w:t>
      </w:r>
      <w:r w:rsidRPr="001E110A">
        <w:rPr>
          <w:rFonts w:eastAsia="Times New Roman"/>
          <w:lang w:eastAsia="en-GB"/>
        </w:rPr>
        <w:t>novel manufacturing process and technolog</w:t>
      </w:r>
      <w:r>
        <w:rPr>
          <w:rFonts w:eastAsia="Times New Roman"/>
          <w:lang w:eastAsia="en-GB"/>
        </w:rPr>
        <w:t>y</w:t>
      </w:r>
      <w:r w:rsidRPr="001E110A">
        <w:rPr>
          <w:rFonts w:eastAsia="Times New Roman"/>
          <w:lang w:eastAsia="en-GB"/>
        </w:rPr>
        <w:t xml:space="preserve"> or novel application of </w:t>
      </w:r>
      <w:r>
        <w:rPr>
          <w:rFonts w:eastAsia="Times New Roman"/>
          <w:lang w:eastAsia="en-GB"/>
        </w:rPr>
        <w:t xml:space="preserve">an </w:t>
      </w:r>
      <w:r w:rsidRPr="001E110A">
        <w:rPr>
          <w:rFonts w:eastAsia="Times New Roman"/>
          <w:lang w:eastAsia="en-GB"/>
        </w:rPr>
        <w:t>existing technolog</w:t>
      </w:r>
      <w:r>
        <w:rPr>
          <w:rFonts w:eastAsia="Times New Roman"/>
          <w:lang w:eastAsia="en-GB"/>
        </w:rPr>
        <w:t>y</w:t>
      </w:r>
      <w:r w:rsidRPr="001E110A">
        <w:rPr>
          <w:rFonts w:eastAsia="Times New Roman"/>
          <w:lang w:eastAsia="en-GB"/>
        </w:rPr>
        <w:t xml:space="preserve">, including, but not limited to, decentralised manufacturing, continuous manufacturing, Artificial Intelligence, platform techniques, 3D manufacturing; </w:t>
      </w:r>
    </w:p>
    <w:p w14:paraId="6FEE5CF9" w14:textId="77777777" w:rsidR="00917777" w:rsidRPr="001E110A" w:rsidRDefault="00917777" w:rsidP="00917777">
      <w:pPr>
        <w:pStyle w:val="Point0"/>
        <w:rPr>
          <w:rFonts w:eastAsia="Times New Roman"/>
          <w:lang w:eastAsia="en-GB"/>
        </w:rPr>
      </w:pPr>
      <w:r>
        <w:rPr>
          <w:rFonts w:eastAsia="Times New Roman"/>
          <w:lang w:eastAsia="en-GB"/>
        </w:rPr>
        <w:t>(15)</w:t>
      </w:r>
      <w:r>
        <w:rPr>
          <w:rFonts w:eastAsia="Times New Roman"/>
          <w:lang w:eastAsia="en-GB"/>
        </w:rPr>
        <w:tab/>
      </w:r>
      <w:r w:rsidRPr="001E110A">
        <w:rPr>
          <w:rFonts w:eastAsia="Times New Roman"/>
          <w:lang w:eastAsia="en-GB"/>
        </w:rPr>
        <w:t>‘Member States’ cross-border procurement’ means a procurement procedure initiated between the contracting authorities from different Member States on the basis of Article 39 of Directive 2014/24/EC;</w:t>
      </w:r>
    </w:p>
    <w:p w14:paraId="2671B29F" w14:textId="77777777" w:rsidR="00917777" w:rsidRPr="001E110A" w:rsidRDefault="00917777" w:rsidP="00917777">
      <w:pPr>
        <w:pStyle w:val="Point0"/>
        <w:rPr>
          <w:rFonts w:eastAsia="Times New Roman"/>
          <w:lang w:eastAsia="en-GB"/>
        </w:rPr>
      </w:pPr>
      <w:r>
        <w:rPr>
          <w:rFonts w:eastAsia="Times New Roman"/>
          <w:lang w:eastAsia="en-GB"/>
        </w:rPr>
        <w:t>(16)</w:t>
      </w:r>
      <w:r>
        <w:rPr>
          <w:rFonts w:eastAsia="Times New Roman"/>
          <w:lang w:eastAsia="en-GB"/>
        </w:rPr>
        <w:tab/>
      </w:r>
      <w:r w:rsidRPr="001E110A">
        <w:rPr>
          <w:rFonts w:eastAsia="Times New Roman"/>
          <w:lang w:eastAsia="en-GB"/>
        </w:rPr>
        <w:t>‘procurement on behalf of or in the name of the Member States’ means a procurement</w:t>
      </w:r>
      <w:r>
        <w:rPr>
          <w:rFonts w:eastAsia="Times New Roman"/>
          <w:lang w:eastAsia="en-GB"/>
        </w:rPr>
        <w:t xml:space="preserve"> procedure</w:t>
      </w:r>
      <w:r w:rsidRPr="001E110A">
        <w:rPr>
          <w:rFonts w:eastAsia="Times New Roman"/>
          <w:lang w:eastAsia="en-GB"/>
        </w:rPr>
        <w:t xml:space="preserve"> initiated at the request of Member States </w:t>
      </w:r>
      <w:r>
        <w:rPr>
          <w:rFonts w:eastAsia="Times New Roman"/>
          <w:lang w:eastAsia="en-GB"/>
        </w:rPr>
        <w:t xml:space="preserve">and </w:t>
      </w:r>
      <w:r w:rsidRPr="001E110A">
        <w:rPr>
          <w:rFonts w:eastAsia="Times New Roman"/>
          <w:lang w:eastAsia="en-GB"/>
        </w:rPr>
        <w:t xml:space="preserve">mandating the Commission to act as a central purchasing body on behalf of, or in the name of, </w:t>
      </w:r>
      <w:r>
        <w:rPr>
          <w:rFonts w:eastAsia="Times New Roman"/>
          <w:lang w:eastAsia="en-GB"/>
        </w:rPr>
        <w:t xml:space="preserve">the </w:t>
      </w:r>
      <w:r w:rsidRPr="001E110A">
        <w:rPr>
          <w:rFonts w:eastAsia="Times New Roman"/>
          <w:lang w:eastAsia="en-GB"/>
        </w:rPr>
        <w:t xml:space="preserve">requesting Member States, as provided for in Article 168(3) of Regulation (EU) 2024/2509; </w:t>
      </w:r>
    </w:p>
    <w:p w14:paraId="72DE4278" w14:textId="77777777" w:rsidR="00917777" w:rsidRPr="001E110A" w:rsidRDefault="00917777" w:rsidP="00917777">
      <w:pPr>
        <w:pStyle w:val="Point0"/>
        <w:rPr>
          <w:rFonts w:eastAsia="Times New Roman"/>
          <w:lang w:eastAsia="en-GB"/>
        </w:rPr>
      </w:pPr>
      <w:r>
        <w:rPr>
          <w:rFonts w:eastAsia="Times New Roman"/>
          <w:lang w:eastAsia="en-GB"/>
        </w:rPr>
        <w:t>(17)</w:t>
      </w:r>
      <w:r>
        <w:rPr>
          <w:rFonts w:eastAsia="Times New Roman"/>
          <w:lang w:eastAsia="en-GB"/>
        </w:rPr>
        <w:tab/>
      </w:r>
      <w:r w:rsidRPr="001E110A">
        <w:rPr>
          <w:rFonts w:eastAsia="Times New Roman"/>
          <w:lang w:eastAsia="en-GB"/>
        </w:rPr>
        <w:t>‘joint procurement’ means a procurement procedure carried out jointly by the Commission and Member States, as provided for in Article 168(2) of Regulation (EU)</w:t>
      </w:r>
      <w:r>
        <w:rPr>
          <w:rFonts w:eastAsia="Times New Roman"/>
          <w:lang w:eastAsia="en-GB"/>
        </w:rPr>
        <w:t xml:space="preserve"> </w:t>
      </w:r>
      <w:r w:rsidRPr="001E110A">
        <w:rPr>
          <w:rFonts w:eastAsia="Times New Roman"/>
          <w:lang w:eastAsia="en-GB"/>
        </w:rPr>
        <w:t>2024/2509;</w:t>
      </w:r>
    </w:p>
    <w:p w14:paraId="53A8E516" w14:textId="77777777" w:rsidR="00917777" w:rsidRPr="00046C83" w:rsidRDefault="00917777" w:rsidP="00917777">
      <w:pPr>
        <w:pStyle w:val="Point0"/>
        <w:rPr>
          <w:rFonts w:eastAsia="Times New Roman"/>
          <w:lang w:eastAsia="en-GB"/>
        </w:rPr>
      </w:pPr>
      <w:r w:rsidRPr="284DA4C8">
        <w:rPr>
          <w:rFonts w:eastAsia="Times New Roman"/>
          <w:lang w:eastAsia="en-GB"/>
        </w:rPr>
        <w:t>(18)</w:t>
      </w:r>
      <w:r>
        <w:tab/>
      </w:r>
      <w:r w:rsidRPr="00182A60">
        <w:rPr>
          <w:rFonts w:eastAsia="Times New Roman"/>
          <w:lang w:eastAsia="en-GB"/>
        </w:rPr>
        <w:t>‘supplier’ means the manufacturer or marketing authorisation holder of finished dosage forms, or manufacturer of key inputs or active substances;</w:t>
      </w:r>
    </w:p>
    <w:p w14:paraId="116961A0" w14:textId="77777777" w:rsidR="00917777" w:rsidRDefault="00917777" w:rsidP="00917777">
      <w:pPr>
        <w:pStyle w:val="Point0"/>
        <w:rPr>
          <w:rFonts w:eastAsia="Times New Roman"/>
          <w:lang w:eastAsia="en-GB"/>
        </w:rPr>
      </w:pPr>
      <w:r>
        <w:rPr>
          <w:rFonts w:eastAsia="Times New Roman"/>
          <w:lang w:eastAsia="en-GB"/>
        </w:rPr>
        <w:t>(19)</w:t>
      </w:r>
      <w:r>
        <w:rPr>
          <w:rFonts w:eastAsia="Times New Roman"/>
          <w:lang w:eastAsia="en-GB"/>
        </w:rPr>
        <w:tab/>
      </w:r>
      <w:r w:rsidRPr="001E110A">
        <w:rPr>
          <w:rFonts w:eastAsia="Times New Roman"/>
          <w:lang w:eastAsia="en-GB"/>
        </w:rPr>
        <w:t>‘strategic partnership’ means a commitment between the Union and a third country, group of third countries or international organisations to increase cooperation related to one or more critical medicinal products that is established through a non-binding instrument and which facilitates beneficial outcomes for both the Union and the relevant third country, group of third countries or international organisation</w:t>
      </w:r>
      <w:r>
        <w:rPr>
          <w:rFonts w:eastAsia="Times New Roman"/>
          <w:lang w:eastAsia="en-GB"/>
        </w:rPr>
        <w:t>.</w:t>
      </w:r>
    </w:p>
    <w:p w14:paraId="12D2E86E" w14:textId="77777777" w:rsidR="00046C83" w:rsidRPr="001E110A" w:rsidRDefault="00046C83" w:rsidP="00046C83">
      <w:pPr>
        <w:rPr>
          <w:lang w:eastAsia="en-GB"/>
        </w:rPr>
      </w:pPr>
    </w:p>
    <w:p w14:paraId="402B8B5E" w14:textId="77777777" w:rsidR="00917777" w:rsidRPr="00046C83" w:rsidRDefault="00917777" w:rsidP="00046C83">
      <w:pPr>
        <w:pStyle w:val="ChapterTitle"/>
      </w:pPr>
      <w:r w:rsidRPr="001E110A">
        <w:t>Chapter II</w:t>
      </w:r>
      <w:r>
        <w:br/>
      </w:r>
      <w:r w:rsidRPr="001E110A">
        <w:t>Strengthening the Union’s security of supply</w:t>
      </w:r>
    </w:p>
    <w:p w14:paraId="618E72F5" w14:textId="77777777" w:rsidR="00917777" w:rsidRPr="001E110A" w:rsidRDefault="00917777" w:rsidP="00917777">
      <w:pPr>
        <w:pStyle w:val="Titrearticle"/>
      </w:pPr>
      <w:r w:rsidRPr="001E110A">
        <w:t xml:space="preserve">Article </w:t>
      </w:r>
      <w:r>
        <w:t>4</w:t>
      </w:r>
    </w:p>
    <w:p w14:paraId="30DD0ABB" w14:textId="77777777" w:rsidR="00917777" w:rsidRPr="00182A60" w:rsidRDefault="00917777" w:rsidP="00917777">
      <w:pPr>
        <w:jc w:val="center"/>
        <w:rPr>
          <w:i/>
        </w:rPr>
      </w:pPr>
      <w:r w:rsidRPr="00182A60">
        <w:rPr>
          <w:i/>
        </w:rPr>
        <w:t>Strategic objective of the Union</w:t>
      </w:r>
    </w:p>
    <w:p w14:paraId="2AF166BA" w14:textId="77777777" w:rsidR="00917777" w:rsidRPr="00182A60" w:rsidRDefault="00917777" w:rsidP="00917777">
      <w:pPr>
        <w:pStyle w:val="Point0"/>
        <w:rPr>
          <w:lang w:val="en-US"/>
        </w:rPr>
      </w:pPr>
      <w:r w:rsidRPr="00182A60">
        <w:rPr>
          <w:lang w:val="en-US"/>
        </w:rPr>
        <w:t>1.</w:t>
      </w:r>
      <w:r>
        <w:tab/>
      </w:r>
      <w:r w:rsidRPr="00182A60">
        <w:rPr>
          <w:lang w:val="en-US"/>
        </w:rPr>
        <w:t>The security of supply and availability of critical medicinal products for patients is a strategic objective of the Union.</w:t>
      </w:r>
      <w:r w:rsidRPr="284DA4C8">
        <w:rPr>
          <w:lang w:val="en-US"/>
        </w:rPr>
        <w:t xml:space="preserve"> </w:t>
      </w:r>
    </w:p>
    <w:p w14:paraId="09FEA94B" w14:textId="77777777" w:rsidR="00917777" w:rsidRPr="00182A60" w:rsidRDefault="00917777" w:rsidP="00917777">
      <w:pPr>
        <w:pStyle w:val="Point0"/>
        <w:rPr>
          <w:lang w:val="en-US"/>
        </w:rPr>
      </w:pPr>
      <w:r w:rsidRPr="00182A60">
        <w:rPr>
          <w:lang w:val="en-US"/>
        </w:rPr>
        <w:t>2.</w:t>
      </w:r>
      <w:r>
        <w:tab/>
      </w:r>
      <w:r w:rsidRPr="00182A60">
        <w:rPr>
          <w:lang w:val="en-US"/>
        </w:rPr>
        <w:t>The Member States and the Commission shall work together to strengthen the security of supply and continuous availability of critical medicinal products in the Union through measures that take full advantage of the potential of the internal market.</w:t>
      </w:r>
      <w:r w:rsidRPr="284DA4C8">
        <w:rPr>
          <w:lang w:val="en-US"/>
        </w:rPr>
        <w:t xml:space="preserve"> </w:t>
      </w:r>
    </w:p>
    <w:p w14:paraId="09B14CCF" w14:textId="77777777" w:rsidR="00917777" w:rsidRDefault="00917777" w:rsidP="00917777">
      <w:pPr>
        <w:pStyle w:val="Point0"/>
        <w:rPr>
          <w:lang w:val="en-US"/>
        </w:rPr>
      </w:pPr>
      <w:r w:rsidRPr="00182A60">
        <w:rPr>
          <w:lang w:val="en-US"/>
        </w:rPr>
        <w:t>3.</w:t>
      </w:r>
      <w:r>
        <w:tab/>
      </w:r>
      <w:r w:rsidRPr="00182A60">
        <w:rPr>
          <w:lang w:val="en-US"/>
        </w:rPr>
        <w:t>The Commission shall support the coordinated efforts of the Members States.</w:t>
      </w:r>
      <w:r w:rsidRPr="284DA4C8">
        <w:rPr>
          <w:lang w:val="en-US"/>
        </w:rPr>
        <w:t xml:space="preserve"> </w:t>
      </w:r>
    </w:p>
    <w:p w14:paraId="71DC5B44" w14:textId="77777777" w:rsidR="00046C83" w:rsidRPr="00182A60" w:rsidRDefault="00046C83" w:rsidP="00046C83">
      <w:pPr>
        <w:rPr>
          <w:lang w:val="en-US"/>
        </w:rPr>
      </w:pPr>
    </w:p>
    <w:p w14:paraId="2DA63724" w14:textId="77777777" w:rsidR="00917777" w:rsidRDefault="00917777" w:rsidP="00917777">
      <w:pPr>
        <w:pStyle w:val="ChapterTitle"/>
      </w:pPr>
      <w:r w:rsidRPr="001E110A">
        <w:t>Chapter I</w:t>
      </w:r>
      <w:r>
        <w:t>II</w:t>
      </w:r>
      <w:r>
        <w:br/>
      </w:r>
      <w:r w:rsidRPr="001E110A">
        <w:t>Enabling conditions for investment</w:t>
      </w:r>
    </w:p>
    <w:p w14:paraId="5C9E283C" w14:textId="77777777" w:rsidR="00917777" w:rsidRPr="00F918B5" w:rsidRDefault="00917777" w:rsidP="00046C83">
      <w:pPr>
        <w:pStyle w:val="SectionTitle"/>
      </w:pPr>
      <w:r w:rsidRPr="00F918B5">
        <w:t>Section I</w:t>
      </w:r>
    </w:p>
    <w:p w14:paraId="3A7A5C91" w14:textId="77777777" w:rsidR="00917777" w:rsidRPr="003F58DC" w:rsidRDefault="00917777" w:rsidP="00046C83">
      <w:pPr>
        <w:pStyle w:val="SectionTitle"/>
        <w:rPr>
          <w:szCs w:val="32"/>
        </w:rPr>
      </w:pPr>
      <w:r w:rsidRPr="00F918B5">
        <w:rPr>
          <w:bCs/>
          <w:sz w:val="32"/>
          <w:szCs w:val="32"/>
        </w:rPr>
        <w:t xml:space="preserve">Criteria and procedure for the recognition of </w:t>
      </w:r>
      <w:r>
        <w:rPr>
          <w:bCs/>
          <w:sz w:val="32"/>
          <w:szCs w:val="32"/>
        </w:rPr>
        <w:t>s</w:t>
      </w:r>
      <w:r w:rsidRPr="00F918B5">
        <w:rPr>
          <w:bCs/>
          <w:sz w:val="32"/>
          <w:szCs w:val="32"/>
        </w:rPr>
        <w:t xml:space="preserve">trategic </w:t>
      </w:r>
      <w:r>
        <w:rPr>
          <w:bCs/>
          <w:sz w:val="32"/>
          <w:szCs w:val="32"/>
        </w:rPr>
        <w:t>p</w:t>
      </w:r>
      <w:r w:rsidRPr="00F918B5">
        <w:rPr>
          <w:bCs/>
          <w:sz w:val="32"/>
          <w:szCs w:val="32"/>
        </w:rPr>
        <w:t>rojects</w:t>
      </w:r>
    </w:p>
    <w:p w14:paraId="033DE731" w14:textId="77777777" w:rsidR="00917777" w:rsidRPr="001E110A" w:rsidRDefault="00917777" w:rsidP="00917777">
      <w:pPr>
        <w:pStyle w:val="Titrearticle"/>
      </w:pPr>
      <w:r w:rsidRPr="001E110A">
        <w:t xml:space="preserve">Article </w:t>
      </w:r>
      <w:r>
        <w:t>5</w:t>
      </w:r>
    </w:p>
    <w:p w14:paraId="78DB0555" w14:textId="77777777" w:rsidR="00917777" w:rsidRPr="001E110A" w:rsidRDefault="00917777" w:rsidP="00917777">
      <w:pPr>
        <w:jc w:val="center"/>
        <w:rPr>
          <w:i/>
        </w:rPr>
      </w:pPr>
      <w:r w:rsidRPr="001E110A">
        <w:rPr>
          <w:i/>
        </w:rPr>
        <w:t>Strategic Projects</w:t>
      </w:r>
    </w:p>
    <w:p w14:paraId="0568997A" w14:textId="77777777" w:rsidR="00917777" w:rsidRPr="001E110A" w:rsidRDefault="00917777" w:rsidP="00917777">
      <w:r w:rsidRPr="001E110A">
        <w:t>A project located in the Union</w:t>
      </w:r>
      <w:r>
        <w:t xml:space="preserve"> and</w:t>
      </w:r>
      <w:r w:rsidRPr="001E110A">
        <w:t xml:space="preserve"> related to creating or increasing manufacturing capacity shall be considered as a </w:t>
      </w:r>
      <w:r>
        <w:t>s</w:t>
      </w:r>
      <w:r w:rsidRPr="001E110A">
        <w:t xml:space="preserve">trategic </w:t>
      </w:r>
      <w:r>
        <w:t>p</w:t>
      </w:r>
      <w:r w:rsidRPr="001E110A">
        <w:t>roject if it meets at least one of the following criteria:</w:t>
      </w:r>
    </w:p>
    <w:p w14:paraId="18D490A6" w14:textId="77777777" w:rsidR="00917777" w:rsidRPr="001E110A" w:rsidRDefault="00917777" w:rsidP="00917777">
      <w:pPr>
        <w:pStyle w:val="Point0"/>
        <w:rPr>
          <w:rFonts w:eastAsia="Times New Roman"/>
          <w:lang w:eastAsia="en-GB"/>
        </w:rPr>
      </w:pPr>
      <w:r>
        <w:rPr>
          <w:rFonts w:eastAsia="Times New Roman"/>
          <w:lang w:eastAsia="en-GB"/>
        </w:rPr>
        <w:t>(a)</w:t>
      </w:r>
      <w:r>
        <w:rPr>
          <w:rFonts w:eastAsia="Times New Roman"/>
          <w:lang w:eastAsia="en-GB"/>
        </w:rPr>
        <w:tab/>
        <w:t>it</w:t>
      </w:r>
      <w:r w:rsidRPr="001E110A">
        <w:rPr>
          <w:rFonts w:eastAsia="Times New Roman"/>
          <w:lang w:eastAsia="en-GB"/>
        </w:rPr>
        <w:t xml:space="preserve"> creates or increases manufacturing capacity for one or more critical medicinal products or</w:t>
      </w:r>
      <w:r>
        <w:rPr>
          <w:rFonts w:eastAsia="Times New Roman"/>
          <w:lang w:eastAsia="en-GB"/>
        </w:rPr>
        <w:t xml:space="preserve"> for collecting or manufacturing</w:t>
      </w:r>
      <w:r w:rsidRPr="001E110A">
        <w:rPr>
          <w:rFonts w:eastAsia="Times New Roman"/>
          <w:lang w:eastAsia="en-GB"/>
        </w:rPr>
        <w:t xml:space="preserve"> their active substances;</w:t>
      </w:r>
    </w:p>
    <w:p w14:paraId="2DBDF40B" w14:textId="77777777" w:rsidR="00917777" w:rsidRPr="001E110A" w:rsidRDefault="00917777" w:rsidP="00917777">
      <w:pPr>
        <w:pStyle w:val="Point0"/>
        <w:rPr>
          <w:rFonts w:eastAsia="Times New Roman"/>
          <w:lang w:eastAsia="en-GB"/>
        </w:rPr>
      </w:pPr>
      <w:r>
        <w:rPr>
          <w:rFonts w:eastAsia="Times New Roman"/>
          <w:lang w:eastAsia="en-GB"/>
        </w:rPr>
        <w:t>(b)</w:t>
      </w:r>
      <w:r>
        <w:rPr>
          <w:rFonts w:eastAsia="Times New Roman"/>
          <w:lang w:eastAsia="en-GB"/>
        </w:rPr>
        <w:tab/>
        <w:t>it</w:t>
      </w:r>
      <w:r w:rsidRPr="001E110A">
        <w:rPr>
          <w:rFonts w:eastAsia="Times New Roman"/>
          <w:lang w:eastAsia="en-GB"/>
        </w:rPr>
        <w:t xml:space="preserve"> modernises an existing manufacturing site for one or more critical medicinal products or their active substances to ensure greater sustainability or increased efficiency; </w:t>
      </w:r>
    </w:p>
    <w:p w14:paraId="6B480543" w14:textId="77777777" w:rsidR="00917777" w:rsidRPr="001E110A" w:rsidRDefault="00917777" w:rsidP="00917777">
      <w:pPr>
        <w:pStyle w:val="Point0"/>
        <w:rPr>
          <w:rFonts w:eastAsia="Times New Roman"/>
          <w:lang w:eastAsia="en-GB"/>
        </w:rPr>
      </w:pPr>
      <w:r>
        <w:rPr>
          <w:rFonts w:eastAsia="Times New Roman"/>
          <w:lang w:eastAsia="en-GB"/>
        </w:rPr>
        <w:t>(c)</w:t>
      </w:r>
      <w:r>
        <w:rPr>
          <w:rFonts w:eastAsia="Times New Roman"/>
          <w:lang w:eastAsia="en-GB"/>
        </w:rPr>
        <w:tab/>
        <w:t>it</w:t>
      </w:r>
      <w:r w:rsidRPr="001E110A">
        <w:rPr>
          <w:rFonts w:eastAsia="Times New Roman"/>
          <w:lang w:eastAsia="en-GB"/>
        </w:rPr>
        <w:t xml:space="preserve"> creates or increases manufacturing capacity for key inputs necessary for the manufacturing of one or more critical medicinal products or their active substances; </w:t>
      </w:r>
    </w:p>
    <w:p w14:paraId="44FECF2E" w14:textId="77777777" w:rsidR="00917777" w:rsidRPr="001E110A" w:rsidRDefault="00917777" w:rsidP="00917777">
      <w:pPr>
        <w:pStyle w:val="Point0"/>
        <w:rPr>
          <w:rFonts w:eastAsia="Times New Roman"/>
          <w:lang w:eastAsia="en-GB"/>
        </w:rPr>
      </w:pPr>
      <w:r>
        <w:rPr>
          <w:rFonts w:eastAsia="Times New Roman"/>
          <w:lang w:eastAsia="en-GB"/>
        </w:rPr>
        <w:t>(d)</w:t>
      </w:r>
      <w:r>
        <w:rPr>
          <w:rFonts w:eastAsia="Times New Roman"/>
          <w:lang w:eastAsia="en-GB"/>
        </w:rPr>
        <w:tab/>
        <w:t>it</w:t>
      </w:r>
      <w:r w:rsidRPr="001E110A">
        <w:rPr>
          <w:rFonts w:eastAsia="Times New Roman"/>
          <w:lang w:eastAsia="en-GB"/>
        </w:rPr>
        <w:t xml:space="preserve"> contributes to the </w:t>
      </w:r>
      <w:r>
        <w:rPr>
          <w:rFonts w:eastAsia="Times New Roman"/>
          <w:lang w:eastAsia="en-GB"/>
        </w:rPr>
        <w:t>roll-out</w:t>
      </w:r>
      <w:r w:rsidRPr="001E110A">
        <w:rPr>
          <w:rFonts w:eastAsia="Times New Roman"/>
          <w:lang w:eastAsia="en-GB"/>
        </w:rPr>
        <w:t xml:space="preserve"> of a technology that plays a key role in enabling the manufacturing of one or more critical medicinal products, their active substances or key inputs.</w:t>
      </w:r>
    </w:p>
    <w:p w14:paraId="7E5EEAA7" w14:textId="77777777" w:rsidR="00917777" w:rsidRPr="001E110A" w:rsidRDefault="00917777" w:rsidP="00917777">
      <w:pPr>
        <w:pStyle w:val="Titrearticle"/>
        <w:rPr>
          <w:lang w:val="en-IE"/>
        </w:rPr>
      </w:pPr>
      <w:r w:rsidRPr="001E110A">
        <w:rPr>
          <w:lang w:val="en-IE"/>
        </w:rPr>
        <w:t xml:space="preserve">Article </w:t>
      </w:r>
      <w:r>
        <w:rPr>
          <w:lang w:val="en-IE"/>
        </w:rPr>
        <w:t>6</w:t>
      </w:r>
    </w:p>
    <w:p w14:paraId="1A5D0BCC" w14:textId="77777777" w:rsidR="00917777" w:rsidRPr="001E110A" w:rsidRDefault="00917777" w:rsidP="00917777">
      <w:pPr>
        <w:jc w:val="center"/>
        <w:rPr>
          <w:i/>
          <w:lang w:val="en-IE"/>
        </w:rPr>
      </w:pPr>
      <w:r w:rsidRPr="001E110A">
        <w:rPr>
          <w:i/>
          <w:lang w:val="en-IE"/>
        </w:rPr>
        <w:t>Recognition of Strategic Projects</w:t>
      </w:r>
    </w:p>
    <w:p w14:paraId="7E9A3FC9" w14:textId="77777777" w:rsidR="00917777" w:rsidRDefault="00046C83" w:rsidP="00046C83">
      <w:pPr>
        <w:pStyle w:val="Point0"/>
        <w:rPr>
          <w:rFonts w:eastAsia="Times New Roman"/>
          <w:lang w:eastAsia="en-GB"/>
        </w:rPr>
      </w:pPr>
      <w:r>
        <w:rPr>
          <w:rFonts w:eastAsia="Times New Roman"/>
          <w:lang w:eastAsia="en-GB"/>
        </w:rPr>
        <w:t>1.</w:t>
      </w:r>
      <w:r>
        <w:rPr>
          <w:rFonts w:eastAsia="Times New Roman"/>
          <w:lang w:eastAsia="en-GB"/>
        </w:rPr>
        <w:tab/>
      </w:r>
      <w:r w:rsidR="00917777">
        <w:rPr>
          <w:rFonts w:eastAsia="Times New Roman"/>
          <w:lang w:eastAsia="en-GB"/>
        </w:rPr>
        <w:t xml:space="preserve">Each </w:t>
      </w:r>
      <w:r w:rsidR="00917777" w:rsidRPr="001E110A">
        <w:rPr>
          <w:rFonts w:eastAsia="Times New Roman"/>
          <w:lang w:eastAsia="en-GB"/>
        </w:rPr>
        <w:t>Member State shall designate an authority</w:t>
      </w:r>
      <w:r w:rsidR="00917777">
        <w:rPr>
          <w:rFonts w:eastAsia="Times New Roman"/>
          <w:lang w:eastAsia="en-GB"/>
        </w:rPr>
        <w:t xml:space="preserve"> (‘the designated authority’)</w:t>
      </w:r>
      <w:r w:rsidR="00917777" w:rsidRPr="001E110A">
        <w:rPr>
          <w:rFonts w:eastAsia="Times New Roman"/>
          <w:lang w:eastAsia="en-GB"/>
        </w:rPr>
        <w:t xml:space="preserve"> that shall </w:t>
      </w:r>
      <w:r w:rsidR="00917777">
        <w:rPr>
          <w:rFonts w:eastAsia="Times New Roman"/>
          <w:lang w:eastAsia="en-GB"/>
        </w:rPr>
        <w:t>assess and verify</w:t>
      </w:r>
      <w:r w:rsidR="00917777" w:rsidRPr="001E110A">
        <w:rPr>
          <w:rFonts w:eastAsia="Times New Roman"/>
          <w:lang w:eastAsia="en-GB"/>
        </w:rPr>
        <w:t xml:space="preserve"> whether or not a project meets at least one of the criteria set out in Article </w:t>
      </w:r>
      <w:r w:rsidR="00917777">
        <w:rPr>
          <w:rFonts w:eastAsia="Times New Roman"/>
          <w:lang w:eastAsia="en-GB"/>
        </w:rPr>
        <w:t>5</w:t>
      </w:r>
      <w:r w:rsidR="00917777" w:rsidRPr="001E110A">
        <w:rPr>
          <w:rFonts w:eastAsia="Times New Roman"/>
          <w:lang w:eastAsia="en-GB"/>
        </w:rPr>
        <w:t xml:space="preserve"> and therefore constitutes a </w:t>
      </w:r>
      <w:r w:rsidR="00917777">
        <w:rPr>
          <w:rFonts w:eastAsia="Times New Roman"/>
          <w:lang w:eastAsia="en-GB"/>
        </w:rPr>
        <w:t>s</w:t>
      </w:r>
      <w:r w:rsidR="00917777" w:rsidRPr="001E110A">
        <w:rPr>
          <w:rFonts w:eastAsia="Times New Roman"/>
          <w:lang w:eastAsia="en-GB"/>
        </w:rPr>
        <w:t xml:space="preserve">trategic </w:t>
      </w:r>
      <w:r w:rsidR="00917777">
        <w:rPr>
          <w:rFonts w:eastAsia="Times New Roman"/>
          <w:lang w:eastAsia="en-GB"/>
        </w:rPr>
        <w:t>p</w:t>
      </w:r>
      <w:r w:rsidR="00917777" w:rsidRPr="001E110A">
        <w:rPr>
          <w:rFonts w:eastAsia="Times New Roman"/>
          <w:lang w:eastAsia="en-GB"/>
        </w:rPr>
        <w:t>roject.</w:t>
      </w:r>
    </w:p>
    <w:p w14:paraId="7E8E0870" w14:textId="77777777" w:rsidR="00917777" w:rsidRDefault="00917777" w:rsidP="00046C83">
      <w:pPr>
        <w:pStyle w:val="Text1"/>
        <w:rPr>
          <w:lang w:eastAsia="en-GB"/>
        </w:rPr>
      </w:pPr>
      <w:r w:rsidRPr="009B5364">
        <w:rPr>
          <w:lang w:eastAsia="en-GB"/>
        </w:rPr>
        <w:t>A promoter may request the designated authority to assess whether a project is a strategic project.</w:t>
      </w:r>
    </w:p>
    <w:p w14:paraId="29E6ABCC" w14:textId="77777777" w:rsidR="00917777" w:rsidRPr="00F918B5" w:rsidRDefault="00917777" w:rsidP="00046C83">
      <w:pPr>
        <w:pStyle w:val="Text1"/>
        <w:rPr>
          <w:rFonts w:eastAsia="Times New Roman"/>
          <w:lang w:eastAsia="en-GB"/>
        </w:rPr>
      </w:pPr>
      <w:r>
        <w:rPr>
          <w:rFonts w:eastAsia="Times New Roman"/>
          <w:lang w:eastAsia="en-GB"/>
        </w:rPr>
        <w:t xml:space="preserve">Any Member State authority may request the designated authority to verify its determination of whether a project is a strategic project. </w:t>
      </w:r>
    </w:p>
    <w:p w14:paraId="1159755F" w14:textId="77777777" w:rsidR="00917777" w:rsidRDefault="00917777" w:rsidP="00917777">
      <w:pPr>
        <w:pStyle w:val="Point0"/>
        <w:rPr>
          <w:rFonts w:eastAsia="Times New Roman"/>
          <w:lang w:eastAsia="en-GB"/>
        </w:rPr>
      </w:pPr>
      <w:r>
        <w:rPr>
          <w:rFonts w:eastAsia="Times New Roman"/>
          <w:lang w:eastAsia="en-GB"/>
        </w:rPr>
        <w:t>2.</w:t>
      </w:r>
      <w:r>
        <w:tab/>
      </w:r>
      <w:r w:rsidRPr="001E110A">
        <w:rPr>
          <w:rFonts w:eastAsia="Times New Roman"/>
          <w:lang w:eastAsia="en-GB"/>
        </w:rPr>
        <w:t xml:space="preserve">Member States shall communicate to the Commission </w:t>
      </w:r>
      <w:r>
        <w:rPr>
          <w:rFonts w:eastAsia="Times New Roman"/>
          <w:lang w:eastAsia="en-GB"/>
        </w:rPr>
        <w:t>what is</w:t>
      </w:r>
      <w:r w:rsidRPr="2CB5E15C">
        <w:rPr>
          <w:rFonts w:eastAsia="Times New Roman"/>
          <w:lang w:eastAsia="en-GB"/>
        </w:rPr>
        <w:t xml:space="preserve"> </w:t>
      </w:r>
      <w:r>
        <w:rPr>
          <w:rFonts w:eastAsia="Times New Roman"/>
          <w:lang w:eastAsia="en-GB"/>
        </w:rPr>
        <w:t xml:space="preserve">the designated </w:t>
      </w:r>
      <w:r w:rsidRPr="001E110A">
        <w:rPr>
          <w:rFonts w:eastAsia="Times New Roman"/>
          <w:lang w:eastAsia="en-GB"/>
        </w:rPr>
        <w:t>authority for the purpose</w:t>
      </w:r>
      <w:r>
        <w:rPr>
          <w:rFonts w:eastAsia="Times New Roman"/>
          <w:lang w:eastAsia="en-GB"/>
        </w:rPr>
        <w:t>s</w:t>
      </w:r>
      <w:r w:rsidRPr="001E110A">
        <w:rPr>
          <w:rFonts w:eastAsia="Times New Roman"/>
          <w:lang w:eastAsia="en-GB"/>
        </w:rPr>
        <w:t xml:space="preserve"> of paragraph 1. </w:t>
      </w:r>
    </w:p>
    <w:p w14:paraId="2FF88332" w14:textId="77777777" w:rsidR="00917777" w:rsidRPr="001E110A" w:rsidRDefault="00917777" w:rsidP="00917777">
      <w:pPr>
        <w:pStyle w:val="Point0"/>
        <w:rPr>
          <w:rFonts w:eastAsia="Times New Roman"/>
          <w:lang w:eastAsia="en-GB"/>
        </w:rPr>
      </w:pPr>
      <w:r>
        <w:rPr>
          <w:rFonts w:eastAsia="Times New Roman"/>
          <w:lang w:eastAsia="en-GB"/>
        </w:rPr>
        <w:t>3.</w:t>
      </w:r>
      <w:r>
        <w:rPr>
          <w:rFonts w:eastAsia="Times New Roman"/>
          <w:lang w:eastAsia="en-GB"/>
        </w:rPr>
        <w:tab/>
      </w:r>
      <w:r w:rsidRPr="001E110A">
        <w:rPr>
          <w:rFonts w:eastAsia="Times New Roman"/>
          <w:lang w:eastAsia="en-GB"/>
        </w:rPr>
        <w:t xml:space="preserve">The Commission shall provide a simple, accessible webpage on which the contact details and other relevant information on the Member States’ designated authorities </w:t>
      </w:r>
      <w:r>
        <w:rPr>
          <w:rFonts w:eastAsia="Times New Roman"/>
          <w:lang w:eastAsia="en-GB"/>
        </w:rPr>
        <w:t>shall be</w:t>
      </w:r>
      <w:r w:rsidRPr="001E110A">
        <w:rPr>
          <w:rFonts w:eastAsia="Times New Roman"/>
          <w:lang w:eastAsia="en-GB"/>
        </w:rPr>
        <w:t xml:space="preserve"> clearly listed. </w:t>
      </w:r>
    </w:p>
    <w:p w14:paraId="6BCDEC27" w14:textId="77777777" w:rsidR="00917777" w:rsidRDefault="00917777" w:rsidP="00917777">
      <w:pPr>
        <w:pStyle w:val="Point0"/>
        <w:rPr>
          <w:rFonts w:eastAsia="Times New Roman"/>
          <w:lang w:eastAsia="en-GB"/>
        </w:rPr>
      </w:pPr>
      <w:r>
        <w:rPr>
          <w:rFonts w:eastAsia="Times New Roman"/>
          <w:lang w:eastAsia="en-GB"/>
        </w:rPr>
        <w:t>4.</w:t>
      </w:r>
      <w:r>
        <w:tab/>
      </w:r>
      <w:r w:rsidRPr="699AAC6F">
        <w:rPr>
          <w:rFonts w:eastAsia="Times New Roman"/>
          <w:lang w:eastAsia="en-GB"/>
        </w:rPr>
        <w:t xml:space="preserve">Any </w:t>
      </w:r>
      <w:r>
        <w:rPr>
          <w:rFonts w:eastAsia="Times New Roman"/>
          <w:lang w:eastAsia="en-GB"/>
        </w:rPr>
        <w:t xml:space="preserve">other </w:t>
      </w:r>
      <w:r w:rsidRPr="699AAC6F">
        <w:rPr>
          <w:rFonts w:eastAsia="Times New Roman"/>
          <w:lang w:eastAsia="en-GB"/>
        </w:rPr>
        <w:t xml:space="preserve">Member State authority that receives a request from </w:t>
      </w:r>
      <w:r w:rsidRPr="142F1A38">
        <w:rPr>
          <w:rFonts w:eastAsia="Times New Roman"/>
          <w:lang w:eastAsia="en-GB"/>
        </w:rPr>
        <w:t xml:space="preserve">a </w:t>
      </w:r>
      <w:r w:rsidRPr="699AAC6F">
        <w:rPr>
          <w:rFonts w:eastAsia="Times New Roman"/>
          <w:lang w:eastAsia="en-GB"/>
        </w:rPr>
        <w:t xml:space="preserve">promoter </w:t>
      </w:r>
      <w:r w:rsidRPr="0200BE21">
        <w:rPr>
          <w:rFonts w:eastAsia="Times New Roman"/>
          <w:lang w:eastAsia="en-GB"/>
        </w:rPr>
        <w:t>concerning</w:t>
      </w:r>
      <w:r w:rsidRPr="699AAC6F">
        <w:rPr>
          <w:rFonts w:eastAsia="Times New Roman"/>
          <w:lang w:eastAsia="en-GB"/>
        </w:rPr>
        <w:t xml:space="preserve"> </w:t>
      </w:r>
      <w:r w:rsidRPr="00182A60">
        <w:rPr>
          <w:rFonts w:eastAsia="Times New Roman"/>
          <w:lang w:eastAsia="en-GB"/>
        </w:rPr>
        <w:t>Articles 8 to 14</w:t>
      </w:r>
      <w:r>
        <w:rPr>
          <w:rFonts w:eastAsia="Times New Roman"/>
          <w:lang w:eastAsia="en-GB"/>
        </w:rPr>
        <w:t xml:space="preserve"> </w:t>
      </w:r>
      <w:r w:rsidRPr="699AAC6F">
        <w:rPr>
          <w:rFonts w:eastAsia="Times New Roman"/>
          <w:lang w:eastAsia="en-GB"/>
        </w:rPr>
        <w:t xml:space="preserve">shall </w:t>
      </w:r>
      <w:r>
        <w:rPr>
          <w:rFonts w:eastAsia="Times New Roman"/>
          <w:lang w:eastAsia="en-GB"/>
        </w:rPr>
        <w:t>assess</w:t>
      </w:r>
      <w:r w:rsidRPr="699AAC6F">
        <w:rPr>
          <w:rFonts w:eastAsia="Times New Roman"/>
          <w:lang w:eastAsia="en-GB"/>
        </w:rPr>
        <w:t xml:space="preserve"> whether </w:t>
      </w:r>
      <w:r>
        <w:rPr>
          <w:rFonts w:eastAsia="Times New Roman"/>
          <w:lang w:eastAsia="en-GB"/>
        </w:rPr>
        <w:t xml:space="preserve">that </w:t>
      </w:r>
      <w:r w:rsidRPr="699AAC6F">
        <w:rPr>
          <w:rFonts w:eastAsia="Times New Roman"/>
          <w:lang w:eastAsia="en-GB"/>
        </w:rPr>
        <w:t xml:space="preserve">given project meets the criteria to be considered a </w:t>
      </w:r>
      <w:r>
        <w:rPr>
          <w:rFonts w:eastAsia="Times New Roman"/>
          <w:lang w:eastAsia="en-GB"/>
        </w:rPr>
        <w:t>s</w:t>
      </w:r>
      <w:r w:rsidRPr="699AAC6F">
        <w:rPr>
          <w:rFonts w:eastAsia="Times New Roman"/>
          <w:lang w:eastAsia="en-GB"/>
        </w:rPr>
        <w:t xml:space="preserve">trategic </w:t>
      </w:r>
      <w:r>
        <w:rPr>
          <w:rFonts w:eastAsia="Times New Roman"/>
          <w:lang w:eastAsia="en-GB"/>
        </w:rPr>
        <w:t>p</w:t>
      </w:r>
      <w:r w:rsidRPr="699AAC6F">
        <w:rPr>
          <w:rFonts w:eastAsia="Times New Roman"/>
          <w:lang w:eastAsia="en-GB"/>
        </w:rPr>
        <w:t xml:space="preserve">roject as provided for in Article </w:t>
      </w:r>
      <w:r w:rsidRPr="00182A60">
        <w:rPr>
          <w:rFonts w:eastAsia="Times New Roman"/>
          <w:lang w:eastAsia="en-GB"/>
        </w:rPr>
        <w:t>5</w:t>
      </w:r>
      <w:r w:rsidRPr="699AAC6F">
        <w:rPr>
          <w:rFonts w:eastAsia="Times New Roman"/>
          <w:lang w:eastAsia="en-GB"/>
        </w:rPr>
        <w:t xml:space="preserve"> and where necessary, request the </w:t>
      </w:r>
      <w:r>
        <w:rPr>
          <w:rFonts w:eastAsia="Times New Roman"/>
          <w:lang w:eastAsia="en-GB"/>
        </w:rPr>
        <w:t>verification of its determination</w:t>
      </w:r>
      <w:r w:rsidRPr="699AAC6F">
        <w:rPr>
          <w:rFonts w:eastAsia="Times New Roman"/>
          <w:lang w:eastAsia="en-GB"/>
        </w:rPr>
        <w:t xml:space="preserve"> from the designated authority</w:t>
      </w:r>
      <w:r w:rsidRPr="699AAC6F">
        <w:rPr>
          <w:rFonts w:eastAsia="Times New Roman"/>
          <w:i/>
          <w:iCs/>
          <w:lang w:eastAsia="en-GB"/>
        </w:rPr>
        <w:t>.</w:t>
      </w:r>
      <w:r w:rsidRPr="699AAC6F">
        <w:rPr>
          <w:rFonts w:eastAsia="Times New Roman"/>
          <w:lang w:eastAsia="en-GB"/>
        </w:rPr>
        <w:t xml:space="preserve"> </w:t>
      </w:r>
    </w:p>
    <w:p w14:paraId="55E98FF3" w14:textId="77777777" w:rsidR="00917777" w:rsidRDefault="00917777" w:rsidP="00917777">
      <w:pPr>
        <w:pStyle w:val="Point0"/>
        <w:rPr>
          <w:rFonts w:eastAsia="Times New Roman"/>
          <w:lang w:eastAsia="en-GB"/>
        </w:rPr>
      </w:pPr>
      <w:r>
        <w:rPr>
          <w:rFonts w:eastAsia="Times New Roman"/>
          <w:lang w:eastAsia="en-GB"/>
        </w:rPr>
        <w:t>5.</w:t>
      </w:r>
      <w:r>
        <w:rPr>
          <w:rFonts w:eastAsia="Times New Roman"/>
          <w:lang w:eastAsia="en-GB"/>
        </w:rPr>
        <w:tab/>
      </w:r>
      <w:r w:rsidRPr="699AAC6F">
        <w:rPr>
          <w:rFonts w:eastAsia="Times New Roman"/>
          <w:lang w:eastAsia="en-GB"/>
        </w:rPr>
        <w:t xml:space="preserve">Where </w:t>
      </w:r>
      <w:r>
        <w:rPr>
          <w:rFonts w:eastAsia="Times New Roman"/>
          <w:lang w:eastAsia="en-GB"/>
        </w:rPr>
        <w:t>the</w:t>
      </w:r>
      <w:r w:rsidRPr="699AAC6F">
        <w:rPr>
          <w:rFonts w:eastAsia="Times New Roman"/>
          <w:lang w:eastAsia="en-GB"/>
        </w:rPr>
        <w:t xml:space="preserve"> verification </w:t>
      </w:r>
      <w:r>
        <w:rPr>
          <w:rFonts w:eastAsia="Times New Roman"/>
          <w:lang w:eastAsia="en-GB"/>
        </w:rPr>
        <w:t xml:space="preserve">whether a project is a strategic project </w:t>
      </w:r>
      <w:r w:rsidRPr="699AAC6F">
        <w:rPr>
          <w:rFonts w:eastAsia="Times New Roman"/>
          <w:lang w:eastAsia="en-GB"/>
        </w:rPr>
        <w:t>has been performed by an authority</w:t>
      </w:r>
      <w:r>
        <w:rPr>
          <w:rFonts w:eastAsia="Times New Roman"/>
          <w:lang w:eastAsia="en-GB"/>
        </w:rPr>
        <w:t xml:space="preserve"> in accordance with this Article, any other authority </w:t>
      </w:r>
      <w:r w:rsidRPr="699AAC6F">
        <w:rPr>
          <w:rFonts w:eastAsia="Times New Roman"/>
          <w:lang w:eastAsia="en-GB"/>
        </w:rPr>
        <w:t>shall rely on th</w:t>
      </w:r>
      <w:r>
        <w:rPr>
          <w:rFonts w:eastAsia="Times New Roman"/>
          <w:lang w:eastAsia="en-GB"/>
        </w:rPr>
        <w:t xml:space="preserve">at </w:t>
      </w:r>
      <w:r w:rsidRPr="699AAC6F">
        <w:rPr>
          <w:rFonts w:eastAsia="Times New Roman"/>
          <w:lang w:eastAsia="en-GB"/>
        </w:rPr>
        <w:t xml:space="preserve">verification. </w:t>
      </w:r>
    </w:p>
    <w:p w14:paraId="7C4439CF" w14:textId="77777777" w:rsidR="00917777" w:rsidRPr="001E110A" w:rsidRDefault="00917777" w:rsidP="00046C83">
      <w:pPr>
        <w:rPr>
          <w:lang w:eastAsia="en-GB"/>
        </w:rPr>
      </w:pPr>
    </w:p>
    <w:p w14:paraId="606AC6EA" w14:textId="77777777" w:rsidR="00917777" w:rsidRPr="001E110A" w:rsidRDefault="00917777" w:rsidP="00917777">
      <w:pPr>
        <w:pStyle w:val="SectionTitle"/>
      </w:pPr>
      <w:r w:rsidRPr="001E110A">
        <w:t xml:space="preserve">Section </w:t>
      </w:r>
      <w:r>
        <w:t>II</w:t>
      </w:r>
    </w:p>
    <w:p w14:paraId="7B5DDDA4" w14:textId="77777777" w:rsidR="00917777" w:rsidRPr="001E110A" w:rsidRDefault="00917777" w:rsidP="00917777">
      <w:pPr>
        <w:pStyle w:val="SectionTitle"/>
        <w:rPr>
          <w:b w:val="0"/>
        </w:rPr>
      </w:pPr>
      <w:r w:rsidRPr="001E110A">
        <w:t>Facilitating administrative and permit-granting processes</w:t>
      </w:r>
    </w:p>
    <w:p w14:paraId="5B0CC63A" w14:textId="77777777" w:rsidR="00917777" w:rsidRPr="001E110A" w:rsidRDefault="00917777" w:rsidP="00917777">
      <w:pPr>
        <w:pStyle w:val="Titrearticle"/>
      </w:pPr>
      <w:bookmarkStart w:id="6" w:name="_Hlk192166497"/>
      <w:r w:rsidRPr="001E110A">
        <w:t xml:space="preserve">Article </w:t>
      </w:r>
      <w:r>
        <w:t>7</w:t>
      </w:r>
    </w:p>
    <w:p w14:paraId="141D7D68" w14:textId="77777777" w:rsidR="00917777" w:rsidRPr="001E110A" w:rsidRDefault="00917777" w:rsidP="00917777">
      <w:pPr>
        <w:jc w:val="center"/>
      </w:pPr>
      <w:r w:rsidRPr="001E110A">
        <w:rPr>
          <w:i/>
        </w:rPr>
        <w:t xml:space="preserve">Priority status of </w:t>
      </w:r>
      <w:r>
        <w:rPr>
          <w:i/>
        </w:rPr>
        <w:t>s</w:t>
      </w:r>
      <w:r w:rsidRPr="001E110A">
        <w:rPr>
          <w:i/>
        </w:rPr>
        <w:t xml:space="preserve">trategic </w:t>
      </w:r>
      <w:r>
        <w:rPr>
          <w:i/>
        </w:rPr>
        <w:t>p</w:t>
      </w:r>
      <w:r w:rsidRPr="001E110A">
        <w:rPr>
          <w:i/>
        </w:rPr>
        <w:t>rojects</w:t>
      </w:r>
    </w:p>
    <w:p w14:paraId="4A60CC8E" w14:textId="77777777" w:rsidR="00917777" w:rsidRPr="0064721F" w:rsidRDefault="00917777" w:rsidP="00917777">
      <w:r w:rsidRPr="005E1877">
        <w:rPr>
          <w:lang w:val="en-IE" w:eastAsia="en-IE"/>
        </w:rPr>
        <w:t xml:space="preserve">Strategic </w:t>
      </w:r>
      <w:r>
        <w:rPr>
          <w:lang w:val="en-IE" w:eastAsia="en-IE"/>
        </w:rPr>
        <w:t>p</w:t>
      </w:r>
      <w:r w:rsidRPr="005E1877">
        <w:rPr>
          <w:lang w:val="en-IE" w:eastAsia="en-IE"/>
        </w:rPr>
        <w:t xml:space="preserve">rojects shall be considered </w:t>
      </w:r>
      <w:r>
        <w:rPr>
          <w:lang w:val="en-IE" w:eastAsia="en-IE"/>
        </w:rPr>
        <w:t>as</w:t>
      </w:r>
      <w:r w:rsidRPr="005E1877">
        <w:rPr>
          <w:lang w:val="en-IE" w:eastAsia="en-IE"/>
        </w:rPr>
        <w:t xml:space="preserve"> contribut</w:t>
      </w:r>
      <w:r>
        <w:rPr>
          <w:lang w:val="en-IE" w:eastAsia="en-IE"/>
        </w:rPr>
        <w:t>ing</w:t>
      </w:r>
      <w:r w:rsidRPr="005E1877">
        <w:rPr>
          <w:lang w:val="en-IE" w:eastAsia="en-IE"/>
        </w:rPr>
        <w:t xml:space="preserve"> to the security of supply of critical medicinal products in the Union and, therefore, to be in the public interest.</w:t>
      </w:r>
      <w:r w:rsidRPr="005E1877">
        <w:rPr>
          <w:lang w:val="en-IE"/>
        </w:rPr>
        <w:t xml:space="preserve"> </w:t>
      </w:r>
    </w:p>
    <w:p w14:paraId="7E945240" w14:textId="77777777" w:rsidR="00917777" w:rsidRPr="001E110A" w:rsidRDefault="00917777" w:rsidP="00917777">
      <w:r>
        <w:t xml:space="preserve">The Member States’ authorities shall ensure that the relevant permit granting processes related to strategic projects are carried out in the fastest way possible, making available, in particular, any form of accelerated procedures that exists in applicable Union and national law. </w:t>
      </w:r>
    </w:p>
    <w:bookmarkEnd w:id="6"/>
    <w:p w14:paraId="1B246C52" w14:textId="77777777" w:rsidR="00917777" w:rsidRPr="001E110A" w:rsidRDefault="00917777" w:rsidP="00917777">
      <w:pPr>
        <w:pStyle w:val="Titrearticle"/>
      </w:pPr>
      <w:r w:rsidRPr="001E110A">
        <w:t xml:space="preserve">Article </w:t>
      </w:r>
      <w:r>
        <w:t>8</w:t>
      </w:r>
    </w:p>
    <w:p w14:paraId="5F5C3E0F" w14:textId="77777777" w:rsidR="00917777" w:rsidRPr="001E110A" w:rsidRDefault="00917777" w:rsidP="00917777">
      <w:pPr>
        <w:ind w:left="360"/>
        <w:jc w:val="center"/>
        <w:rPr>
          <w:i/>
        </w:rPr>
      </w:pPr>
      <w:r w:rsidRPr="001E110A">
        <w:rPr>
          <w:i/>
        </w:rPr>
        <w:t>Administrative support</w:t>
      </w:r>
    </w:p>
    <w:p w14:paraId="70C5AF18" w14:textId="77777777" w:rsidR="00917777" w:rsidRPr="001E110A" w:rsidRDefault="00917777" w:rsidP="00046C83">
      <w:pPr>
        <w:pStyle w:val="Point0"/>
        <w:rPr>
          <w:i/>
        </w:rPr>
      </w:pPr>
      <w:r>
        <w:t>1.</w:t>
      </w:r>
      <w:r>
        <w:tab/>
      </w:r>
      <w:r w:rsidRPr="001E110A">
        <w:t xml:space="preserve">Upon request of a </w:t>
      </w:r>
      <w:r>
        <w:t>project</w:t>
      </w:r>
      <w:r w:rsidRPr="001E110A">
        <w:t xml:space="preserve"> promoter, a Member State shall provide to a </w:t>
      </w:r>
      <w:r>
        <w:t>s</w:t>
      </w:r>
      <w:r w:rsidRPr="001E110A">
        <w:t xml:space="preserve">trategic </w:t>
      </w:r>
      <w:r>
        <w:t>p</w:t>
      </w:r>
      <w:r w:rsidRPr="001E110A">
        <w:t>roject located on its territory</w:t>
      </w:r>
      <w:r>
        <w:t xml:space="preserve"> all the administrative support necessary </w:t>
      </w:r>
      <w:r w:rsidRPr="001E110A">
        <w:t>to facilitate its timely and effective implementation, including</w:t>
      </w:r>
      <w:r w:rsidRPr="001E110A">
        <w:rPr>
          <w:i/>
        </w:rPr>
        <w:t xml:space="preserve"> </w:t>
      </w:r>
      <w:r>
        <w:t>assistance</w:t>
      </w:r>
      <w:r w:rsidRPr="001E110A">
        <w:t>:</w:t>
      </w:r>
    </w:p>
    <w:p w14:paraId="6ADB3044" w14:textId="77777777" w:rsidR="00917777" w:rsidRPr="001E110A" w:rsidRDefault="00917777" w:rsidP="00046C83">
      <w:pPr>
        <w:pStyle w:val="Point1"/>
        <w:rPr>
          <w:i/>
          <w:lang w:eastAsia="en-GB"/>
        </w:rPr>
      </w:pPr>
      <w:r>
        <w:rPr>
          <w:lang w:eastAsia="en-GB"/>
        </w:rPr>
        <w:t>(a)</w:t>
      </w:r>
      <w:r>
        <w:rPr>
          <w:lang w:eastAsia="en-GB"/>
        </w:rPr>
        <w:tab/>
      </w:r>
      <w:r w:rsidRPr="001E110A">
        <w:rPr>
          <w:lang w:eastAsia="en-GB"/>
        </w:rPr>
        <w:t>with regard to compliance with applicable administrative and reporting obligations;</w:t>
      </w:r>
    </w:p>
    <w:p w14:paraId="75D786FA" w14:textId="77777777" w:rsidR="00917777" w:rsidRPr="001E110A" w:rsidRDefault="00917777" w:rsidP="00046C83">
      <w:pPr>
        <w:pStyle w:val="Point1"/>
        <w:rPr>
          <w:rFonts w:eastAsia="Times New Roman"/>
          <w:i/>
          <w:lang w:eastAsia="en-GB"/>
        </w:rPr>
      </w:pPr>
      <w:r>
        <w:rPr>
          <w:rFonts w:eastAsia="Times New Roman"/>
          <w:lang w:eastAsia="en-GB"/>
        </w:rPr>
        <w:t>(b)</w:t>
      </w:r>
      <w:r>
        <w:rPr>
          <w:rFonts w:eastAsia="Times New Roman"/>
          <w:lang w:eastAsia="en-GB"/>
        </w:rPr>
        <w:tab/>
      </w:r>
      <w:r w:rsidRPr="001E110A">
        <w:rPr>
          <w:rFonts w:eastAsia="Times New Roman"/>
          <w:lang w:eastAsia="en-GB"/>
        </w:rPr>
        <w:t xml:space="preserve">with regard to informing the public, with the aim of increasing public acceptance of the </w:t>
      </w:r>
      <w:r>
        <w:rPr>
          <w:rFonts w:eastAsia="Times New Roman"/>
          <w:lang w:eastAsia="en-GB"/>
        </w:rPr>
        <w:t>s</w:t>
      </w:r>
      <w:r w:rsidRPr="001E110A">
        <w:rPr>
          <w:rFonts w:eastAsia="Times New Roman"/>
          <w:lang w:eastAsia="en-GB"/>
        </w:rPr>
        <w:t xml:space="preserve">trategic </w:t>
      </w:r>
      <w:r>
        <w:rPr>
          <w:rFonts w:eastAsia="Times New Roman"/>
          <w:lang w:eastAsia="en-GB"/>
        </w:rPr>
        <w:t>p</w:t>
      </w:r>
      <w:r w:rsidRPr="001E110A">
        <w:rPr>
          <w:rFonts w:eastAsia="Times New Roman"/>
          <w:lang w:eastAsia="en-GB"/>
        </w:rPr>
        <w:t>roject;</w:t>
      </w:r>
    </w:p>
    <w:p w14:paraId="686222C6" w14:textId="77777777" w:rsidR="00917777" w:rsidRDefault="00917777" w:rsidP="00046C83">
      <w:pPr>
        <w:pStyle w:val="Point1"/>
        <w:rPr>
          <w:rFonts w:eastAsia="Times New Roman"/>
          <w:lang w:eastAsia="en-GB"/>
        </w:rPr>
      </w:pPr>
      <w:r>
        <w:rPr>
          <w:rFonts w:eastAsia="Times New Roman"/>
          <w:lang w:eastAsia="en-GB"/>
        </w:rPr>
        <w:t>(c)</w:t>
      </w:r>
      <w:r>
        <w:tab/>
        <w:t xml:space="preserve">along the permit-granting process. </w:t>
      </w:r>
    </w:p>
    <w:p w14:paraId="17DCECCF" w14:textId="700388C3" w:rsidR="00917777" w:rsidRPr="001E110A" w:rsidRDefault="00917777" w:rsidP="00917777">
      <w:pPr>
        <w:pStyle w:val="Point0"/>
        <w:rPr>
          <w:rFonts w:eastAsia="Times New Roman"/>
          <w:lang w:eastAsia="en-GB"/>
        </w:rPr>
      </w:pPr>
      <w:r>
        <w:rPr>
          <w:rFonts w:eastAsia="Times New Roman"/>
          <w:lang w:eastAsia="en-GB"/>
        </w:rPr>
        <w:t>2.</w:t>
      </w:r>
      <w:r>
        <w:rPr>
          <w:rFonts w:eastAsia="Times New Roman"/>
          <w:lang w:eastAsia="en-GB"/>
        </w:rPr>
        <w:tab/>
        <w:t xml:space="preserve">When providing the administrative support and the assistance referred to in paragraph 1, the Member State shall pay particular attention to small and medium size </w:t>
      </w:r>
      <w:r w:rsidRPr="00E43264">
        <w:rPr>
          <w:rFonts w:eastAsia="Times New Roman"/>
          <w:lang w:eastAsia="en-GB"/>
        </w:rPr>
        <w:t xml:space="preserve">enterprises </w:t>
      </w:r>
      <w:r>
        <w:rPr>
          <w:rFonts w:eastAsia="Times New Roman"/>
          <w:lang w:eastAsia="en-GB"/>
        </w:rPr>
        <w:t>(SMEs)</w:t>
      </w:r>
      <w:r w:rsidRPr="00E43264">
        <w:rPr>
          <w:rFonts w:eastAsia="Times New Roman"/>
          <w:lang w:eastAsia="en-GB"/>
        </w:rPr>
        <w:t xml:space="preserve"> and</w:t>
      </w:r>
      <w:r w:rsidR="00A535D3">
        <w:rPr>
          <w:rFonts w:eastAsia="Times New Roman"/>
          <w:lang w:eastAsia="en-GB"/>
        </w:rPr>
        <w:t>,</w:t>
      </w:r>
      <w:r w:rsidRPr="00E43264">
        <w:rPr>
          <w:rFonts w:eastAsia="Times New Roman"/>
          <w:lang w:eastAsia="en-GB"/>
        </w:rPr>
        <w:t xml:space="preserve"> where appropriate</w:t>
      </w:r>
      <w:r w:rsidR="00A535D3">
        <w:rPr>
          <w:rFonts w:eastAsia="Times New Roman"/>
          <w:lang w:eastAsia="en-GB"/>
        </w:rPr>
        <w:t>,</w:t>
      </w:r>
      <w:r w:rsidRPr="00E43264">
        <w:rPr>
          <w:rFonts w:eastAsia="Times New Roman"/>
          <w:lang w:eastAsia="en-GB"/>
        </w:rPr>
        <w:t xml:space="preserve"> establish a dedicated channel for communication with SMEs to provide guidance and respond to queries related to the implementation of this Regulation.</w:t>
      </w:r>
      <w:r>
        <w:rPr>
          <w:rFonts w:eastAsia="Times New Roman"/>
          <w:lang w:eastAsia="en-GB"/>
        </w:rPr>
        <w:t xml:space="preserve"> </w:t>
      </w:r>
    </w:p>
    <w:p w14:paraId="117583BD" w14:textId="77777777" w:rsidR="00917777" w:rsidRPr="001E110A" w:rsidRDefault="00917777" w:rsidP="00917777">
      <w:pPr>
        <w:pStyle w:val="Titrearticle"/>
        <w:rPr>
          <w:rFonts w:eastAsia="Times New Roman"/>
          <w:lang w:eastAsia="en-GB"/>
        </w:rPr>
      </w:pPr>
      <w:r w:rsidRPr="001E110A">
        <w:rPr>
          <w:rFonts w:eastAsia="Times New Roman"/>
          <w:lang w:eastAsia="en-GB"/>
        </w:rPr>
        <w:t xml:space="preserve">Article </w:t>
      </w:r>
      <w:r>
        <w:rPr>
          <w:rFonts w:eastAsia="Times New Roman"/>
          <w:lang w:eastAsia="en-GB"/>
        </w:rPr>
        <w:t>9</w:t>
      </w:r>
    </w:p>
    <w:p w14:paraId="644BA886" w14:textId="77777777" w:rsidR="00917777" w:rsidRPr="001E110A" w:rsidRDefault="00917777" w:rsidP="00917777">
      <w:pPr>
        <w:ind w:left="360"/>
        <w:jc w:val="center"/>
        <w:rPr>
          <w:rFonts w:eastAsia="Times New Roman"/>
          <w:i/>
          <w:lang w:eastAsia="en-GB"/>
        </w:rPr>
      </w:pPr>
      <w:r>
        <w:rPr>
          <w:rFonts w:eastAsia="Times New Roman"/>
          <w:i/>
          <w:lang w:eastAsia="en-GB"/>
        </w:rPr>
        <w:t xml:space="preserve">Request for granting the status of highest national significance </w:t>
      </w:r>
    </w:p>
    <w:p w14:paraId="458D05BB" w14:textId="089EEBBD" w:rsidR="00917777" w:rsidRPr="001E110A" w:rsidRDefault="00917777" w:rsidP="00917777">
      <w:pPr>
        <w:pStyle w:val="Point0"/>
        <w:rPr>
          <w:rFonts w:eastAsia="Times New Roman"/>
          <w:lang w:eastAsia="en-GB"/>
        </w:rPr>
      </w:pPr>
      <w:r>
        <w:rPr>
          <w:rFonts w:eastAsia="Times New Roman"/>
          <w:lang w:eastAsia="en-GB"/>
        </w:rPr>
        <w:t>1.</w:t>
      </w:r>
      <w:r>
        <w:rPr>
          <w:rFonts w:eastAsia="Times New Roman"/>
          <w:lang w:eastAsia="en-GB"/>
        </w:rPr>
        <w:tab/>
      </w:r>
      <w:r w:rsidRPr="001E110A">
        <w:rPr>
          <w:rFonts w:eastAsia="Times New Roman"/>
          <w:lang w:eastAsia="en-GB"/>
        </w:rPr>
        <w:t xml:space="preserve">A </w:t>
      </w:r>
      <w:r>
        <w:rPr>
          <w:rFonts w:eastAsia="Times New Roman"/>
          <w:lang w:eastAsia="en-GB"/>
        </w:rPr>
        <w:t>p</w:t>
      </w:r>
      <w:r w:rsidRPr="001E110A">
        <w:rPr>
          <w:rFonts w:eastAsia="Times New Roman"/>
          <w:lang w:eastAsia="en-GB"/>
        </w:rPr>
        <w:t>roject promoter may request that their application</w:t>
      </w:r>
      <w:r>
        <w:rPr>
          <w:rFonts w:eastAsia="Times New Roman"/>
          <w:lang w:eastAsia="en-GB"/>
        </w:rPr>
        <w:t xml:space="preserve"> for a permit</w:t>
      </w:r>
      <w:r w:rsidRPr="001E110A">
        <w:rPr>
          <w:rFonts w:eastAsia="Times New Roman"/>
          <w:lang w:eastAsia="en-GB"/>
        </w:rPr>
        <w:t xml:space="preserve"> is granted the status of the highest national significance, when such a status exists in national law, and be treated accordingly. </w:t>
      </w:r>
    </w:p>
    <w:p w14:paraId="4E21A3BC" w14:textId="77777777" w:rsidR="00917777" w:rsidRPr="001E110A" w:rsidRDefault="00917777" w:rsidP="00917777">
      <w:pPr>
        <w:pStyle w:val="Point0"/>
        <w:rPr>
          <w:rFonts w:eastAsia="Times New Roman"/>
          <w:lang w:eastAsia="en-GB"/>
        </w:rPr>
      </w:pPr>
      <w:r>
        <w:rPr>
          <w:rFonts w:eastAsia="Times New Roman"/>
          <w:lang w:eastAsia="en-GB"/>
        </w:rPr>
        <w:t>2.</w:t>
      </w:r>
      <w:r>
        <w:rPr>
          <w:rFonts w:eastAsia="Times New Roman"/>
          <w:lang w:eastAsia="en-GB"/>
        </w:rPr>
        <w:tab/>
      </w:r>
      <w:r w:rsidRPr="001E110A">
        <w:rPr>
          <w:rFonts w:eastAsia="Times New Roman"/>
          <w:lang w:eastAsia="en-GB"/>
        </w:rPr>
        <w:t>National authorities shall grant</w:t>
      </w:r>
      <w:r>
        <w:rPr>
          <w:rFonts w:eastAsia="Times New Roman"/>
          <w:lang w:eastAsia="en-GB"/>
        </w:rPr>
        <w:t xml:space="preserve"> the</w:t>
      </w:r>
      <w:r w:rsidRPr="001E110A">
        <w:rPr>
          <w:rFonts w:eastAsia="Times New Roman"/>
          <w:lang w:eastAsia="en-GB"/>
        </w:rPr>
        <w:t xml:space="preserve"> status</w:t>
      </w:r>
      <w:r>
        <w:rPr>
          <w:rFonts w:eastAsia="Times New Roman"/>
          <w:lang w:eastAsia="en-GB"/>
        </w:rPr>
        <w:t xml:space="preserve"> of the highest national significance to an application for a permit</w:t>
      </w:r>
      <w:r w:rsidRPr="001E110A">
        <w:rPr>
          <w:rFonts w:eastAsia="Times New Roman"/>
          <w:lang w:eastAsia="en-GB"/>
        </w:rPr>
        <w:t xml:space="preserve"> without prejudice to obligations provided for in Union law.</w:t>
      </w:r>
    </w:p>
    <w:p w14:paraId="7B93441A" w14:textId="77777777" w:rsidR="00917777" w:rsidRPr="001E110A" w:rsidRDefault="00917777" w:rsidP="00917777">
      <w:pPr>
        <w:pStyle w:val="Titrearticle"/>
      </w:pPr>
      <w:r w:rsidRPr="001E110A">
        <w:t>Article 1</w:t>
      </w:r>
      <w:r>
        <w:t>0</w:t>
      </w:r>
    </w:p>
    <w:p w14:paraId="5BA88D5C" w14:textId="77777777" w:rsidR="00917777" w:rsidRPr="001E110A" w:rsidRDefault="00917777" w:rsidP="00917777">
      <w:pPr>
        <w:ind w:left="360"/>
        <w:jc w:val="center"/>
        <w:rPr>
          <w:i/>
        </w:rPr>
      </w:pPr>
      <w:r w:rsidRPr="001E110A">
        <w:rPr>
          <w:i/>
        </w:rPr>
        <w:t>Procedures relating to dispute resolution</w:t>
      </w:r>
    </w:p>
    <w:p w14:paraId="6C43DC42" w14:textId="77777777" w:rsidR="00917777" w:rsidRDefault="00917777" w:rsidP="00917777">
      <w:pPr>
        <w:rPr>
          <w:lang w:eastAsia="en-GB"/>
        </w:rPr>
      </w:pPr>
      <w:r w:rsidRPr="001E110A">
        <w:rPr>
          <w:lang w:eastAsia="en-GB"/>
        </w:rPr>
        <w:t xml:space="preserve">A </w:t>
      </w:r>
      <w:r>
        <w:rPr>
          <w:lang w:eastAsia="en-GB"/>
        </w:rPr>
        <w:t>project</w:t>
      </w:r>
      <w:r w:rsidRPr="001E110A">
        <w:rPr>
          <w:lang w:eastAsia="en-GB"/>
        </w:rPr>
        <w:t xml:space="preserve"> promoter may request that any dispute resolution procedure, litigation, appeal and proceedings on judicial remedies related to the permit-granting process and the issuance of permits for a </w:t>
      </w:r>
      <w:r>
        <w:rPr>
          <w:lang w:eastAsia="en-GB"/>
        </w:rPr>
        <w:t>s</w:t>
      </w:r>
      <w:r w:rsidRPr="001E110A">
        <w:rPr>
          <w:lang w:eastAsia="en-GB"/>
        </w:rPr>
        <w:t xml:space="preserve">trategic </w:t>
      </w:r>
      <w:r>
        <w:rPr>
          <w:lang w:eastAsia="en-GB"/>
        </w:rPr>
        <w:t>p</w:t>
      </w:r>
      <w:r w:rsidRPr="001E110A">
        <w:rPr>
          <w:lang w:eastAsia="en-GB"/>
        </w:rPr>
        <w:t>roject in the Union before any national courts, tribunals or panels, including with regard to mediation or arbitration, where they exist in national law, is treated as urgent if and to the extent to which national law provides for such</w:t>
      </w:r>
      <w:r>
        <w:rPr>
          <w:lang w:eastAsia="en-GB"/>
        </w:rPr>
        <w:t xml:space="preserve"> an</w:t>
      </w:r>
      <w:r w:rsidRPr="001E110A">
        <w:rPr>
          <w:lang w:eastAsia="en-GB"/>
        </w:rPr>
        <w:t xml:space="preserve"> urgency procedure</w:t>
      </w:r>
      <w:r>
        <w:rPr>
          <w:lang w:eastAsia="en-GB"/>
        </w:rPr>
        <w:t>. T</w:t>
      </w:r>
      <w:r w:rsidRPr="001E110A">
        <w:rPr>
          <w:lang w:eastAsia="en-GB"/>
        </w:rPr>
        <w:t xml:space="preserve">he applicable rights of defence of individuals or of local communities </w:t>
      </w:r>
      <w:r>
        <w:rPr>
          <w:lang w:eastAsia="en-GB"/>
        </w:rPr>
        <w:t>shall be</w:t>
      </w:r>
      <w:r w:rsidRPr="001E110A">
        <w:rPr>
          <w:lang w:eastAsia="en-GB"/>
        </w:rPr>
        <w:t xml:space="preserve"> respected</w:t>
      </w:r>
      <w:r>
        <w:rPr>
          <w:lang w:eastAsia="en-GB"/>
        </w:rPr>
        <w:t xml:space="preserve"> during such urgency procedure</w:t>
      </w:r>
      <w:r w:rsidRPr="001E110A">
        <w:rPr>
          <w:lang w:eastAsia="en-GB"/>
        </w:rPr>
        <w:t xml:space="preserve">. </w:t>
      </w:r>
    </w:p>
    <w:p w14:paraId="0265C804" w14:textId="77777777" w:rsidR="00917777" w:rsidRPr="001E110A" w:rsidRDefault="00917777" w:rsidP="00917777">
      <w:pPr>
        <w:rPr>
          <w:lang w:eastAsia="en-GB"/>
        </w:rPr>
      </w:pPr>
      <w:r w:rsidRPr="001E110A">
        <w:rPr>
          <w:lang w:eastAsia="en-GB"/>
        </w:rPr>
        <w:t xml:space="preserve">The </w:t>
      </w:r>
      <w:r>
        <w:rPr>
          <w:lang w:eastAsia="en-GB"/>
        </w:rPr>
        <w:t xml:space="preserve">project </w:t>
      </w:r>
      <w:r w:rsidRPr="001E110A">
        <w:rPr>
          <w:lang w:eastAsia="en-GB"/>
        </w:rPr>
        <w:t xml:space="preserve">promoter shall participate in such urgency procedures, where applicable. </w:t>
      </w:r>
    </w:p>
    <w:p w14:paraId="15B6F4A2" w14:textId="77777777" w:rsidR="00917777" w:rsidRPr="001E110A" w:rsidRDefault="00917777" w:rsidP="00917777">
      <w:pPr>
        <w:pStyle w:val="Titrearticle"/>
      </w:pPr>
      <w:r w:rsidRPr="001E110A">
        <w:t>Article 1</w:t>
      </w:r>
      <w:r>
        <w:t>1</w:t>
      </w:r>
    </w:p>
    <w:p w14:paraId="26D3A0A7" w14:textId="77777777" w:rsidR="00917777" w:rsidRPr="001E110A" w:rsidRDefault="00917777" w:rsidP="00917777">
      <w:pPr>
        <w:ind w:left="360"/>
        <w:jc w:val="center"/>
        <w:rPr>
          <w:i/>
          <w:iCs/>
        </w:rPr>
      </w:pPr>
      <w:r w:rsidRPr="284DA4C8">
        <w:rPr>
          <w:i/>
          <w:iCs/>
        </w:rPr>
        <w:t xml:space="preserve">Regulatory and scientific support from </w:t>
      </w:r>
      <w:r w:rsidRPr="00182A60">
        <w:rPr>
          <w:i/>
        </w:rPr>
        <w:t>medicines agencies and pharmaceutical inspectorates</w:t>
      </w:r>
    </w:p>
    <w:p w14:paraId="1FC7012F" w14:textId="77777777" w:rsidR="00917777" w:rsidRPr="001E110A" w:rsidRDefault="00917777" w:rsidP="00917777">
      <w:pPr>
        <w:pStyle w:val="Point0"/>
        <w:rPr>
          <w:lang w:eastAsia="en-GB"/>
        </w:rPr>
      </w:pPr>
      <w:r>
        <w:rPr>
          <w:lang w:eastAsia="en-GB"/>
        </w:rPr>
        <w:t>1.</w:t>
      </w:r>
      <w:r>
        <w:rPr>
          <w:lang w:eastAsia="en-GB"/>
        </w:rPr>
        <w:tab/>
      </w:r>
      <w:r w:rsidRPr="001E110A">
        <w:rPr>
          <w:lang w:eastAsia="en-GB"/>
        </w:rPr>
        <w:t xml:space="preserve">Upon request of </w:t>
      </w:r>
      <w:r>
        <w:rPr>
          <w:lang w:eastAsia="en-GB"/>
        </w:rPr>
        <w:t>a p</w:t>
      </w:r>
      <w:r w:rsidRPr="001E110A">
        <w:rPr>
          <w:lang w:eastAsia="en-GB"/>
        </w:rPr>
        <w:t xml:space="preserve">roject promoter, a Member State shall provide regulatory support to a </w:t>
      </w:r>
      <w:r>
        <w:rPr>
          <w:lang w:eastAsia="en-GB"/>
        </w:rPr>
        <w:t>s</w:t>
      </w:r>
      <w:r w:rsidRPr="001E110A">
        <w:rPr>
          <w:lang w:eastAsia="en-GB"/>
        </w:rPr>
        <w:t xml:space="preserve">trategic </w:t>
      </w:r>
      <w:r>
        <w:rPr>
          <w:lang w:eastAsia="en-GB"/>
        </w:rPr>
        <w:t>p</w:t>
      </w:r>
      <w:r w:rsidRPr="001E110A">
        <w:rPr>
          <w:lang w:eastAsia="en-GB"/>
        </w:rPr>
        <w:t xml:space="preserve">roject located on its territory, including by prioritising Good Manufacturing Practices inspections for </w:t>
      </w:r>
      <w:r>
        <w:rPr>
          <w:lang w:eastAsia="en-GB"/>
        </w:rPr>
        <w:t xml:space="preserve">approval of </w:t>
      </w:r>
      <w:r w:rsidRPr="001E110A">
        <w:rPr>
          <w:lang w:eastAsia="en-GB"/>
        </w:rPr>
        <w:t xml:space="preserve">new and extended manufacturing sites </w:t>
      </w:r>
      <w:r>
        <w:rPr>
          <w:lang w:eastAsia="en-GB"/>
        </w:rPr>
        <w:t>and for the manufacturing sites</w:t>
      </w:r>
      <w:r w:rsidRPr="001E110A">
        <w:rPr>
          <w:lang w:eastAsia="en-GB"/>
        </w:rPr>
        <w:t xml:space="preserve"> modernised in the context of the concerned </w:t>
      </w:r>
      <w:r>
        <w:rPr>
          <w:lang w:eastAsia="en-GB"/>
        </w:rPr>
        <w:t>s</w:t>
      </w:r>
      <w:r w:rsidRPr="001E110A">
        <w:rPr>
          <w:lang w:eastAsia="en-GB"/>
        </w:rPr>
        <w:t xml:space="preserve">trategic </w:t>
      </w:r>
      <w:r>
        <w:rPr>
          <w:lang w:eastAsia="en-GB"/>
        </w:rPr>
        <w:t>p</w:t>
      </w:r>
      <w:r w:rsidRPr="001E110A">
        <w:rPr>
          <w:lang w:eastAsia="en-GB"/>
        </w:rPr>
        <w:t>roject.</w:t>
      </w:r>
    </w:p>
    <w:p w14:paraId="30852BBC" w14:textId="77777777" w:rsidR="00917777" w:rsidRPr="0064721F" w:rsidRDefault="00917777" w:rsidP="00917777">
      <w:pPr>
        <w:pStyle w:val="Point0"/>
      </w:pPr>
      <w:r>
        <w:rPr>
          <w:rFonts w:eastAsia="Times New Roman"/>
          <w:lang w:eastAsia="en-GB"/>
        </w:rPr>
        <w:t>2.</w:t>
      </w:r>
      <w:r>
        <w:rPr>
          <w:rFonts w:eastAsia="Times New Roman"/>
          <w:lang w:eastAsia="en-GB"/>
        </w:rPr>
        <w:tab/>
      </w:r>
      <w:r w:rsidRPr="001E110A">
        <w:rPr>
          <w:rFonts w:eastAsia="Times New Roman"/>
          <w:lang w:eastAsia="en-GB"/>
        </w:rPr>
        <w:t xml:space="preserve">Upon request of a project promoter, the European Medicines Agency (‘the Agency’) shall provide dedicated advice to assist </w:t>
      </w:r>
      <w:r>
        <w:rPr>
          <w:rFonts w:eastAsia="Times New Roman"/>
          <w:lang w:eastAsia="en-GB"/>
        </w:rPr>
        <w:t xml:space="preserve">project </w:t>
      </w:r>
      <w:r w:rsidRPr="001E110A">
        <w:rPr>
          <w:rFonts w:eastAsia="Times New Roman"/>
          <w:lang w:eastAsia="en-GB"/>
        </w:rPr>
        <w:t>promoters developing projects relying on innovative manufacturing processes.</w:t>
      </w:r>
    </w:p>
    <w:p w14:paraId="7FEBA5F5" w14:textId="77777777" w:rsidR="00917777" w:rsidRPr="001E110A" w:rsidRDefault="00917777" w:rsidP="00917777">
      <w:pPr>
        <w:pStyle w:val="Titrearticle"/>
      </w:pPr>
      <w:r w:rsidRPr="001E110A">
        <w:t>Article 1</w:t>
      </w:r>
      <w:r>
        <w:t>2</w:t>
      </w:r>
    </w:p>
    <w:p w14:paraId="0E4A9FF8" w14:textId="77777777" w:rsidR="00917777" w:rsidRPr="001E110A" w:rsidRDefault="00917777" w:rsidP="00917777">
      <w:pPr>
        <w:ind w:left="360"/>
        <w:jc w:val="center"/>
      </w:pPr>
      <w:r w:rsidRPr="001E110A">
        <w:rPr>
          <w:i/>
        </w:rPr>
        <w:t xml:space="preserve">Environmental assessments and </w:t>
      </w:r>
      <w:r>
        <w:rPr>
          <w:i/>
        </w:rPr>
        <w:t>authorisation</w:t>
      </w:r>
    </w:p>
    <w:p w14:paraId="5FE7993A" w14:textId="77777777" w:rsidR="00917777" w:rsidRPr="001E110A" w:rsidRDefault="00917777" w:rsidP="00917777">
      <w:pPr>
        <w:pStyle w:val="Point0"/>
        <w:rPr>
          <w:lang w:eastAsia="en-GB"/>
        </w:rPr>
      </w:pPr>
      <w:r>
        <w:rPr>
          <w:lang w:eastAsia="en-GB"/>
        </w:rPr>
        <w:t>1.</w:t>
      </w:r>
      <w:r>
        <w:rPr>
          <w:lang w:eastAsia="en-GB"/>
        </w:rPr>
        <w:tab/>
      </w:r>
      <w:r w:rsidRPr="001E110A">
        <w:rPr>
          <w:lang w:eastAsia="en-GB"/>
        </w:rPr>
        <w:t xml:space="preserve">A </w:t>
      </w:r>
      <w:r>
        <w:rPr>
          <w:lang w:eastAsia="en-GB"/>
        </w:rPr>
        <w:t>project</w:t>
      </w:r>
      <w:r w:rsidRPr="001E110A">
        <w:rPr>
          <w:lang w:eastAsia="en-GB"/>
        </w:rPr>
        <w:t xml:space="preserve"> promoter may request, where the obligation to assess the effects on the environment arises simultaneously from two or more of </w:t>
      </w:r>
      <w:r>
        <w:rPr>
          <w:lang w:eastAsia="en-GB"/>
        </w:rPr>
        <w:t xml:space="preserve">Council </w:t>
      </w:r>
      <w:r w:rsidRPr="001E110A">
        <w:rPr>
          <w:lang w:eastAsia="en-GB"/>
        </w:rPr>
        <w:t>Directive 92/43/EEC</w:t>
      </w:r>
      <w:r>
        <w:rPr>
          <w:rStyle w:val="FootnoteReference"/>
          <w:lang w:eastAsia="en-GB"/>
        </w:rPr>
        <w:footnoteReference w:id="80"/>
      </w:r>
      <w:r>
        <w:rPr>
          <w:lang w:eastAsia="en-GB"/>
        </w:rPr>
        <w:t xml:space="preserve">, </w:t>
      </w:r>
      <w:r w:rsidRPr="001E110A">
        <w:rPr>
          <w:lang w:eastAsia="en-GB"/>
        </w:rPr>
        <w:t>Directive 2000/60/EC</w:t>
      </w:r>
      <w:r>
        <w:rPr>
          <w:lang w:eastAsia="en-GB"/>
        </w:rPr>
        <w:t xml:space="preserve"> of the European Parliament and of the Council</w:t>
      </w:r>
      <w:r>
        <w:rPr>
          <w:rStyle w:val="FootnoteReference"/>
          <w:lang w:eastAsia="en-GB"/>
        </w:rPr>
        <w:footnoteReference w:id="81"/>
      </w:r>
      <w:r w:rsidRPr="001E110A">
        <w:rPr>
          <w:lang w:eastAsia="en-GB"/>
        </w:rPr>
        <w:t>, Directive 2001/42/EC of the European Parliament and of the Council</w:t>
      </w:r>
      <w:r>
        <w:rPr>
          <w:rStyle w:val="FootnoteReference"/>
          <w:lang w:eastAsia="en-GB"/>
        </w:rPr>
        <w:footnoteReference w:id="82"/>
      </w:r>
      <w:r>
        <w:rPr>
          <w:lang w:eastAsia="en-GB"/>
        </w:rPr>
        <w:t>,</w:t>
      </w:r>
      <w:r w:rsidRPr="001E110A">
        <w:rPr>
          <w:lang w:eastAsia="en-GB"/>
        </w:rPr>
        <w:t xml:space="preserve"> Directive 2008/98/EC</w:t>
      </w:r>
      <w:r>
        <w:rPr>
          <w:lang w:eastAsia="en-GB"/>
        </w:rPr>
        <w:t xml:space="preserve"> of the European Parliament and of the Council</w:t>
      </w:r>
      <w:r>
        <w:rPr>
          <w:rStyle w:val="FootnoteReference"/>
          <w:lang w:eastAsia="en-GB"/>
        </w:rPr>
        <w:footnoteReference w:id="83"/>
      </w:r>
      <w:r>
        <w:rPr>
          <w:lang w:eastAsia="en-GB"/>
        </w:rPr>
        <w:t>,</w:t>
      </w:r>
      <w:r w:rsidRPr="001E110A">
        <w:rPr>
          <w:lang w:eastAsia="en-GB"/>
        </w:rPr>
        <w:t xml:space="preserve"> Directive 2009/147/EC</w:t>
      </w:r>
      <w:r>
        <w:rPr>
          <w:lang w:eastAsia="en-GB"/>
        </w:rPr>
        <w:t xml:space="preserve"> of the European Parliament and of the Council</w:t>
      </w:r>
      <w:r>
        <w:rPr>
          <w:rStyle w:val="FootnoteReference"/>
          <w:lang w:eastAsia="en-GB"/>
        </w:rPr>
        <w:footnoteReference w:id="84"/>
      </w:r>
      <w:r w:rsidRPr="001E110A">
        <w:rPr>
          <w:lang w:eastAsia="en-GB"/>
        </w:rPr>
        <w:t>, Directive 2010/75/EU</w:t>
      </w:r>
      <w:r w:rsidRPr="00EA4B0E">
        <w:rPr>
          <w:lang w:eastAsia="en-GB"/>
        </w:rPr>
        <w:t xml:space="preserve"> </w:t>
      </w:r>
      <w:r>
        <w:rPr>
          <w:lang w:eastAsia="en-GB"/>
        </w:rPr>
        <w:t>of the European Parliament and of the Council</w:t>
      </w:r>
      <w:r>
        <w:rPr>
          <w:rStyle w:val="FootnoteReference"/>
          <w:lang w:eastAsia="en-GB"/>
        </w:rPr>
        <w:footnoteReference w:id="85"/>
      </w:r>
      <w:r w:rsidRPr="001E110A">
        <w:rPr>
          <w:lang w:eastAsia="en-GB"/>
        </w:rPr>
        <w:t>, Directive 2011/92/EU</w:t>
      </w:r>
      <w:r>
        <w:rPr>
          <w:lang w:eastAsia="en-GB"/>
        </w:rPr>
        <w:t xml:space="preserve"> of the European Parliament and of the Council</w:t>
      </w:r>
      <w:r>
        <w:rPr>
          <w:rStyle w:val="FootnoteReference"/>
          <w:lang w:eastAsia="en-GB"/>
        </w:rPr>
        <w:footnoteReference w:id="86"/>
      </w:r>
      <w:r>
        <w:rPr>
          <w:lang w:eastAsia="en-GB"/>
        </w:rPr>
        <w:t xml:space="preserve"> or</w:t>
      </w:r>
      <w:r w:rsidRPr="001E110A">
        <w:rPr>
          <w:lang w:eastAsia="en-GB"/>
        </w:rPr>
        <w:t xml:space="preserve"> Directive 2012/18/EU o</w:t>
      </w:r>
      <w:r>
        <w:rPr>
          <w:lang w:eastAsia="en-GB"/>
        </w:rPr>
        <w:t>f the European Parliament and of the Council</w:t>
      </w:r>
      <w:r>
        <w:rPr>
          <w:rStyle w:val="FootnoteReference"/>
          <w:lang w:eastAsia="en-GB"/>
        </w:rPr>
        <w:footnoteReference w:id="87"/>
      </w:r>
      <w:r w:rsidRPr="001E110A">
        <w:rPr>
          <w:lang w:eastAsia="en-GB"/>
        </w:rPr>
        <w:t>, that a coordinated or joint procedure fulfilling the requirements of those Union legislative acts are applied.</w:t>
      </w:r>
    </w:p>
    <w:p w14:paraId="52EE1F62" w14:textId="77777777" w:rsidR="00917777" w:rsidRPr="001E110A" w:rsidRDefault="00917777" w:rsidP="00917777">
      <w:pPr>
        <w:pStyle w:val="Text1"/>
        <w:rPr>
          <w:lang w:eastAsia="en-GB"/>
        </w:rPr>
      </w:pPr>
      <w:r w:rsidRPr="001E110A">
        <w:rPr>
          <w:lang w:eastAsia="en-GB"/>
        </w:rPr>
        <w:t xml:space="preserve">Under the coordinated procedure referred to in the first subparagraph, a competent authority shall coordinate the various individual assessments of the environmental impact of a particular project required by the relevant </w:t>
      </w:r>
      <w:r>
        <w:rPr>
          <w:lang w:eastAsia="en-GB"/>
        </w:rPr>
        <w:t>Directive</w:t>
      </w:r>
      <w:r w:rsidRPr="001E110A">
        <w:rPr>
          <w:lang w:eastAsia="en-GB"/>
        </w:rPr>
        <w:t>.</w:t>
      </w:r>
    </w:p>
    <w:p w14:paraId="1436E03A" w14:textId="77777777" w:rsidR="00917777" w:rsidRPr="00F918B5" w:rsidRDefault="00917777" w:rsidP="00917777">
      <w:pPr>
        <w:pStyle w:val="Text1"/>
        <w:rPr>
          <w:lang w:val="en-IE"/>
        </w:rPr>
      </w:pPr>
      <w:r>
        <w:t xml:space="preserve">Under the joint procedure referred to in the first subparagraph, a competent authority shall provide for a single assessment of the environmental impact of a particular project required by the relevant Directive. </w:t>
      </w:r>
    </w:p>
    <w:p w14:paraId="1844BA95" w14:textId="3AAD8FEF" w:rsidR="00917777" w:rsidRDefault="00917777" w:rsidP="00917777">
      <w:pPr>
        <w:pStyle w:val="Point0"/>
      </w:pPr>
      <w:r>
        <w:t>2.</w:t>
      </w:r>
      <w:r>
        <w:tab/>
        <w:t xml:space="preserve">Member States shall ensure that the competent authorities issue the reasoned conclusion referred to in Article 1(2), point (g)(iv), of Directive 2011/92/EU on the environmental impact assessment within </w:t>
      </w:r>
      <w:r w:rsidR="008835B3">
        <w:t>45</w:t>
      </w:r>
      <w:r>
        <w:t xml:space="preserve"> days of receiving all necessary information. </w:t>
      </w:r>
    </w:p>
    <w:p w14:paraId="1FB6B1BC" w14:textId="77777777" w:rsidR="00917777" w:rsidRDefault="00917777" w:rsidP="00917777">
      <w:pPr>
        <w:pStyle w:val="Point0"/>
      </w:pPr>
      <w:r>
        <w:t>3.</w:t>
      </w:r>
      <w:r>
        <w:tab/>
        <w:t xml:space="preserve">In exceptional cases, where the nature, complexity, location or size of the proposed project so requires, Member States may extend the time limit referred to in paragraph 2 once by a maximum of </w:t>
      </w:r>
      <w:r w:rsidRPr="00720475">
        <w:t>15 days</w:t>
      </w:r>
      <w:r>
        <w:t xml:space="preserve">, before its expiry and on a case-by-case basis. </w:t>
      </w:r>
      <w:r w:rsidRPr="0064721F">
        <w:t xml:space="preserve">In that event, the </w:t>
      </w:r>
      <w:r>
        <w:t xml:space="preserve">competent authority shall inform the project promoter in writing of the reasons justifying the </w:t>
      </w:r>
      <w:r w:rsidRPr="00182A60">
        <w:t>extension and of the deadline for its reasoned conclusion</w:t>
      </w:r>
      <w:r>
        <w:t xml:space="preserve">. </w:t>
      </w:r>
    </w:p>
    <w:p w14:paraId="3ECD3757" w14:textId="77777777" w:rsidR="00917777" w:rsidRDefault="00917777" w:rsidP="00917777">
      <w:pPr>
        <w:pStyle w:val="Point0"/>
      </w:pPr>
      <w:r>
        <w:t>4.</w:t>
      </w:r>
      <w:r>
        <w:tab/>
        <w:t xml:space="preserve">The deadlines for consulting the public concerned as referred to in Article 1(2), point (e), of Directive 2011/92/EU and the authorities referred to in Article 6(1) of that Directive on the environmental impact assessment report referred to in Article 5(1) of that Directive shall not be longer than 85 days and not shorter than the 30 day period referred to in Article 6(7) of that Directive. </w:t>
      </w:r>
    </w:p>
    <w:p w14:paraId="61D0C75D" w14:textId="77777777" w:rsidR="00917777" w:rsidRDefault="00917777" w:rsidP="00917777">
      <w:pPr>
        <w:pStyle w:val="Point0"/>
      </w:pPr>
      <w:r>
        <w:rPr>
          <w:rFonts w:eastAsia="Times New Roman"/>
          <w:lang w:eastAsia="en-GB"/>
        </w:rPr>
        <w:t>5.</w:t>
      </w:r>
      <w:r>
        <w:rPr>
          <w:rFonts w:eastAsia="Times New Roman"/>
          <w:lang w:eastAsia="en-GB"/>
        </w:rPr>
        <w:tab/>
      </w:r>
      <w:r w:rsidRPr="001E110A">
        <w:rPr>
          <w:rFonts w:eastAsia="Times New Roman"/>
          <w:lang w:eastAsia="en-GB"/>
        </w:rPr>
        <w:t>With regard to the environmental impacts or obligations referred to in Article 4(7) of Directive 2000/60/EC, Article 9(1), point (a), of Directive 2009/147/EC, Articles 6(4) and 16(1) of Directive 92/43/EEC and</w:t>
      </w:r>
      <w:r>
        <w:rPr>
          <w:rFonts w:eastAsia="Times New Roman"/>
          <w:lang w:eastAsia="en-GB"/>
        </w:rPr>
        <w:t xml:space="preserve"> for the purposes of Article 4(14) and (15) and Article 5(11) and (12) of Regulation (EU) 2024/1991</w:t>
      </w:r>
      <w:r w:rsidRPr="001E110A">
        <w:rPr>
          <w:rFonts w:eastAsia="Times New Roman"/>
          <w:lang w:eastAsia="en-GB"/>
        </w:rPr>
        <w:t xml:space="preserve"> </w:t>
      </w:r>
      <w:r>
        <w:rPr>
          <w:rFonts w:eastAsia="Times New Roman"/>
          <w:lang w:eastAsia="en-GB"/>
        </w:rPr>
        <w:t>s</w:t>
      </w:r>
      <w:r w:rsidRPr="001E110A">
        <w:rPr>
          <w:rFonts w:eastAsia="Times New Roman"/>
          <w:lang w:eastAsia="en-GB"/>
        </w:rPr>
        <w:t xml:space="preserve">trategic </w:t>
      </w:r>
      <w:r>
        <w:rPr>
          <w:rFonts w:eastAsia="Times New Roman"/>
          <w:lang w:eastAsia="en-GB"/>
        </w:rPr>
        <w:t>p</w:t>
      </w:r>
      <w:r w:rsidRPr="001E110A">
        <w:rPr>
          <w:rFonts w:eastAsia="Times New Roman"/>
          <w:lang w:eastAsia="en-GB"/>
        </w:rPr>
        <w:t xml:space="preserve">rojects in the </w:t>
      </w:r>
      <w:r w:rsidRPr="00182A60">
        <w:rPr>
          <w:rFonts w:eastAsia="Times New Roman"/>
          <w:lang w:eastAsia="en-GB"/>
        </w:rPr>
        <w:t>Union may be considered to have an overriding public interest</w:t>
      </w:r>
      <w:r w:rsidRPr="001E110A">
        <w:rPr>
          <w:rFonts w:eastAsia="Times New Roman"/>
          <w:lang w:eastAsia="en-GB"/>
        </w:rPr>
        <w:t xml:space="preserve"> and to serve the interests of public health and safety provided that all the conditions set out in those acts are fulfilled.</w:t>
      </w:r>
    </w:p>
    <w:p w14:paraId="217D34EC" w14:textId="77777777" w:rsidR="00917777" w:rsidRPr="001E110A" w:rsidRDefault="00917777" w:rsidP="00917777">
      <w:pPr>
        <w:pStyle w:val="Titrearticle"/>
        <w:rPr>
          <w:szCs w:val="24"/>
        </w:rPr>
      </w:pPr>
      <w:r w:rsidRPr="001E110A">
        <w:rPr>
          <w:szCs w:val="24"/>
        </w:rPr>
        <w:t>Article 1</w:t>
      </w:r>
      <w:r>
        <w:rPr>
          <w:szCs w:val="24"/>
        </w:rPr>
        <w:t>3</w:t>
      </w:r>
    </w:p>
    <w:p w14:paraId="5B63F80E" w14:textId="77777777" w:rsidR="00917777" w:rsidRPr="001E110A" w:rsidRDefault="00917777" w:rsidP="00917777">
      <w:pPr>
        <w:jc w:val="center"/>
        <w:rPr>
          <w:i/>
          <w:szCs w:val="24"/>
        </w:rPr>
      </w:pPr>
      <w:r w:rsidRPr="001E110A">
        <w:rPr>
          <w:i/>
          <w:szCs w:val="24"/>
        </w:rPr>
        <w:t>Planning</w:t>
      </w:r>
    </w:p>
    <w:p w14:paraId="25302560" w14:textId="77777777" w:rsidR="00917777" w:rsidRPr="0064721F" w:rsidRDefault="00917777" w:rsidP="00917777">
      <w:pPr>
        <w:pStyle w:val="Point0"/>
        <w:rPr>
          <w:szCs w:val="24"/>
        </w:rPr>
      </w:pPr>
      <w:r>
        <w:t>1.</w:t>
      </w:r>
      <w:r>
        <w:tab/>
      </w:r>
      <w:r w:rsidRPr="0064721F">
        <w:t>National, regional and local authorities responsible for preparing plans, including zoning, spatial plans and land use plans, shall consider including in such plans, where appropriate, provisions for the development of Strategic Projects</w:t>
      </w:r>
      <w:r>
        <w:t>,</w:t>
      </w:r>
      <w:r w:rsidRPr="0064721F">
        <w:t xml:space="preserve"> as well as the necessary infrastructure. To facilitate the development of </w:t>
      </w:r>
      <w:r>
        <w:t>s</w:t>
      </w:r>
      <w:r w:rsidRPr="0064721F">
        <w:t xml:space="preserve">trategic </w:t>
      </w:r>
      <w:r>
        <w:t>p</w:t>
      </w:r>
      <w:r w:rsidRPr="0064721F">
        <w:t>rojects</w:t>
      </w:r>
      <w:r w:rsidRPr="0064721F">
        <w:rPr>
          <w:szCs w:val="24"/>
        </w:rPr>
        <w:t>, Member States shall ensure that all relevant spatial planning data is available.</w:t>
      </w:r>
    </w:p>
    <w:p w14:paraId="4316AA1E" w14:textId="77777777" w:rsidR="00917777" w:rsidRPr="0064721F" w:rsidRDefault="00917777" w:rsidP="00917777">
      <w:pPr>
        <w:pStyle w:val="Point0"/>
        <w:rPr>
          <w:szCs w:val="24"/>
        </w:rPr>
      </w:pPr>
      <w:r>
        <w:rPr>
          <w:szCs w:val="24"/>
          <w:shd w:val="clear" w:color="auto" w:fill="FFFFFF"/>
        </w:rPr>
        <w:t>2.</w:t>
      </w:r>
      <w:r>
        <w:rPr>
          <w:szCs w:val="24"/>
          <w:shd w:val="clear" w:color="auto" w:fill="FFFFFF"/>
        </w:rPr>
        <w:tab/>
      </w:r>
      <w:r w:rsidRPr="001E110A">
        <w:rPr>
          <w:szCs w:val="24"/>
          <w:shd w:val="clear" w:color="auto" w:fill="FFFFFF"/>
        </w:rPr>
        <w:t xml:space="preserve">Where plans including provisions for the development of </w:t>
      </w:r>
      <w:r>
        <w:rPr>
          <w:szCs w:val="24"/>
          <w:shd w:val="clear" w:color="auto" w:fill="FFFFFF"/>
        </w:rPr>
        <w:t>s</w:t>
      </w:r>
      <w:r w:rsidRPr="001E110A">
        <w:rPr>
          <w:szCs w:val="24"/>
          <w:shd w:val="clear" w:color="auto" w:fill="FFFFFF"/>
        </w:rPr>
        <w:t xml:space="preserve">trategic </w:t>
      </w:r>
      <w:r>
        <w:rPr>
          <w:szCs w:val="24"/>
          <w:shd w:val="clear" w:color="auto" w:fill="FFFFFF"/>
        </w:rPr>
        <w:t>p</w:t>
      </w:r>
      <w:r w:rsidRPr="0064721F">
        <w:rPr>
          <w:szCs w:val="24"/>
          <w:shd w:val="clear" w:color="auto" w:fill="FFFFFF"/>
        </w:rPr>
        <w:t>rojects are subject to an assessment pursuant to Directive 2001/42/EC of the European Parliament and of the Council and pursuant to Article 6</w:t>
      </w:r>
      <w:r>
        <w:rPr>
          <w:szCs w:val="24"/>
          <w:shd w:val="clear" w:color="auto" w:fill="FFFFFF"/>
        </w:rPr>
        <w:t>(3)</w:t>
      </w:r>
      <w:r w:rsidRPr="0064721F">
        <w:rPr>
          <w:szCs w:val="24"/>
          <w:shd w:val="clear" w:color="auto" w:fill="FFFFFF"/>
        </w:rPr>
        <w:t xml:space="preserve"> of Directive 92/43/EEC, those assessments shall be combined. Where applicable, the combined assessment shall also address the impact on potentially affected water bodies referred to in Directive 2000/60/EC. Where Member States are required to assess the impacts of existing and future activities on the marine environment, including land-sea interactions, </w:t>
      </w:r>
      <w:r>
        <w:rPr>
          <w:szCs w:val="24"/>
          <w:shd w:val="clear" w:color="auto" w:fill="FFFFFF"/>
        </w:rPr>
        <w:t>in accordance with</w:t>
      </w:r>
      <w:r w:rsidRPr="0064721F">
        <w:rPr>
          <w:szCs w:val="24"/>
          <w:shd w:val="clear" w:color="auto" w:fill="FFFFFF"/>
        </w:rPr>
        <w:t xml:space="preserve"> Article 4 of Directive 2014/89/EU of the European Parliament and of the Council</w:t>
      </w:r>
      <w:r>
        <w:rPr>
          <w:rStyle w:val="FootnoteReference"/>
          <w:szCs w:val="24"/>
        </w:rPr>
        <w:footnoteReference w:id="88"/>
      </w:r>
      <w:r w:rsidRPr="0064721F">
        <w:rPr>
          <w:szCs w:val="24"/>
          <w:shd w:val="clear" w:color="auto" w:fill="FFFFFF"/>
        </w:rPr>
        <w:t xml:space="preserve">, </w:t>
      </w:r>
      <w:r>
        <w:rPr>
          <w:szCs w:val="24"/>
          <w:shd w:val="clear" w:color="auto" w:fill="FFFFFF"/>
        </w:rPr>
        <w:t xml:space="preserve">the combined assessment shall also cover </w:t>
      </w:r>
      <w:r w:rsidRPr="0064721F">
        <w:rPr>
          <w:szCs w:val="24"/>
          <w:shd w:val="clear" w:color="auto" w:fill="FFFFFF"/>
        </w:rPr>
        <w:t>those impacts.</w:t>
      </w:r>
    </w:p>
    <w:p w14:paraId="57891D5C" w14:textId="77777777" w:rsidR="00917777" w:rsidRPr="00046C83" w:rsidRDefault="00917777" w:rsidP="00046C83">
      <w:pPr>
        <w:pStyle w:val="Titrearticle"/>
        <w:rPr>
          <w:szCs w:val="24"/>
        </w:rPr>
      </w:pPr>
      <w:r w:rsidRPr="00BE0E86">
        <w:rPr>
          <w:rStyle w:val="normaltextrun"/>
          <w:iCs/>
        </w:rPr>
        <w:t>Article 14</w:t>
      </w:r>
    </w:p>
    <w:p w14:paraId="423831CE" w14:textId="77777777" w:rsidR="00917777" w:rsidRPr="00046C83" w:rsidRDefault="00917777" w:rsidP="00046C83">
      <w:pPr>
        <w:jc w:val="center"/>
        <w:rPr>
          <w:i/>
          <w:iCs/>
          <w:szCs w:val="24"/>
        </w:rPr>
      </w:pPr>
      <w:r w:rsidRPr="00046C83">
        <w:rPr>
          <w:i/>
          <w:iCs/>
          <w:szCs w:val="24"/>
        </w:rPr>
        <w:t>Applicability of UNECE Conventions</w:t>
      </w:r>
    </w:p>
    <w:p w14:paraId="00DB8E72" w14:textId="77777777" w:rsidR="00917777" w:rsidRPr="00F918B5" w:rsidRDefault="00046C83" w:rsidP="00046C83">
      <w:pPr>
        <w:pStyle w:val="Point0"/>
        <w:rPr>
          <w:rStyle w:val="normaltextrun"/>
        </w:rPr>
      </w:pPr>
      <w:r>
        <w:rPr>
          <w:rStyle w:val="normaltextrun"/>
        </w:rPr>
        <w:t>1.</w:t>
      </w:r>
      <w:r>
        <w:rPr>
          <w:rStyle w:val="normaltextrun"/>
        </w:rPr>
        <w:tab/>
      </w:r>
      <w:r w:rsidR="00917777" w:rsidRPr="00F918B5">
        <w:rPr>
          <w:rStyle w:val="normaltextrun"/>
        </w:rPr>
        <w:t>This Regulation is without prejudice to the obligations under the United Nations Economic Commission for Europe (UNECE) Convention on Access to Information, Public Participation in Decision-making and Access to Justice in Environmental Matters, signed at Aarhus on 25 June 1998, and under the UNECE Convention on environmental impact assessment in a transboundary context, signed at Espoo on 25 February 1991 and its Protocol on Strategic Environmental Assessment, signed in Kyiv on 21 May 2003.</w:t>
      </w:r>
    </w:p>
    <w:p w14:paraId="01F46064" w14:textId="1742A0FD" w:rsidR="00917777" w:rsidRPr="00F918B5" w:rsidRDefault="00046C83" w:rsidP="00046C83">
      <w:pPr>
        <w:pStyle w:val="Point0"/>
      </w:pPr>
      <w:r>
        <w:rPr>
          <w:rStyle w:val="normaltextrun"/>
        </w:rPr>
        <w:t>2.</w:t>
      </w:r>
      <w:r>
        <w:rPr>
          <w:rStyle w:val="normaltextrun"/>
        </w:rPr>
        <w:tab/>
      </w:r>
      <w:r w:rsidR="00917777" w:rsidRPr="00F918B5">
        <w:rPr>
          <w:rStyle w:val="normaltextrun"/>
        </w:rPr>
        <w:t xml:space="preserve">All decisions adopted pursuant to </w:t>
      </w:r>
      <w:r w:rsidR="00917777" w:rsidRPr="6FB76246">
        <w:rPr>
          <w:rStyle w:val="normaltextrun"/>
        </w:rPr>
        <w:t xml:space="preserve">the </w:t>
      </w:r>
      <w:r w:rsidR="00917777" w:rsidRPr="00F918B5">
        <w:rPr>
          <w:rStyle w:val="normaltextrun"/>
        </w:rPr>
        <w:t xml:space="preserve">Articles </w:t>
      </w:r>
      <w:r w:rsidR="00917777" w:rsidRPr="6FB76246">
        <w:rPr>
          <w:rStyle w:val="normaltextrun"/>
        </w:rPr>
        <w:t xml:space="preserve">in </w:t>
      </w:r>
      <w:r w:rsidR="00917777" w:rsidRPr="00F918B5">
        <w:rPr>
          <w:rStyle w:val="normaltextrun"/>
        </w:rPr>
        <w:t>this section shall be made publicly available.</w:t>
      </w:r>
    </w:p>
    <w:p w14:paraId="17229FEB" w14:textId="77777777" w:rsidR="00917777" w:rsidRPr="00366C65" w:rsidRDefault="00917777" w:rsidP="00046C83"/>
    <w:p w14:paraId="265DB334" w14:textId="77777777" w:rsidR="00917777" w:rsidRPr="001E110A" w:rsidRDefault="00917777" w:rsidP="00917777">
      <w:pPr>
        <w:pStyle w:val="SectionTitle"/>
        <w:rPr>
          <w:lang w:val="fr-BE"/>
        </w:rPr>
      </w:pPr>
      <w:r w:rsidRPr="001E110A">
        <w:rPr>
          <w:lang w:val="fr-BE"/>
        </w:rPr>
        <w:t>Section II</w:t>
      </w:r>
      <w:r>
        <w:rPr>
          <w:lang w:val="fr-BE"/>
        </w:rPr>
        <w:t>I</w:t>
      </w:r>
    </w:p>
    <w:p w14:paraId="73B09F40" w14:textId="77777777" w:rsidR="00917777" w:rsidRPr="001E110A" w:rsidRDefault="00917777" w:rsidP="00917777">
      <w:pPr>
        <w:pStyle w:val="SectionTitle"/>
        <w:rPr>
          <w:b w:val="0"/>
          <w:lang w:val="fr-BE"/>
        </w:rPr>
      </w:pPr>
      <w:r w:rsidRPr="6A61AFA6">
        <w:rPr>
          <w:lang w:val="fr-BE"/>
        </w:rPr>
        <w:t>Financial incentives</w:t>
      </w:r>
    </w:p>
    <w:p w14:paraId="59DA5C23" w14:textId="77777777" w:rsidR="00917777" w:rsidRPr="00F8737E" w:rsidRDefault="00917777" w:rsidP="00917777">
      <w:pPr>
        <w:pStyle w:val="Titrearticle"/>
        <w:rPr>
          <w:lang w:val="fr-BE"/>
        </w:rPr>
      </w:pPr>
      <w:r w:rsidRPr="00F8737E">
        <w:rPr>
          <w:lang w:val="fr-BE"/>
        </w:rPr>
        <w:t>Article 15</w:t>
      </w:r>
    </w:p>
    <w:p w14:paraId="290D92F1" w14:textId="77777777" w:rsidR="00917777" w:rsidRPr="001E110A" w:rsidRDefault="00917777" w:rsidP="00917777">
      <w:pPr>
        <w:jc w:val="center"/>
        <w:rPr>
          <w:i/>
        </w:rPr>
      </w:pPr>
      <w:r w:rsidRPr="001E110A">
        <w:rPr>
          <w:i/>
        </w:rPr>
        <w:t>Financial support by Member States</w:t>
      </w:r>
    </w:p>
    <w:p w14:paraId="08CAF46E" w14:textId="77777777" w:rsidR="00917777" w:rsidRPr="000C5A3A" w:rsidRDefault="00917777" w:rsidP="00917777">
      <w:pPr>
        <w:pStyle w:val="Point0"/>
        <w:rPr>
          <w:color w:val="333333"/>
        </w:rPr>
      </w:pPr>
      <w:r w:rsidRPr="7D1D7BED">
        <w:rPr>
          <w:color w:val="333333"/>
          <w:shd w:val="clear" w:color="auto" w:fill="FFFFFF"/>
        </w:rPr>
        <w:t>1.</w:t>
      </w:r>
      <w:r>
        <w:rPr>
          <w:color w:val="333333"/>
          <w:szCs w:val="24"/>
          <w:shd w:val="clear" w:color="auto" w:fill="FFFFFF"/>
        </w:rPr>
        <w:tab/>
      </w:r>
      <w:r w:rsidRPr="00CF6E11">
        <w:rPr>
          <w:color w:val="333333"/>
          <w:shd w:val="clear" w:color="auto" w:fill="FFFFFF"/>
        </w:rPr>
        <w:t xml:space="preserve">Without prejudice to Articles 107 and 108 TFEU, Member States may prioritise financial support to </w:t>
      </w:r>
      <w:r>
        <w:rPr>
          <w:color w:val="333333"/>
          <w:shd w:val="clear" w:color="auto" w:fill="FFFFFF"/>
        </w:rPr>
        <w:t>s</w:t>
      </w:r>
      <w:r w:rsidRPr="00CF6E11">
        <w:rPr>
          <w:color w:val="333333"/>
          <w:shd w:val="clear" w:color="auto" w:fill="FFFFFF"/>
        </w:rPr>
        <w:t xml:space="preserve">trategic </w:t>
      </w:r>
      <w:r>
        <w:rPr>
          <w:color w:val="333333"/>
          <w:shd w:val="clear" w:color="auto" w:fill="FFFFFF"/>
        </w:rPr>
        <w:t>p</w:t>
      </w:r>
      <w:r w:rsidRPr="00CF6E11">
        <w:rPr>
          <w:color w:val="333333"/>
          <w:shd w:val="clear" w:color="auto" w:fill="FFFFFF"/>
        </w:rPr>
        <w:t>rojects that address a vulnerability in the supply chains of critical medicinal products identified following a vulnerability evaluation</w:t>
      </w:r>
      <w:r>
        <w:rPr>
          <w:color w:val="333333"/>
          <w:shd w:val="clear" w:color="auto" w:fill="FFFFFF"/>
        </w:rPr>
        <w:t xml:space="preserve"> and with </w:t>
      </w:r>
      <w:r w:rsidRPr="00182A60">
        <w:rPr>
          <w:color w:val="333333"/>
          <w:shd w:val="clear" w:color="auto" w:fill="FFFFFF"/>
        </w:rPr>
        <w:t>due consideration to</w:t>
      </w:r>
      <w:r>
        <w:rPr>
          <w:color w:val="333333"/>
          <w:shd w:val="clear" w:color="auto" w:fill="FFFFFF"/>
        </w:rPr>
        <w:t xml:space="preserve"> </w:t>
      </w:r>
      <w:r w:rsidRPr="00182A60">
        <w:rPr>
          <w:color w:val="333333"/>
        </w:rPr>
        <w:t>the strategic orientations of the Critical Medicines Group referred to in Article 2</w:t>
      </w:r>
      <w:r>
        <w:rPr>
          <w:color w:val="333333"/>
        </w:rPr>
        <w:t>6</w:t>
      </w:r>
      <w:r w:rsidRPr="00182A60">
        <w:rPr>
          <w:color w:val="333333"/>
        </w:rPr>
        <w:t>(2</w:t>
      </w:r>
      <w:r w:rsidRPr="002264D3">
        <w:rPr>
          <w:color w:val="333333"/>
        </w:rPr>
        <w:t>) point (a)</w:t>
      </w:r>
      <w:r>
        <w:rPr>
          <w:color w:val="333333"/>
        </w:rPr>
        <w:t>.</w:t>
      </w:r>
    </w:p>
    <w:p w14:paraId="6D0FE15F" w14:textId="53C6698F" w:rsidR="00917777" w:rsidRPr="008C4F46" w:rsidRDefault="00917777" w:rsidP="00917777">
      <w:pPr>
        <w:pStyle w:val="Point0"/>
        <w:rPr>
          <w:rFonts w:eastAsia="Times New Roman"/>
          <w:lang w:eastAsia="en-GB"/>
        </w:rPr>
      </w:pPr>
      <w:r>
        <w:rPr>
          <w:rFonts w:eastAsia="Times New Roman"/>
          <w:lang w:eastAsia="en-GB"/>
        </w:rPr>
        <w:t>2.</w:t>
      </w:r>
      <w:r>
        <w:tab/>
      </w:r>
      <w:r w:rsidRPr="001E110A">
        <w:rPr>
          <w:rFonts w:eastAsia="Times New Roman"/>
          <w:lang w:eastAsia="en-GB"/>
        </w:rPr>
        <w:t xml:space="preserve">For as long as the critical medicinal product </w:t>
      </w:r>
      <w:r w:rsidRPr="484CE43E">
        <w:rPr>
          <w:rFonts w:eastAsia="Times New Roman"/>
          <w:lang w:eastAsia="en-GB"/>
        </w:rPr>
        <w:t>is on</w:t>
      </w:r>
      <w:r>
        <w:rPr>
          <w:rFonts w:eastAsia="Times New Roman"/>
          <w:lang w:eastAsia="en-GB"/>
        </w:rPr>
        <w:t xml:space="preserve"> the Union List of Critical Medicinal Products,</w:t>
      </w:r>
      <w:r w:rsidRPr="001E110A">
        <w:rPr>
          <w:rFonts w:eastAsia="Times New Roman"/>
          <w:lang w:eastAsia="en-GB"/>
        </w:rPr>
        <w:t xml:space="preserve"> an undertaking that has benefitted from financial support for a </w:t>
      </w:r>
      <w:r>
        <w:rPr>
          <w:rFonts w:eastAsia="Times New Roman"/>
          <w:lang w:eastAsia="en-GB"/>
        </w:rPr>
        <w:t>s</w:t>
      </w:r>
      <w:r w:rsidRPr="001E110A">
        <w:rPr>
          <w:rFonts w:eastAsia="Times New Roman"/>
          <w:lang w:eastAsia="en-GB"/>
        </w:rPr>
        <w:t xml:space="preserve">trategic </w:t>
      </w:r>
      <w:r>
        <w:rPr>
          <w:rFonts w:eastAsia="Times New Roman"/>
          <w:lang w:eastAsia="en-GB"/>
        </w:rPr>
        <w:t>p</w:t>
      </w:r>
      <w:r w:rsidRPr="001E110A">
        <w:rPr>
          <w:rFonts w:eastAsia="Times New Roman"/>
          <w:lang w:eastAsia="en-GB"/>
        </w:rPr>
        <w:t xml:space="preserve">roject </w:t>
      </w:r>
      <w:r>
        <w:rPr>
          <w:rFonts w:eastAsia="Times New Roman"/>
          <w:lang w:eastAsia="en-GB"/>
        </w:rPr>
        <w:t xml:space="preserve">shall </w:t>
      </w:r>
      <w:r w:rsidRPr="008C4F46">
        <w:rPr>
          <w:rFonts w:eastAsia="Times New Roman"/>
          <w:lang w:eastAsia="en-GB"/>
        </w:rPr>
        <w:t xml:space="preserve">prioritise supply to the </w:t>
      </w:r>
      <w:r w:rsidR="00102202">
        <w:rPr>
          <w:rFonts w:eastAsia="Times New Roman"/>
          <w:lang w:eastAsia="en-GB"/>
        </w:rPr>
        <w:t>Union</w:t>
      </w:r>
      <w:r w:rsidRPr="008C4F46">
        <w:rPr>
          <w:rFonts w:eastAsia="Times New Roman"/>
          <w:lang w:eastAsia="en-GB"/>
        </w:rPr>
        <w:t xml:space="preserve"> market</w:t>
      </w:r>
      <w:r>
        <w:rPr>
          <w:rFonts w:eastAsia="Times New Roman"/>
          <w:lang w:eastAsia="en-GB"/>
        </w:rPr>
        <w:t xml:space="preserve"> and</w:t>
      </w:r>
      <w:r w:rsidRPr="008C4F46">
        <w:rPr>
          <w:rFonts w:eastAsia="Times New Roman"/>
          <w:lang w:eastAsia="en-GB"/>
        </w:rPr>
        <w:t xml:space="preserve"> </w:t>
      </w:r>
      <w:r>
        <w:rPr>
          <w:rFonts w:eastAsia="Times New Roman"/>
          <w:lang w:eastAsia="en-GB"/>
        </w:rPr>
        <w:t xml:space="preserve">use its </w:t>
      </w:r>
      <w:r w:rsidRPr="002264D3">
        <w:rPr>
          <w:rFonts w:eastAsia="Times New Roman"/>
          <w:lang w:eastAsia="en-GB"/>
        </w:rPr>
        <w:t>very best</w:t>
      </w:r>
      <w:r>
        <w:rPr>
          <w:rFonts w:eastAsia="Times New Roman"/>
          <w:lang w:eastAsia="en-GB"/>
        </w:rPr>
        <w:t xml:space="preserve"> efforts to ensure that the critical medicinal </w:t>
      </w:r>
      <w:r w:rsidRPr="002264D3">
        <w:rPr>
          <w:rFonts w:eastAsia="Times New Roman"/>
          <w:lang w:eastAsia="en-GB"/>
        </w:rPr>
        <w:t xml:space="preserve">product </w:t>
      </w:r>
      <w:r w:rsidRPr="5DC8408B">
        <w:rPr>
          <w:rFonts w:eastAsia="Times New Roman"/>
          <w:lang w:eastAsia="en-GB"/>
        </w:rPr>
        <w:t>remains</w:t>
      </w:r>
      <w:r w:rsidRPr="002264D3">
        <w:rPr>
          <w:rFonts w:eastAsia="Times New Roman"/>
          <w:lang w:eastAsia="en-GB"/>
        </w:rPr>
        <w:t xml:space="preserve"> available</w:t>
      </w:r>
      <w:r>
        <w:rPr>
          <w:rFonts w:eastAsia="Times New Roman"/>
          <w:lang w:eastAsia="en-GB"/>
        </w:rPr>
        <w:t xml:space="preserve"> in </w:t>
      </w:r>
      <w:r w:rsidRPr="3D42D822">
        <w:rPr>
          <w:rFonts w:eastAsia="Times New Roman"/>
          <w:lang w:eastAsia="en-GB"/>
        </w:rPr>
        <w:t>the</w:t>
      </w:r>
      <w:r>
        <w:rPr>
          <w:rFonts w:eastAsia="Times New Roman"/>
          <w:lang w:eastAsia="en-GB"/>
        </w:rPr>
        <w:t xml:space="preserve"> Member States where it is being marketed.</w:t>
      </w:r>
    </w:p>
    <w:p w14:paraId="1545E94F" w14:textId="7DCC70BF" w:rsidR="00917777" w:rsidRPr="002264D3" w:rsidRDefault="00917777" w:rsidP="00917777">
      <w:pPr>
        <w:pStyle w:val="Point0"/>
        <w:rPr>
          <w:rFonts w:eastAsia="Times New Roman"/>
          <w:lang w:eastAsia="en-GB"/>
        </w:rPr>
      </w:pPr>
      <w:r w:rsidRPr="00633134">
        <w:rPr>
          <w:rStyle w:val="normaltextrun"/>
          <w:shd w:val="clear" w:color="auto" w:fill="FFFFFF"/>
          <w:lang w:val="en-IE"/>
        </w:rPr>
        <w:t>3.</w:t>
      </w:r>
      <w:r w:rsidRPr="00633134">
        <w:rPr>
          <w:rStyle w:val="normaltextrun"/>
          <w:shd w:val="clear" w:color="auto" w:fill="FFFFFF"/>
          <w:lang w:val="en-IE"/>
        </w:rPr>
        <w:tab/>
      </w:r>
      <w:r w:rsidRPr="00633134">
        <w:rPr>
          <w:rFonts w:eastAsia="Times New Roman"/>
          <w:lang w:eastAsia="en-GB"/>
        </w:rPr>
        <w:t xml:space="preserve">The Member State that provided financial support to a strategic project may request such undertaking to provide the necessary supplies of a critical medicinal product, active substance or key inputs, as applicable, to the </w:t>
      </w:r>
      <w:r w:rsidR="00102202">
        <w:rPr>
          <w:rFonts w:eastAsia="Times New Roman"/>
          <w:lang w:eastAsia="en-GB"/>
        </w:rPr>
        <w:t>Union</w:t>
      </w:r>
      <w:r w:rsidRPr="00633134">
        <w:rPr>
          <w:rFonts w:eastAsia="Times New Roman"/>
          <w:lang w:eastAsia="en-GB"/>
        </w:rPr>
        <w:t xml:space="preserve"> market to avoid</w:t>
      </w:r>
      <w:r w:rsidRPr="002264D3">
        <w:rPr>
          <w:rFonts w:eastAsia="Times New Roman"/>
          <w:lang w:eastAsia="en-GB"/>
        </w:rPr>
        <w:t xml:space="preserve"> shortages in one or several Member States. </w:t>
      </w:r>
    </w:p>
    <w:p w14:paraId="36142F7A" w14:textId="77777777" w:rsidR="00917777" w:rsidRDefault="00917777" w:rsidP="00046C83">
      <w:pPr>
        <w:pStyle w:val="Text1"/>
        <w:rPr>
          <w:lang w:val="en-IE" w:eastAsia="en-GB"/>
        </w:rPr>
      </w:pPr>
      <w:r w:rsidRPr="002264D3">
        <w:rPr>
          <w:lang w:val="en-IE" w:eastAsia="en-GB"/>
        </w:rPr>
        <w:t xml:space="preserve">Any Member State that encounters a threat of shortages of the critical medicinal product in question may demand the Member State that provided financial support to submit a request on its behalf. </w:t>
      </w:r>
    </w:p>
    <w:p w14:paraId="3F6E2281" w14:textId="77777777" w:rsidR="00917777" w:rsidRPr="001E110A" w:rsidRDefault="00917777" w:rsidP="00917777">
      <w:pPr>
        <w:pStyle w:val="Titrearticle"/>
      </w:pPr>
      <w:r w:rsidRPr="001E110A">
        <w:t>Article 16</w:t>
      </w:r>
    </w:p>
    <w:p w14:paraId="7F2E77C4" w14:textId="77777777" w:rsidR="00917777" w:rsidRPr="001E110A" w:rsidRDefault="00917777" w:rsidP="00917777">
      <w:pPr>
        <w:jc w:val="center"/>
        <w:rPr>
          <w:i/>
        </w:rPr>
      </w:pPr>
      <w:r>
        <w:rPr>
          <w:i/>
        </w:rPr>
        <w:t>F</w:t>
      </w:r>
      <w:r w:rsidRPr="001E110A">
        <w:rPr>
          <w:i/>
        </w:rPr>
        <w:t>inancial support from the Union</w:t>
      </w:r>
    </w:p>
    <w:p w14:paraId="34B5904B" w14:textId="270E5031" w:rsidR="00917777" w:rsidRPr="00BE0E86" w:rsidRDefault="00917777" w:rsidP="00917777">
      <w:pPr>
        <w:pStyle w:val="Point0"/>
        <w:rPr>
          <w:rFonts w:eastAsia="Times New Roman"/>
          <w:lang w:eastAsia="en-GB"/>
        </w:rPr>
      </w:pPr>
      <w:r>
        <w:rPr>
          <w:rFonts w:eastAsia="Times New Roman"/>
          <w:lang w:eastAsia="en-GB"/>
        </w:rPr>
        <w:t>1.</w:t>
      </w:r>
      <w:r>
        <w:rPr>
          <w:rFonts w:eastAsia="Times New Roman"/>
          <w:lang w:eastAsia="en-GB"/>
        </w:rPr>
        <w:tab/>
      </w:r>
      <w:r w:rsidRPr="001E110A">
        <w:rPr>
          <w:rFonts w:eastAsia="Times New Roman"/>
          <w:lang w:eastAsia="en-GB"/>
        </w:rPr>
        <w:t>For the duration of the Multiannual Financial Framework 2021-2027</w:t>
      </w:r>
      <w:r>
        <w:rPr>
          <w:rStyle w:val="FootnoteReference"/>
          <w:rFonts w:eastAsia="Times New Roman"/>
          <w:lang w:eastAsia="en-GB"/>
        </w:rPr>
        <w:footnoteReference w:id="89"/>
      </w:r>
      <w:r>
        <w:rPr>
          <w:rFonts w:eastAsia="Times New Roman"/>
          <w:lang w:eastAsia="en-GB"/>
        </w:rPr>
        <w:t xml:space="preserve"> strategic projects</w:t>
      </w:r>
      <w:r w:rsidRPr="001E110A">
        <w:rPr>
          <w:rFonts w:eastAsia="Times New Roman"/>
          <w:lang w:eastAsia="en-GB"/>
        </w:rPr>
        <w:t xml:space="preserve"> </w:t>
      </w:r>
      <w:r w:rsidRPr="00182A60">
        <w:rPr>
          <w:rFonts w:eastAsia="Times New Roman"/>
          <w:lang w:eastAsia="en-GB"/>
        </w:rPr>
        <w:t xml:space="preserve">may be supported by </w:t>
      </w:r>
      <w:r w:rsidR="00B16DD1">
        <w:rPr>
          <w:rFonts w:eastAsia="Times New Roman"/>
          <w:lang w:eastAsia="en-GB"/>
        </w:rPr>
        <w:t>Union</w:t>
      </w:r>
      <w:r w:rsidRPr="00182A60">
        <w:rPr>
          <w:rFonts w:eastAsia="Times New Roman"/>
          <w:lang w:eastAsia="en-GB"/>
        </w:rPr>
        <w:t xml:space="preserve"> funding</w:t>
      </w:r>
      <w:r w:rsidRPr="001E110A">
        <w:rPr>
          <w:rFonts w:eastAsia="Times New Roman"/>
          <w:lang w:eastAsia="en-GB"/>
        </w:rPr>
        <w:t xml:space="preserve">, including but not limited to such </w:t>
      </w:r>
      <w:r>
        <w:rPr>
          <w:rFonts w:eastAsia="Times New Roman"/>
          <w:lang w:eastAsia="en-GB"/>
        </w:rPr>
        <w:t>Union programmes</w:t>
      </w:r>
      <w:r w:rsidRPr="001E110A">
        <w:rPr>
          <w:rFonts w:eastAsia="Times New Roman"/>
          <w:lang w:eastAsia="en-GB"/>
        </w:rPr>
        <w:t xml:space="preserve"> as the EU4Health </w:t>
      </w:r>
      <w:r>
        <w:rPr>
          <w:rFonts w:eastAsia="Times New Roman"/>
          <w:lang w:eastAsia="en-GB"/>
        </w:rPr>
        <w:t>P</w:t>
      </w:r>
      <w:r w:rsidRPr="001E110A">
        <w:rPr>
          <w:rFonts w:eastAsia="Times New Roman"/>
          <w:lang w:eastAsia="en-GB"/>
        </w:rPr>
        <w:t>rogramme</w:t>
      </w:r>
      <w:r>
        <w:rPr>
          <w:rStyle w:val="FootnoteReference"/>
          <w:rFonts w:eastAsia="Times New Roman"/>
          <w:lang w:eastAsia="en-GB"/>
        </w:rPr>
        <w:footnoteReference w:id="90"/>
      </w:r>
      <w:r w:rsidRPr="001E110A">
        <w:rPr>
          <w:rFonts w:eastAsia="Times New Roman"/>
          <w:lang w:eastAsia="en-GB"/>
        </w:rPr>
        <w:t>, Horizon Europe</w:t>
      </w:r>
      <w:r>
        <w:rPr>
          <w:rStyle w:val="FootnoteReference"/>
          <w:rFonts w:eastAsia="Times New Roman"/>
          <w:lang w:eastAsia="en-GB"/>
        </w:rPr>
        <w:footnoteReference w:id="91"/>
      </w:r>
      <w:r w:rsidRPr="001E110A">
        <w:rPr>
          <w:rFonts w:eastAsia="Times New Roman"/>
          <w:lang w:eastAsia="en-GB"/>
        </w:rPr>
        <w:t>, and the Digital Europe Programme</w:t>
      </w:r>
      <w:r>
        <w:rPr>
          <w:rStyle w:val="FootnoteReference"/>
          <w:rFonts w:eastAsia="Times New Roman"/>
          <w:lang w:eastAsia="en-GB"/>
        </w:rPr>
        <w:footnoteReference w:id="92"/>
      </w:r>
      <w:r w:rsidRPr="001E110A">
        <w:rPr>
          <w:rFonts w:eastAsia="Times New Roman"/>
          <w:lang w:eastAsia="en-GB"/>
        </w:rPr>
        <w:t xml:space="preserve"> </w:t>
      </w:r>
      <w:r w:rsidRPr="00BE0E86">
        <w:rPr>
          <w:rFonts w:eastAsia="Times New Roman"/>
          <w:lang w:eastAsia="en-GB"/>
        </w:rPr>
        <w:t xml:space="preserve">provided that such support is in line with the objectives set out in the regulations establishing those programmes. </w:t>
      </w:r>
    </w:p>
    <w:p w14:paraId="346D4AEA" w14:textId="57B2B46D" w:rsidR="00917777" w:rsidRDefault="00CE00B6" w:rsidP="00917777">
      <w:pPr>
        <w:pStyle w:val="Point0"/>
        <w:rPr>
          <w:lang w:eastAsia="en-GB"/>
        </w:rPr>
      </w:pPr>
      <w:r>
        <w:rPr>
          <w:rFonts w:eastAsia="Times New Roman"/>
          <w:lang w:eastAsia="en-GB"/>
        </w:rPr>
        <w:t>2</w:t>
      </w:r>
      <w:r w:rsidR="00917777" w:rsidRPr="00BE0E86">
        <w:rPr>
          <w:rFonts w:eastAsia="Times New Roman"/>
          <w:lang w:eastAsia="en-GB"/>
        </w:rPr>
        <w:t>.</w:t>
      </w:r>
      <w:r w:rsidR="00917777" w:rsidRPr="00BE0E86">
        <w:tab/>
      </w:r>
      <w:r w:rsidR="00917777" w:rsidRPr="00BE0E86">
        <w:rPr>
          <w:lang w:eastAsia="en-GB"/>
        </w:rPr>
        <w:t xml:space="preserve">At the request of a project promoter, justified by necessity to provide results of vulnerability evaluation for the purpose of an application for </w:t>
      </w:r>
      <w:r w:rsidR="004313F1">
        <w:rPr>
          <w:lang w:eastAsia="en-GB"/>
        </w:rPr>
        <w:t>Union</w:t>
      </w:r>
      <w:r w:rsidR="00917777" w:rsidRPr="00BE0E86">
        <w:rPr>
          <w:lang w:eastAsia="en-GB"/>
        </w:rPr>
        <w:t xml:space="preserve"> funding, the designated authority shall assess whether a strategic project addresses a vulnerability in the supply chains identified following the vulnerability evaluation. The designated authority shall provide its assessment to a project promoter within 15 working days of its request. The designated authority shall inform the Commission about the strategic projects identified as addressing an existing vulnerability in the supply chains without delay.</w:t>
      </w:r>
      <w:r w:rsidR="00917777" w:rsidRPr="001E110A">
        <w:rPr>
          <w:lang w:eastAsia="en-GB"/>
        </w:rPr>
        <w:t xml:space="preserve"> </w:t>
      </w:r>
    </w:p>
    <w:p w14:paraId="5FDFB94A" w14:textId="77777777" w:rsidR="00917777" w:rsidRPr="001E110A" w:rsidRDefault="00917777" w:rsidP="00046C83">
      <w:pPr>
        <w:pStyle w:val="Titrearticle"/>
      </w:pPr>
      <w:r w:rsidRPr="001E110A">
        <w:t>Article 17</w:t>
      </w:r>
    </w:p>
    <w:p w14:paraId="24D43443" w14:textId="77777777" w:rsidR="00917777" w:rsidRPr="001E110A" w:rsidRDefault="00917777" w:rsidP="00917777">
      <w:pPr>
        <w:jc w:val="center"/>
        <w:rPr>
          <w:i/>
          <w:szCs w:val="24"/>
        </w:rPr>
      </w:pPr>
      <w:r w:rsidRPr="001E110A">
        <w:rPr>
          <w:i/>
          <w:szCs w:val="24"/>
        </w:rPr>
        <w:t>Exchange of information on funded projects</w:t>
      </w:r>
    </w:p>
    <w:p w14:paraId="7BE5A2C9" w14:textId="77777777" w:rsidR="00917777" w:rsidRPr="001E110A" w:rsidRDefault="00917777" w:rsidP="00917777">
      <w:pPr>
        <w:pStyle w:val="Point0"/>
        <w:rPr>
          <w:rFonts w:eastAsia="Times New Roman"/>
          <w:szCs w:val="24"/>
          <w:lang w:eastAsia="en-GB"/>
        </w:rPr>
      </w:pPr>
      <w:r>
        <w:rPr>
          <w:rFonts w:eastAsia="Times New Roman"/>
          <w:szCs w:val="24"/>
          <w:lang w:eastAsia="en-GB"/>
        </w:rPr>
        <w:t>1.</w:t>
      </w:r>
      <w:r>
        <w:rPr>
          <w:rFonts w:eastAsia="Times New Roman"/>
          <w:szCs w:val="24"/>
          <w:lang w:eastAsia="en-GB"/>
        </w:rPr>
        <w:tab/>
      </w:r>
      <w:r w:rsidRPr="00CC07A0">
        <w:rPr>
          <w:rFonts w:eastAsia="Times New Roman"/>
          <w:szCs w:val="24"/>
          <w:lang w:eastAsia="en-GB"/>
        </w:rPr>
        <w:t xml:space="preserve">Member States shall inform the Critical Medicines Coordination Group (‘the Critical Medicines Group’) referred to in Article 24 of the intention to provide financial support to strategic projects sufficiently in advance to allow the group to carry out its coordination task as </w:t>
      </w:r>
      <w:r w:rsidRPr="6F30402B">
        <w:rPr>
          <w:rFonts w:eastAsia="Times New Roman"/>
          <w:lang w:eastAsia="en-GB"/>
        </w:rPr>
        <w:t>set out</w:t>
      </w:r>
      <w:r w:rsidRPr="00CC07A0">
        <w:rPr>
          <w:rFonts w:eastAsia="Times New Roman"/>
          <w:szCs w:val="24"/>
          <w:lang w:eastAsia="en-GB"/>
        </w:rPr>
        <w:t xml:space="preserve"> in Article 25.</w:t>
      </w:r>
    </w:p>
    <w:p w14:paraId="33A2FEEB" w14:textId="77777777" w:rsidR="00917777" w:rsidRDefault="00917777" w:rsidP="00917777">
      <w:pPr>
        <w:pStyle w:val="Point0"/>
        <w:rPr>
          <w:rFonts w:eastAsia="Times New Roman"/>
          <w:szCs w:val="24"/>
          <w:lang w:eastAsia="en-GB"/>
        </w:rPr>
      </w:pPr>
      <w:r>
        <w:rPr>
          <w:rFonts w:eastAsia="Times New Roman"/>
          <w:szCs w:val="24"/>
          <w:lang w:eastAsia="en-GB"/>
        </w:rPr>
        <w:t>2.</w:t>
      </w:r>
      <w:r>
        <w:rPr>
          <w:rFonts w:eastAsia="Times New Roman"/>
          <w:szCs w:val="24"/>
          <w:lang w:eastAsia="en-GB"/>
        </w:rPr>
        <w:tab/>
      </w:r>
      <w:r w:rsidRPr="00CC07A0">
        <w:rPr>
          <w:rFonts w:eastAsia="Times New Roman"/>
          <w:szCs w:val="24"/>
          <w:lang w:eastAsia="en-GB"/>
        </w:rPr>
        <w:t xml:space="preserve">The Commission shall inform periodically the Critical Medicines Group of the </w:t>
      </w:r>
      <w:r w:rsidRPr="00182A60">
        <w:rPr>
          <w:rFonts w:eastAsia="Times New Roman"/>
          <w:szCs w:val="24"/>
          <w:lang w:eastAsia="en-GB"/>
        </w:rPr>
        <w:t>strategic projects that benefited from financial support from the Union</w:t>
      </w:r>
      <w:r>
        <w:rPr>
          <w:rFonts w:eastAsia="Times New Roman"/>
          <w:szCs w:val="24"/>
          <w:lang w:eastAsia="en-GB"/>
        </w:rPr>
        <w:t>.</w:t>
      </w:r>
    </w:p>
    <w:p w14:paraId="0F1A47A1" w14:textId="5423B292" w:rsidR="00917777" w:rsidRDefault="00917777" w:rsidP="00046C83">
      <w:pPr>
        <w:pStyle w:val="Text1"/>
        <w:rPr>
          <w:lang w:eastAsia="en-GB"/>
        </w:rPr>
      </w:pPr>
      <w:r>
        <w:rPr>
          <w:lang w:eastAsia="en-GB"/>
        </w:rPr>
        <w:t>The Commission</w:t>
      </w:r>
      <w:r w:rsidRPr="00182A60">
        <w:rPr>
          <w:lang w:eastAsia="en-GB"/>
        </w:rPr>
        <w:t xml:space="preserve"> </w:t>
      </w:r>
      <w:r>
        <w:rPr>
          <w:lang w:eastAsia="en-GB"/>
        </w:rPr>
        <w:t>may</w:t>
      </w:r>
      <w:r w:rsidRPr="00182A60">
        <w:rPr>
          <w:lang w:eastAsia="en-GB"/>
        </w:rPr>
        <w:t xml:space="preserve"> inform the Critical Medicines Group of the intention to propose </w:t>
      </w:r>
      <w:r w:rsidRPr="004751A0">
        <w:rPr>
          <w:lang w:eastAsia="en-GB"/>
        </w:rPr>
        <w:t>the establishment of</w:t>
      </w:r>
      <w:r w:rsidRPr="00182A60">
        <w:rPr>
          <w:lang w:eastAsia="en-GB"/>
        </w:rPr>
        <w:t xml:space="preserve"> funding possibilities specifically designed to address vulnerabilities in the supply chains as well as inform of any other programmes that may benefit </w:t>
      </w:r>
      <w:r w:rsidR="00465308">
        <w:rPr>
          <w:lang w:eastAsia="en-GB"/>
        </w:rPr>
        <w:t xml:space="preserve">the </w:t>
      </w:r>
      <w:r w:rsidRPr="00182A60">
        <w:rPr>
          <w:lang w:eastAsia="en-GB"/>
        </w:rPr>
        <w:t>availability of critical medicinal products, under specific rules and conditions of these Union funding programmes.</w:t>
      </w:r>
      <w:r>
        <w:rPr>
          <w:lang w:eastAsia="en-GB"/>
        </w:rPr>
        <w:t xml:space="preserve"> </w:t>
      </w:r>
    </w:p>
    <w:p w14:paraId="7E3A9F2F" w14:textId="77777777" w:rsidR="00917777" w:rsidRPr="001E110A" w:rsidRDefault="00917777" w:rsidP="00046C83">
      <w:pPr>
        <w:rPr>
          <w:lang w:eastAsia="en-GB"/>
        </w:rPr>
      </w:pPr>
    </w:p>
    <w:p w14:paraId="29F9DB04" w14:textId="77777777" w:rsidR="00917777" w:rsidRPr="001E110A" w:rsidRDefault="00917777" w:rsidP="00917777">
      <w:pPr>
        <w:pStyle w:val="ChapterTitle"/>
        <w:rPr>
          <w:b w:val="0"/>
        </w:rPr>
      </w:pPr>
      <w:bookmarkStart w:id="7" w:name="_Hlk192165508"/>
      <w:r w:rsidRPr="001E110A">
        <w:t xml:space="preserve">Chapter </w:t>
      </w:r>
      <w:r>
        <w:t>IV</w:t>
      </w:r>
      <w:r>
        <w:br/>
      </w:r>
      <w:r w:rsidRPr="001E110A">
        <w:t>Demand side measures</w:t>
      </w:r>
    </w:p>
    <w:p w14:paraId="7153F58D" w14:textId="77777777" w:rsidR="00917777" w:rsidRPr="001E110A" w:rsidRDefault="00917777" w:rsidP="00917777">
      <w:pPr>
        <w:pStyle w:val="SectionTitle"/>
      </w:pPr>
      <w:r w:rsidRPr="001E110A">
        <w:t>Section I</w:t>
      </w:r>
    </w:p>
    <w:p w14:paraId="3D001EE7" w14:textId="1E104A5A" w:rsidR="00917777" w:rsidRPr="001E110A" w:rsidRDefault="000D1861" w:rsidP="00917777">
      <w:pPr>
        <w:pStyle w:val="SectionTitle"/>
        <w:rPr>
          <w:b w:val="0"/>
        </w:rPr>
      </w:pPr>
      <w:r>
        <w:t>Award criteria and other procurement requirements</w:t>
      </w:r>
      <w:r w:rsidR="00917777">
        <w:t xml:space="preserve"> and related measures</w:t>
      </w:r>
    </w:p>
    <w:bookmarkEnd w:id="7"/>
    <w:p w14:paraId="48AE6759" w14:textId="77777777" w:rsidR="00917777" w:rsidRPr="001E110A" w:rsidRDefault="00917777" w:rsidP="00917777">
      <w:pPr>
        <w:pStyle w:val="Titrearticle"/>
      </w:pPr>
      <w:r w:rsidRPr="001E110A">
        <w:t>Article 18</w:t>
      </w:r>
    </w:p>
    <w:p w14:paraId="65BF9C98" w14:textId="2F77A35C" w:rsidR="00917777" w:rsidRPr="001E110A" w:rsidRDefault="00917777" w:rsidP="00917777">
      <w:pPr>
        <w:jc w:val="center"/>
        <w:rPr>
          <w:i/>
        </w:rPr>
      </w:pPr>
      <w:r w:rsidRPr="001E110A">
        <w:rPr>
          <w:i/>
        </w:rPr>
        <w:t xml:space="preserve">Incentivising </w:t>
      </w:r>
      <w:r w:rsidR="001F3BD3">
        <w:rPr>
          <w:i/>
        </w:rPr>
        <w:t xml:space="preserve">resilience, </w:t>
      </w:r>
      <w:r w:rsidRPr="001E110A">
        <w:rPr>
          <w:i/>
        </w:rPr>
        <w:t xml:space="preserve">sustainability and </w:t>
      </w:r>
      <w:r w:rsidR="002118EA">
        <w:rPr>
          <w:i/>
        </w:rPr>
        <w:t>positive social impact</w:t>
      </w:r>
      <w:r w:rsidR="009955BD">
        <w:rPr>
          <w:i/>
        </w:rPr>
        <w:t>s</w:t>
      </w:r>
      <w:r w:rsidR="002118EA" w:rsidRPr="001E110A">
        <w:rPr>
          <w:i/>
        </w:rPr>
        <w:t xml:space="preserve"> </w:t>
      </w:r>
      <w:r w:rsidRPr="001E110A">
        <w:rPr>
          <w:i/>
        </w:rPr>
        <w:t xml:space="preserve">in public procurement procedures </w:t>
      </w:r>
    </w:p>
    <w:p w14:paraId="17C06A85" w14:textId="53DB3220" w:rsidR="001F6FB9" w:rsidRDefault="00917777" w:rsidP="00697F90">
      <w:pPr>
        <w:pStyle w:val="Point0"/>
        <w:rPr>
          <w:lang w:eastAsia="en-GB"/>
        </w:rPr>
      </w:pPr>
      <w:r>
        <w:rPr>
          <w:lang w:eastAsia="en-GB"/>
        </w:rPr>
        <w:t>1.</w:t>
      </w:r>
      <w:r>
        <w:rPr>
          <w:lang w:eastAsia="en-GB"/>
        </w:rPr>
        <w:tab/>
      </w:r>
      <w:r w:rsidRPr="001E110A">
        <w:rPr>
          <w:lang w:eastAsia="en-GB"/>
        </w:rPr>
        <w:t xml:space="preserve">For </w:t>
      </w:r>
      <w:r>
        <w:rPr>
          <w:lang w:eastAsia="en-GB"/>
        </w:rPr>
        <w:t>award procedures</w:t>
      </w:r>
      <w:r w:rsidRPr="001E110A">
        <w:rPr>
          <w:lang w:eastAsia="en-GB"/>
        </w:rPr>
        <w:t xml:space="preserve"> </w:t>
      </w:r>
      <w:r>
        <w:rPr>
          <w:lang w:eastAsia="en-GB"/>
        </w:rPr>
        <w:t>of</w:t>
      </w:r>
      <w:r w:rsidRPr="001E110A">
        <w:rPr>
          <w:lang w:eastAsia="en-GB"/>
        </w:rPr>
        <w:t xml:space="preserve"> critical medicinal products</w:t>
      </w:r>
      <w:r>
        <w:rPr>
          <w:lang w:eastAsia="en-GB"/>
        </w:rPr>
        <w:t xml:space="preserve"> </w:t>
      </w:r>
      <w:r w:rsidRPr="001E110A">
        <w:rPr>
          <w:lang w:eastAsia="en-GB"/>
        </w:rPr>
        <w:t>falling within the scope of Directive 2014/24/EU</w:t>
      </w:r>
      <w:r>
        <w:rPr>
          <w:lang w:eastAsia="en-GB"/>
        </w:rPr>
        <w:t xml:space="preserve"> of the European Parliament and of the Council</w:t>
      </w:r>
      <w:r w:rsidRPr="001E110A">
        <w:rPr>
          <w:lang w:eastAsia="en-GB"/>
        </w:rPr>
        <w:t xml:space="preserve">, contracting authorities in the Member States shall apply </w:t>
      </w:r>
      <w:r w:rsidR="00D073DB">
        <w:rPr>
          <w:lang w:eastAsia="en-GB"/>
        </w:rPr>
        <w:t>procurement requirements</w:t>
      </w:r>
      <w:r>
        <w:rPr>
          <w:lang w:eastAsia="en-GB"/>
        </w:rPr>
        <w:t xml:space="preserve"> </w:t>
      </w:r>
      <w:r w:rsidRPr="001E110A">
        <w:rPr>
          <w:lang w:eastAsia="en-GB"/>
        </w:rPr>
        <w:t xml:space="preserve">other than price-only </w:t>
      </w:r>
      <w:r>
        <w:rPr>
          <w:lang w:eastAsia="en-GB"/>
        </w:rPr>
        <w:t xml:space="preserve">award </w:t>
      </w:r>
      <w:r w:rsidRPr="001E110A">
        <w:rPr>
          <w:lang w:eastAsia="en-GB"/>
        </w:rPr>
        <w:t>criteria</w:t>
      </w:r>
      <w:r>
        <w:rPr>
          <w:lang w:eastAsia="en-GB"/>
        </w:rPr>
        <w:t xml:space="preserve"> such as </w:t>
      </w:r>
      <w:r w:rsidR="00D073DB">
        <w:rPr>
          <w:lang w:eastAsia="en-GB"/>
        </w:rPr>
        <w:t xml:space="preserve">procurement requirements </w:t>
      </w:r>
      <w:r w:rsidRPr="001E110A">
        <w:rPr>
          <w:lang w:eastAsia="en-GB"/>
        </w:rPr>
        <w:t xml:space="preserve">that promote the resilience of supply in the Union. </w:t>
      </w:r>
      <w:r w:rsidR="00DF3C93">
        <w:rPr>
          <w:lang w:eastAsia="en-GB"/>
        </w:rPr>
        <w:t xml:space="preserve">Those </w:t>
      </w:r>
      <w:r w:rsidR="00714DEB">
        <w:rPr>
          <w:lang w:eastAsia="en-GB"/>
        </w:rPr>
        <w:t>procurement requirements</w:t>
      </w:r>
      <w:r w:rsidR="00481D20">
        <w:rPr>
          <w:lang w:eastAsia="en-GB"/>
        </w:rPr>
        <w:t xml:space="preserve"> shall be defined in accordance with Directive 2014/24/EU and </w:t>
      </w:r>
      <w:r w:rsidRPr="001E110A">
        <w:rPr>
          <w:lang w:eastAsia="en-GB"/>
        </w:rPr>
        <w:t xml:space="preserve">may relate to stockholding obligations, the number of diversified suppliers, </w:t>
      </w:r>
      <w:r>
        <w:rPr>
          <w:lang w:eastAsia="en-GB"/>
        </w:rPr>
        <w:t xml:space="preserve">monitoring </w:t>
      </w:r>
      <w:r w:rsidRPr="001E110A">
        <w:rPr>
          <w:lang w:eastAsia="en-GB"/>
        </w:rPr>
        <w:t>of supply chains</w:t>
      </w:r>
      <w:r>
        <w:rPr>
          <w:lang w:eastAsia="en-GB"/>
        </w:rPr>
        <w:t xml:space="preserve">, their transparency to </w:t>
      </w:r>
      <w:r w:rsidRPr="1605EDAA">
        <w:rPr>
          <w:lang w:eastAsia="en-GB"/>
        </w:rPr>
        <w:t xml:space="preserve">the </w:t>
      </w:r>
      <w:r>
        <w:rPr>
          <w:lang w:eastAsia="en-GB"/>
        </w:rPr>
        <w:t>contracting authority</w:t>
      </w:r>
      <w:r w:rsidRPr="001E110A">
        <w:rPr>
          <w:lang w:eastAsia="en-GB"/>
        </w:rPr>
        <w:t xml:space="preserve"> and contract performance clauses on timely delivery.</w:t>
      </w:r>
    </w:p>
    <w:p w14:paraId="7FE2BA57" w14:textId="4BD2FB25" w:rsidR="00917777" w:rsidRDefault="00917777" w:rsidP="00917777">
      <w:pPr>
        <w:pStyle w:val="Point0"/>
        <w:rPr>
          <w:rFonts w:eastAsia="Times New Roman"/>
          <w:lang w:eastAsia="en-GB"/>
        </w:rPr>
      </w:pPr>
      <w:r>
        <w:rPr>
          <w:rFonts w:eastAsia="Times New Roman"/>
          <w:lang w:eastAsia="en-GB"/>
        </w:rPr>
        <w:t>2.</w:t>
      </w:r>
      <w:r>
        <w:tab/>
      </w:r>
      <w:r w:rsidRPr="00C73BC9">
        <w:rPr>
          <w:rFonts w:eastAsia="Times New Roman"/>
          <w:lang w:eastAsia="en-GB"/>
        </w:rPr>
        <w:t xml:space="preserve">With regard to critical medicinal products for which a vulnerability in the supply chains has been confirmed through </w:t>
      </w:r>
      <w:r w:rsidRPr="00395C2A">
        <w:rPr>
          <w:rFonts w:eastAsia="Times New Roman"/>
          <w:lang w:eastAsia="en-GB"/>
        </w:rPr>
        <w:t xml:space="preserve">a </w:t>
      </w:r>
      <w:r w:rsidRPr="00C73BC9">
        <w:rPr>
          <w:rFonts w:eastAsia="Times New Roman"/>
          <w:lang w:eastAsia="en-GB"/>
        </w:rPr>
        <w:t xml:space="preserve">vulnerability evaluation pointing to the high level of dependency on a single </w:t>
      </w:r>
      <w:r w:rsidR="00710BD5">
        <w:rPr>
          <w:rFonts w:eastAsia="Times New Roman"/>
          <w:lang w:eastAsia="en-GB"/>
        </w:rPr>
        <w:t xml:space="preserve">or a </w:t>
      </w:r>
      <w:r w:rsidR="005C584D">
        <w:rPr>
          <w:rFonts w:eastAsia="Times New Roman"/>
          <w:lang w:eastAsia="en-GB"/>
        </w:rPr>
        <w:t>limited number of</w:t>
      </w:r>
      <w:r w:rsidR="005706D4">
        <w:rPr>
          <w:rFonts w:eastAsia="Times New Roman"/>
          <w:lang w:eastAsia="en-GB"/>
        </w:rPr>
        <w:t xml:space="preserve"> third</w:t>
      </w:r>
      <w:r w:rsidRPr="001E110A">
        <w:rPr>
          <w:rFonts w:eastAsia="Times New Roman"/>
          <w:lang w:eastAsia="en-GB"/>
        </w:rPr>
        <w:t xml:space="preserve"> countr</w:t>
      </w:r>
      <w:r w:rsidR="005706D4">
        <w:rPr>
          <w:rFonts w:eastAsia="Times New Roman"/>
          <w:lang w:eastAsia="en-GB"/>
        </w:rPr>
        <w:t>ies</w:t>
      </w:r>
      <w:r w:rsidRPr="001E110A">
        <w:rPr>
          <w:rFonts w:eastAsia="Times New Roman"/>
          <w:lang w:eastAsia="en-GB"/>
        </w:rPr>
        <w:t xml:space="preserve">, </w:t>
      </w:r>
      <w:r>
        <w:rPr>
          <w:rFonts w:eastAsia="Times New Roman"/>
          <w:lang w:eastAsia="en-GB"/>
        </w:rPr>
        <w:t xml:space="preserve">the contracting authorities </w:t>
      </w:r>
      <w:r w:rsidRPr="00182A60">
        <w:rPr>
          <w:rFonts w:eastAsia="Times New Roman"/>
          <w:lang w:eastAsia="en-GB"/>
        </w:rPr>
        <w:t>shall</w:t>
      </w:r>
      <w:r w:rsidRPr="79694D04">
        <w:rPr>
          <w:rFonts w:eastAsia="Times New Roman"/>
          <w:lang w:eastAsia="en-GB"/>
        </w:rPr>
        <w:t>, where</w:t>
      </w:r>
      <w:r w:rsidRPr="00842832">
        <w:rPr>
          <w:rFonts w:eastAsia="Times New Roman"/>
          <w:lang w:eastAsia="en-GB"/>
        </w:rPr>
        <w:t xml:space="preserve"> justified</w:t>
      </w:r>
      <w:r w:rsidRPr="79694D04">
        <w:rPr>
          <w:rFonts w:eastAsia="Times New Roman"/>
          <w:lang w:eastAsia="en-GB"/>
        </w:rPr>
        <w:t>,</w:t>
      </w:r>
      <w:r>
        <w:rPr>
          <w:rFonts w:eastAsia="Times New Roman"/>
          <w:lang w:eastAsia="en-GB"/>
        </w:rPr>
        <w:t xml:space="preserve"> apply</w:t>
      </w:r>
      <w:r w:rsidRPr="001E110A">
        <w:rPr>
          <w:rFonts w:eastAsia="Times New Roman"/>
          <w:lang w:eastAsia="en-GB"/>
        </w:rPr>
        <w:t xml:space="preserve"> </w:t>
      </w:r>
      <w:r w:rsidR="001F6FB9">
        <w:rPr>
          <w:rFonts w:eastAsia="Times New Roman"/>
          <w:lang w:eastAsia="en-GB"/>
        </w:rPr>
        <w:t xml:space="preserve">procurement requirements </w:t>
      </w:r>
      <w:r>
        <w:rPr>
          <w:rFonts w:eastAsia="Times New Roman"/>
          <w:lang w:eastAsia="en-GB"/>
        </w:rPr>
        <w:t xml:space="preserve">that </w:t>
      </w:r>
      <w:r w:rsidR="001F6FB9">
        <w:rPr>
          <w:rFonts w:eastAsia="Times New Roman"/>
          <w:lang w:eastAsia="en-GB"/>
        </w:rPr>
        <w:t xml:space="preserve">favour </w:t>
      </w:r>
      <w:r w:rsidRPr="00182A60">
        <w:rPr>
          <w:rFonts w:eastAsia="Times New Roman"/>
          <w:lang w:eastAsia="en-GB"/>
        </w:rPr>
        <w:t xml:space="preserve">suppliers that manufacture </w:t>
      </w:r>
      <w:r w:rsidR="001F6FB9">
        <w:rPr>
          <w:rFonts w:eastAsia="Times New Roman"/>
          <w:lang w:eastAsia="en-GB"/>
        </w:rPr>
        <w:t xml:space="preserve">a significant </w:t>
      </w:r>
      <w:r w:rsidRPr="00182A60">
        <w:rPr>
          <w:rFonts w:eastAsia="Times New Roman"/>
          <w:lang w:eastAsia="en-GB"/>
        </w:rPr>
        <w:t xml:space="preserve">proportion of </w:t>
      </w:r>
      <w:r>
        <w:rPr>
          <w:rFonts w:eastAsia="Times New Roman"/>
          <w:lang w:eastAsia="en-GB"/>
        </w:rPr>
        <w:t xml:space="preserve">these </w:t>
      </w:r>
      <w:r w:rsidRPr="00182A60">
        <w:rPr>
          <w:rFonts w:eastAsia="Times New Roman"/>
          <w:lang w:eastAsia="en-GB"/>
        </w:rPr>
        <w:t>critical medicinal product</w:t>
      </w:r>
      <w:r>
        <w:rPr>
          <w:rFonts w:eastAsia="Times New Roman"/>
          <w:lang w:eastAsia="en-GB"/>
        </w:rPr>
        <w:t>s</w:t>
      </w:r>
      <w:r w:rsidRPr="00182A60">
        <w:rPr>
          <w:rFonts w:eastAsia="Times New Roman"/>
          <w:lang w:eastAsia="en-GB"/>
        </w:rPr>
        <w:t xml:space="preserve"> in the U</w:t>
      </w:r>
      <w:r w:rsidR="006D73A4">
        <w:rPr>
          <w:rFonts w:eastAsia="Times New Roman"/>
          <w:lang w:eastAsia="en-GB"/>
        </w:rPr>
        <w:t>nion</w:t>
      </w:r>
      <w:r w:rsidRPr="00182A60">
        <w:rPr>
          <w:rFonts w:eastAsia="Times New Roman"/>
          <w:lang w:eastAsia="en-GB"/>
        </w:rPr>
        <w:t>.</w:t>
      </w:r>
      <w:r w:rsidR="00720806">
        <w:rPr>
          <w:rFonts w:eastAsia="Times New Roman"/>
          <w:lang w:eastAsia="en-GB"/>
        </w:rPr>
        <w:t xml:space="preserve"> </w:t>
      </w:r>
      <w:r w:rsidR="00720806">
        <w:t>These requirements shall be applied in compliance with the Union’s international commitments</w:t>
      </w:r>
      <w:r w:rsidR="002E5925">
        <w:t>.</w:t>
      </w:r>
    </w:p>
    <w:p w14:paraId="38139751" w14:textId="77F996FA" w:rsidR="00917777" w:rsidRPr="001E110A" w:rsidRDefault="00917777" w:rsidP="00917777">
      <w:pPr>
        <w:pStyle w:val="Point0"/>
        <w:rPr>
          <w:rFonts w:eastAsia="Times New Roman"/>
          <w:szCs w:val="24"/>
          <w:lang w:eastAsia="en-GB"/>
        </w:rPr>
      </w:pPr>
      <w:r>
        <w:rPr>
          <w:rFonts w:eastAsia="Times New Roman"/>
          <w:lang w:eastAsia="en-GB"/>
        </w:rPr>
        <w:t>3.</w:t>
      </w:r>
      <w:r>
        <w:rPr>
          <w:rFonts w:eastAsia="Times New Roman"/>
          <w:lang w:eastAsia="en-GB"/>
        </w:rPr>
        <w:tab/>
      </w:r>
      <w:r w:rsidRPr="74A1FE77">
        <w:rPr>
          <w:rStyle w:val="normaltextrun"/>
          <w:color w:val="000000" w:themeColor="text1"/>
        </w:rPr>
        <w:t xml:space="preserve">With regard to other medicinal products of common interest, where justified by market analysis and public health considerations, the contracting authorities may apply </w:t>
      </w:r>
      <w:r w:rsidR="00CF7552">
        <w:rPr>
          <w:rStyle w:val="normaltextrun"/>
          <w:color w:val="000000" w:themeColor="text1"/>
        </w:rPr>
        <w:t xml:space="preserve">procurement requirements </w:t>
      </w:r>
      <w:r>
        <w:rPr>
          <w:rFonts w:eastAsia="Times New Roman"/>
          <w:lang w:eastAsia="en-GB"/>
        </w:rPr>
        <w:t xml:space="preserve">that </w:t>
      </w:r>
      <w:r w:rsidR="00CF7552">
        <w:rPr>
          <w:rFonts w:eastAsia="Times New Roman"/>
          <w:lang w:eastAsia="en-GB"/>
        </w:rPr>
        <w:t xml:space="preserve">favour </w:t>
      </w:r>
      <w:r w:rsidRPr="00182A60">
        <w:rPr>
          <w:rFonts w:eastAsia="Times New Roman"/>
          <w:lang w:eastAsia="en-GB"/>
        </w:rPr>
        <w:t xml:space="preserve">suppliers that manufacture at least a </w:t>
      </w:r>
      <w:r w:rsidR="008963CE">
        <w:rPr>
          <w:rFonts w:eastAsia="Times New Roman"/>
          <w:lang w:eastAsia="en-GB"/>
        </w:rPr>
        <w:t xml:space="preserve">significant </w:t>
      </w:r>
      <w:r w:rsidRPr="00182A60">
        <w:rPr>
          <w:rFonts w:eastAsia="Times New Roman"/>
          <w:lang w:eastAsia="en-GB"/>
        </w:rPr>
        <w:t>proportion of these medicinal product</w:t>
      </w:r>
      <w:r w:rsidR="00F31DD9">
        <w:rPr>
          <w:rFonts w:eastAsia="Times New Roman"/>
          <w:lang w:eastAsia="en-GB"/>
        </w:rPr>
        <w:t>s</w:t>
      </w:r>
      <w:r w:rsidRPr="00182A60">
        <w:rPr>
          <w:rFonts w:eastAsia="Times New Roman"/>
          <w:lang w:eastAsia="en-GB"/>
        </w:rPr>
        <w:t xml:space="preserve"> in the U</w:t>
      </w:r>
      <w:r w:rsidR="006D73A4">
        <w:rPr>
          <w:rFonts w:eastAsia="Times New Roman"/>
          <w:lang w:eastAsia="en-GB"/>
        </w:rPr>
        <w:t>nion</w:t>
      </w:r>
      <w:r w:rsidR="00F31DD9">
        <w:rPr>
          <w:rFonts w:eastAsia="Times New Roman"/>
          <w:lang w:eastAsia="en-GB"/>
        </w:rPr>
        <w:t>.</w:t>
      </w:r>
      <w:r w:rsidR="00F31DD9" w:rsidRPr="00F31DD9">
        <w:t xml:space="preserve"> </w:t>
      </w:r>
      <w:r w:rsidR="00F31DD9" w:rsidRPr="00F31DD9">
        <w:rPr>
          <w:rStyle w:val="normaltextrun"/>
          <w:color w:val="000000" w:themeColor="text1"/>
        </w:rPr>
        <w:t>These requirements shall be applied in compliance with the Union’s international commitments.</w:t>
      </w:r>
    </w:p>
    <w:p w14:paraId="62A0C4A2" w14:textId="2645CF84" w:rsidR="00917777" w:rsidRPr="001E110A" w:rsidRDefault="00917777" w:rsidP="00917777">
      <w:pPr>
        <w:pStyle w:val="Point0"/>
        <w:rPr>
          <w:rFonts w:eastAsia="Times New Roman"/>
          <w:lang w:eastAsia="en-GB"/>
        </w:rPr>
      </w:pPr>
      <w:r w:rsidRPr="699AAC6F">
        <w:rPr>
          <w:rFonts w:eastAsia="Times New Roman"/>
          <w:lang w:eastAsia="en-GB"/>
        </w:rPr>
        <w:t>4.</w:t>
      </w:r>
      <w:r>
        <w:tab/>
      </w:r>
      <w:r w:rsidR="00CD2A89">
        <w:rPr>
          <w:rFonts w:eastAsia="Times New Roman"/>
          <w:lang w:eastAsia="en-GB"/>
        </w:rPr>
        <w:t>This</w:t>
      </w:r>
      <w:r w:rsidR="00F82269">
        <w:rPr>
          <w:rFonts w:eastAsia="Times New Roman"/>
          <w:lang w:eastAsia="en-GB"/>
        </w:rPr>
        <w:t xml:space="preserve"> Article </w:t>
      </w:r>
      <w:r w:rsidRPr="699AAC6F">
        <w:rPr>
          <w:rFonts w:eastAsia="Times New Roman"/>
          <w:lang w:eastAsia="en-GB"/>
        </w:rPr>
        <w:t xml:space="preserve">shall not preclude contracting authorities from using additional </w:t>
      </w:r>
      <w:r>
        <w:rPr>
          <w:rFonts w:eastAsia="Times New Roman"/>
          <w:lang w:eastAsia="en-GB"/>
        </w:rPr>
        <w:t>qualitative</w:t>
      </w:r>
      <w:r w:rsidRPr="699AAC6F">
        <w:rPr>
          <w:rFonts w:eastAsia="Times New Roman"/>
          <w:lang w:eastAsia="en-GB"/>
        </w:rPr>
        <w:t xml:space="preserve"> requirements, including in relation to environmental sustainability and social rights.</w:t>
      </w:r>
    </w:p>
    <w:p w14:paraId="4CA45C42" w14:textId="527D84B9" w:rsidR="00917777" w:rsidRPr="001E110A" w:rsidRDefault="00917777" w:rsidP="00917777">
      <w:pPr>
        <w:pStyle w:val="Point0"/>
        <w:rPr>
          <w:rFonts w:eastAsia="Times New Roman"/>
          <w:lang w:eastAsia="en-GB"/>
        </w:rPr>
      </w:pPr>
      <w:r w:rsidRPr="699AAC6F">
        <w:rPr>
          <w:rFonts w:eastAsia="Times New Roman"/>
          <w:lang w:eastAsia="en-GB"/>
        </w:rPr>
        <w:t>5.</w:t>
      </w:r>
      <w:r>
        <w:tab/>
      </w:r>
      <w:r w:rsidRPr="699AAC6F">
        <w:rPr>
          <w:rFonts w:eastAsia="Times New Roman"/>
          <w:lang w:eastAsia="en-GB"/>
        </w:rPr>
        <w:t>Contracting authorities may exceptional</w:t>
      </w:r>
      <w:r>
        <w:rPr>
          <w:rFonts w:eastAsia="Times New Roman"/>
          <w:lang w:eastAsia="en-GB"/>
        </w:rPr>
        <w:t>ly</w:t>
      </w:r>
      <w:r w:rsidRPr="699AAC6F">
        <w:rPr>
          <w:rFonts w:eastAsia="Times New Roman"/>
          <w:lang w:eastAsia="en-GB"/>
        </w:rPr>
        <w:t xml:space="preserve"> decide not to apply </w:t>
      </w:r>
      <w:r w:rsidRPr="300EA72C">
        <w:rPr>
          <w:rFonts w:eastAsia="Times New Roman"/>
          <w:lang w:eastAsia="en-GB"/>
        </w:rPr>
        <w:t>paragraphs</w:t>
      </w:r>
      <w:r w:rsidRPr="003C7559">
        <w:rPr>
          <w:rFonts w:eastAsia="Times New Roman"/>
          <w:lang w:eastAsia="en-GB"/>
        </w:rPr>
        <w:t xml:space="preserve"> 1</w:t>
      </w:r>
      <w:r w:rsidR="00E91BE7">
        <w:rPr>
          <w:rFonts w:eastAsia="Times New Roman"/>
          <w:lang w:eastAsia="en-GB"/>
        </w:rPr>
        <w:t>,</w:t>
      </w:r>
      <w:r w:rsidRPr="00182A60">
        <w:rPr>
          <w:rFonts w:eastAsia="Times New Roman"/>
          <w:lang w:eastAsia="en-GB"/>
        </w:rPr>
        <w:t xml:space="preserve"> 2</w:t>
      </w:r>
      <w:r w:rsidRPr="699AAC6F">
        <w:rPr>
          <w:rFonts w:eastAsia="Times New Roman"/>
          <w:lang w:eastAsia="en-GB"/>
        </w:rPr>
        <w:t xml:space="preserve"> </w:t>
      </w:r>
      <w:r w:rsidR="00E91BE7">
        <w:rPr>
          <w:rFonts w:eastAsia="Times New Roman"/>
          <w:lang w:eastAsia="en-GB"/>
        </w:rPr>
        <w:t xml:space="preserve">and 3 </w:t>
      </w:r>
      <w:r w:rsidRPr="699AAC6F">
        <w:rPr>
          <w:rFonts w:eastAsia="Times New Roman"/>
          <w:lang w:eastAsia="en-GB"/>
        </w:rPr>
        <w:t xml:space="preserve">where justified by market analysis or considerations related to </w:t>
      </w:r>
      <w:r>
        <w:rPr>
          <w:rFonts w:eastAsia="Times New Roman"/>
          <w:lang w:eastAsia="en-GB"/>
        </w:rPr>
        <w:t xml:space="preserve">the </w:t>
      </w:r>
      <w:r w:rsidRPr="699AAC6F">
        <w:rPr>
          <w:rFonts w:eastAsia="Times New Roman"/>
          <w:lang w:eastAsia="en-GB"/>
        </w:rPr>
        <w:t>financing of health</w:t>
      </w:r>
      <w:r>
        <w:rPr>
          <w:rFonts w:eastAsia="Times New Roman"/>
          <w:lang w:eastAsia="en-GB"/>
        </w:rPr>
        <w:t xml:space="preserve"> services</w:t>
      </w:r>
      <w:r w:rsidRPr="699AAC6F">
        <w:rPr>
          <w:rFonts w:eastAsia="Times New Roman"/>
          <w:lang w:eastAsia="en-GB"/>
        </w:rPr>
        <w:t xml:space="preserve">. </w:t>
      </w:r>
    </w:p>
    <w:p w14:paraId="7C387FCD" w14:textId="77777777" w:rsidR="00917777" w:rsidRPr="000002E9" w:rsidRDefault="00917777" w:rsidP="00917777">
      <w:pPr>
        <w:pStyle w:val="Titrearticle"/>
        <w:rPr>
          <w:lang w:val="en-IE"/>
        </w:rPr>
      </w:pPr>
      <w:r w:rsidRPr="000002E9">
        <w:rPr>
          <w:lang w:val="en-IE"/>
        </w:rPr>
        <w:t>Article 19</w:t>
      </w:r>
    </w:p>
    <w:p w14:paraId="1E8BCF8A" w14:textId="77777777" w:rsidR="00917777" w:rsidRPr="000002E9" w:rsidRDefault="00917777" w:rsidP="00917777">
      <w:pPr>
        <w:jc w:val="center"/>
        <w:rPr>
          <w:i/>
          <w:lang w:val="en-IE"/>
        </w:rPr>
      </w:pPr>
      <w:r>
        <w:rPr>
          <w:i/>
          <w:lang w:val="en-IE"/>
        </w:rPr>
        <w:t>P</w:t>
      </w:r>
      <w:r w:rsidRPr="000002E9">
        <w:rPr>
          <w:i/>
          <w:lang w:val="en-IE"/>
        </w:rPr>
        <w:t>rogrammes</w:t>
      </w:r>
      <w:r>
        <w:rPr>
          <w:i/>
          <w:lang w:val="en-IE"/>
        </w:rPr>
        <w:t xml:space="preserve"> supporting sustainability and resilience in public procurement procedures</w:t>
      </w:r>
    </w:p>
    <w:p w14:paraId="74A5A28B" w14:textId="56E2059E" w:rsidR="00917777" w:rsidRPr="003C7559" w:rsidRDefault="00917777" w:rsidP="00917777">
      <w:pPr>
        <w:pStyle w:val="Point0"/>
        <w:rPr>
          <w:rFonts w:eastAsia="Times New Roman"/>
          <w:lang w:eastAsia="en-GB"/>
        </w:rPr>
      </w:pPr>
      <w:r>
        <w:rPr>
          <w:rFonts w:eastAsia="Times New Roman"/>
          <w:lang w:eastAsia="en-GB"/>
        </w:rPr>
        <w:t>1.</w:t>
      </w:r>
      <w:r>
        <w:rPr>
          <w:rFonts w:eastAsia="Times New Roman"/>
          <w:lang w:eastAsia="en-GB"/>
        </w:rPr>
        <w:tab/>
      </w:r>
      <w:r w:rsidRPr="001E110A">
        <w:rPr>
          <w:rFonts w:eastAsia="Times New Roman"/>
          <w:lang w:eastAsia="en-GB"/>
        </w:rPr>
        <w:t xml:space="preserve">By </w:t>
      </w:r>
      <w:r>
        <w:rPr>
          <w:rFonts w:eastAsia="Times New Roman"/>
          <w:lang w:eastAsia="en-GB"/>
        </w:rPr>
        <w:t>6 months after entry into force of this Regulation</w:t>
      </w:r>
      <w:r w:rsidRPr="001E110A">
        <w:rPr>
          <w:rFonts w:eastAsia="Times New Roman"/>
          <w:lang w:eastAsia="en-GB"/>
        </w:rPr>
        <w:t xml:space="preserve"> each Member State shall establish a national programme supporting security of supply of critical medicinal products, including </w:t>
      </w:r>
      <w:r>
        <w:rPr>
          <w:rFonts w:eastAsia="Times New Roman"/>
          <w:lang w:eastAsia="en-GB"/>
        </w:rPr>
        <w:t>in</w:t>
      </w:r>
      <w:r w:rsidRPr="001E110A">
        <w:rPr>
          <w:rFonts w:eastAsia="Times New Roman"/>
          <w:lang w:eastAsia="en-GB"/>
        </w:rPr>
        <w:t xml:space="preserve"> public procurement procedures. Such programmes shall promote </w:t>
      </w:r>
      <w:r>
        <w:rPr>
          <w:rFonts w:eastAsia="Times New Roman"/>
          <w:lang w:eastAsia="en-GB"/>
        </w:rPr>
        <w:t xml:space="preserve">the </w:t>
      </w:r>
      <w:r w:rsidRPr="001E110A">
        <w:rPr>
          <w:rFonts w:eastAsia="Times New Roman"/>
          <w:lang w:eastAsia="en-GB"/>
        </w:rPr>
        <w:t>consistent use of</w:t>
      </w:r>
      <w:r>
        <w:rPr>
          <w:rFonts w:eastAsia="Times New Roman"/>
          <w:lang w:eastAsia="en-GB"/>
        </w:rPr>
        <w:t xml:space="preserve"> </w:t>
      </w:r>
      <w:r w:rsidR="00D073DB">
        <w:rPr>
          <w:rFonts w:eastAsia="Times New Roman"/>
          <w:lang w:eastAsia="en-GB"/>
        </w:rPr>
        <w:t>procurement requirements</w:t>
      </w:r>
      <w:r w:rsidRPr="001E110A">
        <w:rPr>
          <w:rFonts w:eastAsia="Times New Roman"/>
          <w:lang w:eastAsia="en-GB"/>
        </w:rPr>
        <w:t xml:space="preserve"> by contracting authorities within a given Member State as well as multi-winner approaches, whe</w:t>
      </w:r>
      <w:r>
        <w:rPr>
          <w:rFonts w:eastAsia="Times New Roman"/>
          <w:lang w:eastAsia="en-GB"/>
        </w:rPr>
        <w:t>re</w:t>
      </w:r>
      <w:r w:rsidRPr="001E110A">
        <w:rPr>
          <w:rFonts w:eastAsia="Times New Roman"/>
          <w:lang w:eastAsia="en-GB"/>
        </w:rPr>
        <w:t xml:space="preserve"> beneficial in light of the market analysis. Such programmes may also include measures for pricing and reimbursement </w:t>
      </w:r>
      <w:r>
        <w:rPr>
          <w:rFonts w:eastAsia="Times New Roman"/>
          <w:lang w:eastAsia="en-GB"/>
        </w:rPr>
        <w:t xml:space="preserve">supporting security of supply </w:t>
      </w:r>
      <w:r w:rsidRPr="003C7559">
        <w:rPr>
          <w:lang w:eastAsia="en-GB"/>
        </w:rPr>
        <w:t>of</w:t>
      </w:r>
      <w:r>
        <w:rPr>
          <w:lang w:eastAsia="en-GB"/>
        </w:rPr>
        <w:t xml:space="preserve"> those</w:t>
      </w:r>
      <w:r w:rsidRPr="003C7559">
        <w:rPr>
          <w:lang w:eastAsia="en-GB"/>
        </w:rPr>
        <w:t xml:space="preserve"> critical medicinal products that are not purchased through public procurement procedures</w:t>
      </w:r>
      <w:r w:rsidRPr="001E110A">
        <w:rPr>
          <w:rFonts w:eastAsia="Times New Roman"/>
          <w:lang w:eastAsia="en-GB"/>
        </w:rPr>
        <w:t>.</w:t>
      </w:r>
    </w:p>
    <w:p w14:paraId="11599E4B" w14:textId="4E6FB2D5" w:rsidR="00917777" w:rsidRDefault="00917777" w:rsidP="00917777">
      <w:pPr>
        <w:pStyle w:val="Point0"/>
        <w:rPr>
          <w:rFonts w:eastAsia="Times New Roman"/>
          <w:lang w:eastAsia="en-GB"/>
        </w:rPr>
      </w:pPr>
      <w:r>
        <w:rPr>
          <w:rFonts w:eastAsia="Times New Roman"/>
          <w:lang w:eastAsia="en-GB"/>
        </w:rPr>
        <w:t>2.</w:t>
      </w:r>
      <w:r w:rsidRPr="003C7559">
        <w:rPr>
          <w:rFonts w:eastAsia="Times New Roman"/>
          <w:lang w:eastAsia="en-GB"/>
        </w:rPr>
        <w:tab/>
        <w:t xml:space="preserve">Member States shall notify their </w:t>
      </w:r>
      <w:r w:rsidRPr="00BE0E86">
        <w:rPr>
          <w:rFonts w:eastAsia="Times New Roman"/>
          <w:lang w:eastAsia="en-GB"/>
        </w:rPr>
        <w:t>programmes to the Commission in its role of the secretariat of the Critical Medicines Group. The Commission shall ensure the distribution to all members of the Critical Medicines Group forthwith. The Critical Medicines Group shall facilitate a discussion aiming to ensure coordination of national programmes</w:t>
      </w:r>
      <w:r w:rsidRPr="00BE0E86">
        <w:rPr>
          <w:lang w:eastAsia="en-GB"/>
        </w:rPr>
        <w:t xml:space="preserve"> </w:t>
      </w:r>
      <w:r w:rsidRPr="00BE0E86">
        <w:rPr>
          <w:rFonts w:eastAsia="Times New Roman"/>
          <w:lang w:eastAsia="en-GB"/>
        </w:rPr>
        <w:t xml:space="preserve">including as regards the application of criteria mentioned in Article 18(2) and may issue opinions. Where the Critical Medicines Group issues an opinion concerning the national programmes, Member States </w:t>
      </w:r>
      <w:r w:rsidR="00A0668C">
        <w:rPr>
          <w:rFonts w:eastAsia="Times New Roman"/>
          <w:lang w:eastAsia="en-GB"/>
        </w:rPr>
        <w:t>shall give</w:t>
      </w:r>
      <w:r w:rsidR="00712F25">
        <w:rPr>
          <w:rFonts w:eastAsia="Times New Roman"/>
          <w:lang w:eastAsia="en-GB"/>
        </w:rPr>
        <w:t xml:space="preserve"> it</w:t>
      </w:r>
      <w:r w:rsidR="00A0668C">
        <w:rPr>
          <w:rFonts w:eastAsia="Times New Roman"/>
          <w:lang w:eastAsia="en-GB"/>
        </w:rPr>
        <w:t xml:space="preserve"> due consideration and </w:t>
      </w:r>
      <w:r w:rsidR="00793C41">
        <w:rPr>
          <w:rFonts w:eastAsia="Times New Roman"/>
          <w:lang w:eastAsia="en-GB"/>
        </w:rPr>
        <w:t>may</w:t>
      </w:r>
      <w:r w:rsidR="00793C41" w:rsidRPr="00BE0E86">
        <w:rPr>
          <w:rFonts w:eastAsia="Times New Roman"/>
          <w:lang w:eastAsia="en-GB"/>
        </w:rPr>
        <w:t xml:space="preserve"> </w:t>
      </w:r>
      <w:r w:rsidRPr="00BE0E86">
        <w:rPr>
          <w:rFonts w:eastAsia="Times New Roman"/>
          <w:lang w:eastAsia="en-GB"/>
        </w:rPr>
        <w:t xml:space="preserve">take it into </w:t>
      </w:r>
      <w:r w:rsidR="00A0668C">
        <w:rPr>
          <w:rFonts w:eastAsia="Times New Roman"/>
          <w:lang w:eastAsia="en-GB"/>
        </w:rPr>
        <w:t xml:space="preserve">account </w:t>
      </w:r>
      <w:r w:rsidRPr="00BE0E86">
        <w:rPr>
          <w:rFonts w:eastAsia="Times New Roman"/>
          <w:lang w:eastAsia="en-GB"/>
        </w:rPr>
        <w:t>when revising their programmes.</w:t>
      </w:r>
    </w:p>
    <w:p w14:paraId="361A5706" w14:textId="77777777" w:rsidR="00917777" w:rsidRPr="00856A60" w:rsidRDefault="00917777" w:rsidP="00B0454E">
      <w:pPr>
        <w:pStyle w:val="Titrearticle"/>
        <w:rPr>
          <w:rFonts w:eastAsia="Times New Roman"/>
          <w:i w:val="0"/>
          <w:iCs/>
          <w:lang w:eastAsia="en-GB"/>
        </w:rPr>
      </w:pPr>
      <w:bookmarkStart w:id="8" w:name="_Hlk192165422"/>
      <w:bookmarkStart w:id="9" w:name="_Hlk192169224"/>
      <w:r w:rsidRPr="00856A60">
        <w:rPr>
          <w:rFonts w:eastAsia="Times New Roman"/>
          <w:iCs/>
          <w:lang w:eastAsia="en-GB"/>
        </w:rPr>
        <w:t>Article 20</w:t>
      </w:r>
    </w:p>
    <w:p w14:paraId="2B89485D" w14:textId="77777777" w:rsidR="00917777" w:rsidRDefault="00917777" w:rsidP="00B0454E">
      <w:pPr>
        <w:jc w:val="center"/>
        <w:rPr>
          <w:rFonts w:eastAsia="Times New Roman"/>
          <w:i/>
          <w:iCs/>
          <w:lang w:eastAsia="en-GB"/>
        </w:rPr>
      </w:pPr>
      <w:r w:rsidRPr="00BE0E86">
        <w:rPr>
          <w:rFonts w:eastAsia="Times New Roman"/>
          <w:i/>
          <w:iCs/>
          <w:lang w:eastAsia="en-GB"/>
        </w:rPr>
        <w:t>Safeguards related to Member States’ contingency stocks requirements and other security of supply measures</w:t>
      </w:r>
    </w:p>
    <w:p w14:paraId="3DF7D461" w14:textId="7C1E8416" w:rsidR="00596544" w:rsidRDefault="00917777" w:rsidP="00B0454E">
      <w:pPr>
        <w:rPr>
          <w:lang w:eastAsia="en-GB"/>
        </w:rPr>
      </w:pPr>
      <w:r>
        <w:rPr>
          <w:lang w:eastAsia="en-GB"/>
        </w:rPr>
        <w:t>Measures on security of supply applied in one Member State shall not result in any negative</w:t>
      </w:r>
      <w:r w:rsidR="00B0454E">
        <w:rPr>
          <w:lang w:eastAsia="en-GB"/>
        </w:rPr>
        <w:t xml:space="preserve"> </w:t>
      </w:r>
      <w:r>
        <w:rPr>
          <w:lang w:eastAsia="en-GB"/>
        </w:rPr>
        <w:t>impact in other Member State</w:t>
      </w:r>
      <w:r w:rsidR="00860D16">
        <w:rPr>
          <w:lang w:eastAsia="en-GB"/>
        </w:rPr>
        <w:t>s</w:t>
      </w:r>
      <w:r>
        <w:rPr>
          <w:lang w:eastAsia="en-GB"/>
        </w:rPr>
        <w:t xml:space="preserve">. Member States shall, in particular, avoid such </w:t>
      </w:r>
      <w:r w:rsidR="00860D16">
        <w:rPr>
          <w:lang w:eastAsia="en-GB"/>
        </w:rPr>
        <w:t xml:space="preserve">an </w:t>
      </w:r>
      <w:r>
        <w:rPr>
          <w:lang w:eastAsia="en-GB"/>
        </w:rPr>
        <w:t>impact</w:t>
      </w:r>
      <w:r w:rsidR="00B0454E">
        <w:rPr>
          <w:lang w:eastAsia="en-GB"/>
        </w:rPr>
        <w:t xml:space="preserve"> </w:t>
      </w:r>
      <w:r w:rsidR="001779FF">
        <w:rPr>
          <w:lang w:eastAsia="en-GB"/>
        </w:rPr>
        <w:t xml:space="preserve">when </w:t>
      </w:r>
      <w:r>
        <w:rPr>
          <w:lang w:eastAsia="en-GB"/>
        </w:rPr>
        <w:t>proposing and defining the scope and timing of any form of requirements for companies to hold contingency stocks.</w:t>
      </w:r>
      <w:r w:rsidR="00596544">
        <w:rPr>
          <w:lang w:eastAsia="en-GB"/>
        </w:rPr>
        <w:t xml:space="preserve"> </w:t>
      </w:r>
    </w:p>
    <w:p w14:paraId="20902AD6" w14:textId="77777777" w:rsidR="00F30056" w:rsidRDefault="00596544" w:rsidP="00F30056">
      <w:pPr>
        <w:rPr>
          <w:lang w:eastAsia="en-GB"/>
        </w:rPr>
      </w:pPr>
      <w:r>
        <w:rPr>
          <w:lang w:eastAsia="en-GB"/>
        </w:rPr>
        <w:t xml:space="preserve">Member States shall </w:t>
      </w:r>
      <w:r w:rsidR="004D770E">
        <w:rPr>
          <w:lang w:eastAsia="en-GB"/>
        </w:rPr>
        <w:t>ensure that</w:t>
      </w:r>
      <w:r w:rsidR="002F163D">
        <w:rPr>
          <w:lang w:eastAsia="en-GB"/>
        </w:rPr>
        <w:t xml:space="preserve"> any</w:t>
      </w:r>
      <w:r w:rsidR="004D770E">
        <w:rPr>
          <w:lang w:eastAsia="en-GB"/>
        </w:rPr>
        <w:t xml:space="preserve"> requirements</w:t>
      </w:r>
      <w:r w:rsidR="00B67E1E">
        <w:rPr>
          <w:lang w:eastAsia="en-GB"/>
        </w:rPr>
        <w:t xml:space="preserve"> </w:t>
      </w:r>
      <w:r w:rsidR="007A70D1">
        <w:rPr>
          <w:lang w:eastAsia="en-GB"/>
        </w:rPr>
        <w:t xml:space="preserve">they </w:t>
      </w:r>
      <w:r w:rsidR="00B67E1E">
        <w:rPr>
          <w:lang w:eastAsia="en-GB"/>
        </w:rPr>
        <w:t>impose</w:t>
      </w:r>
      <w:r w:rsidR="007A70D1">
        <w:rPr>
          <w:lang w:eastAsia="en-GB"/>
        </w:rPr>
        <w:t xml:space="preserve"> </w:t>
      </w:r>
      <w:r w:rsidR="00B67E1E">
        <w:rPr>
          <w:lang w:eastAsia="en-GB"/>
        </w:rPr>
        <w:t xml:space="preserve">on companies </w:t>
      </w:r>
      <w:r w:rsidR="003D18E6">
        <w:rPr>
          <w:lang w:eastAsia="en-GB"/>
        </w:rPr>
        <w:t xml:space="preserve">in the supply chain </w:t>
      </w:r>
      <w:r w:rsidR="00B67E1E">
        <w:rPr>
          <w:lang w:eastAsia="en-GB"/>
        </w:rPr>
        <w:t xml:space="preserve">to hold contingency stocks </w:t>
      </w:r>
      <w:r w:rsidR="00801718">
        <w:rPr>
          <w:lang w:eastAsia="en-GB"/>
        </w:rPr>
        <w:t xml:space="preserve">are </w:t>
      </w:r>
      <w:r w:rsidR="00064C81">
        <w:rPr>
          <w:lang w:eastAsia="en-GB"/>
        </w:rPr>
        <w:t>proportionate</w:t>
      </w:r>
      <w:r w:rsidR="003F5990">
        <w:rPr>
          <w:lang w:eastAsia="en-GB"/>
        </w:rPr>
        <w:t xml:space="preserve"> and respect the principles of transparency and solidarity</w:t>
      </w:r>
      <w:r w:rsidR="00D4540D">
        <w:rPr>
          <w:lang w:eastAsia="en-GB"/>
        </w:rPr>
        <w:t>.</w:t>
      </w:r>
      <w:r w:rsidR="00D4540D" w:rsidDel="00D4540D">
        <w:rPr>
          <w:lang w:eastAsia="en-GB"/>
        </w:rPr>
        <w:t xml:space="preserve"> </w:t>
      </w:r>
      <w:bookmarkEnd w:id="8"/>
      <w:bookmarkEnd w:id="9"/>
    </w:p>
    <w:p w14:paraId="4AB97B09" w14:textId="77777777" w:rsidR="00F30056" w:rsidRDefault="00F30056" w:rsidP="00F30056">
      <w:pPr>
        <w:rPr>
          <w:lang w:eastAsia="en-GB"/>
        </w:rPr>
      </w:pPr>
    </w:p>
    <w:p w14:paraId="0ADCE836" w14:textId="229DF36C" w:rsidR="00917777" w:rsidRPr="007E76F2" w:rsidRDefault="00917777" w:rsidP="00917777">
      <w:pPr>
        <w:pStyle w:val="SectionTitle"/>
        <w:rPr>
          <w:lang w:val="fr-BE"/>
        </w:rPr>
      </w:pPr>
      <w:r w:rsidRPr="007E76F2">
        <w:rPr>
          <w:lang w:val="fr-BE"/>
        </w:rPr>
        <w:t>Section II</w:t>
      </w:r>
    </w:p>
    <w:p w14:paraId="57C525E6" w14:textId="77777777" w:rsidR="00917777" w:rsidRPr="007E76F2" w:rsidRDefault="00917777" w:rsidP="00917777">
      <w:pPr>
        <w:pStyle w:val="SectionTitle"/>
        <w:rPr>
          <w:b w:val="0"/>
          <w:lang w:val="fr-BE"/>
        </w:rPr>
      </w:pPr>
      <w:r w:rsidRPr="007E76F2">
        <w:rPr>
          <w:lang w:val="fr-BE"/>
        </w:rPr>
        <w:t>Collaborative procurements</w:t>
      </w:r>
    </w:p>
    <w:p w14:paraId="414BD0EE" w14:textId="77777777" w:rsidR="00917777" w:rsidRPr="007E76F2" w:rsidRDefault="00917777" w:rsidP="00917777">
      <w:pPr>
        <w:pStyle w:val="Titrearticle"/>
        <w:rPr>
          <w:lang w:val="fr-BE"/>
        </w:rPr>
      </w:pPr>
      <w:r w:rsidRPr="007E76F2">
        <w:rPr>
          <w:lang w:val="fr-BE"/>
        </w:rPr>
        <w:t>Article 21</w:t>
      </w:r>
    </w:p>
    <w:p w14:paraId="149B1547" w14:textId="77777777" w:rsidR="00917777" w:rsidRPr="001E110A" w:rsidRDefault="00917777" w:rsidP="00917777">
      <w:pPr>
        <w:jc w:val="center"/>
        <w:rPr>
          <w:i/>
        </w:rPr>
      </w:pPr>
      <w:r w:rsidRPr="001E110A">
        <w:rPr>
          <w:i/>
        </w:rPr>
        <w:t xml:space="preserve">Commission facilitated Member States’ cross-border procurement  </w:t>
      </w:r>
    </w:p>
    <w:p w14:paraId="1C8BFDF7" w14:textId="2DB13640" w:rsidR="00917777" w:rsidRPr="001E110A" w:rsidRDefault="00917777" w:rsidP="00917777">
      <w:pPr>
        <w:pStyle w:val="Point0"/>
        <w:rPr>
          <w:rFonts w:eastAsia="Times New Roman"/>
          <w:lang w:eastAsia="en-GB"/>
        </w:rPr>
      </w:pPr>
      <w:r>
        <w:rPr>
          <w:rFonts w:eastAsia="Times New Roman"/>
          <w:lang w:eastAsia="en-GB"/>
        </w:rPr>
        <w:t>1.</w:t>
      </w:r>
      <w:r>
        <w:rPr>
          <w:rFonts w:eastAsia="Times New Roman"/>
          <w:lang w:eastAsia="en-GB"/>
        </w:rPr>
        <w:tab/>
      </w:r>
      <w:r w:rsidRPr="001E110A">
        <w:rPr>
          <w:rFonts w:eastAsia="Times New Roman"/>
          <w:lang w:eastAsia="en-GB"/>
        </w:rPr>
        <w:t>Upon a reasoned request of three or more Member States</w:t>
      </w:r>
      <w:r>
        <w:rPr>
          <w:rFonts w:eastAsia="Times New Roman"/>
          <w:lang w:eastAsia="en-GB"/>
        </w:rPr>
        <w:t xml:space="preserve"> (‘the request’)</w:t>
      </w:r>
      <w:r w:rsidRPr="001E110A">
        <w:rPr>
          <w:rFonts w:eastAsia="Times New Roman"/>
          <w:lang w:eastAsia="en-GB"/>
        </w:rPr>
        <w:t xml:space="preserve">, the Commission may act as facilitator for the requesting Member States’ </w:t>
      </w:r>
      <w:r>
        <w:rPr>
          <w:rFonts w:eastAsia="Times New Roman"/>
          <w:lang w:eastAsia="en-GB"/>
        </w:rPr>
        <w:t>cross</w:t>
      </w:r>
      <w:r w:rsidR="00BD13CC">
        <w:rPr>
          <w:rFonts w:eastAsia="Times New Roman"/>
          <w:lang w:eastAsia="en-GB"/>
        </w:rPr>
        <w:t>-</w:t>
      </w:r>
      <w:r>
        <w:rPr>
          <w:rFonts w:eastAsia="Times New Roman"/>
          <w:lang w:eastAsia="en-GB"/>
        </w:rPr>
        <w:t xml:space="preserve">border </w:t>
      </w:r>
      <w:r w:rsidRPr="001E110A">
        <w:rPr>
          <w:rFonts w:eastAsia="Times New Roman"/>
          <w:lang w:eastAsia="en-GB"/>
        </w:rPr>
        <w:t xml:space="preserve">procurement </w:t>
      </w:r>
      <w:r>
        <w:rPr>
          <w:rFonts w:eastAsia="Times New Roman"/>
          <w:lang w:eastAsia="en-GB"/>
        </w:rPr>
        <w:t>as laid down in Article 39 of Directive of the European Parliament and of the Council 2014/24/EC</w:t>
      </w:r>
      <w:r>
        <w:rPr>
          <w:rStyle w:val="FootnoteReference"/>
        </w:rPr>
        <w:footnoteReference w:id="93"/>
      </w:r>
      <w:r>
        <w:rPr>
          <w:rFonts w:eastAsia="Times New Roman"/>
          <w:lang w:eastAsia="en-GB"/>
        </w:rPr>
        <w:t xml:space="preserve"> </w:t>
      </w:r>
      <w:r w:rsidRPr="001E110A">
        <w:rPr>
          <w:rFonts w:eastAsia="Times New Roman"/>
          <w:lang w:eastAsia="en-GB"/>
        </w:rPr>
        <w:t xml:space="preserve">for medicinal products of common interest. </w:t>
      </w:r>
    </w:p>
    <w:p w14:paraId="419AB6E9" w14:textId="027AF910" w:rsidR="00917777" w:rsidRPr="001E110A" w:rsidRDefault="00917777" w:rsidP="00917777">
      <w:pPr>
        <w:pStyle w:val="Point0"/>
        <w:rPr>
          <w:rFonts w:eastAsia="Times New Roman"/>
          <w:lang w:eastAsia="en-GB"/>
        </w:rPr>
      </w:pPr>
      <w:r>
        <w:rPr>
          <w:rFonts w:eastAsia="Times New Roman"/>
          <w:lang w:eastAsia="en-GB"/>
        </w:rPr>
        <w:t>2.</w:t>
      </w:r>
      <w:r>
        <w:tab/>
      </w:r>
      <w:r>
        <w:rPr>
          <w:rFonts w:eastAsia="Times New Roman"/>
          <w:lang w:eastAsia="en-GB"/>
        </w:rPr>
        <w:t>Having received the request, t</w:t>
      </w:r>
      <w:r w:rsidRPr="001E110A">
        <w:rPr>
          <w:rFonts w:eastAsia="Times New Roman"/>
          <w:lang w:eastAsia="en-GB"/>
        </w:rPr>
        <w:t>he Commission shall inform all other Member States of the initiative and set an appropriate deadline for them to declare interest. Such</w:t>
      </w:r>
      <w:r w:rsidRPr="02E5C8DB">
        <w:rPr>
          <w:rFonts w:eastAsia="Times New Roman"/>
          <w:lang w:eastAsia="en-GB"/>
        </w:rPr>
        <w:t xml:space="preserve"> a</w:t>
      </w:r>
      <w:r w:rsidRPr="001E110A">
        <w:rPr>
          <w:rFonts w:eastAsia="Times New Roman"/>
          <w:lang w:eastAsia="en-GB"/>
        </w:rPr>
        <w:t xml:space="preserve"> deadline shall not exceed </w:t>
      </w:r>
      <w:r w:rsidR="00BD13CC">
        <w:rPr>
          <w:rFonts w:eastAsia="Times New Roman"/>
          <w:iCs/>
          <w:lang w:eastAsia="en-GB"/>
        </w:rPr>
        <w:t>three</w:t>
      </w:r>
      <w:r w:rsidRPr="00921E54">
        <w:rPr>
          <w:rFonts w:eastAsia="Times New Roman"/>
          <w:iCs/>
          <w:lang w:eastAsia="en-GB"/>
        </w:rPr>
        <w:t xml:space="preserve"> weeks</w:t>
      </w:r>
      <w:r w:rsidRPr="001E110A">
        <w:rPr>
          <w:rFonts w:eastAsia="Times New Roman"/>
          <w:lang w:eastAsia="en-GB"/>
        </w:rPr>
        <w:t>.</w:t>
      </w:r>
    </w:p>
    <w:p w14:paraId="6767DBBD" w14:textId="42B19D0D" w:rsidR="00917777" w:rsidRPr="001E110A" w:rsidRDefault="00917777" w:rsidP="00917777">
      <w:pPr>
        <w:pStyle w:val="Point0"/>
        <w:rPr>
          <w:rFonts w:eastAsia="Times New Roman"/>
          <w:lang w:eastAsia="en-GB"/>
        </w:rPr>
      </w:pPr>
      <w:r>
        <w:rPr>
          <w:rFonts w:eastAsia="Times New Roman"/>
          <w:lang w:eastAsia="en-GB"/>
        </w:rPr>
        <w:t>3.</w:t>
      </w:r>
      <w:r>
        <w:rPr>
          <w:rFonts w:eastAsia="Times New Roman"/>
          <w:lang w:eastAsia="en-GB"/>
        </w:rPr>
        <w:tab/>
      </w:r>
      <w:r w:rsidRPr="001E110A">
        <w:rPr>
          <w:rFonts w:eastAsia="Times New Roman"/>
          <w:lang w:eastAsia="en-GB"/>
        </w:rPr>
        <w:t xml:space="preserve">The Commission shall assess the request in light of the objectives of this Regulation. The Commission shall communicate </w:t>
      </w:r>
      <w:r w:rsidRPr="02E5C8DB">
        <w:rPr>
          <w:rFonts w:eastAsia="Times New Roman"/>
          <w:lang w:eastAsia="en-GB"/>
        </w:rPr>
        <w:t xml:space="preserve">to </w:t>
      </w:r>
      <w:r w:rsidRPr="001E110A">
        <w:rPr>
          <w:rFonts w:eastAsia="Times New Roman"/>
          <w:lang w:eastAsia="en-GB"/>
        </w:rPr>
        <w:t>the interested Member States its decision on whether it agrees, or not, to facilitate the proposed initiative within</w:t>
      </w:r>
      <w:r>
        <w:rPr>
          <w:rFonts w:eastAsia="Times New Roman"/>
          <w:i/>
          <w:lang w:eastAsia="en-GB"/>
        </w:rPr>
        <w:t xml:space="preserve"> </w:t>
      </w:r>
      <w:r w:rsidR="00BD13CC">
        <w:rPr>
          <w:rFonts w:eastAsia="Times New Roman"/>
          <w:iCs/>
          <w:lang w:eastAsia="en-GB"/>
        </w:rPr>
        <w:t>three</w:t>
      </w:r>
      <w:r>
        <w:rPr>
          <w:rFonts w:eastAsia="Times New Roman"/>
          <w:i/>
          <w:lang w:eastAsia="en-GB"/>
        </w:rPr>
        <w:t xml:space="preserve"> </w:t>
      </w:r>
      <w:r w:rsidRPr="00921E54">
        <w:rPr>
          <w:rFonts w:eastAsia="Times New Roman"/>
          <w:iCs/>
          <w:lang w:eastAsia="en-GB"/>
        </w:rPr>
        <w:t>weeks</w:t>
      </w:r>
      <w:r w:rsidRPr="001E110A">
        <w:rPr>
          <w:rFonts w:eastAsia="Times New Roman"/>
          <w:lang w:eastAsia="en-GB"/>
        </w:rPr>
        <w:t xml:space="preserve"> of receiving </w:t>
      </w:r>
      <w:r>
        <w:rPr>
          <w:rFonts w:eastAsia="Times New Roman"/>
          <w:lang w:eastAsia="en-GB"/>
        </w:rPr>
        <w:t xml:space="preserve">the </w:t>
      </w:r>
      <w:r w:rsidRPr="001E110A">
        <w:rPr>
          <w:rFonts w:eastAsia="Times New Roman"/>
          <w:lang w:eastAsia="en-GB"/>
        </w:rPr>
        <w:t>request</w:t>
      </w:r>
      <w:r>
        <w:rPr>
          <w:rFonts w:eastAsia="Times New Roman"/>
          <w:lang w:eastAsia="en-GB"/>
        </w:rPr>
        <w:t>.</w:t>
      </w:r>
      <w:r w:rsidRPr="001E110A">
        <w:rPr>
          <w:rFonts w:eastAsia="Times New Roman"/>
          <w:lang w:eastAsia="en-GB"/>
        </w:rPr>
        <w:t xml:space="preserve"> </w:t>
      </w:r>
    </w:p>
    <w:p w14:paraId="1665CC5C" w14:textId="77777777" w:rsidR="00917777" w:rsidRPr="001E110A" w:rsidRDefault="00917777" w:rsidP="00917777">
      <w:pPr>
        <w:pStyle w:val="Point0"/>
        <w:rPr>
          <w:rFonts w:eastAsia="Times New Roman"/>
          <w:lang w:eastAsia="en-GB"/>
        </w:rPr>
      </w:pPr>
      <w:r>
        <w:rPr>
          <w:rFonts w:eastAsia="Times New Roman"/>
          <w:lang w:eastAsia="en-GB"/>
        </w:rPr>
        <w:t>4.</w:t>
      </w:r>
      <w:r>
        <w:rPr>
          <w:rFonts w:eastAsia="Times New Roman"/>
          <w:lang w:eastAsia="en-GB"/>
        </w:rPr>
        <w:tab/>
      </w:r>
      <w:r w:rsidRPr="001E110A">
        <w:rPr>
          <w:rFonts w:eastAsia="Times New Roman"/>
          <w:lang w:eastAsia="en-GB"/>
        </w:rPr>
        <w:t xml:space="preserve">If the Commission </w:t>
      </w:r>
      <w:r w:rsidRPr="02E5C8DB">
        <w:rPr>
          <w:rFonts w:eastAsia="Times New Roman"/>
          <w:lang w:eastAsia="en-GB"/>
        </w:rPr>
        <w:t>declines</w:t>
      </w:r>
      <w:r w:rsidRPr="001E110A">
        <w:rPr>
          <w:rFonts w:eastAsia="Times New Roman"/>
          <w:lang w:eastAsia="en-GB"/>
        </w:rPr>
        <w:t xml:space="preserve"> the request, it shall </w:t>
      </w:r>
      <w:r>
        <w:rPr>
          <w:rFonts w:eastAsia="Times New Roman"/>
          <w:lang w:eastAsia="en-GB"/>
        </w:rPr>
        <w:t>provide reasons for</w:t>
      </w:r>
      <w:r w:rsidRPr="001E110A">
        <w:rPr>
          <w:rFonts w:eastAsia="Times New Roman"/>
          <w:lang w:eastAsia="en-GB"/>
        </w:rPr>
        <w:t xml:space="preserve"> the refusal. </w:t>
      </w:r>
    </w:p>
    <w:p w14:paraId="5A5DB212" w14:textId="32E2C515" w:rsidR="00917777" w:rsidRPr="001E110A" w:rsidRDefault="00917777" w:rsidP="00917777">
      <w:pPr>
        <w:pStyle w:val="Point0"/>
        <w:rPr>
          <w:rFonts w:eastAsia="Times New Roman"/>
          <w:lang w:eastAsia="en-GB"/>
        </w:rPr>
      </w:pPr>
      <w:r>
        <w:rPr>
          <w:rFonts w:eastAsia="Times New Roman"/>
          <w:lang w:eastAsia="en-GB"/>
        </w:rPr>
        <w:t>5.</w:t>
      </w:r>
      <w:r>
        <w:tab/>
      </w:r>
      <w:r w:rsidRPr="001E110A">
        <w:rPr>
          <w:rFonts w:eastAsia="Times New Roman"/>
          <w:lang w:eastAsia="en-GB"/>
        </w:rPr>
        <w:t xml:space="preserve">If the Commission accepts the request, the Commission shall provide </w:t>
      </w:r>
      <w:r w:rsidRPr="3174AAFC">
        <w:rPr>
          <w:rFonts w:eastAsia="Times New Roman"/>
          <w:lang w:eastAsia="en-GB"/>
        </w:rPr>
        <w:t>secretarial and logistic</w:t>
      </w:r>
      <w:r w:rsidR="00BD13CC">
        <w:rPr>
          <w:rFonts w:eastAsia="Times New Roman"/>
          <w:lang w:eastAsia="en-GB"/>
        </w:rPr>
        <w:t>al</w:t>
      </w:r>
      <w:r w:rsidRPr="3174AAFC">
        <w:rPr>
          <w:rFonts w:eastAsia="Times New Roman"/>
          <w:lang w:eastAsia="en-GB"/>
        </w:rPr>
        <w:t xml:space="preserve"> support to </w:t>
      </w:r>
      <w:r w:rsidRPr="001E110A">
        <w:rPr>
          <w:rFonts w:eastAsia="Times New Roman"/>
          <w:lang w:eastAsia="en-GB"/>
        </w:rPr>
        <w:t xml:space="preserve">the interested Member States. The Commission shall facilitate communication and cooperation between the involved Member States and provide advice on applicable </w:t>
      </w:r>
      <w:r>
        <w:rPr>
          <w:rFonts w:eastAsia="Times New Roman"/>
          <w:lang w:eastAsia="en-GB"/>
        </w:rPr>
        <w:t xml:space="preserve">Union </w:t>
      </w:r>
      <w:r w:rsidRPr="001E110A">
        <w:rPr>
          <w:rFonts w:eastAsia="Times New Roman"/>
          <w:lang w:eastAsia="en-GB"/>
        </w:rPr>
        <w:t>public procurement rules and on regulatory matters</w:t>
      </w:r>
      <w:r>
        <w:rPr>
          <w:rFonts w:eastAsia="Times New Roman"/>
          <w:lang w:eastAsia="en-GB"/>
        </w:rPr>
        <w:t xml:space="preserve"> related to </w:t>
      </w:r>
      <w:r w:rsidR="00694E86">
        <w:rPr>
          <w:rFonts w:eastAsia="Times New Roman"/>
          <w:lang w:eastAsia="en-GB"/>
        </w:rPr>
        <w:t>medicinal products</w:t>
      </w:r>
      <w:r w:rsidRPr="001E110A">
        <w:rPr>
          <w:rFonts w:eastAsia="Times New Roman"/>
          <w:lang w:eastAsia="en-GB"/>
        </w:rPr>
        <w:t>.</w:t>
      </w:r>
    </w:p>
    <w:p w14:paraId="578555C6" w14:textId="77777777" w:rsidR="00917777" w:rsidRPr="001E110A" w:rsidRDefault="00917777" w:rsidP="00917777">
      <w:pPr>
        <w:pStyle w:val="Point0"/>
        <w:rPr>
          <w:rFonts w:eastAsia="Times New Roman"/>
          <w:lang w:eastAsia="en-GB"/>
        </w:rPr>
      </w:pPr>
      <w:r>
        <w:rPr>
          <w:rFonts w:eastAsia="Times New Roman"/>
          <w:lang w:eastAsia="en-GB"/>
        </w:rPr>
        <w:t>6.</w:t>
      </w:r>
      <w:r>
        <w:rPr>
          <w:rFonts w:eastAsia="Times New Roman"/>
          <w:lang w:eastAsia="en-GB"/>
        </w:rPr>
        <w:tab/>
      </w:r>
      <w:r w:rsidRPr="001E110A">
        <w:rPr>
          <w:rFonts w:eastAsia="Times New Roman"/>
          <w:lang w:eastAsia="en-GB"/>
        </w:rPr>
        <w:t xml:space="preserve">The facilitation offered by the Commission shall be limited in time and end at the latest upon signature of the procurement contract by the participating contracting authorities.  </w:t>
      </w:r>
    </w:p>
    <w:p w14:paraId="313862B9" w14:textId="40AF7A70" w:rsidR="00917777" w:rsidRPr="001E110A" w:rsidRDefault="00405E27" w:rsidP="00917777">
      <w:pPr>
        <w:pStyle w:val="Point0"/>
        <w:rPr>
          <w:rFonts w:eastAsia="Times New Roman"/>
          <w:lang w:eastAsia="en-GB"/>
        </w:rPr>
      </w:pPr>
      <w:r>
        <w:rPr>
          <w:rFonts w:eastAsia="Times New Roman"/>
          <w:szCs w:val="24"/>
          <w:lang w:eastAsia="en-GB"/>
        </w:rPr>
        <w:t>7</w:t>
      </w:r>
      <w:r w:rsidR="00917777">
        <w:rPr>
          <w:rFonts w:eastAsia="Times New Roman"/>
          <w:szCs w:val="24"/>
          <w:lang w:eastAsia="en-GB"/>
        </w:rPr>
        <w:t>.</w:t>
      </w:r>
      <w:r w:rsidR="00917777">
        <w:rPr>
          <w:rFonts w:eastAsia="Times New Roman"/>
          <w:szCs w:val="24"/>
          <w:lang w:eastAsia="en-GB"/>
        </w:rPr>
        <w:tab/>
      </w:r>
      <w:r w:rsidR="00917777" w:rsidRPr="001E110A">
        <w:rPr>
          <w:rFonts w:eastAsia="Times New Roman"/>
          <w:szCs w:val="24"/>
          <w:lang w:eastAsia="en-GB"/>
        </w:rPr>
        <w:t>The Commission shall not be responsible, nor held liable, for any breaches of Union or national procurement laws by the participating contracting authorities. The Commission shall not bear any liability associated with the conduct of the procurement procedure by interested Member States and implementation of the contract resulting from the procedure.</w:t>
      </w:r>
    </w:p>
    <w:p w14:paraId="5B302C38" w14:textId="77777777" w:rsidR="00917777" w:rsidRPr="001E110A" w:rsidRDefault="00917777" w:rsidP="00917777">
      <w:pPr>
        <w:pStyle w:val="Titrearticle"/>
      </w:pPr>
      <w:r w:rsidRPr="001E110A">
        <w:t>Article 2</w:t>
      </w:r>
      <w:r>
        <w:t>2</w:t>
      </w:r>
    </w:p>
    <w:p w14:paraId="621D5874" w14:textId="77777777" w:rsidR="00917777" w:rsidRPr="001E110A" w:rsidRDefault="00917777" w:rsidP="00917777">
      <w:pPr>
        <w:jc w:val="center"/>
        <w:rPr>
          <w:i/>
        </w:rPr>
      </w:pPr>
      <w:r w:rsidRPr="001E110A">
        <w:rPr>
          <w:i/>
        </w:rPr>
        <w:t>Commission procurement on behalf of or in the name of Member States</w:t>
      </w:r>
    </w:p>
    <w:p w14:paraId="1AD73A80" w14:textId="77777777" w:rsidR="00917777" w:rsidRPr="001E110A" w:rsidRDefault="00917777" w:rsidP="00917777">
      <w:pPr>
        <w:pStyle w:val="Point0"/>
        <w:rPr>
          <w:rFonts w:eastAsia="Times New Roman"/>
          <w:lang w:eastAsia="en-GB"/>
        </w:rPr>
      </w:pPr>
      <w:r>
        <w:rPr>
          <w:rFonts w:eastAsia="Times New Roman"/>
          <w:lang w:eastAsia="en-GB"/>
        </w:rPr>
        <w:t>1.</w:t>
      </w:r>
      <w:r>
        <w:tab/>
      </w:r>
      <w:r>
        <w:rPr>
          <w:rFonts w:eastAsia="Times New Roman"/>
          <w:lang w:eastAsia="en-GB"/>
        </w:rPr>
        <w:t xml:space="preserve">By way of derogation from Article 168(3) of Regulation (EU, Euratom) 2024/2509 </w:t>
      </w:r>
      <w:r w:rsidRPr="6A20C3FC">
        <w:rPr>
          <w:rFonts w:eastAsia="Times New Roman"/>
          <w:lang w:eastAsia="en-GB"/>
        </w:rPr>
        <w:t>w</w:t>
      </w:r>
      <w:r w:rsidRPr="00921E54">
        <w:rPr>
          <w:rFonts w:eastAsia="Times New Roman"/>
          <w:lang w:eastAsia="en-GB"/>
        </w:rPr>
        <w:t>here nine or more Member States jointly request the Commission to procure on their behalf, or</w:t>
      </w:r>
      <w:r w:rsidRPr="001E110A">
        <w:rPr>
          <w:rFonts w:eastAsia="Times New Roman"/>
          <w:lang w:eastAsia="en-GB"/>
        </w:rPr>
        <w:t xml:space="preserve"> in their name</w:t>
      </w:r>
      <w:r>
        <w:rPr>
          <w:rFonts w:eastAsia="Times New Roman"/>
          <w:lang w:eastAsia="en-GB"/>
        </w:rPr>
        <w:t xml:space="preserve">, the Commission may initiate a procurement procedure under the conditions </w:t>
      </w:r>
      <w:r w:rsidRPr="6A20C3FC">
        <w:rPr>
          <w:rFonts w:eastAsia="Times New Roman"/>
          <w:lang w:eastAsia="en-GB"/>
        </w:rPr>
        <w:t>set out in</w:t>
      </w:r>
      <w:r>
        <w:rPr>
          <w:rFonts w:eastAsia="Times New Roman"/>
          <w:lang w:eastAsia="en-GB"/>
        </w:rPr>
        <w:t xml:space="preserve"> this Article when the procurement relates to medicinal products belonging to one of the </w:t>
      </w:r>
      <w:r w:rsidRPr="6A20C3FC">
        <w:rPr>
          <w:rFonts w:eastAsia="Times New Roman"/>
          <w:lang w:eastAsia="en-GB"/>
        </w:rPr>
        <w:t xml:space="preserve">following </w:t>
      </w:r>
      <w:r>
        <w:rPr>
          <w:rFonts w:eastAsia="Times New Roman"/>
          <w:lang w:eastAsia="en-GB"/>
        </w:rPr>
        <w:t>categories below</w:t>
      </w:r>
      <w:r w:rsidRPr="001E110A">
        <w:rPr>
          <w:rFonts w:eastAsia="Times New Roman"/>
          <w:lang w:eastAsia="en-GB"/>
        </w:rPr>
        <w:t>;</w:t>
      </w:r>
    </w:p>
    <w:p w14:paraId="4DEC0A9B" w14:textId="77777777" w:rsidR="00917777" w:rsidRPr="001E110A" w:rsidRDefault="00917777" w:rsidP="00917777">
      <w:pPr>
        <w:pStyle w:val="Point1"/>
        <w:rPr>
          <w:lang w:eastAsia="en-GB"/>
        </w:rPr>
      </w:pPr>
      <w:r>
        <w:rPr>
          <w:lang w:eastAsia="en-GB"/>
        </w:rPr>
        <w:t>(a)</w:t>
      </w:r>
      <w:r>
        <w:rPr>
          <w:lang w:eastAsia="en-GB"/>
        </w:rPr>
        <w:tab/>
      </w:r>
      <w:r w:rsidRPr="001E110A">
        <w:rPr>
          <w:lang w:eastAsia="en-GB"/>
        </w:rPr>
        <w:t xml:space="preserve">critical medicinal products for which </w:t>
      </w:r>
      <w:r w:rsidRPr="006C2B52">
        <w:rPr>
          <w:lang w:eastAsia="en-GB"/>
        </w:rPr>
        <w:t>a</w:t>
      </w:r>
      <w:r w:rsidRPr="001E110A">
        <w:rPr>
          <w:lang w:eastAsia="en-GB"/>
        </w:rPr>
        <w:t xml:space="preserve"> vulnerability evaluation has identified a vulnerability in the supply chains or for which the MSSG has recommended a common procurement initiative; </w:t>
      </w:r>
    </w:p>
    <w:p w14:paraId="735FA86F" w14:textId="77777777" w:rsidR="00917777" w:rsidRPr="001E110A" w:rsidRDefault="00917777" w:rsidP="00917777">
      <w:pPr>
        <w:pStyle w:val="Point1"/>
        <w:rPr>
          <w:rFonts w:eastAsia="Times New Roman"/>
          <w:lang w:eastAsia="en-GB"/>
        </w:rPr>
      </w:pPr>
      <w:r>
        <w:rPr>
          <w:rFonts w:eastAsia="Times New Roman"/>
          <w:lang w:eastAsia="en-GB"/>
        </w:rPr>
        <w:t>(b)</w:t>
      </w:r>
      <w:r>
        <w:rPr>
          <w:rFonts w:eastAsia="Times New Roman"/>
          <w:lang w:eastAsia="en-GB"/>
        </w:rPr>
        <w:tab/>
      </w:r>
      <w:r w:rsidRPr="001E110A">
        <w:rPr>
          <w:rFonts w:eastAsia="Times New Roman"/>
          <w:lang w:eastAsia="en-GB"/>
        </w:rPr>
        <w:t xml:space="preserve">medicinal products of common interest, </w:t>
      </w:r>
      <w:r w:rsidRPr="699AAC6F">
        <w:rPr>
          <w:rFonts w:eastAsia="Times New Roman"/>
          <w:lang w:eastAsia="en-GB"/>
        </w:rPr>
        <w:t xml:space="preserve">for </w:t>
      </w:r>
      <w:r w:rsidRPr="001E110A">
        <w:rPr>
          <w:rFonts w:eastAsia="Times New Roman"/>
          <w:lang w:eastAsia="en-GB"/>
        </w:rPr>
        <w:t xml:space="preserve">which a joint clinical assessment report has been published pursuant to Article 12(4) Regulation (EU) 2021/2282 of the European Parliament and the Council </w:t>
      </w:r>
      <w:r>
        <w:rPr>
          <w:rStyle w:val="FootnoteReference"/>
        </w:rPr>
        <w:footnoteReference w:id="94"/>
      </w:r>
      <w:r w:rsidRPr="001E110A">
        <w:rPr>
          <w:rFonts w:eastAsia="Times New Roman"/>
          <w:lang w:eastAsia="en-GB"/>
        </w:rPr>
        <w:t xml:space="preserve">, or which have undergone a clinical assessment </w:t>
      </w:r>
      <w:r>
        <w:rPr>
          <w:rFonts w:eastAsia="Times New Roman"/>
          <w:lang w:eastAsia="en-GB"/>
        </w:rPr>
        <w:t xml:space="preserve">carried out </w:t>
      </w:r>
      <w:r w:rsidRPr="001E110A">
        <w:rPr>
          <w:rFonts w:eastAsia="Times New Roman"/>
          <w:lang w:eastAsia="en-GB"/>
        </w:rPr>
        <w:t xml:space="preserve">under </w:t>
      </w:r>
      <w:r>
        <w:rPr>
          <w:rFonts w:eastAsia="Times New Roman"/>
          <w:lang w:eastAsia="en-GB"/>
        </w:rPr>
        <w:t xml:space="preserve">the </w:t>
      </w:r>
      <w:r w:rsidRPr="001E110A">
        <w:rPr>
          <w:rFonts w:eastAsia="Times New Roman"/>
          <w:lang w:eastAsia="en-GB"/>
        </w:rPr>
        <w:t>voluntary cooperation among Member States as per Article 23(1) point (e) of that Regulation.</w:t>
      </w:r>
    </w:p>
    <w:p w14:paraId="37CD9925" w14:textId="26F9034A" w:rsidR="00917777" w:rsidRPr="00BE0E86" w:rsidRDefault="00917777" w:rsidP="00917777">
      <w:pPr>
        <w:pStyle w:val="Point0"/>
        <w:rPr>
          <w:rFonts w:eastAsia="Times New Roman"/>
          <w:lang w:eastAsia="en-GB"/>
        </w:rPr>
      </w:pPr>
      <w:r>
        <w:rPr>
          <w:rFonts w:eastAsia="Times New Roman"/>
          <w:lang w:eastAsia="en-GB"/>
        </w:rPr>
        <w:t>2.</w:t>
      </w:r>
      <w:r>
        <w:tab/>
      </w:r>
      <w:r w:rsidRPr="001E110A">
        <w:rPr>
          <w:rFonts w:eastAsia="Times New Roman"/>
          <w:lang w:eastAsia="en-GB"/>
        </w:rPr>
        <w:t>The joint request</w:t>
      </w:r>
      <w:r>
        <w:rPr>
          <w:rFonts w:eastAsia="Times New Roman"/>
          <w:lang w:eastAsia="en-GB"/>
        </w:rPr>
        <w:t xml:space="preserve"> referred to in paragraph 1</w:t>
      </w:r>
      <w:r w:rsidRPr="001E110A">
        <w:rPr>
          <w:rFonts w:eastAsia="Times New Roman"/>
          <w:lang w:eastAsia="en-GB"/>
        </w:rPr>
        <w:t xml:space="preserve"> </w:t>
      </w:r>
      <w:r w:rsidRPr="00FD2E61">
        <w:rPr>
          <w:rFonts w:eastAsia="Times New Roman"/>
          <w:lang w:eastAsia="en-GB"/>
        </w:rPr>
        <w:t>shall</w:t>
      </w:r>
      <w:r>
        <w:rPr>
          <w:rFonts w:eastAsia="Times New Roman"/>
          <w:lang w:eastAsia="en-GB"/>
        </w:rPr>
        <w:t xml:space="preserve"> only</w:t>
      </w:r>
      <w:r w:rsidRPr="07426973">
        <w:rPr>
          <w:rFonts w:eastAsia="Times New Roman"/>
          <w:lang w:eastAsia="en-GB"/>
        </w:rPr>
        <w:t xml:space="preserve"> be made where</w:t>
      </w:r>
      <w:r w:rsidRPr="001E110A">
        <w:rPr>
          <w:rFonts w:eastAsia="Times New Roman"/>
          <w:lang w:eastAsia="en-GB"/>
        </w:rPr>
        <w:t xml:space="preserve"> the medicinal product concerned fulfils one of the criteria set </w:t>
      </w:r>
      <w:r>
        <w:rPr>
          <w:rFonts w:eastAsia="Times New Roman"/>
          <w:lang w:eastAsia="en-GB"/>
        </w:rPr>
        <w:t>out in that paragraph</w:t>
      </w:r>
      <w:r w:rsidRPr="001E110A">
        <w:rPr>
          <w:rFonts w:eastAsia="Times New Roman"/>
          <w:lang w:eastAsia="en-GB"/>
        </w:rPr>
        <w:t xml:space="preserve"> and </w:t>
      </w:r>
      <w:r>
        <w:rPr>
          <w:rFonts w:eastAsia="Times New Roman"/>
          <w:lang w:eastAsia="en-GB"/>
        </w:rPr>
        <w:t xml:space="preserve">if the </w:t>
      </w:r>
      <w:r w:rsidRPr="001E110A">
        <w:rPr>
          <w:rFonts w:eastAsia="Times New Roman"/>
          <w:lang w:eastAsia="en-GB"/>
        </w:rPr>
        <w:t xml:space="preserve">requested procurement procedure will help to improve the security of supply and availability of critical </w:t>
      </w:r>
      <w:r w:rsidRPr="00BE0E86">
        <w:rPr>
          <w:rFonts w:eastAsia="Times New Roman"/>
          <w:lang w:eastAsia="en-GB"/>
        </w:rPr>
        <w:t xml:space="preserve">medicinal products in the Union or ensure </w:t>
      </w:r>
      <w:r w:rsidR="0014413B">
        <w:rPr>
          <w:rFonts w:eastAsia="Times New Roman"/>
          <w:lang w:eastAsia="en-GB"/>
        </w:rPr>
        <w:t xml:space="preserve">the </w:t>
      </w:r>
      <w:r w:rsidRPr="00BE0E86">
        <w:rPr>
          <w:rFonts w:eastAsia="Times New Roman"/>
          <w:lang w:eastAsia="en-GB"/>
        </w:rPr>
        <w:t xml:space="preserve">availability and accessibility of medicinal products of common interest, as applicable. </w:t>
      </w:r>
    </w:p>
    <w:p w14:paraId="6578ECCB" w14:textId="77777777" w:rsidR="00917777" w:rsidRPr="00BE0E86" w:rsidRDefault="00917777" w:rsidP="00917777">
      <w:pPr>
        <w:pStyle w:val="Point0"/>
      </w:pPr>
      <w:r w:rsidRPr="00BE0E86">
        <w:rPr>
          <w:rFonts w:eastAsia="Times New Roman"/>
          <w:lang w:eastAsia="en-GB"/>
        </w:rPr>
        <w:t>3.</w:t>
      </w:r>
      <w:r w:rsidRPr="00BE0E86">
        <w:rPr>
          <w:rFonts w:eastAsia="Times New Roman"/>
          <w:lang w:eastAsia="en-GB"/>
        </w:rPr>
        <w:tab/>
        <w:t xml:space="preserve">The participation in the procurement procedure shall be open to all Member States. The Commission shall inform all Member States of the request, through the Critical Medicines Group, and invite them to join the procedure. </w:t>
      </w:r>
    </w:p>
    <w:p w14:paraId="6B21051B" w14:textId="77777777" w:rsidR="00917777" w:rsidRPr="00BE0E86" w:rsidRDefault="00917777" w:rsidP="00917777">
      <w:pPr>
        <w:pStyle w:val="Point0"/>
        <w:rPr>
          <w:rFonts w:eastAsia="Times New Roman"/>
          <w:lang w:eastAsia="en-GB"/>
        </w:rPr>
      </w:pPr>
      <w:r w:rsidRPr="00BE0E86">
        <w:rPr>
          <w:rFonts w:eastAsia="Times New Roman"/>
          <w:lang w:eastAsia="en-GB"/>
        </w:rPr>
        <w:t>4.</w:t>
      </w:r>
      <w:r w:rsidRPr="00BE0E86">
        <w:rPr>
          <w:rFonts w:eastAsia="Times New Roman"/>
          <w:lang w:eastAsia="en-GB"/>
        </w:rPr>
        <w:tab/>
        <w:t>The Commission shall assess the utility, necessity and proportionality of the request and whether the request is justified in light of the objectives of this Regulation. The Commission shall in particular verify whether the procurement could constitute discrimination or restriction to trade or a distortion to competition.</w:t>
      </w:r>
    </w:p>
    <w:p w14:paraId="6CCDC315" w14:textId="77777777" w:rsidR="00917777" w:rsidRPr="00BE0E86" w:rsidRDefault="00917777" w:rsidP="00917777">
      <w:pPr>
        <w:pStyle w:val="Point0"/>
      </w:pPr>
      <w:r w:rsidRPr="00BE0E86">
        <w:rPr>
          <w:rFonts w:eastAsia="Times New Roman"/>
          <w:lang w:eastAsia="en-GB"/>
        </w:rPr>
        <w:t>5.</w:t>
      </w:r>
      <w:r w:rsidRPr="00BE0E86">
        <w:tab/>
      </w:r>
      <w:r w:rsidRPr="00BE0E86">
        <w:rPr>
          <w:rFonts w:eastAsia="Times New Roman"/>
          <w:lang w:eastAsia="en-GB"/>
        </w:rPr>
        <w:t>The Commission shall inform the interested Member States within one month of the request of its decision and state its reasons in case of a refusal.</w:t>
      </w:r>
    </w:p>
    <w:p w14:paraId="2CC1FA96" w14:textId="73523F8D" w:rsidR="00917777" w:rsidRPr="00BE0E86" w:rsidRDefault="00917777" w:rsidP="00917777">
      <w:pPr>
        <w:pStyle w:val="Point0"/>
        <w:rPr>
          <w:rFonts w:eastAsia="Times New Roman"/>
          <w:lang w:eastAsia="en-GB"/>
        </w:rPr>
      </w:pPr>
      <w:r w:rsidRPr="00BE0E86">
        <w:rPr>
          <w:rFonts w:eastAsia="Times New Roman"/>
          <w:lang w:eastAsia="en-GB"/>
        </w:rPr>
        <w:t>6.</w:t>
      </w:r>
      <w:r w:rsidRPr="00BE0E86">
        <w:rPr>
          <w:rFonts w:eastAsia="Times New Roman"/>
          <w:lang w:eastAsia="en-GB"/>
        </w:rPr>
        <w:tab/>
        <w:t xml:space="preserve">If in light of the Commission assessment, it is necessary, in order to achieve the objectives of this Regulation, to conduct the procurement as exclusive for the Member States </w:t>
      </w:r>
      <w:r w:rsidR="009F2CDA">
        <w:rPr>
          <w:rFonts w:eastAsia="Times New Roman"/>
          <w:lang w:eastAsia="en-GB"/>
        </w:rPr>
        <w:t xml:space="preserve">or </w:t>
      </w:r>
      <w:r w:rsidRPr="00BE0E86">
        <w:rPr>
          <w:rFonts w:eastAsia="Times New Roman"/>
          <w:lang w:eastAsia="en-GB"/>
        </w:rPr>
        <w:t xml:space="preserve">to agree to minimum binding quantities, the Commission agreement to pursue the procedure may be conditioned upon acceptance of these conditions by interested Member States. </w:t>
      </w:r>
    </w:p>
    <w:p w14:paraId="28B70D02" w14:textId="77777777" w:rsidR="00917777" w:rsidRPr="001E110A" w:rsidRDefault="00917777" w:rsidP="00917777">
      <w:pPr>
        <w:pStyle w:val="Point0"/>
        <w:rPr>
          <w:rFonts w:eastAsia="Times New Roman"/>
          <w:lang w:eastAsia="en-GB"/>
        </w:rPr>
      </w:pPr>
      <w:r w:rsidRPr="00BE0E86">
        <w:rPr>
          <w:rFonts w:eastAsia="Times New Roman"/>
          <w:lang w:eastAsia="en-GB"/>
        </w:rPr>
        <w:t>7.</w:t>
      </w:r>
      <w:r w:rsidRPr="00BE0E86">
        <w:rPr>
          <w:rFonts w:eastAsia="Times New Roman"/>
          <w:lang w:eastAsia="en-GB"/>
        </w:rPr>
        <w:tab/>
        <w:t>Except for the derogations provided for in this Regulation, the procurement referred to in this Article shall be carried out in accordance with Article 168 (3) of Regulation (EU, Euratom) 2024/2509</w:t>
      </w:r>
      <w:r w:rsidRPr="00BE0E86">
        <w:rPr>
          <w:rStyle w:val="FootnoteReference"/>
        </w:rPr>
        <w:footnoteReference w:id="95"/>
      </w:r>
      <w:r w:rsidRPr="00BE0E86">
        <w:rPr>
          <w:rFonts w:eastAsia="Times New Roman"/>
          <w:lang w:eastAsia="en-GB"/>
        </w:rPr>
        <w:t>.</w:t>
      </w:r>
      <w:r w:rsidRPr="001E110A">
        <w:rPr>
          <w:rFonts w:eastAsia="Times New Roman"/>
          <w:lang w:eastAsia="en-GB"/>
        </w:rPr>
        <w:t xml:space="preserve"> </w:t>
      </w:r>
    </w:p>
    <w:p w14:paraId="117AC844" w14:textId="77777777" w:rsidR="00917777" w:rsidRPr="001E110A" w:rsidRDefault="00917777" w:rsidP="00917777">
      <w:pPr>
        <w:pStyle w:val="Titrearticle"/>
      </w:pPr>
      <w:r w:rsidRPr="001E110A">
        <w:t>Article 2</w:t>
      </w:r>
      <w:r>
        <w:t>3</w:t>
      </w:r>
    </w:p>
    <w:p w14:paraId="2E619792" w14:textId="77777777" w:rsidR="00917777" w:rsidRPr="001E110A" w:rsidRDefault="00917777" w:rsidP="00917777">
      <w:pPr>
        <w:jc w:val="center"/>
        <w:rPr>
          <w:i/>
        </w:rPr>
      </w:pPr>
      <w:r w:rsidRPr="001E110A">
        <w:rPr>
          <w:i/>
        </w:rPr>
        <w:t>Joint Procurement</w:t>
      </w:r>
    </w:p>
    <w:p w14:paraId="71007EB9" w14:textId="77777777" w:rsidR="00917777" w:rsidRPr="001E110A" w:rsidRDefault="00917777" w:rsidP="00917777">
      <w:pPr>
        <w:pStyle w:val="Point0"/>
        <w:rPr>
          <w:rFonts w:eastAsia="Times New Roman"/>
          <w:lang w:eastAsia="en-GB"/>
        </w:rPr>
      </w:pPr>
      <w:r>
        <w:rPr>
          <w:rFonts w:eastAsia="Times New Roman"/>
          <w:lang w:eastAsia="en-GB"/>
        </w:rPr>
        <w:t>1.</w:t>
      </w:r>
      <w:r>
        <w:rPr>
          <w:rFonts w:eastAsia="Times New Roman"/>
          <w:lang w:eastAsia="en-GB"/>
        </w:rPr>
        <w:tab/>
      </w:r>
      <w:r w:rsidRPr="001E110A">
        <w:rPr>
          <w:rFonts w:eastAsia="Times New Roman"/>
          <w:lang w:eastAsia="en-GB"/>
        </w:rPr>
        <w:t xml:space="preserve">Under conditions </w:t>
      </w:r>
      <w:r>
        <w:rPr>
          <w:rFonts w:eastAsia="Times New Roman"/>
          <w:lang w:eastAsia="en-GB"/>
        </w:rPr>
        <w:t xml:space="preserve">laid down </w:t>
      </w:r>
      <w:r w:rsidRPr="001E110A">
        <w:rPr>
          <w:rFonts w:eastAsia="Times New Roman"/>
          <w:lang w:eastAsia="en-GB"/>
        </w:rPr>
        <w:t>in this Article</w:t>
      </w:r>
      <w:r>
        <w:rPr>
          <w:rFonts w:eastAsia="Times New Roman"/>
          <w:lang w:eastAsia="en-GB"/>
        </w:rPr>
        <w:t xml:space="preserve"> and by way of derogation from Article 168(2) of Regulation (EU, Euratom) 2024/2509</w:t>
      </w:r>
      <w:r w:rsidRPr="001E110A">
        <w:rPr>
          <w:rFonts w:eastAsia="Times New Roman"/>
          <w:lang w:eastAsia="en-GB"/>
        </w:rPr>
        <w:t xml:space="preserve">, if a </w:t>
      </w:r>
      <w:r>
        <w:rPr>
          <w:rFonts w:eastAsia="Times New Roman"/>
          <w:lang w:eastAsia="en-GB"/>
        </w:rPr>
        <w:t>contract</w:t>
      </w:r>
      <w:r w:rsidRPr="001E110A">
        <w:rPr>
          <w:rFonts w:eastAsia="Times New Roman"/>
          <w:lang w:eastAsia="en-GB"/>
        </w:rPr>
        <w:t xml:space="preserve"> is necessary for the implementation of the joint action</w:t>
      </w:r>
      <w:r>
        <w:rPr>
          <w:rFonts w:eastAsia="Times New Roman"/>
          <w:lang w:eastAsia="en-GB"/>
        </w:rPr>
        <w:t xml:space="preserve"> between the Commission and Member States</w:t>
      </w:r>
      <w:r w:rsidRPr="001E110A">
        <w:rPr>
          <w:rFonts w:eastAsia="Times New Roman"/>
          <w:lang w:eastAsia="en-GB"/>
        </w:rPr>
        <w:t>, the Commission and at least nine Member States may engage, as contracting parties, in a joint procurement procedure.</w:t>
      </w:r>
    </w:p>
    <w:p w14:paraId="3B0A725F" w14:textId="77777777" w:rsidR="00917777" w:rsidRPr="001E110A" w:rsidRDefault="00917777" w:rsidP="00917777">
      <w:pPr>
        <w:pStyle w:val="Point0"/>
        <w:rPr>
          <w:rFonts w:eastAsia="Times New Roman"/>
          <w:lang w:eastAsia="en-GB"/>
        </w:rPr>
      </w:pPr>
      <w:r>
        <w:rPr>
          <w:rFonts w:eastAsia="Times New Roman"/>
          <w:lang w:eastAsia="en-GB"/>
        </w:rPr>
        <w:t>2.</w:t>
      </w:r>
      <w:r>
        <w:rPr>
          <w:rFonts w:eastAsia="Times New Roman"/>
          <w:lang w:eastAsia="en-GB"/>
        </w:rPr>
        <w:tab/>
      </w:r>
      <w:r w:rsidRPr="001E110A">
        <w:rPr>
          <w:rFonts w:eastAsia="Times New Roman"/>
          <w:lang w:eastAsia="en-GB"/>
        </w:rPr>
        <w:t xml:space="preserve">A joint procurement procedure may be organised following a request by the Member States or </w:t>
      </w:r>
      <w:r>
        <w:rPr>
          <w:rFonts w:eastAsia="Times New Roman"/>
          <w:lang w:eastAsia="en-GB"/>
        </w:rPr>
        <w:t>at</w:t>
      </w:r>
      <w:r w:rsidRPr="001E110A">
        <w:rPr>
          <w:rFonts w:eastAsia="Times New Roman"/>
          <w:lang w:eastAsia="en-GB"/>
        </w:rPr>
        <w:t xml:space="preserve"> the Commission</w:t>
      </w:r>
      <w:r>
        <w:rPr>
          <w:rFonts w:eastAsia="Times New Roman"/>
          <w:lang w:eastAsia="en-GB"/>
        </w:rPr>
        <w:t>’s</w:t>
      </w:r>
      <w:r w:rsidRPr="001E110A">
        <w:rPr>
          <w:rFonts w:eastAsia="Times New Roman"/>
          <w:lang w:eastAsia="en-GB"/>
        </w:rPr>
        <w:t xml:space="preserve"> initiative </w:t>
      </w:r>
      <w:r>
        <w:rPr>
          <w:rFonts w:eastAsia="Times New Roman"/>
          <w:lang w:eastAsia="en-GB"/>
        </w:rPr>
        <w:t>when the procurement relates to medicinal products belonging to one of the categories below:</w:t>
      </w:r>
    </w:p>
    <w:p w14:paraId="1AD28766" w14:textId="77777777" w:rsidR="00917777" w:rsidRPr="001E110A" w:rsidRDefault="00917777" w:rsidP="00917777">
      <w:pPr>
        <w:pStyle w:val="Point1"/>
        <w:rPr>
          <w:lang w:eastAsia="en-GB"/>
        </w:rPr>
      </w:pPr>
      <w:r>
        <w:rPr>
          <w:lang w:eastAsia="en-GB"/>
        </w:rPr>
        <w:t>(a)</w:t>
      </w:r>
      <w:r>
        <w:rPr>
          <w:lang w:eastAsia="en-GB"/>
        </w:rPr>
        <w:tab/>
      </w:r>
      <w:r w:rsidRPr="001E110A">
        <w:rPr>
          <w:lang w:eastAsia="en-GB"/>
        </w:rPr>
        <w:t xml:space="preserve">critical medicinal products for which a vulnerability evaluation has identified a vulnerability in the supply chains or for which the MSSG has recommended a common procurement initiative; </w:t>
      </w:r>
    </w:p>
    <w:p w14:paraId="19A10237" w14:textId="77777777" w:rsidR="00917777" w:rsidRPr="001E110A" w:rsidRDefault="00917777" w:rsidP="00917777">
      <w:pPr>
        <w:pStyle w:val="Point1"/>
        <w:rPr>
          <w:rFonts w:eastAsia="Times New Roman"/>
          <w:lang w:eastAsia="en-GB"/>
        </w:rPr>
      </w:pPr>
      <w:r>
        <w:rPr>
          <w:rFonts w:eastAsia="Times New Roman"/>
          <w:lang w:eastAsia="en-GB"/>
        </w:rPr>
        <w:t>(b)</w:t>
      </w:r>
      <w:r>
        <w:rPr>
          <w:rFonts w:eastAsia="Times New Roman"/>
          <w:lang w:eastAsia="en-GB"/>
        </w:rPr>
        <w:tab/>
      </w:r>
      <w:r w:rsidRPr="001E110A">
        <w:rPr>
          <w:rFonts w:eastAsia="Times New Roman"/>
          <w:lang w:eastAsia="en-GB"/>
        </w:rPr>
        <w:t xml:space="preserve">medicinal products of common interest, </w:t>
      </w:r>
      <w:r w:rsidRPr="699AAC6F">
        <w:rPr>
          <w:rFonts w:eastAsia="Times New Roman"/>
          <w:lang w:eastAsia="en-GB"/>
        </w:rPr>
        <w:t xml:space="preserve">for </w:t>
      </w:r>
      <w:r w:rsidRPr="001E110A">
        <w:rPr>
          <w:rFonts w:eastAsia="Times New Roman"/>
          <w:lang w:eastAsia="en-GB"/>
        </w:rPr>
        <w:t xml:space="preserve">which a joint clinical assessment report has been published pursuant to Article 12(4) Regulation (EU) 2021/2282 of the European Parliament and the Council </w:t>
      </w:r>
      <w:r>
        <w:rPr>
          <w:rStyle w:val="FootnoteReference"/>
        </w:rPr>
        <w:footnoteReference w:id="96"/>
      </w:r>
      <w:r w:rsidRPr="001E110A">
        <w:rPr>
          <w:rFonts w:eastAsia="Times New Roman"/>
          <w:lang w:eastAsia="en-GB"/>
        </w:rPr>
        <w:t>, or which have undergone a  clinical assessment</w:t>
      </w:r>
      <w:r>
        <w:rPr>
          <w:rFonts w:eastAsia="Times New Roman"/>
          <w:lang w:eastAsia="en-GB"/>
        </w:rPr>
        <w:t xml:space="preserve"> carried out</w:t>
      </w:r>
      <w:r w:rsidRPr="001E110A">
        <w:rPr>
          <w:rFonts w:eastAsia="Times New Roman"/>
          <w:lang w:eastAsia="en-GB"/>
        </w:rPr>
        <w:t xml:space="preserve"> under</w:t>
      </w:r>
      <w:r>
        <w:rPr>
          <w:rFonts w:eastAsia="Times New Roman"/>
          <w:lang w:eastAsia="en-GB"/>
        </w:rPr>
        <w:t xml:space="preserve"> the</w:t>
      </w:r>
      <w:r w:rsidRPr="001E110A">
        <w:rPr>
          <w:rFonts w:eastAsia="Times New Roman"/>
          <w:lang w:eastAsia="en-GB"/>
        </w:rPr>
        <w:t xml:space="preserve"> voluntary cooperation among Member States  as per Article 23(1) point (e) of that Regulation.</w:t>
      </w:r>
    </w:p>
    <w:p w14:paraId="50DEA742" w14:textId="77777777" w:rsidR="00917777" w:rsidRDefault="00917777" w:rsidP="00917777">
      <w:pPr>
        <w:pStyle w:val="Point0"/>
        <w:rPr>
          <w:lang w:eastAsia="en-GB"/>
        </w:rPr>
      </w:pPr>
      <w:r>
        <w:rPr>
          <w:rFonts w:eastAsia="Times New Roman"/>
          <w:lang w:eastAsia="en-GB"/>
        </w:rPr>
        <w:t>3.</w:t>
      </w:r>
      <w:r>
        <w:tab/>
      </w:r>
      <w:r w:rsidRPr="00E91D0A">
        <w:rPr>
          <w:lang w:eastAsia="en-GB"/>
        </w:rPr>
        <w:t xml:space="preserve">The </w:t>
      </w:r>
      <w:r>
        <w:rPr>
          <w:lang w:eastAsia="en-GB"/>
        </w:rPr>
        <w:t xml:space="preserve">Commission may decide to conduct the </w:t>
      </w:r>
      <w:r w:rsidRPr="00E91D0A">
        <w:rPr>
          <w:lang w:eastAsia="en-GB"/>
        </w:rPr>
        <w:t xml:space="preserve">joint </w:t>
      </w:r>
      <w:r>
        <w:rPr>
          <w:lang w:eastAsia="en-GB"/>
        </w:rPr>
        <w:t>procurement procedure if</w:t>
      </w:r>
      <w:r w:rsidRPr="00E91D0A">
        <w:rPr>
          <w:lang w:eastAsia="en-GB"/>
        </w:rPr>
        <w:t xml:space="preserve"> </w:t>
      </w:r>
      <w:r w:rsidRPr="383DE454">
        <w:rPr>
          <w:lang w:eastAsia="en-GB"/>
        </w:rPr>
        <w:t xml:space="preserve">the </w:t>
      </w:r>
      <w:r w:rsidRPr="00E91D0A">
        <w:rPr>
          <w:lang w:eastAsia="en-GB"/>
        </w:rPr>
        <w:t>procurement procedure help</w:t>
      </w:r>
      <w:r>
        <w:rPr>
          <w:lang w:eastAsia="en-GB"/>
        </w:rPr>
        <w:t>s</w:t>
      </w:r>
      <w:r w:rsidRPr="00E91D0A">
        <w:rPr>
          <w:lang w:eastAsia="en-GB"/>
        </w:rPr>
        <w:t xml:space="preserve"> to improve the security of supply and availability of critical medicinal products in the Union or ensure </w:t>
      </w:r>
      <w:r>
        <w:rPr>
          <w:lang w:eastAsia="en-GB"/>
        </w:rPr>
        <w:t xml:space="preserve">the </w:t>
      </w:r>
      <w:r w:rsidRPr="00E91D0A">
        <w:rPr>
          <w:lang w:eastAsia="en-GB"/>
        </w:rPr>
        <w:t>availability and accessibility of medicinal products of common interest, as applicable.</w:t>
      </w:r>
    </w:p>
    <w:p w14:paraId="08C3806C" w14:textId="77777777" w:rsidR="00917777" w:rsidRPr="001E110A" w:rsidRDefault="00917777" w:rsidP="00917777">
      <w:pPr>
        <w:pStyle w:val="Point0"/>
        <w:rPr>
          <w:lang w:eastAsia="en-GB"/>
        </w:rPr>
      </w:pPr>
      <w:r>
        <w:rPr>
          <w:rFonts w:eastAsia="Times New Roman"/>
          <w:lang w:eastAsia="en-GB"/>
        </w:rPr>
        <w:t>4.</w:t>
      </w:r>
      <w:r>
        <w:rPr>
          <w:rFonts w:eastAsia="Times New Roman"/>
          <w:lang w:eastAsia="en-GB"/>
        </w:rPr>
        <w:tab/>
        <w:t xml:space="preserve">The participation in the procurement procedure shall be open to all Member States. The Commission shall inform all Member </w:t>
      </w:r>
      <w:r w:rsidRPr="2D1654EB">
        <w:rPr>
          <w:rFonts w:eastAsia="Times New Roman"/>
          <w:lang w:eastAsia="en-GB"/>
        </w:rPr>
        <w:t>S</w:t>
      </w:r>
      <w:r>
        <w:rPr>
          <w:rFonts w:eastAsia="Times New Roman"/>
          <w:lang w:eastAsia="en-GB"/>
        </w:rPr>
        <w:t xml:space="preserve">tates of the request through the Critical Medicines Group and invite them to join the procedure. </w:t>
      </w:r>
    </w:p>
    <w:p w14:paraId="4F2262DC" w14:textId="77777777" w:rsidR="00917777" w:rsidRDefault="00917777" w:rsidP="00917777">
      <w:pPr>
        <w:pStyle w:val="Point0"/>
        <w:rPr>
          <w:rFonts w:eastAsia="Times New Roman"/>
          <w:lang w:eastAsia="en-GB"/>
        </w:rPr>
      </w:pPr>
      <w:r>
        <w:rPr>
          <w:rFonts w:eastAsia="Times New Roman"/>
          <w:lang w:eastAsia="en-GB"/>
        </w:rPr>
        <w:t>5.</w:t>
      </w:r>
      <w:r>
        <w:rPr>
          <w:rFonts w:eastAsia="Times New Roman"/>
          <w:lang w:eastAsia="en-GB"/>
        </w:rPr>
        <w:tab/>
        <w:t xml:space="preserve">The Commission shall assess the necessity of a joint action and whether the request is justified in light of the objectives of this Regulation. The Commission shall in particular verify whether the procurement could constitute discrimination or restriction to trade or a distortion to competition. </w:t>
      </w:r>
    </w:p>
    <w:p w14:paraId="75377187" w14:textId="76DCF68D" w:rsidR="00917777" w:rsidRDefault="00917777" w:rsidP="00917777">
      <w:pPr>
        <w:pStyle w:val="Point0"/>
        <w:rPr>
          <w:rFonts w:eastAsia="Times New Roman"/>
          <w:lang w:eastAsia="en-GB"/>
        </w:rPr>
      </w:pPr>
      <w:r w:rsidRPr="6A61AFA6">
        <w:rPr>
          <w:rFonts w:eastAsia="Times New Roman"/>
          <w:lang w:eastAsia="en-GB"/>
        </w:rPr>
        <w:t>6.</w:t>
      </w:r>
      <w:r>
        <w:tab/>
      </w:r>
      <w:r w:rsidR="00601120" w:rsidRPr="00BE0E86">
        <w:rPr>
          <w:rFonts w:eastAsia="Times New Roman"/>
          <w:lang w:eastAsia="en-GB"/>
        </w:rPr>
        <w:t xml:space="preserve">If in light of the Commission assessment, it is necessary, in order to achieve the objectives of this Regulation, to conduct the procurement as exclusive for the Member States </w:t>
      </w:r>
      <w:r w:rsidR="00601120">
        <w:rPr>
          <w:rFonts w:eastAsia="Times New Roman"/>
          <w:lang w:eastAsia="en-GB"/>
        </w:rPr>
        <w:t xml:space="preserve">or </w:t>
      </w:r>
      <w:r w:rsidR="00601120" w:rsidRPr="00BE0E86">
        <w:rPr>
          <w:rFonts w:eastAsia="Times New Roman"/>
          <w:lang w:eastAsia="en-GB"/>
        </w:rPr>
        <w:t>to agree to minimum binding quantities, the Commission agreement to pursue the procedure may be conditioned upon acceptance of these conditions by interested Member States.</w:t>
      </w:r>
      <w:r w:rsidRPr="6A61AFA6">
        <w:rPr>
          <w:rFonts w:eastAsia="Times New Roman"/>
          <w:lang w:eastAsia="en-GB"/>
        </w:rPr>
        <w:t xml:space="preserve"> </w:t>
      </w:r>
    </w:p>
    <w:p w14:paraId="3EF03E9E" w14:textId="39FFF73D" w:rsidR="009F2CDA" w:rsidRDefault="009F2CDA" w:rsidP="00917777">
      <w:pPr>
        <w:pStyle w:val="Point0"/>
        <w:rPr>
          <w:rFonts w:eastAsia="Times New Roman"/>
          <w:lang w:eastAsia="en-GB"/>
        </w:rPr>
      </w:pPr>
      <w:r>
        <w:rPr>
          <w:rFonts w:eastAsia="Times New Roman"/>
          <w:lang w:eastAsia="en-GB"/>
        </w:rPr>
        <w:t>7.</w:t>
      </w:r>
      <w:r>
        <w:rPr>
          <w:rFonts w:eastAsia="Times New Roman"/>
          <w:lang w:eastAsia="en-GB"/>
        </w:rPr>
        <w:tab/>
      </w:r>
      <w:r w:rsidR="00601120" w:rsidRPr="6A61AFA6">
        <w:rPr>
          <w:rFonts w:eastAsia="Times New Roman"/>
          <w:lang w:eastAsia="en-GB"/>
        </w:rPr>
        <w:t xml:space="preserve">The Commission shall inform the interested Member States within </w:t>
      </w:r>
      <w:r w:rsidR="00601120" w:rsidRPr="00BE0E86">
        <w:rPr>
          <w:rFonts w:eastAsia="Times New Roman"/>
          <w:lang w:eastAsia="en-GB"/>
        </w:rPr>
        <w:t>one month</w:t>
      </w:r>
      <w:r w:rsidR="00601120" w:rsidRPr="6A61AFA6">
        <w:rPr>
          <w:rFonts w:eastAsia="Times New Roman"/>
          <w:lang w:eastAsia="en-GB"/>
        </w:rPr>
        <w:t xml:space="preserve"> of the request of its decision and state its reasons in case of a refusal.</w:t>
      </w:r>
    </w:p>
    <w:p w14:paraId="6B0B3F8D" w14:textId="47A81284" w:rsidR="00917777" w:rsidRPr="001E110A" w:rsidRDefault="009F2CDA" w:rsidP="00917777">
      <w:pPr>
        <w:pStyle w:val="Point0"/>
        <w:rPr>
          <w:rFonts w:eastAsia="Times New Roman"/>
          <w:lang w:eastAsia="en-GB"/>
        </w:rPr>
      </w:pPr>
      <w:r>
        <w:rPr>
          <w:rFonts w:eastAsia="Times New Roman"/>
          <w:lang w:eastAsia="en-GB"/>
        </w:rPr>
        <w:t>8</w:t>
      </w:r>
      <w:r w:rsidR="00917777">
        <w:rPr>
          <w:rFonts w:eastAsia="Times New Roman"/>
          <w:lang w:eastAsia="en-GB"/>
        </w:rPr>
        <w:t>.</w:t>
      </w:r>
      <w:r w:rsidR="00917777">
        <w:rPr>
          <w:rFonts w:eastAsia="Times New Roman"/>
          <w:lang w:eastAsia="en-GB"/>
        </w:rPr>
        <w:tab/>
        <w:t xml:space="preserve">Except for the derogations provided for in this Regulation, the joint </w:t>
      </w:r>
      <w:r w:rsidR="00917777" w:rsidRPr="001E110A">
        <w:rPr>
          <w:rFonts w:eastAsia="Times New Roman"/>
          <w:lang w:eastAsia="en-GB"/>
        </w:rPr>
        <w:t xml:space="preserve">procurement </w:t>
      </w:r>
      <w:r w:rsidR="00917777">
        <w:rPr>
          <w:rFonts w:eastAsia="Times New Roman"/>
          <w:lang w:eastAsia="en-GB"/>
        </w:rPr>
        <w:t xml:space="preserve">procedure </w:t>
      </w:r>
      <w:r w:rsidR="00917777" w:rsidRPr="001E110A">
        <w:rPr>
          <w:rFonts w:eastAsia="Times New Roman"/>
          <w:lang w:eastAsia="en-GB"/>
        </w:rPr>
        <w:t>shall be carried out by the Commission in accordance with Article 168 (2) of Regulation (EU, Euratom) 2024/2509</w:t>
      </w:r>
      <w:r w:rsidR="00917777">
        <w:rPr>
          <w:rFonts w:eastAsia="Times New Roman"/>
          <w:lang w:eastAsia="en-GB"/>
        </w:rPr>
        <w:t xml:space="preserve">. </w:t>
      </w:r>
    </w:p>
    <w:p w14:paraId="2991F9A3" w14:textId="77777777" w:rsidR="00917777" w:rsidRPr="001E110A" w:rsidRDefault="00917777" w:rsidP="00917777">
      <w:pPr>
        <w:pStyle w:val="Titrearticle"/>
        <w:rPr>
          <w:rFonts w:eastAsia="Times New Roman"/>
          <w:lang w:eastAsia="en-GB"/>
        </w:rPr>
      </w:pPr>
      <w:r w:rsidRPr="001E110A">
        <w:rPr>
          <w:rFonts w:eastAsia="Times New Roman"/>
          <w:lang w:eastAsia="en-GB"/>
        </w:rPr>
        <w:t>Article 2</w:t>
      </w:r>
      <w:r>
        <w:rPr>
          <w:rFonts w:eastAsia="Times New Roman"/>
          <w:lang w:eastAsia="en-GB"/>
        </w:rPr>
        <w:t>4</w:t>
      </w:r>
    </w:p>
    <w:p w14:paraId="6022ADF7" w14:textId="77777777" w:rsidR="00917777" w:rsidRPr="001E110A" w:rsidRDefault="00917777" w:rsidP="00917777">
      <w:pPr>
        <w:jc w:val="center"/>
        <w:rPr>
          <w:i/>
        </w:rPr>
      </w:pPr>
      <w:r w:rsidRPr="001E110A">
        <w:rPr>
          <w:i/>
        </w:rPr>
        <w:t>Agreement concerning procedures under Articles 2</w:t>
      </w:r>
      <w:r>
        <w:rPr>
          <w:i/>
        </w:rPr>
        <w:t>2</w:t>
      </w:r>
      <w:r w:rsidRPr="001E110A">
        <w:rPr>
          <w:i/>
        </w:rPr>
        <w:t xml:space="preserve"> and 2</w:t>
      </w:r>
      <w:r>
        <w:rPr>
          <w:i/>
        </w:rPr>
        <w:t>3</w:t>
      </w:r>
    </w:p>
    <w:p w14:paraId="2D78CF13" w14:textId="77777777" w:rsidR="00917777" w:rsidRPr="001E110A" w:rsidRDefault="00917777" w:rsidP="00917777">
      <w:pPr>
        <w:pStyle w:val="Point0"/>
        <w:rPr>
          <w:rFonts w:eastAsia="Times New Roman"/>
          <w:lang w:eastAsia="en-GB"/>
        </w:rPr>
      </w:pPr>
      <w:r>
        <w:rPr>
          <w:rFonts w:eastAsia="Times New Roman"/>
          <w:lang w:eastAsia="en-GB"/>
        </w:rPr>
        <w:t>1.</w:t>
      </w:r>
      <w:r>
        <w:rPr>
          <w:rFonts w:eastAsia="Times New Roman"/>
          <w:lang w:eastAsia="en-GB"/>
        </w:rPr>
        <w:tab/>
      </w:r>
      <w:r w:rsidRPr="001E110A">
        <w:rPr>
          <w:rFonts w:eastAsia="Times New Roman"/>
          <w:lang w:eastAsia="en-GB"/>
        </w:rPr>
        <w:t>Member States participating in the procurement procedures covered by Articles 2</w:t>
      </w:r>
      <w:r>
        <w:rPr>
          <w:rFonts w:eastAsia="Times New Roman"/>
          <w:lang w:eastAsia="en-GB"/>
        </w:rPr>
        <w:t>2</w:t>
      </w:r>
      <w:r w:rsidRPr="001E110A">
        <w:rPr>
          <w:rFonts w:eastAsia="Times New Roman"/>
          <w:lang w:eastAsia="en-GB"/>
        </w:rPr>
        <w:t xml:space="preserve"> and 2</w:t>
      </w:r>
      <w:r>
        <w:rPr>
          <w:rFonts w:eastAsia="Times New Roman"/>
          <w:lang w:eastAsia="en-GB"/>
        </w:rPr>
        <w:t>3</w:t>
      </w:r>
      <w:r w:rsidRPr="001E110A">
        <w:rPr>
          <w:rFonts w:eastAsia="Times New Roman"/>
          <w:lang w:eastAsia="en-GB"/>
        </w:rPr>
        <w:t xml:space="preserve"> shall share with the Commission any information relevant for the procurement procedure. Member States shall provide resources necessary for the successful conclusion of the procedure, in particular through involvement of staff with expertise and knowledge.</w:t>
      </w:r>
    </w:p>
    <w:p w14:paraId="0EACC66D" w14:textId="77777777" w:rsidR="00917777" w:rsidRDefault="00917777" w:rsidP="00917777">
      <w:pPr>
        <w:pStyle w:val="Point0"/>
        <w:rPr>
          <w:rFonts w:eastAsia="Times New Roman"/>
          <w:szCs w:val="24"/>
          <w:lang w:eastAsia="en-GB"/>
        </w:rPr>
      </w:pPr>
      <w:r>
        <w:rPr>
          <w:rFonts w:eastAsia="Times New Roman"/>
          <w:lang w:eastAsia="en-GB"/>
        </w:rPr>
        <w:t>2.</w:t>
      </w:r>
      <w:r>
        <w:rPr>
          <w:rFonts w:eastAsia="Times New Roman"/>
          <w:lang w:eastAsia="en-GB"/>
        </w:rPr>
        <w:tab/>
        <w:t>An</w:t>
      </w:r>
      <w:r w:rsidRPr="001E110A">
        <w:rPr>
          <w:rFonts w:eastAsia="Times New Roman"/>
          <w:lang w:eastAsia="en-GB"/>
        </w:rPr>
        <w:t xml:space="preserve"> agreement between the Member States </w:t>
      </w:r>
      <w:r>
        <w:rPr>
          <w:rFonts w:eastAsia="Times New Roman"/>
          <w:lang w:eastAsia="en-GB"/>
        </w:rPr>
        <w:t xml:space="preserve">and the Commission </w:t>
      </w:r>
      <w:r w:rsidRPr="001E110A">
        <w:rPr>
          <w:rFonts w:eastAsia="Times New Roman"/>
          <w:lang w:eastAsia="en-GB"/>
        </w:rPr>
        <w:t>shall determine the practical arrangements governing the procurement procedure</w:t>
      </w:r>
      <w:r>
        <w:rPr>
          <w:color w:val="333333"/>
          <w:sz w:val="27"/>
          <w:szCs w:val="27"/>
          <w:shd w:val="clear" w:color="auto" w:fill="FFFFFF"/>
        </w:rPr>
        <w:t>,</w:t>
      </w:r>
      <w:r w:rsidRPr="00BE1419">
        <w:rPr>
          <w:color w:val="333333"/>
          <w:szCs w:val="24"/>
          <w:shd w:val="clear" w:color="auto" w:fill="FFFFFF"/>
        </w:rPr>
        <w:t xml:space="preserve"> liabilities to be assumed</w:t>
      </w:r>
      <w:r w:rsidRPr="001E110A">
        <w:rPr>
          <w:rFonts w:eastAsia="Times New Roman"/>
          <w:szCs w:val="24"/>
          <w:lang w:eastAsia="en-GB"/>
        </w:rPr>
        <w:t xml:space="preserve"> and the decision-making process.</w:t>
      </w:r>
      <w:r>
        <w:rPr>
          <w:rFonts w:eastAsia="Times New Roman"/>
          <w:szCs w:val="24"/>
          <w:lang w:eastAsia="en-GB"/>
        </w:rPr>
        <w:t xml:space="preserve"> </w:t>
      </w:r>
    </w:p>
    <w:p w14:paraId="1544F1C2" w14:textId="77777777" w:rsidR="00917777" w:rsidRPr="001E110A" w:rsidRDefault="00917777" w:rsidP="00B0454E">
      <w:pPr>
        <w:rPr>
          <w:lang w:eastAsia="en-GB"/>
        </w:rPr>
      </w:pPr>
    </w:p>
    <w:p w14:paraId="10FB4EC2" w14:textId="77777777" w:rsidR="00917777" w:rsidRPr="001E110A" w:rsidRDefault="00917777" w:rsidP="00917777">
      <w:pPr>
        <w:pStyle w:val="ChapterTitle"/>
        <w:rPr>
          <w:b w:val="0"/>
        </w:rPr>
      </w:pPr>
      <w:r w:rsidRPr="001E110A">
        <w:t>Chapter V</w:t>
      </w:r>
      <w:r>
        <w:br/>
      </w:r>
      <w:r w:rsidRPr="001E110A">
        <w:t xml:space="preserve">Critical Medicines Coordination Group </w:t>
      </w:r>
    </w:p>
    <w:p w14:paraId="1409338F" w14:textId="77777777" w:rsidR="00917777" w:rsidRPr="001E110A" w:rsidRDefault="00917777" w:rsidP="00917777">
      <w:pPr>
        <w:pStyle w:val="Titrearticle"/>
      </w:pPr>
      <w:r w:rsidRPr="001E110A">
        <w:t>Article 2</w:t>
      </w:r>
      <w:r>
        <w:t>5</w:t>
      </w:r>
    </w:p>
    <w:p w14:paraId="400BA893" w14:textId="77777777" w:rsidR="00917777" w:rsidRPr="001E110A" w:rsidRDefault="00917777" w:rsidP="00917777">
      <w:pPr>
        <w:jc w:val="center"/>
        <w:rPr>
          <w:i/>
        </w:rPr>
      </w:pPr>
      <w:r w:rsidRPr="001E110A">
        <w:rPr>
          <w:i/>
        </w:rPr>
        <w:t>Establishment of Critical Medicines Coordination Group</w:t>
      </w:r>
    </w:p>
    <w:p w14:paraId="1A4EEF03" w14:textId="77777777" w:rsidR="00917777" w:rsidRDefault="00917777" w:rsidP="00917777">
      <w:pPr>
        <w:pStyle w:val="Point0"/>
        <w:ind w:left="720" w:hanging="720"/>
      </w:pPr>
      <w:r>
        <w:rPr>
          <w:rFonts w:eastAsia="Times New Roman"/>
          <w:lang w:eastAsia="en-GB"/>
        </w:rPr>
        <w:t>1.</w:t>
      </w:r>
      <w:r>
        <w:rPr>
          <w:rFonts w:eastAsia="Times New Roman"/>
          <w:lang w:eastAsia="en-GB"/>
        </w:rPr>
        <w:tab/>
      </w:r>
      <w:r w:rsidRPr="001E110A">
        <w:rPr>
          <w:rFonts w:eastAsia="Times New Roman"/>
          <w:lang w:eastAsia="en-GB"/>
        </w:rPr>
        <w:t>A Critical Medicines Coordination Group (‘Critical Medicines Group</w:t>
      </w:r>
      <w:r>
        <w:rPr>
          <w:rFonts w:eastAsia="Times New Roman"/>
          <w:lang w:eastAsia="en-GB"/>
        </w:rPr>
        <w:t>’</w:t>
      </w:r>
      <w:r w:rsidRPr="001E110A">
        <w:rPr>
          <w:rFonts w:eastAsia="Times New Roman"/>
          <w:lang w:eastAsia="en-GB"/>
        </w:rPr>
        <w:t xml:space="preserve">) is hereby established.  </w:t>
      </w:r>
    </w:p>
    <w:p w14:paraId="6134173C" w14:textId="7269B632" w:rsidR="00917777" w:rsidRDefault="00917777" w:rsidP="00917777">
      <w:pPr>
        <w:pStyle w:val="Point0"/>
        <w:ind w:left="720" w:hanging="720"/>
        <w:rPr>
          <w:rFonts w:eastAsia="Times New Roman"/>
          <w:lang w:eastAsia="en-GB"/>
        </w:rPr>
      </w:pPr>
      <w:r>
        <w:t>2.</w:t>
      </w:r>
      <w:r>
        <w:tab/>
      </w:r>
      <w:r w:rsidRPr="00317C40">
        <w:t xml:space="preserve">The Member States and the Commission are Members of the Critical Medicines </w:t>
      </w:r>
      <w:r w:rsidRPr="00921E54">
        <w:t xml:space="preserve">Group. </w:t>
      </w:r>
      <w:r w:rsidRPr="00921E54">
        <w:rPr>
          <w:rFonts w:eastAsia="Times New Roman"/>
          <w:lang w:eastAsia="en-GB"/>
        </w:rPr>
        <w:t>Each Member State shall appoint a maximum of two high-level permanent representatives, with the expertise relevant</w:t>
      </w:r>
      <w:r w:rsidRPr="03A20D9D">
        <w:rPr>
          <w:rFonts w:eastAsia="Times New Roman"/>
          <w:lang w:eastAsia="en-GB"/>
        </w:rPr>
        <w:t xml:space="preserve"> for implement</w:t>
      </w:r>
      <w:r w:rsidR="00EC3002">
        <w:rPr>
          <w:rFonts w:eastAsia="Times New Roman"/>
          <w:lang w:eastAsia="en-GB"/>
        </w:rPr>
        <w:t xml:space="preserve">ing </w:t>
      </w:r>
      <w:r w:rsidR="00803DB0">
        <w:rPr>
          <w:rFonts w:eastAsia="Times New Roman"/>
          <w:lang w:eastAsia="en-GB"/>
        </w:rPr>
        <w:t xml:space="preserve">all </w:t>
      </w:r>
      <w:r w:rsidRPr="03A20D9D">
        <w:rPr>
          <w:rFonts w:eastAsia="Times New Roman"/>
          <w:lang w:eastAsia="en-GB"/>
        </w:rPr>
        <w:t xml:space="preserve">the </w:t>
      </w:r>
      <w:r w:rsidR="006303BC">
        <w:rPr>
          <w:rFonts w:eastAsia="Times New Roman"/>
          <w:lang w:eastAsia="en-GB"/>
        </w:rPr>
        <w:t xml:space="preserve">different </w:t>
      </w:r>
      <w:r w:rsidRPr="03A20D9D">
        <w:rPr>
          <w:rFonts w:eastAsia="Times New Roman"/>
          <w:lang w:eastAsia="en-GB"/>
        </w:rPr>
        <w:t xml:space="preserve">measures set out in this Regulation. Where relevant as regards the function and expertise, Member States may appoint different representatives in relation </w:t>
      </w:r>
      <w:r>
        <w:rPr>
          <w:rFonts w:eastAsia="Times New Roman"/>
          <w:lang w:eastAsia="en-GB"/>
        </w:rPr>
        <w:t>to</w:t>
      </w:r>
      <w:r w:rsidRPr="03A20D9D">
        <w:rPr>
          <w:rFonts w:eastAsia="Times New Roman"/>
          <w:lang w:eastAsia="en-GB"/>
        </w:rPr>
        <w:t xml:space="preserve"> different tasks of the C</w:t>
      </w:r>
      <w:r>
        <w:rPr>
          <w:rFonts w:eastAsia="Times New Roman"/>
          <w:lang w:eastAsia="en-GB"/>
        </w:rPr>
        <w:t xml:space="preserve">ritical </w:t>
      </w:r>
      <w:r w:rsidRPr="03A20D9D">
        <w:rPr>
          <w:rFonts w:eastAsia="Times New Roman"/>
          <w:lang w:eastAsia="en-GB"/>
        </w:rPr>
        <w:t>M</w:t>
      </w:r>
      <w:r>
        <w:rPr>
          <w:rFonts w:eastAsia="Times New Roman"/>
          <w:lang w:eastAsia="en-GB"/>
        </w:rPr>
        <w:t xml:space="preserve">edicines </w:t>
      </w:r>
      <w:r w:rsidRPr="03A20D9D">
        <w:rPr>
          <w:rFonts w:eastAsia="Times New Roman"/>
          <w:lang w:eastAsia="en-GB"/>
        </w:rPr>
        <w:t>G</w:t>
      </w:r>
      <w:r>
        <w:rPr>
          <w:rFonts w:eastAsia="Times New Roman"/>
          <w:lang w:eastAsia="en-GB"/>
        </w:rPr>
        <w:t>roup</w:t>
      </w:r>
      <w:r w:rsidRPr="03A20D9D">
        <w:rPr>
          <w:rFonts w:eastAsia="Times New Roman"/>
          <w:lang w:eastAsia="en-GB"/>
        </w:rPr>
        <w:t xml:space="preserve">. Appointed permanent representatives shall ensure </w:t>
      </w:r>
      <w:r>
        <w:rPr>
          <w:rFonts w:eastAsia="Times New Roman"/>
          <w:lang w:eastAsia="en-GB"/>
        </w:rPr>
        <w:t xml:space="preserve">the necessary </w:t>
      </w:r>
      <w:r w:rsidRPr="03A20D9D">
        <w:rPr>
          <w:rFonts w:eastAsia="Times New Roman"/>
          <w:lang w:eastAsia="en-GB"/>
        </w:rPr>
        <w:t xml:space="preserve">coordination </w:t>
      </w:r>
      <w:r>
        <w:rPr>
          <w:rFonts w:eastAsia="Times New Roman"/>
          <w:lang w:eastAsia="en-GB"/>
        </w:rPr>
        <w:t>within their respective Member State</w:t>
      </w:r>
      <w:r w:rsidRPr="03A20D9D">
        <w:rPr>
          <w:rFonts w:eastAsia="Times New Roman"/>
          <w:lang w:eastAsia="en-GB"/>
        </w:rPr>
        <w:t>. The Agency shall have an observer status.</w:t>
      </w:r>
      <w:r>
        <w:rPr>
          <w:rFonts w:eastAsia="Times New Roman"/>
          <w:lang w:eastAsia="en-GB"/>
        </w:rPr>
        <w:t xml:space="preserve"> </w:t>
      </w:r>
    </w:p>
    <w:p w14:paraId="266C4E23" w14:textId="77777777" w:rsidR="00917777" w:rsidRPr="00FD0CBC" w:rsidRDefault="00917777" w:rsidP="00917777">
      <w:pPr>
        <w:pStyle w:val="Point0"/>
        <w:ind w:left="720" w:hanging="720"/>
        <w:rPr>
          <w:rFonts w:eastAsia="Times New Roman"/>
          <w:lang w:eastAsia="en-GB"/>
        </w:rPr>
      </w:pPr>
      <w:r>
        <w:rPr>
          <w:rFonts w:eastAsia="Times New Roman"/>
          <w:lang w:eastAsia="en-GB"/>
        </w:rPr>
        <w:t>3.</w:t>
      </w:r>
      <w:r>
        <w:rPr>
          <w:rFonts w:eastAsia="Times New Roman"/>
          <w:lang w:eastAsia="en-GB"/>
        </w:rPr>
        <w:tab/>
      </w:r>
      <w:r w:rsidRPr="001E110A">
        <w:rPr>
          <w:rFonts w:eastAsia="Times New Roman"/>
          <w:lang w:eastAsia="en-GB"/>
        </w:rPr>
        <w:t>The C</w:t>
      </w:r>
      <w:r>
        <w:rPr>
          <w:rFonts w:eastAsia="Times New Roman"/>
          <w:lang w:eastAsia="en-GB"/>
        </w:rPr>
        <w:t xml:space="preserve">ritical </w:t>
      </w:r>
      <w:r w:rsidRPr="001E110A">
        <w:rPr>
          <w:rFonts w:eastAsia="Times New Roman"/>
          <w:lang w:eastAsia="en-GB"/>
        </w:rPr>
        <w:t>M</w:t>
      </w:r>
      <w:r>
        <w:rPr>
          <w:rFonts w:eastAsia="Times New Roman"/>
          <w:lang w:eastAsia="en-GB"/>
        </w:rPr>
        <w:t xml:space="preserve">edicines </w:t>
      </w:r>
      <w:r w:rsidRPr="001E110A">
        <w:rPr>
          <w:rFonts w:eastAsia="Times New Roman"/>
          <w:lang w:eastAsia="en-GB"/>
        </w:rPr>
        <w:t>G</w:t>
      </w:r>
      <w:r>
        <w:rPr>
          <w:rFonts w:eastAsia="Times New Roman"/>
          <w:lang w:eastAsia="en-GB"/>
        </w:rPr>
        <w:t>roup</w:t>
      </w:r>
      <w:r w:rsidRPr="001E110A">
        <w:rPr>
          <w:rFonts w:eastAsia="Times New Roman"/>
          <w:lang w:eastAsia="en-GB"/>
        </w:rPr>
        <w:t xml:space="preserve"> shall work closely with the MSSG, the Agency, and national authorities responsible for medicinal products. For discussions where input from the medicines regulatory authorities’ perspective is necessary, the C</w:t>
      </w:r>
      <w:r>
        <w:rPr>
          <w:rFonts w:eastAsia="Times New Roman"/>
          <w:lang w:eastAsia="en-GB"/>
        </w:rPr>
        <w:t xml:space="preserve">ritical </w:t>
      </w:r>
      <w:r w:rsidRPr="001E110A">
        <w:rPr>
          <w:rFonts w:eastAsia="Times New Roman"/>
          <w:lang w:eastAsia="en-GB"/>
        </w:rPr>
        <w:t>M</w:t>
      </w:r>
      <w:r>
        <w:rPr>
          <w:rFonts w:eastAsia="Times New Roman"/>
          <w:lang w:eastAsia="en-GB"/>
        </w:rPr>
        <w:t xml:space="preserve">edicines </w:t>
      </w:r>
      <w:r w:rsidRPr="001E110A">
        <w:rPr>
          <w:rFonts w:eastAsia="Times New Roman"/>
          <w:lang w:eastAsia="en-GB"/>
        </w:rPr>
        <w:t>G</w:t>
      </w:r>
      <w:r>
        <w:rPr>
          <w:rFonts w:eastAsia="Times New Roman"/>
          <w:lang w:eastAsia="en-GB"/>
        </w:rPr>
        <w:t>roup</w:t>
      </w:r>
      <w:r w:rsidRPr="00FD0CBC">
        <w:rPr>
          <w:rFonts w:eastAsia="Times New Roman"/>
          <w:lang w:eastAsia="en-GB"/>
        </w:rPr>
        <w:t xml:space="preserve"> may organise joint meetings with the MSSG. </w:t>
      </w:r>
    </w:p>
    <w:p w14:paraId="23FE596D" w14:textId="77777777" w:rsidR="00917777" w:rsidRPr="001E110A" w:rsidRDefault="00917777" w:rsidP="00A302E2">
      <w:pPr>
        <w:pStyle w:val="Point0"/>
        <w:ind w:left="720" w:hanging="720"/>
        <w:rPr>
          <w:rFonts w:eastAsia="Times New Roman"/>
          <w:lang w:eastAsia="en-GB"/>
        </w:rPr>
      </w:pPr>
      <w:r>
        <w:rPr>
          <w:rFonts w:eastAsia="Times New Roman"/>
          <w:lang w:eastAsia="en-GB"/>
        </w:rPr>
        <w:t>4.</w:t>
      </w:r>
      <w:r>
        <w:rPr>
          <w:rFonts w:eastAsia="Times New Roman"/>
          <w:lang w:eastAsia="en-GB"/>
        </w:rPr>
        <w:tab/>
      </w:r>
      <w:r w:rsidRPr="001E110A">
        <w:rPr>
          <w:rFonts w:eastAsia="Times New Roman"/>
          <w:lang w:eastAsia="en-GB"/>
        </w:rPr>
        <w:t xml:space="preserve">The Commission shall </w:t>
      </w:r>
      <w:r>
        <w:rPr>
          <w:rFonts w:eastAsia="Times New Roman"/>
          <w:lang w:eastAsia="en-GB"/>
        </w:rPr>
        <w:t>organise and coordinate the work of the Critical Medicines Group by means of</w:t>
      </w:r>
      <w:r w:rsidRPr="001E110A">
        <w:rPr>
          <w:rFonts w:eastAsia="Times New Roman"/>
          <w:lang w:eastAsia="en-GB"/>
        </w:rPr>
        <w:t xml:space="preserve"> the </w:t>
      </w:r>
      <w:r>
        <w:rPr>
          <w:rFonts w:eastAsia="Times New Roman"/>
          <w:lang w:eastAsia="en-GB"/>
        </w:rPr>
        <w:t>S</w:t>
      </w:r>
      <w:r w:rsidRPr="001E110A">
        <w:rPr>
          <w:rFonts w:eastAsia="Times New Roman"/>
          <w:lang w:eastAsia="en-GB"/>
        </w:rPr>
        <w:t>ecretariat.</w:t>
      </w:r>
    </w:p>
    <w:p w14:paraId="6FB973BA" w14:textId="77777777" w:rsidR="00917777" w:rsidRPr="001E110A" w:rsidRDefault="00917777" w:rsidP="00A302E2">
      <w:pPr>
        <w:pStyle w:val="Point0"/>
        <w:ind w:left="720" w:hanging="720"/>
        <w:rPr>
          <w:rFonts w:eastAsia="Times New Roman"/>
          <w:lang w:eastAsia="en-GB"/>
        </w:rPr>
      </w:pPr>
      <w:r>
        <w:rPr>
          <w:rFonts w:eastAsia="Times New Roman"/>
          <w:lang w:eastAsia="en-GB"/>
        </w:rPr>
        <w:t>5.</w:t>
      </w:r>
      <w:r>
        <w:rPr>
          <w:rFonts w:eastAsia="Times New Roman"/>
          <w:lang w:eastAsia="en-GB"/>
        </w:rPr>
        <w:tab/>
      </w:r>
      <w:r w:rsidRPr="001E110A">
        <w:rPr>
          <w:rFonts w:eastAsia="Times New Roman"/>
          <w:lang w:eastAsia="en-GB"/>
        </w:rPr>
        <w:t xml:space="preserve">A representative of the Commission </w:t>
      </w:r>
      <w:r>
        <w:rPr>
          <w:rFonts w:eastAsia="Times New Roman"/>
          <w:lang w:eastAsia="en-GB"/>
        </w:rPr>
        <w:t xml:space="preserve">shall </w:t>
      </w:r>
      <w:r w:rsidRPr="001E110A">
        <w:rPr>
          <w:rFonts w:eastAsia="Times New Roman"/>
          <w:lang w:eastAsia="en-GB"/>
        </w:rPr>
        <w:t>chair the meetings of the C</w:t>
      </w:r>
      <w:r>
        <w:rPr>
          <w:rFonts w:eastAsia="Times New Roman"/>
          <w:lang w:eastAsia="en-GB"/>
        </w:rPr>
        <w:t xml:space="preserve">ritical </w:t>
      </w:r>
      <w:r w:rsidRPr="001E110A">
        <w:rPr>
          <w:rFonts w:eastAsia="Times New Roman"/>
          <w:lang w:eastAsia="en-GB"/>
        </w:rPr>
        <w:t>M</w:t>
      </w:r>
      <w:r>
        <w:rPr>
          <w:rFonts w:eastAsia="Times New Roman"/>
          <w:lang w:eastAsia="en-GB"/>
        </w:rPr>
        <w:t xml:space="preserve">edicines </w:t>
      </w:r>
      <w:r w:rsidRPr="001E110A">
        <w:rPr>
          <w:rFonts w:eastAsia="Times New Roman"/>
          <w:lang w:eastAsia="en-GB"/>
        </w:rPr>
        <w:t>G</w:t>
      </w:r>
      <w:r>
        <w:rPr>
          <w:rFonts w:eastAsia="Times New Roman"/>
          <w:lang w:eastAsia="en-GB"/>
        </w:rPr>
        <w:t>roup</w:t>
      </w:r>
      <w:r w:rsidRPr="001E110A">
        <w:rPr>
          <w:rFonts w:eastAsia="Times New Roman"/>
          <w:lang w:eastAsia="en-GB"/>
        </w:rPr>
        <w:t xml:space="preserve">. </w:t>
      </w:r>
    </w:p>
    <w:p w14:paraId="38998B33" w14:textId="77777777" w:rsidR="00917777" w:rsidRPr="00A302E2" w:rsidRDefault="00917777" w:rsidP="00A302E2">
      <w:pPr>
        <w:pStyle w:val="Point0"/>
        <w:ind w:left="720" w:hanging="720"/>
        <w:rPr>
          <w:rFonts w:eastAsia="Times New Roman"/>
          <w:lang w:eastAsia="en-GB"/>
        </w:rPr>
      </w:pPr>
      <w:r>
        <w:rPr>
          <w:rFonts w:eastAsia="Times New Roman"/>
          <w:lang w:eastAsia="en-GB"/>
        </w:rPr>
        <w:t>6</w:t>
      </w:r>
      <w:r w:rsidRPr="2289E6F7">
        <w:rPr>
          <w:rFonts w:eastAsia="Times New Roman"/>
          <w:lang w:eastAsia="en-GB"/>
        </w:rPr>
        <w:t>.</w:t>
      </w:r>
      <w:r w:rsidRPr="00A302E2">
        <w:rPr>
          <w:rFonts w:eastAsia="Times New Roman"/>
          <w:lang w:eastAsia="en-GB"/>
        </w:rPr>
        <w:tab/>
        <w:t>The Critical Medicines Group, at the proposal of the Chair or any its members, may decide to establish a working group.</w:t>
      </w:r>
    </w:p>
    <w:p w14:paraId="757DFB44" w14:textId="740C118F" w:rsidR="00917777" w:rsidRPr="001E110A" w:rsidRDefault="00917777" w:rsidP="00A302E2">
      <w:pPr>
        <w:pStyle w:val="Point0"/>
        <w:ind w:left="720" w:hanging="720"/>
        <w:rPr>
          <w:rFonts w:eastAsia="Times New Roman"/>
          <w:lang w:eastAsia="en-GB"/>
        </w:rPr>
      </w:pPr>
      <w:r w:rsidRPr="00A302E2">
        <w:rPr>
          <w:rFonts w:eastAsia="Times New Roman"/>
          <w:lang w:eastAsia="en-GB"/>
        </w:rPr>
        <w:t>7.</w:t>
      </w:r>
      <w:r w:rsidRPr="00A302E2">
        <w:rPr>
          <w:rFonts w:eastAsia="Times New Roman"/>
          <w:lang w:eastAsia="en-GB"/>
        </w:rPr>
        <w:tab/>
      </w:r>
      <w:r w:rsidRPr="2289E6F7">
        <w:rPr>
          <w:rFonts w:eastAsia="Times New Roman"/>
          <w:lang w:eastAsia="en-GB"/>
        </w:rPr>
        <w:t>The C</w:t>
      </w:r>
      <w:r>
        <w:rPr>
          <w:rFonts w:eastAsia="Times New Roman"/>
          <w:lang w:eastAsia="en-GB"/>
        </w:rPr>
        <w:t xml:space="preserve">ritical </w:t>
      </w:r>
      <w:r w:rsidRPr="2289E6F7">
        <w:rPr>
          <w:rFonts w:eastAsia="Times New Roman"/>
          <w:lang w:eastAsia="en-GB"/>
        </w:rPr>
        <w:t>M</w:t>
      </w:r>
      <w:r>
        <w:rPr>
          <w:rFonts w:eastAsia="Times New Roman"/>
          <w:lang w:eastAsia="en-GB"/>
        </w:rPr>
        <w:t xml:space="preserve">edicines </w:t>
      </w:r>
      <w:r w:rsidRPr="2289E6F7">
        <w:rPr>
          <w:rFonts w:eastAsia="Times New Roman"/>
          <w:lang w:eastAsia="en-GB"/>
        </w:rPr>
        <w:t>G</w:t>
      </w:r>
      <w:r>
        <w:rPr>
          <w:rFonts w:eastAsia="Times New Roman"/>
          <w:lang w:eastAsia="en-GB"/>
        </w:rPr>
        <w:t>roup</w:t>
      </w:r>
      <w:r w:rsidRPr="2289E6F7">
        <w:rPr>
          <w:rFonts w:eastAsia="Times New Roman"/>
          <w:lang w:eastAsia="en-GB"/>
        </w:rPr>
        <w:t xml:space="preserve"> shall use its best endeavours to reach consensus</w:t>
      </w:r>
      <w:r w:rsidR="00A249FC">
        <w:rPr>
          <w:rFonts w:eastAsia="Times New Roman"/>
          <w:lang w:eastAsia="en-GB"/>
        </w:rPr>
        <w:t>, where possible</w:t>
      </w:r>
      <w:r w:rsidRPr="2289E6F7">
        <w:rPr>
          <w:rFonts w:eastAsia="Times New Roman"/>
          <w:lang w:eastAsia="en-GB"/>
        </w:rPr>
        <w:t>. Members with diverging positions may request that their positions and the grounds on which they are based be recorded in the C</w:t>
      </w:r>
      <w:r>
        <w:rPr>
          <w:rFonts w:eastAsia="Times New Roman"/>
          <w:lang w:eastAsia="en-GB"/>
        </w:rPr>
        <w:t>ritical Medicines Group</w:t>
      </w:r>
      <w:r w:rsidRPr="2289E6F7">
        <w:rPr>
          <w:rFonts w:eastAsia="Times New Roman"/>
          <w:lang w:eastAsia="en-GB"/>
        </w:rPr>
        <w:t>’s position.</w:t>
      </w:r>
    </w:p>
    <w:p w14:paraId="7D1D5470" w14:textId="77777777" w:rsidR="00917777" w:rsidRPr="001E110A" w:rsidRDefault="00917777" w:rsidP="00917777">
      <w:pPr>
        <w:pStyle w:val="Titrearticle"/>
      </w:pPr>
      <w:r w:rsidRPr="001E110A">
        <w:t>Article 2</w:t>
      </w:r>
      <w:r>
        <w:t>6</w:t>
      </w:r>
    </w:p>
    <w:p w14:paraId="693D4CE3" w14:textId="77777777" w:rsidR="00917777" w:rsidRPr="001E110A" w:rsidRDefault="00917777" w:rsidP="00917777">
      <w:pPr>
        <w:jc w:val="center"/>
      </w:pPr>
      <w:r w:rsidRPr="001E110A">
        <w:rPr>
          <w:i/>
        </w:rPr>
        <w:t>Tasks of the Critical Medicines Coordination Group</w:t>
      </w:r>
    </w:p>
    <w:p w14:paraId="6FBB9893" w14:textId="4E43ABC8" w:rsidR="00917777" w:rsidRPr="001E110A" w:rsidRDefault="00917777" w:rsidP="00917777">
      <w:pPr>
        <w:pStyle w:val="Point0"/>
        <w:rPr>
          <w:rFonts w:eastAsia="Times New Roman"/>
          <w:lang w:eastAsia="en-GB"/>
        </w:rPr>
      </w:pPr>
      <w:r w:rsidRPr="00F452B3">
        <w:rPr>
          <w:rFonts w:eastAsia="Times New Roman"/>
          <w:lang w:eastAsia="en-GB"/>
        </w:rPr>
        <w:t>1.</w:t>
      </w:r>
      <w:r w:rsidRPr="00F452B3">
        <w:rPr>
          <w:rFonts w:eastAsia="Times New Roman"/>
          <w:lang w:eastAsia="en-GB"/>
        </w:rPr>
        <w:tab/>
        <w:t>The Critical Medicines Group shall facilitate coordination in the implementation of this Regulation and</w:t>
      </w:r>
      <w:r w:rsidR="003516D8" w:rsidRPr="00F452B3">
        <w:rPr>
          <w:rFonts w:eastAsia="Times New Roman"/>
          <w:lang w:eastAsia="en-GB"/>
        </w:rPr>
        <w:t>,</w:t>
      </w:r>
      <w:r w:rsidR="002565CB" w:rsidRPr="00F452B3">
        <w:rPr>
          <w:rFonts w:eastAsia="Times New Roman"/>
          <w:lang w:eastAsia="en-GB"/>
        </w:rPr>
        <w:t xml:space="preserve"> </w:t>
      </w:r>
      <w:r w:rsidR="00434A26" w:rsidRPr="00F452B3">
        <w:rPr>
          <w:rFonts w:eastAsia="Times New Roman"/>
          <w:lang w:eastAsia="en-GB"/>
        </w:rPr>
        <w:t>where appropriate, advise</w:t>
      </w:r>
      <w:r w:rsidRPr="00F452B3">
        <w:rPr>
          <w:rFonts w:eastAsia="Times New Roman"/>
          <w:lang w:eastAsia="en-GB"/>
        </w:rPr>
        <w:t xml:space="preserve"> the Commission</w:t>
      </w:r>
      <w:r w:rsidR="00C422A2" w:rsidRPr="00F452B3">
        <w:rPr>
          <w:rFonts w:eastAsia="Times New Roman"/>
          <w:lang w:eastAsia="en-GB"/>
        </w:rPr>
        <w:t>,</w:t>
      </w:r>
      <w:r w:rsidRPr="00F452B3">
        <w:rPr>
          <w:rFonts w:eastAsia="Times New Roman"/>
          <w:lang w:eastAsia="en-GB"/>
        </w:rPr>
        <w:t xml:space="preserve"> so as to maximise the impact of the measures envisaged and to avoid any unintended effects on the internal market.</w:t>
      </w:r>
      <w:r>
        <w:rPr>
          <w:rFonts w:eastAsia="Times New Roman"/>
          <w:lang w:eastAsia="en-GB"/>
        </w:rPr>
        <w:t xml:space="preserve"> </w:t>
      </w:r>
    </w:p>
    <w:p w14:paraId="0AD91FC4" w14:textId="77777777" w:rsidR="00917777" w:rsidRPr="00BE0E86" w:rsidRDefault="00917777" w:rsidP="00917777">
      <w:pPr>
        <w:pStyle w:val="Point0"/>
        <w:rPr>
          <w:rFonts w:eastAsia="Times New Roman"/>
          <w:lang w:eastAsia="en-GB"/>
        </w:rPr>
      </w:pPr>
      <w:r>
        <w:rPr>
          <w:rFonts w:eastAsia="Times New Roman"/>
          <w:lang w:eastAsia="en-GB"/>
        </w:rPr>
        <w:t>2.</w:t>
      </w:r>
      <w:r>
        <w:rPr>
          <w:rFonts w:eastAsia="Times New Roman"/>
          <w:lang w:eastAsia="en-GB"/>
        </w:rPr>
        <w:tab/>
      </w:r>
      <w:r w:rsidRPr="001E110A">
        <w:rPr>
          <w:rFonts w:eastAsia="Times New Roman"/>
          <w:lang w:eastAsia="en-GB"/>
        </w:rPr>
        <w:t xml:space="preserve">In order to attain </w:t>
      </w:r>
      <w:r w:rsidRPr="00BE0E86">
        <w:rPr>
          <w:rFonts w:eastAsia="Times New Roman"/>
          <w:lang w:eastAsia="en-GB"/>
        </w:rPr>
        <w:t>the objectives referred to in paragraph 1, the Critical Medicines Group shall perform the following tasks:</w:t>
      </w:r>
    </w:p>
    <w:p w14:paraId="46A44618" w14:textId="77777777" w:rsidR="00917777" w:rsidRPr="00BE0E86" w:rsidRDefault="00917777" w:rsidP="00917777">
      <w:pPr>
        <w:pStyle w:val="Point1"/>
        <w:rPr>
          <w:lang w:eastAsia="en-GB"/>
        </w:rPr>
      </w:pPr>
      <w:r w:rsidRPr="00BE0E86">
        <w:rPr>
          <w:lang w:eastAsia="en-GB"/>
        </w:rPr>
        <w:t>(a)</w:t>
      </w:r>
      <w:r w:rsidRPr="00BE0E86">
        <w:rPr>
          <w:lang w:eastAsia="en-GB"/>
        </w:rPr>
        <w:tab/>
        <w:t>facilitate coordination on strategic orientation of the financial support for strategic projects, including by exchanging information on the manufacturing capacity for a given critical medicinal product, existing or planned, in the Member States and facilitate discussion on the capacity needed in the Union to strengthen its supply security and availability of critical medicinal products within the Union;</w:t>
      </w:r>
    </w:p>
    <w:p w14:paraId="2721E0C9" w14:textId="534AC662" w:rsidR="00917777" w:rsidRPr="001E110A" w:rsidRDefault="00917777" w:rsidP="00917777">
      <w:pPr>
        <w:pStyle w:val="Point1"/>
        <w:rPr>
          <w:rFonts w:eastAsia="Times New Roman"/>
          <w:lang w:eastAsia="en-GB"/>
        </w:rPr>
      </w:pPr>
      <w:r w:rsidRPr="00BE0E86">
        <w:rPr>
          <w:rFonts w:eastAsia="Times New Roman"/>
          <w:lang w:eastAsia="en-GB"/>
        </w:rPr>
        <w:t>(b)</w:t>
      </w:r>
      <w:r w:rsidRPr="00BE0E86">
        <w:rPr>
          <w:rFonts w:eastAsia="Times New Roman"/>
          <w:lang w:eastAsia="en-GB"/>
        </w:rPr>
        <w:tab/>
        <w:t xml:space="preserve">facilitate exchanges on </w:t>
      </w:r>
      <w:r w:rsidR="0097657C">
        <w:rPr>
          <w:rFonts w:eastAsia="Times New Roman"/>
          <w:lang w:eastAsia="en-GB"/>
        </w:rPr>
        <w:t xml:space="preserve">the </w:t>
      </w:r>
      <w:r w:rsidRPr="00BE0E86">
        <w:rPr>
          <w:rFonts w:eastAsia="Times New Roman"/>
          <w:lang w:eastAsia="en-GB"/>
        </w:rPr>
        <w:t xml:space="preserve">national programmes referred </w:t>
      </w:r>
      <w:r w:rsidR="0097657C">
        <w:rPr>
          <w:rFonts w:eastAsia="Times New Roman"/>
          <w:lang w:eastAsia="en-GB"/>
        </w:rPr>
        <w:t>to</w:t>
      </w:r>
      <w:r w:rsidRPr="00BE0E86">
        <w:rPr>
          <w:rFonts w:eastAsia="Times New Roman"/>
          <w:lang w:eastAsia="en-GB"/>
        </w:rPr>
        <w:t xml:space="preserve"> in Article 19 and enable cooperation on and</w:t>
      </w:r>
      <w:r w:rsidRPr="001E110A">
        <w:rPr>
          <w:rFonts w:eastAsia="Times New Roman"/>
          <w:lang w:eastAsia="en-GB"/>
        </w:rPr>
        <w:t xml:space="preserve"> coordination of Member States public procurement policies with regard to critical medicinal products;</w:t>
      </w:r>
    </w:p>
    <w:p w14:paraId="59B93F3B" w14:textId="77777777" w:rsidR="00917777" w:rsidRPr="001E110A" w:rsidRDefault="00917777" w:rsidP="00917777">
      <w:pPr>
        <w:pStyle w:val="Point1"/>
        <w:rPr>
          <w:rFonts w:eastAsia="Times New Roman"/>
          <w:lang w:eastAsia="en-GB"/>
        </w:rPr>
      </w:pPr>
      <w:r>
        <w:rPr>
          <w:rFonts w:eastAsia="Times New Roman"/>
          <w:lang w:eastAsia="en-GB"/>
        </w:rPr>
        <w:t>(c)</w:t>
      </w:r>
      <w:r>
        <w:tab/>
      </w:r>
      <w:r w:rsidRPr="001E110A">
        <w:rPr>
          <w:rFonts w:eastAsia="Times New Roman"/>
          <w:lang w:eastAsia="en-GB"/>
        </w:rPr>
        <w:t>facilitate discussion o</w:t>
      </w:r>
      <w:r>
        <w:rPr>
          <w:rFonts w:eastAsia="Times New Roman"/>
          <w:lang w:eastAsia="en-GB"/>
        </w:rPr>
        <w:t>f</w:t>
      </w:r>
      <w:r w:rsidRPr="001E110A">
        <w:rPr>
          <w:rFonts w:eastAsia="Times New Roman"/>
          <w:lang w:eastAsia="en-GB"/>
        </w:rPr>
        <w:t xml:space="preserve"> </w:t>
      </w:r>
      <w:r w:rsidRPr="5B2C8AD7">
        <w:rPr>
          <w:rFonts w:eastAsia="Times New Roman"/>
          <w:lang w:eastAsia="en-GB"/>
        </w:rPr>
        <w:t>the</w:t>
      </w:r>
      <w:r w:rsidRPr="001E110A">
        <w:rPr>
          <w:rFonts w:eastAsia="Times New Roman"/>
          <w:lang w:eastAsia="en-GB"/>
        </w:rPr>
        <w:t xml:space="preserve"> need for a collaborative procurement initiative</w:t>
      </w:r>
      <w:r>
        <w:rPr>
          <w:rFonts w:eastAsia="Times New Roman"/>
          <w:lang w:eastAsia="en-GB"/>
        </w:rPr>
        <w:t xml:space="preserve"> for a given medicinal product</w:t>
      </w:r>
      <w:r w:rsidRPr="001E110A">
        <w:rPr>
          <w:rFonts w:eastAsia="Times New Roman"/>
          <w:lang w:eastAsia="en-GB"/>
        </w:rPr>
        <w:t>;</w:t>
      </w:r>
    </w:p>
    <w:p w14:paraId="32BBADD3" w14:textId="132C07EE" w:rsidR="00917777" w:rsidRPr="001E110A" w:rsidRDefault="00917777" w:rsidP="00917777">
      <w:pPr>
        <w:pStyle w:val="Point1"/>
        <w:rPr>
          <w:rFonts w:eastAsia="Times New Roman"/>
          <w:lang w:eastAsia="en-GB"/>
        </w:rPr>
      </w:pPr>
      <w:r>
        <w:rPr>
          <w:rFonts w:eastAsia="Times New Roman"/>
          <w:lang w:eastAsia="en-GB"/>
        </w:rPr>
        <w:t>(d)</w:t>
      </w:r>
      <w:r>
        <w:tab/>
      </w:r>
      <w:r>
        <w:rPr>
          <w:rFonts w:eastAsia="Times New Roman"/>
          <w:lang w:eastAsia="en-GB"/>
        </w:rPr>
        <w:t>advise</w:t>
      </w:r>
      <w:r w:rsidRPr="1511707E">
        <w:rPr>
          <w:rFonts w:eastAsia="Times New Roman"/>
          <w:lang w:eastAsia="en-GB"/>
        </w:rPr>
        <w:t xml:space="preserve"> </w:t>
      </w:r>
      <w:r w:rsidRPr="001E110A">
        <w:rPr>
          <w:rFonts w:eastAsia="Times New Roman"/>
          <w:lang w:eastAsia="en-GB"/>
        </w:rPr>
        <w:t>the MSSG</w:t>
      </w:r>
      <w:r w:rsidRPr="1511707E">
        <w:rPr>
          <w:rFonts w:eastAsia="Times New Roman"/>
          <w:lang w:eastAsia="en-GB"/>
        </w:rPr>
        <w:t xml:space="preserve"> </w:t>
      </w:r>
      <w:r>
        <w:rPr>
          <w:rFonts w:eastAsia="Times New Roman"/>
          <w:lang w:eastAsia="en-GB"/>
        </w:rPr>
        <w:t>to provide</w:t>
      </w:r>
      <w:r w:rsidRPr="001E110A">
        <w:rPr>
          <w:rFonts w:eastAsia="Times New Roman"/>
          <w:lang w:eastAsia="en-GB"/>
        </w:rPr>
        <w:t xml:space="preserve"> the</w:t>
      </w:r>
      <w:r>
        <w:rPr>
          <w:rFonts w:eastAsia="Times New Roman"/>
          <w:lang w:eastAsia="en-GB"/>
        </w:rPr>
        <w:t xml:space="preserve"> order of priority</w:t>
      </w:r>
      <w:r w:rsidRPr="001E110A">
        <w:rPr>
          <w:rFonts w:eastAsia="Times New Roman"/>
          <w:lang w:eastAsia="en-GB"/>
        </w:rPr>
        <w:t xml:space="preserve"> </w:t>
      </w:r>
      <w:r>
        <w:rPr>
          <w:rFonts w:eastAsia="Times New Roman"/>
          <w:lang w:eastAsia="en-GB"/>
        </w:rPr>
        <w:t>of</w:t>
      </w:r>
      <w:r w:rsidRPr="001E110A">
        <w:rPr>
          <w:rFonts w:eastAsia="Times New Roman"/>
          <w:lang w:eastAsia="en-GB"/>
        </w:rPr>
        <w:t xml:space="preserve"> critical medicinal products for vulnerability evaluation, </w:t>
      </w:r>
      <w:r>
        <w:rPr>
          <w:rFonts w:eastAsia="Times New Roman"/>
          <w:lang w:eastAsia="en-GB"/>
        </w:rPr>
        <w:t>and</w:t>
      </w:r>
      <w:r w:rsidRPr="001E110A">
        <w:rPr>
          <w:rFonts w:eastAsia="Times New Roman"/>
          <w:lang w:eastAsia="en-GB"/>
        </w:rPr>
        <w:t xml:space="preserve"> </w:t>
      </w:r>
      <w:r>
        <w:rPr>
          <w:rFonts w:eastAsia="Times New Roman"/>
          <w:lang w:eastAsia="en-GB"/>
        </w:rPr>
        <w:t xml:space="preserve">propose a </w:t>
      </w:r>
      <w:r w:rsidRPr="001E110A">
        <w:rPr>
          <w:rFonts w:eastAsia="Times New Roman"/>
          <w:lang w:eastAsia="en-GB"/>
        </w:rPr>
        <w:t xml:space="preserve">review </w:t>
      </w:r>
      <w:r>
        <w:rPr>
          <w:rFonts w:eastAsia="Times New Roman"/>
          <w:lang w:eastAsia="en-GB"/>
        </w:rPr>
        <w:t>or an</w:t>
      </w:r>
      <w:r w:rsidRPr="001E110A">
        <w:rPr>
          <w:rFonts w:eastAsia="Times New Roman"/>
          <w:lang w:eastAsia="en-GB"/>
        </w:rPr>
        <w:t xml:space="preserve"> update </w:t>
      </w:r>
      <w:r>
        <w:rPr>
          <w:rFonts w:eastAsia="Times New Roman"/>
          <w:lang w:eastAsia="en-GB"/>
        </w:rPr>
        <w:t xml:space="preserve">of </w:t>
      </w:r>
      <w:r w:rsidRPr="001E110A">
        <w:rPr>
          <w:rFonts w:eastAsia="Times New Roman"/>
          <w:lang w:eastAsia="en-GB"/>
        </w:rPr>
        <w:t xml:space="preserve">existing evaluations where necessary. </w:t>
      </w:r>
    </w:p>
    <w:p w14:paraId="65084700" w14:textId="77777777" w:rsidR="00917777" w:rsidRDefault="00917777" w:rsidP="00917777">
      <w:pPr>
        <w:pStyle w:val="Point0"/>
        <w:rPr>
          <w:rFonts w:eastAsia="Times New Roman"/>
          <w:lang w:eastAsia="en-GB"/>
        </w:rPr>
      </w:pPr>
      <w:r>
        <w:rPr>
          <w:rFonts w:eastAsia="Times New Roman"/>
          <w:lang w:eastAsia="en-GB"/>
        </w:rPr>
        <w:t>3.</w:t>
      </w:r>
      <w:r>
        <w:tab/>
      </w:r>
      <w:r>
        <w:rPr>
          <w:rFonts w:eastAsia="Times New Roman"/>
          <w:lang w:eastAsia="en-GB"/>
        </w:rPr>
        <w:t xml:space="preserve">The Critical Medicines Group shall enable the exchanges of information between the Member States and the Commission as referred </w:t>
      </w:r>
      <w:r w:rsidRPr="00301C68">
        <w:rPr>
          <w:rFonts w:eastAsia="Times New Roman"/>
          <w:lang w:eastAsia="en-GB"/>
        </w:rPr>
        <w:t xml:space="preserve">to </w:t>
      </w:r>
      <w:r>
        <w:rPr>
          <w:rFonts w:eastAsia="Times New Roman"/>
          <w:lang w:eastAsia="en-GB"/>
        </w:rPr>
        <w:t xml:space="preserve">in Article </w:t>
      </w:r>
      <w:r w:rsidRPr="00301C68">
        <w:rPr>
          <w:rFonts w:eastAsia="Times New Roman"/>
          <w:lang w:eastAsia="en-GB"/>
        </w:rPr>
        <w:t>17</w:t>
      </w:r>
      <w:r>
        <w:rPr>
          <w:rFonts w:eastAsia="Times New Roman"/>
          <w:lang w:eastAsia="en-GB"/>
        </w:rPr>
        <w:t xml:space="preserve"> and shall enable, where necessary, a coordination of respective actions aiming to attain the objectives of this Regulation.</w:t>
      </w:r>
      <w:r w:rsidRPr="009E6C22">
        <w:rPr>
          <w:lang w:eastAsia="en-GB"/>
        </w:rPr>
        <w:t xml:space="preserve"> </w:t>
      </w:r>
    </w:p>
    <w:p w14:paraId="0998B28E" w14:textId="1B38FDFE" w:rsidR="00917777" w:rsidRDefault="00917777" w:rsidP="00917777">
      <w:pPr>
        <w:pStyle w:val="Point0"/>
        <w:rPr>
          <w:rFonts w:eastAsia="Times New Roman"/>
          <w:lang w:eastAsia="en-GB"/>
        </w:rPr>
      </w:pPr>
      <w:r>
        <w:rPr>
          <w:rFonts w:eastAsia="Times New Roman"/>
          <w:lang w:eastAsia="en-GB"/>
        </w:rPr>
        <w:t>4.</w:t>
      </w:r>
      <w:r>
        <w:rPr>
          <w:rFonts w:eastAsia="Times New Roman"/>
          <w:lang w:eastAsia="en-GB"/>
        </w:rPr>
        <w:tab/>
      </w:r>
      <w:r w:rsidRPr="001E110A">
        <w:rPr>
          <w:rFonts w:eastAsia="Times New Roman"/>
          <w:lang w:eastAsia="en-GB"/>
        </w:rPr>
        <w:t>The C</w:t>
      </w:r>
      <w:r>
        <w:rPr>
          <w:rFonts w:eastAsia="Times New Roman"/>
          <w:lang w:eastAsia="en-GB"/>
        </w:rPr>
        <w:t xml:space="preserve">ritical </w:t>
      </w:r>
      <w:r w:rsidRPr="001E110A">
        <w:rPr>
          <w:rFonts w:eastAsia="Times New Roman"/>
          <w:lang w:eastAsia="en-GB"/>
        </w:rPr>
        <w:t>M</w:t>
      </w:r>
      <w:r>
        <w:rPr>
          <w:rFonts w:eastAsia="Times New Roman"/>
          <w:lang w:eastAsia="en-GB"/>
        </w:rPr>
        <w:t xml:space="preserve">edicines </w:t>
      </w:r>
      <w:r w:rsidRPr="001E110A">
        <w:rPr>
          <w:rFonts w:eastAsia="Times New Roman"/>
          <w:lang w:eastAsia="en-GB"/>
        </w:rPr>
        <w:t>G</w:t>
      </w:r>
      <w:r>
        <w:rPr>
          <w:rFonts w:eastAsia="Times New Roman"/>
          <w:lang w:eastAsia="en-GB"/>
        </w:rPr>
        <w:t>roup</w:t>
      </w:r>
      <w:r w:rsidRPr="001E110A">
        <w:rPr>
          <w:rFonts w:eastAsia="Times New Roman"/>
          <w:lang w:eastAsia="en-GB"/>
        </w:rPr>
        <w:t xml:space="preserve"> shall </w:t>
      </w:r>
      <w:r>
        <w:rPr>
          <w:rFonts w:eastAsia="Times New Roman"/>
          <w:lang w:eastAsia="en-GB"/>
        </w:rPr>
        <w:t>periodically discuss</w:t>
      </w:r>
      <w:r w:rsidRPr="001E110A">
        <w:rPr>
          <w:rFonts w:eastAsia="Times New Roman"/>
          <w:lang w:eastAsia="en-GB"/>
        </w:rPr>
        <w:t xml:space="preserve"> </w:t>
      </w:r>
      <w:r w:rsidRPr="67DEB9ED">
        <w:rPr>
          <w:rFonts w:eastAsia="Times New Roman"/>
          <w:lang w:eastAsia="en-GB"/>
        </w:rPr>
        <w:t xml:space="preserve">the </w:t>
      </w:r>
      <w:r w:rsidRPr="001E110A">
        <w:rPr>
          <w:rFonts w:eastAsia="Times New Roman"/>
          <w:lang w:eastAsia="en-GB"/>
        </w:rPr>
        <w:t xml:space="preserve">potential contribution of strategic partnerships to the objectives of </w:t>
      </w:r>
      <w:r w:rsidRPr="67DEB9ED">
        <w:rPr>
          <w:rFonts w:eastAsia="Times New Roman"/>
          <w:lang w:eastAsia="en-GB"/>
        </w:rPr>
        <w:t>this</w:t>
      </w:r>
      <w:r w:rsidRPr="001E110A">
        <w:rPr>
          <w:rFonts w:eastAsia="Times New Roman"/>
          <w:lang w:eastAsia="en-GB"/>
        </w:rPr>
        <w:t xml:space="preserve"> Regulation</w:t>
      </w:r>
      <w:r>
        <w:rPr>
          <w:rFonts w:eastAsia="Times New Roman"/>
          <w:lang w:eastAsia="en-GB"/>
        </w:rPr>
        <w:t>,</w:t>
      </w:r>
      <w:r w:rsidRPr="001E110A">
        <w:rPr>
          <w:rFonts w:eastAsia="Times New Roman"/>
          <w:lang w:eastAsia="en-GB"/>
        </w:rPr>
        <w:t xml:space="preserve"> prioritisation of third countries for this purpose</w:t>
      </w:r>
      <w:r>
        <w:rPr>
          <w:rFonts w:eastAsia="Times New Roman"/>
          <w:lang w:eastAsia="en-GB"/>
        </w:rPr>
        <w:t>,</w:t>
      </w:r>
      <w:r w:rsidRPr="001E110A">
        <w:rPr>
          <w:rFonts w:eastAsia="Times New Roman"/>
          <w:lang w:eastAsia="en-GB"/>
        </w:rPr>
        <w:t xml:space="preserve"> and the consistency and</w:t>
      </w:r>
      <w:r>
        <w:rPr>
          <w:rFonts w:eastAsia="Times New Roman"/>
          <w:lang w:eastAsia="en-GB"/>
        </w:rPr>
        <w:t xml:space="preserve"> </w:t>
      </w:r>
      <w:r w:rsidRPr="001E110A">
        <w:rPr>
          <w:rFonts w:eastAsia="Times New Roman"/>
          <w:lang w:eastAsia="en-GB"/>
        </w:rPr>
        <w:t>potential synergies between Member States’ cooperation with relevant third countries and the actions carried out by the Union.</w:t>
      </w:r>
      <w:r>
        <w:rPr>
          <w:rFonts w:eastAsia="Times New Roman"/>
          <w:lang w:eastAsia="en-GB"/>
        </w:rPr>
        <w:t xml:space="preserve"> </w:t>
      </w:r>
    </w:p>
    <w:p w14:paraId="4206A61C" w14:textId="77777777" w:rsidR="00917777" w:rsidRDefault="00917777" w:rsidP="00917777">
      <w:pPr>
        <w:pStyle w:val="Point0"/>
        <w:rPr>
          <w:rFonts w:eastAsia="Times New Roman"/>
          <w:lang w:eastAsia="en-GB"/>
        </w:rPr>
      </w:pPr>
      <w:r>
        <w:rPr>
          <w:rFonts w:eastAsia="Times New Roman"/>
          <w:lang w:eastAsia="en-GB"/>
        </w:rPr>
        <w:t>5.</w:t>
      </w:r>
      <w:r>
        <w:rPr>
          <w:rFonts w:eastAsia="Times New Roman"/>
          <w:lang w:eastAsia="en-GB"/>
        </w:rPr>
        <w:tab/>
      </w:r>
      <w:r w:rsidRPr="001E110A">
        <w:rPr>
          <w:rFonts w:eastAsia="Times New Roman"/>
          <w:lang w:eastAsia="en-GB"/>
        </w:rPr>
        <w:t>The C</w:t>
      </w:r>
      <w:r>
        <w:rPr>
          <w:rFonts w:eastAsia="Times New Roman"/>
          <w:lang w:eastAsia="en-GB"/>
        </w:rPr>
        <w:t xml:space="preserve">ritical </w:t>
      </w:r>
      <w:r w:rsidRPr="001E110A">
        <w:rPr>
          <w:rFonts w:eastAsia="Times New Roman"/>
          <w:lang w:eastAsia="en-GB"/>
        </w:rPr>
        <w:t>M</w:t>
      </w:r>
      <w:r>
        <w:rPr>
          <w:rFonts w:eastAsia="Times New Roman"/>
          <w:lang w:eastAsia="en-GB"/>
        </w:rPr>
        <w:t xml:space="preserve">edicines </w:t>
      </w:r>
      <w:r w:rsidRPr="001E110A">
        <w:rPr>
          <w:rFonts w:eastAsia="Times New Roman"/>
          <w:lang w:eastAsia="en-GB"/>
        </w:rPr>
        <w:t>G</w:t>
      </w:r>
      <w:r>
        <w:rPr>
          <w:rFonts w:eastAsia="Times New Roman"/>
          <w:lang w:eastAsia="en-GB"/>
        </w:rPr>
        <w:t>roup</w:t>
      </w:r>
      <w:r w:rsidRPr="001E110A">
        <w:rPr>
          <w:rFonts w:eastAsia="Times New Roman"/>
          <w:lang w:eastAsia="en-GB"/>
        </w:rPr>
        <w:t xml:space="preserve">, at the Commission’s request, may </w:t>
      </w:r>
      <w:r w:rsidRPr="00633134">
        <w:rPr>
          <w:rFonts w:eastAsia="Times New Roman"/>
          <w:lang w:eastAsia="en-GB"/>
        </w:rPr>
        <w:t>provide an opinion on matters related to the application of this</w:t>
      </w:r>
      <w:r w:rsidRPr="001E110A">
        <w:rPr>
          <w:rFonts w:eastAsia="Times New Roman"/>
          <w:lang w:eastAsia="en-GB"/>
        </w:rPr>
        <w:t xml:space="preserve"> Regulation</w:t>
      </w:r>
      <w:r>
        <w:rPr>
          <w:rFonts w:eastAsia="Times New Roman"/>
          <w:lang w:eastAsia="en-GB"/>
        </w:rPr>
        <w:t xml:space="preserve"> in the context of performing tasks as referred to in this Article.</w:t>
      </w:r>
    </w:p>
    <w:p w14:paraId="141F66AD" w14:textId="77777777" w:rsidR="00917777" w:rsidRPr="001E110A" w:rsidRDefault="00917777" w:rsidP="00B0454E">
      <w:pPr>
        <w:rPr>
          <w:lang w:eastAsia="en-GB"/>
        </w:rPr>
      </w:pPr>
    </w:p>
    <w:p w14:paraId="13B2C0E9" w14:textId="77777777" w:rsidR="00917777" w:rsidRPr="001E110A" w:rsidRDefault="00917777" w:rsidP="00917777">
      <w:pPr>
        <w:pStyle w:val="ChapterTitle"/>
        <w:rPr>
          <w:b w:val="0"/>
        </w:rPr>
      </w:pPr>
      <w:r w:rsidRPr="001E110A">
        <w:t xml:space="preserve">Chapter </w:t>
      </w:r>
      <w:r w:rsidRPr="006C2B52">
        <w:t>VI</w:t>
      </w:r>
      <w:r>
        <w:br/>
      </w:r>
      <w:r w:rsidRPr="001E110A">
        <w:t xml:space="preserve">International cooperation </w:t>
      </w:r>
    </w:p>
    <w:p w14:paraId="4B9F57C0" w14:textId="77777777" w:rsidR="00917777" w:rsidRPr="001E110A" w:rsidRDefault="00917777" w:rsidP="00917777">
      <w:pPr>
        <w:pStyle w:val="Titrearticle"/>
      </w:pPr>
      <w:r w:rsidRPr="001E110A">
        <w:t>Article 2</w:t>
      </w:r>
      <w:r>
        <w:t>7</w:t>
      </w:r>
    </w:p>
    <w:p w14:paraId="3AF647ED" w14:textId="77777777" w:rsidR="00917777" w:rsidRPr="001E110A" w:rsidRDefault="00917777" w:rsidP="00917777">
      <w:pPr>
        <w:jc w:val="center"/>
        <w:rPr>
          <w:i/>
        </w:rPr>
      </w:pPr>
      <w:r w:rsidRPr="001E110A">
        <w:rPr>
          <w:i/>
        </w:rPr>
        <w:t>Strategic partnerships</w:t>
      </w:r>
    </w:p>
    <w:p w14:paraId="15322D83" w14:textId="3FD6DC97" w:rsidR="00917777" w:rsidRPr="004F5470" w:rsidRDefault="00917777" w:rsidP="00B0454E">
      <w:pPr>
        <w:rPr>
          <w:rFonts w:eastAsia="Times New Roman"/>
          <w:lang w:eastAsia="en-GB"/>
        </w:rPr>
      </w:pPr>
      <w:r w:rsidRPr="001E110A">
        <w:t xml:space="preserve">Without prejudice to the prerogatives of the Council, the Commission, shall explore possibilities of </w:t>
      </w:r>
      <w:r>
        <w:t>concluding</w:t>
      </w:r>
      <w:r w:rsidRPr="001E110A">
        <w:t xml:space="preserve"> strategic partnerships aiming to </w:t>
      </w:r>
      <w:r>
        <w:t xml:space="preserve">diversify sourcing of critical medicinal products, their active </w:t>
      </w:r>
      <w:r w:rsidR="00862D05">
        <w:t xml:space="preserve">substances </w:t>
      </w:r>
      <w:r>
        <w:t xml:space="preserve">and key </w:t>
      </w:r>
      <w:r w:rsidR="00713F56">
        <w:t>inputs</w:t>
      </w:r>
      <w:r>
        <w:t xml:space="preserve"> to increase </w:t>
      </w:r>
      <w:r w:rsidRPr="001E110A">
        <w:t>the security of supply of critical medicinal products in the Union</w:t>
      </w:r>
      <w:r w:rsidRPr="004F5470">
        <w:t xml:space="preserve">. </w:t>
      </w:r>
      <w:r w:rsidRPr="00445416">
        <w:rPr>
          <w:rStyle w:val="normaltextrun"/>
          <w:shd w:val="clear" w:color="auto" w:fill="FFFFFF"/>
        </w:rPr>
        <w:t xml:space="preserve">The Commission shall also explore the possibility </w:t>
      </w:r>
      <w:r>
        <w:rPr>
          <w:rStyle w:val="normaltextrun"/>
          <w:shd w:val="clear" w:color="auto" w:fill="FFFFFF"/>
        </w:rPr>
        <w:t>of</w:t>
      </w:r>
      <w:r w:rsidRPr="00445416">
        <w:rPr>
          <w:rStyle w:val="normaltextrun"/>
          <w:shd w:val="clear" w:color="auto" w:fill="FFFFFF"/>
        </w:rPr>
        <w:t xml:space="preserve"> build</w:t>
      </w:r>
      <w:r>
        <w:rPr>
          <w:rStyle w:val="normaltextrun"/>
          <w:shd w:val="clear" w:color="auto" w:fill="FFFFFF"/>
        </w:rPr>
        <w:t>ing</w:t>
      </w:r>
      <w:r w:rsidRPr="00445416">
        <w:rPr>
          <w:rStyle w:val="normaltextrun"/>
          <w:shd w:val="clear" w:color="auto" w:fill="FFFFFF"/>
        </w:rPr>
        <w:t xml:space="preserve"> on existing forms of cooperation, when possible, to</w:t>
      </w:r>
      <w:r w:rsidR="0054175D">
        <w:rPr>
          <w:rStyle w:val="normaltextrun"/>
          <w:shd w:val="clear" w:color="auto" w:fill="FFFFFF"/>
        </w:rPr>
        <w:t xml:space="preserve"> </w:t>
      </w:r>
      <w:r w:rsidRPr="00445416">
        <w:rPr>
          <w:rStyle w:val="normaltextrun"/>
          <w:shd w:val="clear" w:color="auto" w:fill="FFFFFF"/>
        </w:rPr>
        <w:t>support security of supply</w:t>
      </w:r>
      <w:r w:rsidR="00FF031A">
        <w:rPr>
          <w:rStyle w:val="normaltextrun"/>
          <w:shd w:val="clear" w:color="auto" w:fill="FFFFFF"/>
        </w:rPr>
        <w:t xml:space="preserve"> and</w:t>
      </w:r>
      <w:r w:rsidRPr="00445416">
        <w:rPr>
          <w:rStyle w:val="normaltextrun"/>
          <w:shd w:val="clear" w:color="auto" w:fill="FFFFFF"/>
        </w:rPr>
        <w:t xml:space="preserve"> </w:t>
      </w:r>
      <w:r w:rsidR="00FF031A">
        <w:rPr>
          <w:rStyle w:val="normaltextrun"/>
          <w:shd w:val="clear" w:color="auto" w:fill="FFFFFF"/>
        </w:rPr>
        <w:t xml:space="preserve">reinforce efforts to strengthen the production </w:t>
      </w:r>
      <w:r w:rsidRPr="00445416">
        <w:rPr>
          <w:rStyle w:val="normaltextrun"/>
          <w:shd w:val="clear" w:color="auto" w:fill="FFFFFF"/>
        </w:rPr>
        <w:t>of critical medicin</w:t>
      </w:r>
      <w:r w:rsidR="009955BD">
        <w:rPr>
          <w:rStyle w:val="normaltextrun"/>
          <w:shd w:val="clear" w:color="auto" w:fill="FFFFFF"/>
        </w:rPr>
        <w:t>al products</w:t>
      </w:r>
      <w:r w:rsidRPr="00445416">
        <w:rPr>
          <w:rStyle w:val="normaltextrun"/>
          <w:shd w:val="clear" w:color="auto" w:fill="FFFFFF"/>
        </w:rPr>
        <w:t xml:space="preserve"> in the Union.</w:t>
      </w:r>
    </w:p>
    <w:p w14:paraId="4108A8F9" w14:textId="77777777" w:rsidR="00917777" w:rsidRPr="004F5470" w:rsidRDefault="00917777" w:rsidP="00917777"/>
    <w:p w14:paraId="04471CA5" w14:textId="77777777" w:rsidR="00917777" w:rsidRDefault="00917777" w:rsidP="00917777">
      <w:pPr>
        <w:pStyle w:val="ChapterTitle"/>
      </w:pPr>
      <w:r w:rsidRPr="001E110A">
        <w:t xml:space="preserve">Chapter </w:t>
      </w:r>
      <w:r w:rsidRPr="006C2B52">
        <w:t>VII</w:t>
      </w:r>
      <w:r w:rsidR="00B0454E">
        <w:br/>
      </w:r>
      <w:r>
        <w:t>Amendments to Regulation (EU) 2024/795</w:t>
      </w:r>
    </w:p>
    <w:p w14:paraId="3722A4A8" w14:textId="77777777" w:rsidR="00917777" w:rsidRDefault="00917777" w:rsidP="00B0454E">
      <w:pPr>
        <w:pStyle w:val="Titrearticle"/>
        <w:rPr>
          <w:rFonts w:eastAsia="Times New Roman"/>
          <w:lang w:eastAsia="en-GB"/>
        </w:rPr>
      </w:pPr>
      <w:r>
        <w:rPr>
          <w:rFonts w:eastAsia="Times New Roman"/>
          <w:lang w:eastAsia="en-GB"/>
        </w:rPr>
        <w:t>Article 28</w:t>
      </w:r>
    </w:p>
    <w:p w14:paraId="47139C25" w14:textId="77777777" w:rsidR="00917777" w:rsidRPr="001E110A" w:rsidRDefault="00917777" w:rsidP="00B0454E">
      <w:pPr>
        <w:rPr>
          <w:rFonts w:eastAsia="Times New Roman"/>
          <w:lang w:eastAsia="en-GB"/>
        </w:rPr>
      </w:pPr>
      <w:r w:rsidRPr="001E110A">
        <w:rPr>
          <w:rFonts w:eastAsia="Times New Roman"/>
          <w:lang w:eastAsia="en-GB"/>
        </w:rPr>
        <w:t>Regulation (EU) 2024/795</w:t>
      </w:r>
      <w:r>
        <w:rPr>
          <w:rFonts w:eastAsia="Times New Roman"/>
          <w:lang w:eastAsia="en-GB"/>
        </w:rPr>
        <w:t xml:space="preserve"> </w:t>
      </w:r>
      <w:r w:rsidRPr="001E110A">
        <w:rPr>
          <w:rFonts w:eastAsia="Times New Roman"/>
          <w:lang w:eastAsia="en-GB"/>
        </w:rPr>
        <w:t>is amended as follows:</w:t>
      </w:r>
    </w:p>
    <w:p w14:paraId="565A0C7C" w14:textId="2BB80D36" w:rsidR="00917777" w:rsidRPr="001E110A" w:rsidRDefault="00917777" w:rsidP="00917777">
      <w:pPr>
        <w:pStyle w:val="Point1"/>
        <w:rPr>
          <w:lang w:eastAsia="en-GB"/>
        </w:rPr>
      </w:pPr>
      <w:r>
        <w:rPr>
          <w:lang w:eastAsia="en-GB"/>
        </w:rPr>
        <w:t>(a)</w:t>
      </w:r>
      <w:r>
        <w:rPr>
          <w:lang w:eastAsia="en-GB"/>
        </w:rPr>
        <w:tab/>
      </w:r>
      <w:r w:rsidRPr="001E110A">
        <w:rPr>
          <w:lang w:eastAsia="en-GB"/>
        </w:rPr>
        <w:t xml:space="preserve">in Article </w:t>
      </w:r>
      <w:r w:rsidR="00B02B0E">
        <w:rPr>
          <w:lang w:eastAsia="en-GB"/>
        </w:rPr>
        <w:t>2</w:t>
      </w:r>
      <w:r w:rsidRPr="001E110A">
        <w:rPr>
          <w:lang w:eastAsia="en-GB"/>
        </w:rPr>
        <w:t>,</w:t>
      </w:r>
      <w:r>
        <w:rPr>
          <w:lang w:eastAsia="en-GB"/>
        </w:rPr>
        <w:t xml:space="preserve"> (1)</w:t>
      </w:r>
      <w:r w:rsidRPr="001E110A">
        <w:rPr>
          <w:lang w:eastAsia="en-GB"/>
        </w:rPr>
        <w:t xml:space="preserve"> point (a), subparagraph (iii) is replaced by the following:</w:t>
      </w:r>
    </w:p>
    <w:p w14:paraId="579DD11B" w14:textId="77777777" w:rsidR="00917777" w:rsidRDefault="00917777" w:rsidP="00917777">
      <w:pPr>
        <w:pStyle w:val="Point2"/>
        <w:rPr>
          <w:lang w:eastAsia="en-GB"/>
        </w:rPr>
      </w:pPr>
      <w:r w:rsidRPr="001E110A">
        <w:rPr>
          <w:lang w:eastAsia="en-GB"/>
        </w:rPr>
        <w:t>‘(iii)</w:t>
      </w:r>
      <w:r>
        <w:rPr>
          <w:lang w:eastAsia="en-GB"/>
        </w:rPr>
        <w:tab/>
      </w:r>
      <w:r w:rsidRPr="001E110A">
        <w:rPr>
          <w:lang w:eastAsia="en-GB"/>
        </w:rPr>
        <w:t>biotechnologies, and any other technologies relevant for manufacturing of critical medicinal products</w:t>
      </w:r>
      <w:r>
        <w:rPr>
          <w:lang w:eastAsia="en-GB"/>
        </w:rPr>
        <w:t xml:space="preserve"> as defined in Critical Medicines Act</w:t>
      </w:r>
      <w:r w:rsidRPr="001E110A">
        <w:rPr>
          <w:lang w:eastAsia="en-GB"/>
        </w:rPr>
        <w:t xml:space="preserve"> </w:t>
      </w:r>
      <w:r>
        <w:rPr>
          <w:lang w:eastAsia="en-GB"/>
        </w:rPr>
        <w:t>*;</w:t>
      </w:r>
    </w:p>
    <w:p w14:paraId="5C6BCD67" w14:textId="77777777" w:rsidR="00917777" w:rsidRPr="00D72EF8" w:rsidRDefault="00917777" w:rsidP="00917777">
      <w:pPr>
        <w:pStyle w:val="Point2"/>
        <w:rPr>
          <w:lang w:eastAsia="en-GB"/>
        </w:rPr>
      </w:pPr>
      <w:r w:rsidRPr="00D72EF8">
        <w:rPr>
          <w:lang w:eastAsia="en-GB"/>
        </w:rPr>
        <w:t>_________</w:t>
      </w:r>
    </w:p>
    <w:p w14:paraId="2EB3C508" w14:textId="77777777" w:rsidR="00917777" w:rsidRPr="001E110A" w:rsidRDefault="00917777" w:rsidP="00917777">
      <w:pPr>
        <w:pStyle w:val="Point2"/>
        <w:rPr>
          <w:lang w:eastAsia="en-GB"/>
        </w:rPr>
      </w:pPr>
      <w:r>
        <w:rPr>
          <w:lang w:eastAsia="en-GB"/>
        </w:rPr>
        <w:t>*</w:t>
      </w:r>
      <w:r>
        <w:rPr>
          <w:lang w:eastAsia="en-GB"/>
        </w:rPr>
        <w:tab/>
        <w:t>Regulation (EU) … of the European Parliament and of the Council laying down a framework for strengthening the availability and security of supply of critical medicinal products as well as for improving the availability of, and access to, medicinal products of common interest, and amending Regulation (EU) 2024/795.’ [</w:t>
      </w:r>
      <w:r w:rsidRPr="00445416">
        <w:rPr>
          <w:i/>
          <w:iCs/>
          <w:lang w:eastAsia="en-GB"/>
        </w:rPr>
        <w:t xml:space="preserve">D.G.: reference to be completed with the definitive title of the ‘Critical Medicines Act’ and with its publications references once </w:t>
      </w:r>
      <w:r>
        <w:rPr>
          <w:i/>
          <w:iCs/>
          <w:lang w:eastAsia="en-GB"/>
        </w:rPr>
        <w:t xml:space="preserve">they are </w:t>
      </w:r>
      <w:r w:rsidRPr="00445416">
        <w:rPr>
          <w:i/>
          <w:iCs/>
          <w:lang w:eastAsia="en-GB"/>
        </w:rPr>
        <w:t>available</w:t>
      </w:r>
      <w:r>
        <w:rPr>
          <w:lang w:eastAsia="en-GB"/>
        </w:rPr>
        <w:t>];</w:t>
      </w:r>
      <w:r w:rsidRPr="001E110A">
        <w:rPr>
          <w:lang w:eastAsia="en-GB"/>
        </w:rPr>
        <w:t>’</w:t>
      </w:r>
    </w:p>
    <w:p w14:paraId="419A8ADD" w14:textId="77777777" w:rsidR="00917777" w:rsidRPr="001E110A" w:rsidRDefault="00917777" w:rsidP="00917777">
      <w:pPr>
        <w:pStyle w:val="Point1"/>
        <w:rPr>
          <w:rFonts w:eastAsia="Times New Roman"/>
          <w:lang w:eastAsia="en-GB"/>
        </w:rPr>
      </w:pPr>
      <w:r>
        <w:rPr>
          <w:rFonts w:eastAsia="Times New Roman"/>
          <w:lang w:eastAsia="en-GB"/>
        </w:rPr>
        <w:t>(b)</w:t>
      </w:r>
      <w:r>
        <w:rPr>
          <w:rFonts w:eastAsia="Times New Roman"/>
          <w:lang w:eastAsia="en-GB"/>
        </w:rPr>
        <w:tab/>
      </w:r>
      <w:r w:rsidRPr="001E110A">
        <w:rPr>
          <w:rFonts w:eastAsia="Times New Roman"/>
          <w:lang w:eastAsia="en-GB"/>
        </w:rPr>
        <w:t>in Article 2, the following subparagraph is added in paragraph 3:</w:t>
      </w:r>
    </w:p>
    <w:p w14:paraId="60CE1AA6" w14:textId="77777777" w:rsidR="00917777" w:rsidRPr="001E110A" w:rsidRDefault="00917777" w:rsidP="00917777">
      <w:pPr>
        <w:pStyle w:val="Text2"/>
        <w:rPr>
          <w:lang w:eastAsia="en-GB"/>
        </w:rPr>
      </w:pPr>
      <w:r w:rsidRPr="001E110A">
        <w:rPr>
          <w:lang w:eastAsia="en-GB"/>
        </w:rPr>
        <w:t>‘By way of derogation from the first subparagraph of this paragraph, the value chain for the development or manufacturing of medicinal products that fall within the scope of the [Critical Medicines Act] and that are referred to in paragraph 1, point (a)(iii) of this Article, relates to finished dosage forms, as well as to active pharmaceutical ingredients and other key inputs necessary for the production of the finished dosage forms of critical medicinal products as defined in the Regulation.’;</w:t>
      </w:r>
    </w:p>
    <w:p w14:paraId="5DE12E64" w14:textId="77777777" w:rsidR="00917777" w:rsidRPr="00106653" w:rsidRDefault="00917777" w:rsidP="00917777">
      <w:pPr>
        <w:pStyle w:val="Point1"/>
      </w:pPr>
      <w:r>
        <w:rPr>
          <w:rFonts w:eastAsia="Times New Roman"/>
          <w:lang w:eastAsia="en-GB"/>
        </w:rPr>
        <w:t>(c)</w:t>
      </w:r>
      <w:r>
        <w:rPr>
          <w:rFonts w:eastAsia="Times New Roman"/>
          <w:lang w:eastAsia="en-GB"/>
        </w:rPr>
        <w:tab/>
      </w:r>
      <w:r w:rsidRPr="001E110A">
        <w:rPr>
          <w:rFonts w:eastAsia="Times New Roman"/>
          <w:lang w:eastAsia="en-GB"/>
        </w:rPr>
        <w:t>in article 2, paragraph 8 is added:</w:t>
      </w:r>
      <w:r w:rsidRPr="001A4C9A">
        <w:rPr>
          <w:szCs w:val="24"/>
          <w:lang w:val="en-IE" w:eastAsia="en-IE"/>
        </w:rPr>
        <w:t xml:space="preserve"> </w:t>
      </w:r>
    </w:p>
    <w:p w14:paraId="22BD953C" w14:textId="77777777" w:rsidR="00917777" w:rsidRPr="00106653" w:rsidRDefault="00917777" w:rsidP="00917777">
      <w:pPr>
        <w:pStyle w:val="Point2"/>
      </w:pPr>
      <w:r w:rsidRPr="001A4C9A">
        <w:rPr>
          <w:szCs w:val="24"/>
          <w:lang w:val="en-IE" w:eastAsia="en-IE"/>
        </w:rPr>
        <w:t>‘8.</w:t>
      </w:r>
      <w:r>
        <w:rPr>
          <w:szCs w:val="24"/>
          <w:lang w:val="en-IE" w:eastAsia="en-IE"/>
        </w:rPr>
        <w:tab/>
        <w:t>S</w:t>
      </w:r>
      <w:r w:rsidRPr="001A4C9A">
        <w:rPr>
          <w:szCs w:val="24"/>
          <w:lang w:val="en-IE" w:eastAsia="en-IE"/>
        </w:rPr>
        <w:t xml:space="preserve">trategic </w:t>
      </w:r>
      <w:r>
        <w:rPr>
          <w:szCs w:val="24"/>
          <w:lang w:val="en-IE" w:eastAsia="en-IE"/>
        </w:rPr>
        <w:t>p</w:t>
      </w:r>
      <w:r w:rsidRPr="001A4C9A">
        <w:rPr>
          <w:szCs w:val="24"/>
          <w:lang w:val="en-IE" w:eastAsia="en-IE"/>
        </w:rPr>
        <w:t xml:space="preserve">rojects </w:t>
      </w:r>
      <w:r>
        <w:rPr>
          <w:szCs w:val="24"/>
          <w:lang w:val="en-IE" w:eastAsia="en-IE"/>
        </w:rPr>
        <w:t xml:space="preserve">designated in accordance with the [Critical Medicines Act] that address a vulnerability in the supply chains of critical medicinal products </w:t>
      </w:r>
      <w:r w:rsidRPr="001A4C9A">
        <w:rPr>
          <w:szCs w:val="24"/>
          <w:lang w:val="en-IE" w:eastAsia="en-IE"/>
        </w:rPr>
        <w:t>shall be deemed to contribute to the STEP objective referred to in paragraph 1, point (a)(iii).’</w:t>
      </w:r>
      <w:r>
        <w:rPr>
          <w:szCs w:val="24"/>
          <w:lang w:val="en-IE" w:eastAsia="en-IE"/>
        </w:rPr>
        <w:t>;</w:t>
      </w:r>
    </w:p>
    <w:p w14:paraId="5E12EFA5" w14:textId="77777777" w:rsidR="00917777" w:rsidRDefault="00917777" w:rsidP="00917777">
      <w:pPr>
        <w:pStyle w:val="Point1"/>
        <w:rPr>
          <w:szCs w:val="24"/>
          <w:lang w:val="en-IE" w:eastAsia="en-IE"/>
        </w:rPr>
      </w:pPr>
      <w:r>
        <w:rPr>
          <w:szCs w:val="24"/>
          <w:lang w:eastAsia="en-IE"/>
        </w:rPr>
        <w:t>(d)</w:t>
      </w:r>
      <w:r>
        <w:rPr>
          <w:szCs w:val="24"/>
          <w:lang w:eastAsia="en-IE"/>
        </w:rPr>
        <w:tab/>
      </w:r>
      <w:r w:rsidRPr="00106653">
        <w:rPr>
          <w:szCs w:val="24"/>
          <w:lang w:eastAsia="en-IE"/>
        </w:rPr>
        <w:t>in Article 4, paragraph 7 is replaced by the following:</w:t>
      </w:r>
      <w:r w:rsidRPr="00106653">
        <w:rPr>
          <w:szCs w:val="24"/>
          <w:lang w:val="en-IE" w:eastAsia="en-IE"/>
        </w:rPr>
        <w:t xml:space="preserve"> </w:t>
      </w:r>
    </w:p>
    <w:p w14:paraId="17806669" w14:textId="77777777" w:rsidR="00917777" w:rsidRDefault="00917777" w:rsidP="00917777">
      <w:pPr>
        <w:pStyle w:val="Point2"/>
        <w:rPr>
          <w:lang w:eastAsia="en-IE"/>
        </w:rPr>
      </w:pPr>
      <w:r w:rsidRPr="568F82D2">
        <w:rPr>
          <w:lang w:eastAsia="en-IE"/>
        </w:rPr>
        <w:t>‘7.</w:t>
      </w:r>
      <w:r>
        <w:rPr>
          <w:lang w:eastAsia="en-IE"/>
        </w:rPr>
        <w:tab/>
      </w:r>
      <w:r w:rsidRPr="568F82D2">
        <w:rPr>
          <w:lang w:eastAsia="en-IE"/>
        </w:rPr>
        <w:t xml:space="preserve">Strategic projects recognised in accordance with the relevant provisions of the </w:t>
      </w:r>
      <w:r w:rsidRPr="007E7779">
        <w:rPr>
          <w:lang w:eastAsia="en-IE"/>
        </w:rPr>
        <w:t>Net-Zero Industry Act, the Critical Raw Materials Act</w:t>
      </w:r>
      <w:r w:rsidRPr="568F82D2">
        <w:rPr>
          <w:lang w:eastAsia="en-IE"/>
        </w:rPr>
        <w:t xml:space="preserve"> [and the Critical Medicines Act] that fall within the scope of Article 2 of this Regulation and that receive a contribution under the programmes referred to in Article 3 of this Regulation may also receive a contribution from any other Union programme, including funds under shared management, provided that those contributions do not cover the same costs. The rules of the relevant Union programme shall apply to the corresponding contribution to the strategic project. The cumulative funding shall not exceed the total eligible costs of the strategic project. The support from the different Union programmes may be calculated on a pro rata basis in accordance with the documents setting out the conditions for support.’;</w:t>
      </w:r>
    </w:p>
    <w:p w14:paraId="33E578FA" w14:textId="77777777" w:rsidR="00917777" w:rsidRPr="00FD585F" w:rsidRDefault="00917777" w:rsidP="00917777">
      <w:pPr>
        <w:pStyle w:val="Point1"/>
      </w:pPr>
      <w:r>
        <w:t>(e)</w:t>
      </w:r>
      <w:r>
        <w:tab/>
        <w:t>in Article 6, paragraph 1, point c is replaced by the following:</w:t>
      </w:r>
    </w:p>
    <w:p w14:paraId="055ED675" w14:textId="77777777" w:rsidR="00917777" w:rsidRDefault="00917777" w:rsidP="00917777">
      <w:pPr>
        <w:pStyle w:val="Point2"/>
        <w:rPr>
          <w:szCs w:val="24"/>
          <w:lang w:val="en-IE" w:eastAsia="en-IE"/>
        </w:rPr>
      </w:pPr>
      <w:r>
        <w:rPr>
          <w:szCs w:val="24"/>
          <w:lang w:val="en-IE" w:eastAsia="en-IE"/>
        </w:rPr>
        <w:t>(c)</w:t>
      </w:r>
      <w:r>
        <w:rPr>
          <w:szCs w:val="24"/>
          <w:lang w:val="en-IE" w:eastAsia="en-IE"/>
        </w:rPr>
        <w:tab/>
        <w:t>details of projects that have been recognized as strategic projects under the Net-Zero Industry Act, the Critical Raw Materials Act and the [Critical Medicines Act], to the extent that they fall within the scope of Article 2 of this Regulation</w:t>
      </w:r>
      <w:r w:rsidRPr="001E110A">
        <w:rPr>
          <w:rFonts w:eastAsia="Times New Roman"/>
          <w:szCs w:val="24"/>
          <w:lang w:val="en-IE" w:eastAsia="en-IE"/>
        </w:rPr>
        <w:t>.</w:t>
      </w:r>
      <w:r>
        <w:rPr>
          <w:szCs w:val="24"/>
          <w:lang w:val="en-IE" w:eastAsia="en-IE"/>
        </w:rPr>
        <w:t xml:space="preserve"> </w:t>
      </w:r>
    </w:p>
    <w:p w14:paraId="2255EC7F" w14:textId="77777777" w:rsidR="00917777" w:rsidRDefault="00917777" w:rsidP="00B0454E"/>
    <w:p w14:paraId="555E7B22" w14:textId="77777777" w:rsidR="00917777" w:rsidRPr="00BE0E86" w:rsidRDefault="00917777" w:rsidP="00917777">
      <w:pPr>
        <w:pStyle w:val="ChapterTitle"/>
        <w:rPr>
          <w:b w:val="0"/>
          <w:lang w:val="en-IE"/>
        </w:rPr>
      </w:pPr>
      <w:r w:rsidRPr="00BE0E86">
        <w:rPr>
          <w:lang w:val="en-IE"/>
        </w:rPr>
        <w:t>Chapter VIII</w:t>
      </w:r>
      <w:r w:rsidRPr="00BE0E86">
        <w:rPr>
          <w:lang w:val="en-IE"/>
        </w:rPr>
        <w:br/>
        <w:t>Final provisions</w:t>
      </w:r>
    </w:p>
    <w:p w14:paraId="24A6ADA1" w14:textId="77777777" w:rsidR="00917777" w:rsidRPr="00BE0E86" w:rsidRDefault="00917777" w:rsidP="00917777">
      <w:pPr>
        <w:pStyle w:val="Titrearticle"/>
        <w:rPr>
          <w:lang w:val="en-IE"/>
        </w:rPr>
      </w:pPr>
      <w:r w:rsidRPr="00BE0E86">
        <w:rPr>
          <w:lang w:val="en-IE"/>
        </w:rPr>
        <w:t>Article 2</w:t>
      </w:r>
      <w:r>
        <w:rPr>
          <w:lang w:val="en-IE"/>
        </w:rPr>
        <w:t>9</w:t>
      </w:r>
    </w:p>
    <w:p w14:paraId="295FD102" w14:textId="77777777" w:rsidR="00917777" w:rsidRPr="00B0454E" w:rsidRDefault="00917777" w:rsidP="00B0454E">
      <w:pPr>
        <w:jc w:val="center"/>
        <w:rPr>
          <w:i/>
          <w:iCs/>
        </w:rPr>
      </w:pPr>
      <w:r w:rsidRPr="00B0454E">
        <w:rPr>
          <w:i/>
          <w:iCs/>
        </w:rPr>
        <w:t>Obligation of the market actors to provide information</w:t>
      </w:r>
    </w:p>
    <w:p w14:paraId="5BE1F332" w14:textId="77777777" w:rsidR="00917777" w:rsidRPr="00591071" w:rsidRDefault="00917777" w:rsidP="00B0454E">
      <w:pPr>
        <w:pStyle w:val="Point0"/>
        <w:rPr>
          <w:i/>
        </w:rPr>
      </w:pPr>
      <w:r w:rsidRPr="007E7779">
        <w:t>1.</w:t>
      </w:r>
      <w:r>
        <w:tab/>
      </w:r>
      <w:r w:rsidRPr="007E7779">
        <w:t xml:space="preserve">Marketing authorisation holders and </w:t>
      </w:r>
      <w:r w:rsidRPr="00591071">
        <w:t xml:space="preserve">other economic operators in the supply and distribution chains of critical medicinal </w:t>
      </w:r>
      <w:r w:rsidRPr="008B56A1">
        <w:t>products including their key inputs and active substances</w:t>
      </w:r>
      <w:r w:rsidRPr="00591071">
        <w:t xml:space="preserve"> or medicinal products of common interest shall upon request provide the Commission or national authorities, as relevant, the requested information necessary for the purpose of application of this Regulation.</w:t>
      </w:r>
    </w:p>
    <w:p w14:paraId="063BAB38" w14:textId="4EDF8C42" w:rsidR="0032759E" w:rsidRDefault="00917777" w:rsidP="00B0454E">
      <w:pPr>
        <w:pStyle w:val="Point0"/>
      </w:pPr>
      <w:r w:rsidRPr="008B56A1">
        <w:t>2.</w:t>
      </w:r>
      <w:r w:rsidR="00B0454E" w:rsidRPr="008B56A1">
        <w:tab/>
      </w:r>
      <w:r w:rsidRPr="008B56A1">
        <w:t xml:space="preserve">The Commission and </w:t>
      </w:r>
      <w:r w:rsidR="007714E4">
        <w:rPr>
          <w:iCs/>
        </w:rPr>
        <w:t>national</w:t>
      </w:r>
      <w:r w:rsidR="007714E4" w:rsidRPr="008B56A1">
        <w:rPr>
          <w:iCs/>
        </w:rPr>
        <w:t xml:space="preserve"> </w:t>
      </w:r>
      <w:r w:rsidRPr="008B56A1">
        <w:rPr>
          <w:iCs/>
        </w:rPr>
        <w:t xml:space="preserve">authorities of the </w:t>
      </w:r>
      <w:r w:rsidRPr="008B56A1">
        <w:t>Member States shall aim to avoid duplication of the information requested and submitted.</w:t>
      </w:r>
    </w:p>
    <w:p w14:paraId="3A2445F5" w14:textId="77777777" w:rsidR="00917777" w:rsidRDefault="00917777" w:rsidP="00B0454E">
      <w:pPr>
        <w:pStyle w:val="Point0"/>
      </w:pPr>
      <w:r w:rsidRPr="6A61AFA6">
        <w:t>3.</w:t>
      </w:r>
      <w:r>
        <w:tab/>
      </w:r>
      <w:r w:rsidRPr="6A61AFA6">
        <w:t>The Commission and national authorities of the Member States shall assess the merits of duly substantiated confidentiality claims made by marketing authorisation holders and other economic operators, requested to provide information per paragraph 1, and shall protect any information that is commercially confidential against unjustified disclosure.</w:t>
      </w:r>
    </w:p>
    <w:p w14:paraId="1C9C8DD7" w14:textId="77777777" w:rsidR="00917777" w:rsidRPr="001E110A" w:rsidRDefault="00917777" w:rsidP="00917777">
      <w:pPr>
        <w:pStyle w:val="Titrearticle"/>
      </w:pPr>
      <w:r>
        <w:t>Article 30</w:t>
      </w:r>
    </w:p>
    <w:p w14:paraId="3CFA2FAC" w14:textId="77777777" w:rsidR="00917777" w:rsidRPr="00B0454E" w:rsidRDefault="00917777" w:rsidP="00917777">
      <w:pPr>
        <w:jc w:val="center"/>
        <w:rPr>
          <w:i/>
          <w:iCs/>
        </w:rPr>
      </w:pPr>
      <w:r w:rsidRPr="00B0454E">
        <w:rPr>
          <w:i/>
          <w:iCs/>
        </w:rPr>
        <w:t>Evaluation</w:t>
      </w:r>
    </w:p>
    <w:p w14:paraId="6503A6A9" w14:textId="4D27E6A9" w:rsidR="00917777" w:rsidRPr="00D000A8" w:rsidRDefault="00B0454E" w:rsidP="00B0454E">
      <w:pPr>
        <w:pStyle w:val="Point0"/>
      </w:pPr>
      <w:r>
        <w:t>1.</w:t>
      </w:r>
      <w:r>
        <w:tab/>
      </w:r>
      <w:r w:rsidR="00917777">
        <w:t xml:space="preserve">By </w:t>
      </w:r>
      <w:r w:rsidR="00BE1AC1">
        <w:t>[</w:t>
      </w:r>
      <w:r w:rsidR="00917777" w:rsidRPr="00243BE4">
        <w:rPr>
          <w:i/>
          <w:iCs/>
        </w:rPr>
        <w:t>OP please insert the date of:</w:t>
      </w:r>
      <w:r w:rsidR="00BE1AC1">
        <w:rPr>
          <w:i/>
          <w:iCs/>
        </w:rPr>
        <w:t>]</w:t>
      </w:r>
      <w:r w:rsidR="00917777" w:rsidRPr="00243BE4">
        <w:rPr>
          <w:i/>
          <w:iCs/>
        </w:rPr>
        <w:t xml:space="preserve"> </w:t>
      </w:r>
      <w:r w:rsidR="00917777" w:rsidRPr="00243BE4">
        <w:t>five years after the date of application of this Regulation</w:t>
      </w:r>
      <w:r w:rsidR="00917777">
        <w:t xml:space="preserve"> and every five years thereafter, the Commission shall evaluate this Regulation and present a report on the main findings to the European Parliament</w:t>
      </w:r>
      <w:r w:rsidR="009955BD">
        <w:t>,</w:t>
      </w:r>
      <w:r w:rsidR="00917777">
        <w:t xml:space="preserve"> the Council</w:t>
      </w:r>
      <w:r w:rsidR="00DE520E">
        <w:t xml:space="preserve">, </w:t>
      </w:r>
      <w:r w:rsidR="00917777">
        <w:t>the European Economic and Social Committee</w:t>
      </w:r>
      <w:r w:rsidR="009955BD">
        <w:t>,</w:t>
      </w:r>
      <w:r w:rsidR="00DE520E">
        <w:t xml:space="preserve"> and </w:t>
      </w:r>
      <w:r w:rsidR="009955BD">
        <w:t xml:space="preserve">the </w:t>
      </w:r>
      <w:r w:rsidR="00DE520E">
        <w:t xml:space="preserve">Committee of </w:t>
      </w:r>
      <w:r w:rsidR="009955BD">
        <w:t xml:space="preserve">the </w:t>
      </w:r>
      <w:r w:rsidR="00DE520E">
        <w:t>Regions</w:t>
      </w:r>
      <w:r w:rsidR="00917777">
        <w:t>.</w:t>
      </w:r>
    </w:p>
    <w:p w14:paraId="581D7EAE" w14:textId="77777777" w:rsidR="00917777" w:rsidRDefault="00B0454E" w:rsidP="00B0454E">
      <w:pPr>
        <w:pStyle w:val="Point0"/>
      </w:pPr>
      <w:r>
        <w:t>2.</w:t>
      </w:r>
      <w:r>
        <w:tab/>
      </w:r>
      <w:r w:rsidR="00917777">
        <w:t>The Commission shall in its evaluation assess the impact of this Regulation and to what extent its objectives as established in Article 1 have been achieved.</w:t>
      </w:r>
    </w:p>
    <w:p w14:paraId="7E91B884" w14:textId="5EA28E23" w:rsidR="00917777" w:rsidRDefault="00B0454E" w:rsidP="00B0454E">
      <w:pPr>
        <w:pStyle w:val="Point0"/>
      </w:pPr>
      <w:r>
        <w:t>3.</w:t>
      </w:r>
      <w:r>
        <w:tab/>
      </w:r>
      <w:r w:rsidR="00917777">
        <w:t xml:space="preserve">The national authorities </w:t>
      </w:r>
      <w:r w:rsidR="00917777" w:rsidRPr="006C2B52">
        <w:t xml:space="preserve">and the </w:t>
      </w:r>
      <w:r w:rsidR="00917777">
        <w:t xml:space="preserve">economic </w:t>
      </w:r>
      <w:r w:rsidR="00917777" w:rsidRPr="006C2B52">
        <w:t>operators</w:t>
      </w:r>
      <w:r w:rsidR="00917777">
        <w:t xml:space="preserve"> shall</w:t>
      </w:r>
      <w:r w:rsidR="001969D4">
        <w:t>,</w:t>
      </w:r>
      <w:r w:rsidR="00917777">
        <w:t xml:space="preserve"> upon request</w:t>
      </w:r>
      <w:r w:rsidR="001969D4">
        <w:t>,</w:t>
      </w:r>
      <w:r w:rsidR="00917777">
        <w:t xml:space="preserve"> provide the Commission with any relevant information they have and that the Commission may need for its assessment pursuant to in paragraph 1. </w:t>
      </w:r>
    </w:p>
    <w:p w14:paraId="3760A1F4" w14:textId="77777777" w:rsidR="00917777" w:rsidRDefault="00917777" w:rsidP="00917777">
      <w:pPr>
        <w:jc w:val="left"/>
      </w:pPr>
    </w:p>
    <w:p w14:paraId="1131ED2D" w14:textId="77777777" w:rsidR="00917777" w:rsidRDefault="00917777" w:rsidP="00B0454E">
      <w:pPr>
        <w:pStyle w:val="Titrearticle"/>
      </w:pPr>
      <w:r>
        <w:t>Article 31</w:t>
      </w:r>
    </w:p>
    <w:p w14:paraId="4364A187" w14:textId="77777777" w:rsidR="00917777" w:rsidRPr="00343285" w:rsidRDefault="00917777" w:rsidP="00917777">
      <w:pPr>
        <w:jc w:val="center"/>
        <w:rPr>
          <w:i/>
          <w:iCs/>
          <w:szCs w:val="24"/>
        </w:rPr>
      </w:pPr>
      <w:r w:rsidRPr="00343285">
        <w:rPr>
          <w:i/>
          <w:iCs/>
          <w:szCs w:val="24"/>
        </w:rPr>
        <w:t>Entry into force and application</w:t>
      </w:r>
    </w:p>
    <w:p w14:paraId="06958B24" w14:textId="1C153111" w:rsidR="00917777" w:rsidRPr="00992304" w:rsidRDefault="00917777" w:rsidP="00917777">
      <w:pPr>
        <w:rPr>
          <w:szCs w:val="24"/>
        </w:rPr>
      </w:pPr>
      <w:r w:rsidRPr="00343285">
        <w:t xml:space="preserve">This Regulation shall enter into force on the </w:t>
      </w:r>
      <w:r>
        <w:rPr>
          <w:rFonts w:eastAsia="Times New Roman"/>
          <w:lang w:eastAsia="en-GB"/>
        </w:rPr>
        <w:t>twentieth</w:t>
      </w:r>
      <w:r w:rsidRPr="00992304">
        <w:t xml:space="preserve"> day following that of its publication </w:t>
      </w:r>
      <w:r w:rsidRPr="00992304">
        <w:rPr>
          <w:szCs w:val="24"/>
        </w:rPr>
        <w:t xml:space="preserve">in the </w:t>
      </w:r>
      <w:r w:rsidRPr="00992304">
        <w:rPr>
          <w:i/>
          <w:szCs w:val="24"/>
        </w:rPr>
        <w:t>Official Journal of the European Union</w:t>
      </w:r>
      <w:r w:rsidRPr="00992304">
        <w:rPr>
          <w:szCs w:val="24"/>
        </w:rPr>
        <w:t>.</w:t>
      </w:r>
    </w:p>
    <w:p w14:paraId="3207A86A" w14:textId="77777777" w:rsidR="00917777" w:rsidRPr="00992304" w:rsidRDefault="00917777" w:rsidP="00917777">
      <w:r>
        <w:t>It shall apply from [….].</w:t>
      </w:r>
    </w:p>
    <w:p w14:paraId="6AD4B728" w14:textId="77777777" w:rsidR="00917777" w:rsidRDefault="00917777" w:rsidP="00917777">
      <w:pPr>
        <w:pStyle w:val="Applicationdirecte"/>
      </w:pPr>
      <w:r w:rsidRPr="00343285">
        <w:t>This Regulation shall be binding in its entirety and directly applicable in all Member States.</w:t>
      </w:r>
    </w:p>
    <w:p w14:paraId="7D8372C3" w14:textId="2BE6E6B8" w:rsidR="004C5377" w:rsidRDefault="001D7C2D" w:rsidP="001D7C2D">
      <w:pPr>
        <w:pStyle w:val="Fait"/>
      </w:pPr>
      <w:r w:rsidRPr="001D7C2D">
        <w:t>Done at Strasbourg,</w:t>
      </w:r>
    </w:p>
    <w:p w14:paraId="36D69F26" w14:textId="77777777" w:rsidR="004C5377" w:rsidRDefault="004C5377" w:rsidP="004C5377">
      <w:pPr>
        <w:pStyle w:val="Institutionquisigne"/>
      </w:pPr>
      <w:r w:rsidRPr="004C5377">
        <w:t>For the European Parliament</w:t>
      </w:r>
      <w:r w:rsidRPr="004C5377">
        <w:tab/>
        <w:t>For the Council</w:t>
      </w:r>
    </w:p>
    <w:p w14:paraId="62A43577" w14:textId="77777777" w:rsidR="004C5377" w:rsidRDefault="004C5377" w:rsidP="004C5377">
      <w:pPr>
        <w:pStyle w:val="Personnequisigne"/>
      </w:pPr>
      <w:r w:rsidRPr="004C5377">
        <w:t>The President</w:t>
      </w:r>
      <w:r w:rsidRPr="004C5377">
        <w:tab/>
        <w:t>The President</w:t>
      </w:r>
    </w:p>
    <w:p w14:paraId="50A40D11" w14:textId="77777777" w:rsidR="004C5377" w:rsidRDefault="004C5377" w:rsidP="004C5377">
      <w:pPr>
        <w:sectPr w:rsidR="004C5377" w:rsidSect="009A3128">
          <w:footerReference w:type="first" r:id="rId24"/>
          <w:footnotePr>
            <w:numRestart w:val="eachSect"/>
          </w:footnotePr>
          <w:pgSz w:w="11907" w:h="16839"/>
          <w:pgMar w:top="1134" w:right="1417" w:bottom="1134" w:left="1417" w:header="709" w:footer="709" w:gutter="0"/>
          <w:cols w:space="708"/>
          <w:docGrid w:linePitch="360"/>
        </w:sectPr>
      </w:pPr>
    </w:p>
    <w:p w14:paraId="40962229" w14:textId="77777777" w:rsidR="00D37F2D" w:rsidRPr="009846D6" w:rsidRDefault="00D37F2D" w:rsidP="00D37F2D">
      <w:pPr>
        <w:pStyle w:val="Fichefinanciretitre"/>
        <w:keepNext/>
        <w:rPr>
          <w:noProof/>
        </w:rPr>
      </w:pPr>
      <w:r w:rsidRPr="00732102">
        <w:rPr>
          <w:noProof/>
        </w:rPr>
        <w:t>LEGISLATIVE FINANCIAL AND DIGITAL STATEMENT</w:t>
      </w:r>
    </w:p>
    <w:p w14:paraId="5AA968B1" w14:textId="77777777" w:rsidR="00D37F2D" w:rsidRDefault="00D37F2D" w:rsidP="00D37F2D">
      <w:pPr>
        <w:pStyle w:val="TOC1"/>
        <w:rPr>
          <w:rFonts w:asciiTheme="minorHAnsi" w:eastAsiaTheme="minorEastAsia" w:hAnsiTheme="minorHAnsi" w:cstheme="minorBidi"/>
          <w:noProof/>
          <w:kern w:val="2"/>
          <w:sz w:val="22"/>
          <w:lang w:eastAsia="en-GB"/>
          <w14:ligatures w14:val="standardContextual"/>
        </w:rPr>
      </w:pPr>
      <w:r w:rsidRPr="00292B05">
        <w:rPr>
          <w:noProof/>
        </w:rPr>
        <w:t>1.</w:t>
      </w:r>
      <w:r>
        <w:rPr>
          <w:rFonts w:asciiTheme="minorHAnsi" w:eastAsiaTheme="minorEastAsia" w:hAnsiTheme="minorHAnsi" w:cstheme="minorBidi"/>
          <w:noProof/>
          <w:kern w:val="2"/>
          <w:sz w:val="22"/>
          <w:lang w:eastAsia="en-GB"/>
          <w14:ligatures w14:val="standardContextual"/>
        </w:rPr>
        <w:tab/>
      </w:r>
      <w:r w:rsidRPr="00292B05">
        <w:rPr>
          <w:noProof/>
        </w:rPr>
        <w:t>FRAMEWORK OF THE PROPOSAL/INITIATIVE</w:t>
      </w:r>
      <w:r>
        <w:rPr>
          <w:noProof/>
          <w:webHidden/>
        </w:rPr>
        <w:tab/>
        <w:t>3</w:t>
      </w:r>
    </w:p>
    <w:p w14:paraId="30223A6C" w14:textId="77777777"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1.1.</w:t>
      </w:r>
      <w:r>
        <w:rPr>
          <w:rFonts w:asciiTheme="minorHAnsi" w:eastAsiaTheme="minorEastAsia" w:hAnsiTheme="minorHAnsi" w:cstheme="minorBidi"/>
          <w:noProof/>
          <w:kern w:val="2"/>
          <w:sz w:val="22"/>
          <w:lang w:eastAsia="en-GB"/>
          <w14:ligatures w14:val="standardContextual"/>
        </w:rPr>
        <w:tab/>
      </w:r>
      <w:r w:rsidRPr="00292B05">
        <w:rPr>
          <w:noProof/>
        </w:rPr>
        <w:t>Title of the proposal/initiative</w:t>
      </w:r>
      <w:r>
        <w:rPr>
          <w:noProof/>
          <w:webHidden/>
        </w:rPr>
        <w:tab/>
        <w:t>3</w:t>
      </w:r>
    </w:p>
    <w:p w14:paraId="2C281F32" w14:textId="77777777"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1.2.</w:t>
      </w:r>
      <w:r>
        <w:rPr>
          <w:rFonts w:asciiTheme="minorHAnsi" w:eastAsiaTheme="minorEastAsia" w:hAnsiTheme="minorHAnsi" w:cstheme="minorBidi"/>
          <w:noProof/>
          <w:kern w:val="2"/>
          <w:sz w:val="22"/>
          <w:lang w:eastAsia="en-GB"/>
          <w14:ligatures w14:val="standardContextual"/>
        </w:rPr>
        <w:tab/>
      </w:r>
      <w:r w:rsidRPr="00292B05">
        <w:rPr>
          <w:noProof/>
        </w:rPr>
        <w:t>Policy area(s) concerned</w:t>
      </w:r>
      <w:r>
        <w:rPr>
          <w:noProof/>
          <w:webHidden/>
        </w:rPr>
        <w:tab/>
        <w:t>3</w:t>
      </w:r>
    </w:p>
    <w:p w14:paraId="1A419277" w14:textId="77777777"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1.3.</w:t>
      </w:r>
      <w:r>
        <w:rPr>
          <w:rFonts w:asciiTheme="minorHAnsi" w:eastAsiaTheme="minorEastAsia" w:hAnsiTheme="minorHAnsi" w:cstheme="minorBidi"/>
          <w:noProof/>
          <w:kern w:val="2"/>
          <w:sz w:val="22"/>
          <w:lang w:eastAsia="en-GB"/>
          <w14:ligatures w14:val="standardContextual"/>
        </w:rPr>
        <w:tab/>
      </w:r>
      <w:r w:rsidRPr="00292B05">
        <w:rPr>
          <w:noProof/>
        </w:rPr>
        <w:t>Objective(s)</w:t>
      </w:r>
      <w:r>
        <w:rPr>
          <w:noProof/>
          <w:webHidden/>
        </w:rPr>
        <w:tab/>
        <w:t>3</w:t>
      </w:r>
    </w:p>
    <w:p w14:paraId="609C95C7" w14:textId="77777777"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1.3.1.</w:t>
      </w:r>
      <w:r>
        <w:rPr>
          <w:rFonts w:asciiTheme="minorHAnsi" w:eastAsiaTheme="minorEastAsia" w:hAnsiTheme="minorHAnsi" w:cstheme="minorBidi"/>
          <w:noProof/>
          <w:kern w:val="2"/>
          <w:sz w:val="22"/>
          <w:lang w:eastAsia="en-GB"/>
          <w14:ligatures w14:val="standardContextual"/>
        </w:rPr>
        <w:tab/>
      </w:r>
      <w:r w:rsidRPr="00292B05">
        <w:rPr>
          <w:noProof/>
        </w:rPr>
        <w:t>General objective(s)</w:t>
      </w:r>
      <w:r>
        <w:rPr>
          <w:noProof/>
          <w:webHidden/>
        </w:rPr>
        <w:tab/>
        <w:t>3</w:t>
      </w:r>
    </w:p>
    <w:p w14:paraId="722AD61F" w14:textId="77777777"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1.3.2.</w:t>
      </w:r>
      <w:r>
        <w:rPr>
          <w:rFonts w:asciiTheme="minorHAnsi" w:eastAsiaTheme="minorEastAsia" w:hAnsiTheme="minorHAnsi" w:cstheme="minorBidi"/>
          <w:noProof/>
          <w:kern w:val="2"/>
          <w:sz w:val="22"/>
          <w:lang w:eastAsia="en-GB"/>
          <w14:ligatures w14:val="standardContextual"/>
        </w:rPr>
        <w:tab/>
      </w:r>
      <w:r w:rsidRPr="00292B05">
        <w:rPr>
          <w:noProof/>
        </w:rPr>
        <w:t>Specific objective(s)</w:t>
      </w:r>
      <w:r>
        <w:rPr>
          <w:noProof/>
          <w:webHidden/>
        </w:rPr>
        <w:tab/>
        <w:t>3</w:t>
      </w:r>
    </w:p>
    <w:p w14:paraId="70655380" w14:textId="77777777"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1.3.3.</w:t>
      </w:r>
      <w:r>
        <w:rPr>
          <w:rFonts w:asciiTheme="minorHAnsi" w:eastAsiaTheme="minorEastAsia" w:hAnsiTheme="minorHAnsi" w:cstheme="minorBidi"/>
          <w:noProof/>
          <w:kern w:val="2"/>
          <w:sz w:val="22"/>
          <w:lang w:eastAsia="en-GB"/>
          <w14:ligatures w14:val="standardContextual"/>
        </w:rPr>
        <w:tab/>
      </w:r>
      <w:r w:rsidRPr="00292B05">
        <w:rPr>
          <w:noProof/>
        </w:rPr>
        <w:t>Expected result(s) and impact</w:t>
      </w:r>
      <w:r>
        <w:rPr>
          <w:noProof/>
          <w:webHidden/>
        </w:rPr>
        <w:tab/>
        <w:t>3</w:t>
      </w:r>
    </w:p>
    <w:p w14:paraId="7A415998" w14:textId="77777777"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1.3.4.</w:t>
      </w:r>
      <w:r>
        <w:rPr>
          <w:rFonts w:asciiTheme="minorHAnsi" w:eastAsiaTheme="minorEastAsia" w:hAnsiTheme="minorHAnsi" w:cstheme="minorBidi"/>
          <w:noProof/>
          <w:kern w:val="2"/>
          <w:sz w:val="22"/>
          <w:lang w:eastAsia="en-GB"/>
          <w14:ligatures w14:val="standardContextual"/>
        </w:rPr>
        <w:tab/>
      </w:r>
      <w:r w:rsidRPr="00292B05">
        <w:rPr>
          <w:noProof/>
        </w:rPr>
        <w:t>Indicators of performance</w:t>
      </w:r>
      <w:r>
        <w:rPr>
          <w:noProof/>
          <w:webHidden/>
        </w:rPr>
        <w:tab/>
        <w:t>3</w:t>
      </w:r>
    </w:p>
    <w:p w14:paraId="3817256A" w14:textId="77777777"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1.4.</w:t>
      </w:r>
      <w:r>
        <w:rPr>
          <w:rFonts w:asciiTheme="minorHAnsi" w:eastAsiaTheme="minorEastAsia" w:hAnsiTheme="minorHAnsi" w:cstheme="minorBidi"/>
          <w:noProof/>
          <w:kern w:val="2"/>
          <w:sz w:val="22"/>
          <w:lang w:eastAsia="en-GB"/>
          <w14:ligatures w14:val="standardContextual"/>
        </w:rPr>
        <w:tab/>
      </w:r>
      <w:r w:rsidRPr="00292B05">
        <w:rPr>
          <w:noProof/>
        </w:rPr>
        <w:t>The proposal/initiative relates to:</w:t>
      </w:r>
      <w:r>
        <w:rPr>
          <w:noProof/>
          <w:webHidden/>
        </w:rPr>
        <w:tab/>
        <w:t>4</w:t>
      </w:r>
    </w:p>
    <w:p w14:paraId="6B031D76" w14:textId="74081FAE"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1.5.</w:t>
      </w:r>
      <w:r>
        <w:rPr>
          <w:rFonts w:asciiTheme="minorHAnsi" w:eastAsiaTheme="minorEastAsia" w:hAnsiTheme="minorHAnsi" w:cstheme="minorBidi"/>
          <w:noProof/>
          <w:kern w:val="2"/>
          <w:sz w:val="22"/>
          <w:lang w:eastAsia="en-GB"/>
          <w14:ligatures w14:val="standardContextual"/>
        </w:rPr>
        <w:tab/>
      </w:r>
      <w:r w:rsidRPr="00292B05">
        <w:rPr>
          <w:noProof/>
        </w:rPr>
        <w:t>Grounds for the proposal/initiative</w:t>
      </w:r>
      <w:r>
        <w:rPr>
          <w:noProof/>
          <w:webHidden/>
        </w:rPr>
        <w:tab/>
      </w:r>
      <w:r w:rsidR="00B05F8A">
        <w:rPr>
          <w:noProof/>
          <w:webHidden/>
        </w:rPr>
        <w:t>5</w:t>
      </w:r>
    </w:p>
    <w:p w14:paraId="718E1C6B" w14:textId="76B4537D"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1.5.1.</w:t>
      </w:r>
      <w:r>
        <w:rPr>
          <w:rFonts w:asciiTheme="minorHAnsi" w:eastAsiaTheme="minorEastAsia" w:hAnsiTheme="minorHAnsi" w:cstheme="minorBidi"/>
          <w:noProof/>
          <w:kern w:val="2"/>
          <w:sz w:val="22"/>
          <w:lang w:eastAsia="en-GB"/>
          <w14:ligatures w14:val="standardContextual"/>
        </w:rPr>
        <w:tab/>
      </w:r>
      <w:r w:rsidRPr="00292B05">
        <w:rPr>
          <w:noProof/>
        </w:rPr>
        <w:t>Requirement(s) to be met in the short or long term including a detailed timeline for roll-out of the implementation of the initiative</w:t>
      </w:r>
      <w:r>
        <w:rPr>
          <w:noProof/>
          <w:webHidden/>
        </w:rPr>
        <w:tab/>
      </w:r>
      <w:r w:rsidR="00B05F8A">
        <w:rPr>
          <w:noProof/>
          <w:webHidden/>
        </w:rPr>
        <w:t>5</w:t>
      </w:r>
    </w:p>
    <w:p w14:paraId="73E52C14" w14:textId="7EF3D738"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1.5.2.</w:t>
      </w:r>
      <w:r>
        <w:rPr>
          <w:rFonts w:asciiTheme="minorHAnsi" w:eastAsiaTheme="minorEastAsia" w:hAnsiTheme="minorHAnsi" w:cstheme="minorBidi"/>
          <w:noProof/>
          <w:kern w:val="2"/>
          <w:sz w:val="22"/>
          <w:lang w:eastAsia="en-GB"/>
          <w14:ligatures w14:val="standardContextual"/>
        </w:rPr>
        <w:tab/>
      </w:r>
      <w:r w:rsidRPr="00292B05">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r>
      <w:r w:rsidR="00B05F8A">
        <w:rPr>
          <w:noProof/>
          <w:webHidden/>
        </w:rPr>
        <w:t>5</w:t>
      </w:r>
    </w:p>
    <w:p w14:paraId="39D8FB2B" w14:textId="6B948670"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1.5.3.</w:t>
      </w:r>
      <w:r>
        <w:rPr>
          <w:rFonts w:asciiTheme="minorHAnsi" w:eastAsiaTheme="minorEastAsia" w:hAnsiTheme="minorHAnsi" w:cstheme="minorBidi"/>
          <w:noProof/>
          <w:kern w:val="2"/>
          <w:sz w:val="22"/>
          <w:lang w:eastAsia="en-GB"/>
          <w14:ligatures w14:val="standardContextual"/>
        </w:rPr>
        <w:tab/>
      </w:r>
      <w:r w:rsidRPr="00292B05">
        <w:rPr>
          <w:noProof/>
        </w:rPr>
        <w:t>Lessons learned from similar experiences in the past</w:t>
      </w:r>
      <w:r>
        <w:rPr>
          <w:noProof/>
          <w:webHidden/>
        </w:rPr>
        <w:tab/>
      </w:r>
      <w:r w:rsidR="00B05F8A">
        <w:rPr>
          <w:noProof/>
          <w:webHidden/>
        </w:rPr>
        <w:t>5</w:t>
      </w:r>
    </w:p>
    <w:p w14:paraId="54287CDB" w14:textId="3BF663B5"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1.5.4.</w:t>
      </w:r>
      <w:r>
        <w:rPr>
          <w:rFonts w:asciiTheme="minorHAnsi" w:eastAsiaTheme="minorEastAsia" w:hAnsiTheme="minorHAnsi" w:cstheme="minorBidi"/>
          <w:noProof/>
          <w:kern w:val="2"/>
          <w:sz w:val="22"/>
          <w:lang w:eastAsia="en-GB"/>
          <w14:ligatures w14:val="standardContextual"/>
        </w:rPr>
        <w:tab/>
      </w:r>
      <w:r w:rsidRPr="00292B05">
        <w:rPr>
          <w:noProof/>
        </w:rPr>
        <w:t>Compatibility with the multiannual financial framework and possible synergies with other appropriate instruments</w:t>
      </w:r>
      <w:r>
        <w:rPr>
          <w:noProof/>
          <w:webHidden/>
        </w:rPr>
        <w:tab/>
      </w:r>
      <w:r w:rsidR="00354A81">
        <w:rPr>
          <w:noProof/>
          <w:webHidden/>
        </w:rPr>
        <w:t>5</w:t>
      </w:r>
    </w:p>
    <w:p w14:paraId="304ACE67" w14:textId="765BFBAE"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1.5.5.</w:t>
      </w:r>
      <w:r>
        <w:rPr>
          <w:rFonts w:asciiTheme="minorHAnsi" w:eastAsiaTheme="minorEastAsia" w:hAnsiTheme="minorHAnsi" w:cstheme="minorBidi"/>
          <w:noProof/>
          <w:kern w:val="2"/>
          <w:sz w:val="22"/>
          <w:lang w:eastAsia="en-GB"/>
          <w14:ligatures w14:val="standardContextual"/>
        </w:rPr>
        <w:tab/>
      </w:r>
      <w:r w:rsidRPr="00292B05">
        <w:rPr>
          <w:noProof/>
        </w:rPr>
        <w:t>Assessment of the different available financing options, including scope for redeployment</w:t>
      </w:r>
      <w:r>
        <w:rPr>
          <w:noProof/>
          <w:webHidden/>
        </w:rPr>
        <w:tab/>
      </w:r>
      <w:r w:rsidR="00354A81">
        <w:rPr>
          <w:noProof/>
          <w:webHidden/>
        </w:rPr>
        <w:t>6</w:t>
      </w:r>
    </w:p>
    <w:p w14:paraId="40DD0E06" w14:textId="41D335C0"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1.6.</w:t>
      </w:r>
      <w:r>
        <w:rPr>
          <w:rFonts w:asciiTheme="minorHAnsi" w:eastAsiaTheme="minorEastAsia" w:hAnsiTheme="minorHAnsi" w:cstheme="minorBidi"/>
          <w:noProof/>
          <w:kern w:val="2"/>
          <w:sz w:val="22"/>
          <w:lang w:eastAsia="en-GB"/>
          <w14:ligatures w14:val="standardContextual"/>
        </w:rPr>
        <w:tab/>
      </w:r>
      <w:r w:rsidRPr="00292B05">
        <w:rPr>
          <w:noProof/>
        </w:rPr>
        <w:t>Duration of the proposal/initiative and of its financial impact</w:t>
      </w:r>
      <w:r>
        <w:rPr>
          <w:noProof/>
          <w:webHidden/>
        </w:rPr>
        <w:tab/>
      </w:r>
      <w:r w:rsidR="00354A81">
        <w:rPr>
          <w:noProof/>
          <w:webHidden/>
        </w:rPr>
        <w:t>7</w:t>
      </w:r>
    </w:p>
    <w:p w14:paraId="7B6FD664" w14:textId="5EC1E42F"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1.7.</w:t>
      </w:r>
      <w:r>
        <w:rPr>
          <w:rFonts w:asciiTheme="minorHAnsi" w:eastAsiaTheme="minorEastAsia" w:hAnsiTheme="minorHAnsi" w:cstheme="minorBidi"/>
          <w:noProof/>
          <w:kern w:val="2"/>
          <w:sz w:val="22"/>
          <w:lang w:eastAsia="en-GB"/>
          <w14:ligatures w14:val="standardContextual"/>
        </w:rPr>
        <w:tab/>
      </w:r>
      <w:r w:rsidRPr="00292B05">
        <w:rPr>
          <w:noProof/>
        </w:rPr>
        <w:t>Method(s) of budget implementation planned</w:t>
      </w:r>
      <w:r>
        <w:rPr>
          <w:noProof/>
          <w:webHidden/>
        </w:rPr>
        <w:tab/>
      </w:r>
      <w:r w:rsidR="00354A81">
        <w:rPr>
          <w:noProof/>
          <w:webHidden/>
        </w:rPr>
        <w:t>7</w:t>
      </w:r>
    </w:p>
    <w:p w14:paraId="0C80AED8" w14:textId="77777777" w:rsidR="00D37F2D" w:rsidRDefault="00D37F2D" w:rsidP="00D37F2D">
      <w:pPr>
        <w:pStyle w:val="TOC1"/>
        <w:rPr>
          <w:rFonts w:asciiTheme="minorHAnsi" w:eastAsiaTheme="minorEastAsia" w:hAnsiTheme="minorHAnsi" w:cstheme="minorBidi"/>
          <w:noProof/>
          <w:kern w:val="2"/>
          <w:sz w:val="22"/>
          <w:lang w:eastAsia="en-GB"/>
          <w14:ligatures w14:val="standardContextual"/>
        </w:rPr>
      </w:pPr>
      <w:r w:rsidRPr="00292B05">
        <w:rPr>
          <w:noProof/>
        </w:rPr>
        <w:t>2.</w:t>
      </w:r>
      <w:r>
        <w:rPr>
          <w:rFonts w:asciiTheme="minorHAnsi" w:eastAsiaTheme="minorEastAsia" w:hAnsiTheme="minorHAnsi" w:cstheme="minorBidi"/>
          <w:noProof/>
          <w:kern w:val="2"/>
          <w:sz w:val="22"/>
          <w:lang w:eastAsia="en-GB"/>
          <w14:ligatures w14:val="standardContextual"/>
        </w:rPr>
        <w:tab/>
      </w:r>
      <w:r w:rsidRPr="00292B05">
        <w:rPr>
          <w:noProof/>
        </w:rPr>
        <w:t>MANAGEMENT MEASURES</w:t>
      </w:r>
      <w:r>
        <w:rPr>
          <w:noProof/>
          <w:webHidden/>
        </w:rPr>
        <w:tab/>
        <w:t>8</w:t>
      </w:r>
    </w:p>
    <w:p w14:paraId="3FC05954" w14:textId="77777777"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2.1.</w:t>
      </w:r>
      <w:r>
        <w:rPr>
          <w:rFonts w:asciiTheme="minorHAnsi" w:eastAsiaTheme="minorEastAsia" w:hAnsiTheme="minorHAnsi" w:cstheme="minorBidi"/>
          <w:noProof/>
          <w:kern w:val="2"/>
          <w:sz w:val="22"/>
          <w:lang w:eastAsia="en-GB"/>
          <w14:ligatures w14:val="standardContextual"/>
        </w:rPr>
        <w:tab/>
      </w:r>
      <w:r w:rsidRPr="00292B05">
        <w:rPr>
          <w:noProof/>
        </w:rPr>
        <w:t>Monitoring and reporting rules</w:t>
      </w:r>
      <w:r>
        <w:rPr>
          <w:noProof/>
          <w:webHidden/>
        </w:rPr>
        <w:tab/>
        <w:t>8</w:t>
      </w:r>
    </w:p>
    <w:p w14:paraId="512FC295" w14:textId="77777777"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2.2.</w:t>
      </w:r>
      <w:r>
        <w:rPr>
          <w:rFonts w:asciiTheme="minorHAnsi" w:eastAsiaTheme="minorEastAsia" w:hAnsiTheme="minorHAnsi" w:cstheme="minorBidi"/>
          <w:noProof/>
          <w:kern w:val="2"/>
          <w:sz w:val="22"/>
          <w:lang w:eastAsia="en-GB"/>
          <w14:ligatures w14:val="standardContextual"/>
        </w:rPr>
        <w:tab/>
      </w:r>
      <w:r w:rsidRPr="00292B05">
        <w:rPr>
          <w:noProof/>
        </w:rPr>
        <w:t>Management and control system(s)</w:t>
      </w:r>
      <w:r>
        <w:rPr>
          <w:noProof/>
          <w:webHidden/>
        </w:rPr>
        <w:tab/>
        <w:t>8</w:t>
      </w:r>
    </w:p>
    <w:p w14:paraId="3048AA84" w14:textId="77777777"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2.2.1.</w:t>
      </w:r>
      <w:r>
        <w:rPr>
          <w:rFonts w:asciiTheme="minorHAnsi" w:eastAsiaTheme="minorEastAsia" w:hAnsiTheme="minorHAnsi" w:cstheme="minorBidi"/>
          <w:noProof/>
          <w:kern w:val="2"/>
          <w:sz w:val="22"/>
          <w:lang w:eastAsia="en-GB"/>
          <w14:ligatures w14:val="standardContextual"/>
        </w:rPr>
        <w:tab/>
      </w:r>
      <w:r w:rsidRPr="00292B05">
        <w:rPr>
          <w:noProof/>
        </w:rPr>
        <w:t>Justification of the budget implementation method(s), the funding implementation mechanism(s), the payment modalities and the control strategy proposed</w:t>
      </w:r>
      <w:r>
        <w:rPr>
          <w:noProof/>
          <w:webHidden/>
        </w:rPr>
        <w:tab/>
        <w:t>8</w:t>
      </w:r>
    </w:p>
    <w:p w14:paraId="6EC2625E" w14:textId="77777777"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2.2.2.</w:t>
      </w:r>
      <w:r>
        <w:rPr>
          <w:rFonts w:asciiTheme="minorHAnsi" w:eastAsiaTheme="minorEastAsia" w:hAnsiTheme="minorHAnsi" w:cstheme="minorBidi"/>
          <w:noProof/>
          <w:kern w:val="2"/>
          <w:sz w:val="22"/>
          <w:lang w:eastAsia="en-GB"/>
          <w14:ligatures w14:val="standardContextual"/>
        </w:rPr>
        <w:tab/>
      </w:r>
      <w:r w:rsidRPr="00292B05">
        <w:rPr>
          <w:noProof/>
        </w:rPr>
        <w:t>Information concerning the risks identified and the internal control system(s) set up to mitigate them</w:t>
      </w:r>
      <w:r>
        <w:rPr>
          <w:noProof/>
          <w:webHidden/>
        </w:rPr>
        <w:tab/>
        <w:t>8</w:t>
      </w:r>
    </w:p>
    <w:p w14:paraId="324496E0" w14:textId="4F5BCC52"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2.2.3.</w:t>
      </w:r>
      <w:r>
        <w:rPr>
          <w:rFonts w:asciiTheme="minorHAnsi" w:eastAsiaTheme="minorEastAsia" w:hAnsiTheme="minorHAnsi" w:cstheme="minorBidi"/>
          <w:noProof/>
          <w:kern w:val="2"/>
          <w:sz w:val="22"/>
          <w:lang w:eastAsia="en-GB"/>
          <w14:ligatures w14:val="standardContextual"/>
        </w:rPr>
        <w:tab/>
      </w:r>
      <w:r w:rsidRPr="00292B05">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r>
      <w:r w:rsidR="009F3361">
        <w:rPr>
          <w:noProof/>
          <w:webHidden/>
        </w:rPr>
        <w:t>10</w:t>
      </w:r>
    </w:p>
    <w:p w14:paraId="0C5CEA6B" w14:textId="0FBA3930"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2.3.</w:t>
      </w:r>
      <w:r>
        <w:rPr>
          <w:rFonts w:asciiTheme="minorHAnsi" w:eastAsiaTheme="minorEastAsia" w:hAnsiTheme="minorHAnsi" w:cstheme="minorBidi"/>
          <w:noProof/>
          <w:kern w:val="2"/>
          <w:sz w:val="22"/>
          <w:lang w:eastAsia="en-GB"/>
          <w14:ligatures w14:val="standardContextual"/>
        </w:rPr>
        <w:tab/>
      </w:r>
      <w:r w:rsidRPr="00292B05">
        <w:rPr>
          <w:noProof/>
        </w:rPr>
        <w:t>Measures to prevent fraud and irregularities</w:t>
      </w:r>
      <w:r>
        <w:rPr>
          <w:noProof/>
          <w:webHidden/>
        </w:rPr>
        <w:tab/>
      </w:r>
      <w:r w:rsidR="001876CE">
        <w:rPr>
          <w:noProof/>
          <w:webHidden/>
        </w:rPr>
        <w:t>10</w:t>
      </w:r>
    </w:p>
    <w:p w14:paraId="6399B295" w14:textId="7630A047" w:rsidR="00D37F2D" w:rsidRDefault="00D37F2D" w:rsidP="00D37F2D">
      <w:pPr>
        <w:pStyle w:val="TOC1"/>
        <w:rPr>
          <w:rFonts w:asciiTheme="minorHAnsi" w:eastAsiaTheme="minorEastAsia" w:hAnsiTheme="minorHAnsi" w:cstheme="minorBidi"/>
          <w:noProof/>
          <w:kern w:val="2"/>
          <w:sz w:val="22"/>
          <w:lang w:eastAsia="en-GB"/>
          <w14:ligatures w14:val="standardContextual"/>
        </w:rPr>
      </w:pPr>
      <w:r w:rsidRPr="00292B05">
        <w:rPr>
          <w:noProof/>
        </w:rPr>
        <w:t>3.</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PROPOSAL/INITIATIVE</w:t>
      </w:r>
      <w:r>
        <w:rPr>
          <w:noProof/>
          <w:webHidden/>
        </w:rPr>
        <w:tab/>
      </w:r>
      <w:r w:rsidR="009123A7">
        <w:rPr>
          <w:noProof/>
          <w:webHidden/>
        </w:rPr>
        <w:t>12</w:t>
      </w:r>
    </w:p>
    <w:p w14:paraId="1A64E250" w14:textId="4281CCB0"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3.1.</w:t>
      </w:r>
      <w:r>
        <w:rPr>
          <w:rFonts w:asciiTheme="minorHAnsi" w:eastAsiaTheme="minorEastAsia" w:hAnsiTheme="minorHAnsi" w:cstheme="minorBidi"/>
          <w:noProof/>
          <w:kern w:val="2"/>
          <w:sz w:val="22"/>
          <w:lang w:eastAsia="en-GB"/>
          <w14:ligatures w14:val="standardContextual"/>
        </w:rPr>
        <w:tab/>
      </w:r>
      <w:r w:rsidRPr="00292B05">
        <w:rPr>
          <w:noProof/>
        </w:rPr>
        <w:t>Heading(s) of the multiannual financial framework and expenditure budget line(s) affected</w:t>
      </w:r>
      <w:r>
        <w:rPr>
          <w:noProof/>
          <w:webHidden/>
        </w:rPr>
        <w:tab/>
      </w:r>
      <w:r w:rsidR="009123A7">
        <w:rPr>
          <w:noProof/>
          <w:webHidden/>
        </w:rPr>
        <w:t>12</w:t>
      </w:r>
    </w:p>
    <w:p w14:paraId="2B4AC4EC" w14:textId="08965063"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3.2.</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 on appropriations</w:t>
      </w:r>
      <w:r>
        <w:rPr>
          <w:noProof/>
          <w:webHidden/>
        </w:rPr>
        <w:tab/>
      </w:r>
      <w:r w:rsidR="009123A7">
        <w:rPr>
          <w:noProof/>
          <w:webHidden/>
        </w:rPr>
        <w:t>13</w:t>
      </w:r>
    </w:p>
    <w:p w14:paraId="6E714B80" w14:textId="09968E48"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3.2.1.</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operational appropriations</w:t>
      </w:r>
      <w:r>
        <w:rPr>
          <w:noProof/>
          <w:webHidden/>
        </w:rPr>
        <w:tab/>
      </w:r>
      <w:r w:rsidR="009123A7">
        <w:rPr>
          <w:noProof/>
          <w:webHidden/>
        </w:rPr>
        <w:t>13</w:t>
      </w:r>
    </w:p>
    <w:p w14:paraId="0B6A6F6E" w14:textId="6FDD08FD"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3.2.1.1.</w:t>
      </w:r>
      <w:r>
        <w:rPr>
          <w:rFonts w:asciiTheme="minorHAnsi" w:eastAsiaTheme="minorEastAsia" w:hAnsiTheme="minorHAnsi" w:cstheme="minorBidi"/>
          <w:noProof/>
          <w:kern w:val="2"/>
          <w:sz w:val="22"/>
          <w:lang w:eastAsia="en-GB"/>
          <w14:ligatures w14:val="standardContextual"/>
        </w:rPr>
        <w:tab/>
      </w:r>
      <w:r w:rsidRPr="00292B05">
        <w:rPr>
          <w:noProof/>
        </w:rPr>
        <w:t>Appropriations from voted budget</w:t>
      </w:r>
      <w:r>
        <w:rPr>
          <w:noProof/>
          <w:webHidden/>
        </w:rPr>
        <w:tab/>
      </w:r>
      <w:r w:rsidR="009123A7">
        <w:rPr>
          <w:noProof/>
          <w:webHidden/>
        </w:rPr>
        <w:t>13</w:t>
      </w:r>
    </w:p>
    <w:p w14:paraId="0D41813E" w14:textId="0DAED1E4"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3.2.1.2.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r>
      <w:r w:rsidR="009123A7">
        <w:rPr>
          <w:noProof/>
          <w:webHidden/>
        </w:rPr>
        <w:t>16</w:t>
      </w:r>
    </w:p>
    <w:p w14:paraId="2507D66E" w14:textId="06B6D499"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3.2.2.</w:t>
      </w:r>
      <w:r>
        <w:rPr>
          <w:rFonts w:asciiTheme="minorHAnsi" w:eastAsiaTheme="minorEastAsia" w:hAnsiTheme="minorHAnsi" w:cstheme="minorBidi"/>
          <w:noProof/>
          <w:kern w:val="2"/>
          <w:sz w:val="22"/>
          <w:lang w:eastAsia="en-GB"/>
          <w14:ligatures w14:val="standardContextual"/>
        </w:rPr>
        <w:tab/>
      </w:r>
      <w:r w:rsidRPr="00292B05">
        <w:rPr>
          <w:noProof/>
        </w:rPr>
        <w:t>Estimated output funded from operational appropriations</w:t>
      </w:r>
      <w:r>
        <w:rPr>
          <w:noProof/>
          <w:webHidden/>
        </w:rPr>
        <w:tab/>
      </w:r>
      <w:r w:rsidR="00F31334">
        <w:rPr>
          <w:noProof/>
          <w:webHidden/>
        </w:rPr>
        <w:t>16</w:t>
      </w:r>
    </w:p>
    <w:p w14:paraId="38BA0890" w14:textId="2F06B0F9"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3.2.3.</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administrative appropriations</w:t>
      </w:r>
      <w:r>
        <w:rPr>
          <w:noProof/>
          <w:webHidden/>
        </w:rPr>
        <w:tab/>
      </w:r>
      <w:r w:rsidR="00F31334">
        <w:rPr>
          <w:noProof/>
          <w:webHidden/>
        </w:rPr>
        <w:t>18</w:t>
      </w:r>
    </w:p>
    <w:p w14:paraId="53E7448B" w14:textId="2EC00D8F"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 xml:space="preserve">3.2.3.1. Appropriations </w:t>
      </w:r>
      <w:r w:rsidRPr="00292B05">
        <w:rPr>
          <w:rFonts w:eastAsia="Calibri"/>
          <w:noProof/>
        </w:rPr>
        <w:t>from</w:t>
      </w:r>
      <w:r w:rsidRPr="00292B05">
        <w:rPr>
          <w:noProof/>
        </w:rPr>
        <w:t xml:space="preserve"> voted budget</w:t>
      </w:r>
      <w:r>
        <w:rPr>
          <w:noProof/>
          <w:webHidden/>
        </w:rPr>
        <w:tab/>
      </w:r>
      <w:r w:rsidR="00F31334">
        <w:rPr>
          <w:noProof/>
          <w:webHidden/>
        </w:rPr>
        <w:t>18</w:t>
      </w:r>
    </w:p>
    <w:p w14:paraId="6A3D663B" w14:textId="18D4FD45"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3.2.3.2.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r>
      <w:r w:rsidR="00F31334">
        <w:rPr>
          <w:noProof/>
          <w:webHidden/>
        </w:rPr>
        <w:t>18</w:t>
      </w:r>
    </w:p>
    <w:p w14:paraId="5087C830" w14:textId="3E04FD22"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3.2.3.3.</w:t>
      </w:r>
      <w:r>
        <w:rPr>
          <w:rFonts w:asciiTheme="minorHAnsi" w:eastAsiaTheme="minorEastAsia" w:hAnsiTheme="minorHAnsi" w:cstheme="minorBidi"/>
          <w:noProof/>
          <w:kern w:val="2"/>
          <w:sz w:val="22"/>
          <w:lang w:eastAsia="en-GB"/>
          <w14:ligatures w14:val="standardContextual"/>
        </w:rPr>
        <w:tab/>
      </w:r>
      <w:r w:rsidRPr="00292B05">
        <w:rPr>
          <w:noProof/>
        </w:rPr>
        <w:t>Total appropriations</w:t>
      </w:r>
      <w:r>
        <w:rPr>
          <w:noProof/>
          <w:webHidden/>
        </w:rPr>
        <w:tab/>
      </w:r>
      <w:r w:rsidR="00F31334">
        <w:rPr>
          <w:noProof/>
          <w:webHidden/>
        </w:rPr>
        <w:t>18</w:t>
      </w:r>
    </w:p>
    <w:p w14:paraId="0417C2B7" w14:textId="606FDC9D"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3.2.4.</w:t>
      </w:r>
      <w:r>
        <w:rPr>
          <w:rFonts w:asciiTheme="minorHAnsi" w:eastAsiaTheme="minorEastAsia" w:hAnsiTheme="minorHAnsi" w:cstheme="minorBidi"/>
          <w:noProof/>
          <w:kern w:val="2"/>
          <w:sz w:val="22"/>
          <w:lang w:eastAsia="en-GB"/>
          <w14:ligatures w14:val="standardContextual"/>
        </w:rPr>
        <w:tab/>
      </w:r>
      <w:r w:rsidRPr="00292B05">
        <w:rPr>
          <w:noProof/>
        </w:rPr>
        <w:t>Estimated requirements of human resources</w:t>
      </w:r>
      <w:r>
        <w:rPr>
          <w:noProof/>
          <w:webHidden/>
        </w:rPr>
        <w:tab/>
      </w:r>
      <w:r w:rsidR="00F31334">
        <w:rPr>
          <w:noProof/>
          <w:webHidden/>
        </w:rPr>
        <w:t>19</w:t>
      </w:r>
    </w:p>
    <w:p w14:paraId="1E95A1D3" w14:textId="3E6F5604"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3.2.4.1.</w:t>
      </w:r>
      <w:r>
        <w:rPr>
          <w:rFonts w:asciiTheme="minorHAnsi" w:eastAsiaTheme="minorEastAsia" w:hAnsiTheme="minorHAnsi" w:cstheme="minorBidi"/>
          <w:noProof/>
          <w:kern w:val="2"/>
          <w:sz w:val="22"/>
          <w:lang w:eastAsia="en-GB"/>
          <w14:ligatures w14:val="standardContextual"/>
        </w:rPr>
        <w:tab/>
      </w:r>
      <w:r w:rsidRPr="00292B05">
        <w:rPr>
          <w:noProof/>
        </w:rPr>
        <w:t>Financed from voted budget</w:t>
      </w:r>
      <w:r>
        <w:rPr>
          <w:noProof/>
          <w:webHidden/>
        </w:rPr>
        <w:tab/>
      </w:r>
      <w:r w:rsidR="00F31334">
        <w:rPr>
          <w:noProof/>
          <w:webHidden/>
        </w:rPr>
        <w:t>19</w:t>
      </w:r>
    </w:p>
    <w:p w14:paraId="6D6DF018" w14:textId="5043AF45"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3.2.4.2.</w:t>
      </w:r>
      <w:r>
        <w:rPr>
          <w:rFonts w:asciiTheme="minorHAnsi" w:eastAsiaTheme="minorEastAsia" w:hAnsiTheme="minorHAnsi" w:cstheme="minorBidi"/>
          <w:noProof/>
          <w:kern w:val="2"/>
          <w:sz w:val="22"/>
          <w:lang w:eastAsia="en-GB"/>
          <w14:ligatures w14:val="standardContextual"/>
        </w:rPr>
        <w:tab/>
      </w:r>
      <w:r w:rsidRPr="00292B05">
        <w:rPr>
          <w:noProof/>
        </w:rPr>
        <w:t>Financed from external assigned revenues</w:t>
      </w:r>
      <w:r>
        <w:rPr>
          <w:noProof/>
          <w:webHidden/>
        </w:rPr>
        <w:tab/>
      </w:r>
      <w:r w:rsidR="00F85C81">
        <w:rPr>
          <w:noProof/>
          <w:webHidden/>
        </w:rPr>
        <w:t>20</w:t>
      </w:r>
    </w:p>
    <w:p w14:paraId="2DA0BDC2" w14:textId="4FA7BF69"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3.2.4.3.</w:t>
      </w:r>
      <w:r>
        <w:rPr>
          <w:rFonts w:asciiTheme="minorHAnsi" w:eastAsiaTheme="minorEastAsia" w:hAnsiTheme="minorHAnsi" w:cstheme="minorBidi"/>
          <w:noProof/>
          <w:kern w:val="2"/>
          <w:sz w:val="22"/>
          <w:lang w:eastAsia="en-GB"/>
          <w14:ligatures w14:val="standardContextual"/>
        </w:rPr>
        <w:tab/>
      </w:r>
      <w:r w:rsidRPr="00292B05">
        <w:rPr>
          <w:noProof/>
        </w:rPr>
        <w:t>Total requirements of human resources</w:t>
      </w:r>
      <w:r>
        <w:rPr>
          <w:noProof/>
          <w:webHidden/>
        </w:rPr>
        <w:tab/>
      </w:r>
      <w:r w:rsidR="00F85C81">
        <w:rPr>
          <w:noProof/>
          <w:webHidden/>
        </w:rPr>
        <w:t>20</w:t>
      </w:r>
    </w:p>
    <w:p w14:paraId="0A9C8AD4" w14:textId="7166F4B6"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3.2.5.</w:t>
      </w:r>
      <w:r>
        <w:rPr>
          <w:rFonts w:asciiTheme="minorHAnsi" w:eastAsiaTheme="minorEastAsia" w:hAnsiTheme="minorHAnsi" w:cstheme="minorBidi"/>
          <w:noProof/>
          <w:kern w:val="2"/>
          <w:sz w:val="22"/>
          <w:lang w:eastAsia="en-GB"/>
          <w14:ligatures w14:val="standardContextual"/>
        </w:rPr>
        <w:tab/>
      </w:r>
      <w:r w:rsidRPr="00292B05">
        <w:rPr>
          <w:noProof/>
        </w:rPr>
        <w:t>Overview of estimated impact on digital technology-related investments</w:t>
      </w:r>
      <w:r>
        <w:rPr>
          <w:noProof/>
          <w:webHidden/>
        </w:rPr>
        <w:tab/>
      </w:r>
      <w:r w:rsidR="00D709E5">
        <w:rPr>
          <w:noProof/>
          <w:webHidden/>
        </w:rPr>
        <w:t>23</w:t>
      </w:r>
    </w:p>
    <w:p w14:paraId="3286A834" w14:textId="15C6D498"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3.2.6.</w:t>
      </w:r>
      <w:r>
        <w:rPr>
          <w:rFonts w:asciiTheme="minorHAnsi" w:eastAsiaTheme="minorEastAsia" w:hAnsiTheme="minorHAnsi" w:cstheme="minorBidi"/>
          <w:noProof/>
          <w:kern w:val="2"/>
          <w:sz w:val="22"/>
          <w:lang w:eastAsia="en-GB"/>
          <w14:ligatures w14:val="standardContextual"/>
        </w:rPr>
        <w:tab/>
      </w:r>
      <w:r w:rsidRPr="00292B05">
        <w:rPr>
          <w:noProof/>
        </w:rPr>
        <w:t>Compatibility with the current multiannual financial framework</w:t>
      </w:r>
      <w:r>
        <w:rPr>
          <w:noProof/>
          <w:webHidden/>
        </w:rPr>
        <w:tab/>
      </w:r>
      <w:r w:rsidR="007F3DE6">
        <w:rPr>
          <w:noProof/>
          <w:webHidden/>
        </w:rPr>
        <w:t>23</w:t>
      </w:r>
    </w:p>
    <w:p w14:paraId="72EFADC7" w14:textId="07D6830B" w:rsidR="00D37F2D" w:rsidRDefault="00D37F2D" w:rsidP="00D37F2D">
      <w:pPr>
        <w:pStyle w:val="TOC3"/>
        <w:rPr>
          <w:rFonts w:asciiTheme="minorHAnsi" w:eastAsiaTheme="minorEastAsia" w:hAnsiTheme="minorHAnsi" w:cstheme="minorBidi"/>
          <w:noProof/>
          <w:kern w:val="2"/>
          <w:sz w:val="22"/>
          <w:lang w:eastAsia="en-GB"/>
          <w14:ligatures w14:val="standardContextual"/>
        </w:rPr>
      </w:pPr>
      <w:r w:rsidRPr="00292B05">
        <w:rPr>
          <w:noProof/>
        </w:rPr>
        <w:t>3.2.7.</w:t>
      </w:r>
      <w:r>
        <w:rPr>
          <w:rFonts w:asciiTheme="minorHAnsi" w:eastAsiaTheme="minorEastAsia" w:hAnsiTheme="minorHAnsi" w:cstheme="minorBidi"/>
          <w:noProof/>
          <w:kern w:val="2"/>
          <w:sz w:val="22"/>
          <w:lang w:eastAsia="en-GB"/>
          <w14:ligatures w14:val="standardContextual"/>
        </w:rPr>
        <w:tab/>
      </w:r>
      <w:r w:rsidRPr="00292B05">
        <w:rPr>
          <w:noProof/>
        </w:rPr>
        <w:t>Third-party contributions</w:t>
      </w:r>
      <w:r>
        <w:rPr>
          <w:noProof/>
          <w:webHidden/>
        </w:rPr>
        <w:tab/>
      </w:r>
      <w:r w:rsidR="009A603A">
        <w:rPr>
          <w:noProof/>
          <w:webHidden/>
        </w:rPr>
        <w:t>24</w:t>
      </w:r>
    </w:p>
    <w:p w14:paraId="6FEA91CB" w14:textId="4B6DFCD6" w:rsidR="00D37F2D" w:rsidRPr="005F34F5"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3.3.</w:t>
      </w:r>
      <w:r w:rsidRPr="005F34F5">
        <w:rPr>
          <w:rFonts w:asciiTheme="minorHAnsi" w:eastAsiaTheme="minorEastAsia" w:hAnsiTheme="minorHAnsi" w:cstheme="minorBidi"/>
          <w:noProof/>
          <w:kern w:val="2"/>
          <w:sz w:val="22"/>
          <w:lang w:eastAsia="en-GB"/>
          <w14:ligatures w14:val="standardContextual"/>
        </w:rPr>
        <w:tab/>
      </w:r>
      <w:r w:rsidRPr="00292B05">
        <w:rPr>
          <w:noProof/>
        </w:rPr>
        <w:t>Estimated impact on revenue</w:t>
      </w:r>
      <w:r w:rsidRPr="005F34F5">
        <w:rPr>
          <w:noProof/>
          <w:webHidden/>
        </w:rPr>
        <w:tab/>
      </w:r>
      <w:r w:rsidR="009A603A">
        <w:rPr>
          <w:noProof/>
          <w:webHidden/>
        </w:rPr>
        <w:t>24</w:t>
      </w:r>
    </w:p>
    <w:p w14:paraId="14E8052C" w14:textId="55896E4A" w:rsidR="00D37F2D" w:rsidRDefault="00D37F2D" w:rsidP="00D37F2D">
      <w:pPr>
        <w:pStyle w:val="TOC1"/>
        <w:rPr>
          <w:rFonts w:asciiTheme="minorHAnsi" w:eastAsiaTheme="minorEastAsia" w:hAnsiTheme="minorHAnsi" w:cstheme="minorBidi"/>
          <w:noProof/>
          <w:kern w:val="2"/>
          <w:sz w:val="22"/>
          <w:lang w:eastAsia="en-GB"/>
          <w14:ligatures w14:val="standardContextual"/>
        </w:rPr>
      </w:pPr>
      <w:r w:rsidRPr="00292B05">
        <w:rPr>
          <w:noProof/>
        </w:rPr>
        <w:t>4.</w:t>
      </w:r>
      <w:r>
        <w:rPr>
          <w:rFonts w:asciiTheme="minorHAnsi" w:eastAsiaTheme="minorEastAsia" w:hAnsiTheme="minorHAnsi" w:cstheme="minorBidi"/>
          <w:noProof/>
          <w:kern w:val="2"/>
          <w:sz w:val="22"/>
          <w:lang w:eastAsia="en-GB"/>
          <w14:ligatures w14:val="standardContextual"/>
        </w:rPr>
        <w:tab/>
      </w:r>
      <w:r w:rsidRPr="00292B05">
        <w:rPr>
          <w:caps/>
          <w:noProof/>
        </w:rPr>
        <w:t>Digital dimensions</w:t>
      </w:r>
      <w:r>
        <w:rPr>
          <w:noProof/>
          <w:webHidden/>
        </w:rPr>
        <w:tab/>
      </w:r>
      <w:r w:rsidR="00F21E0E">
        <w:rPr>
          <w:noProof/>
          <w:webHidden/>
        </w:rPr>
        <w:t>24</w:t>
      </w:r>
    </w:p>
    <w:p w14:paraId="241B162B" w14:textId="1458F0D7"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4.1.</w:t>
      </w:r>
      <w:r>
        <w:rPr>
          <w:rFonts w:asciiTheme="minorHAnsi" w:eastAsiaTheme="minorEastAsia" w:hAnsiTheme="minorHAnsi" w:cstheme="minorBidi"/>
          <w:noProof/>
          <w:kern w:val="2"/>
          <w:sz w:val="22"/>
          <w:lang w:eastAsia="en-GB"/>
          <w14:ligatures w14:val="standardContextual"/>
        </w:rPr>
        <w:tab/>
      </w:r>
      <w:r w:rsidRPr="00292B05">
        <w:rPr>
          <w:noProof/>
        </w:rPr>
        <w:t>Requirements of digital relevance</w:t>
      </w:r>
      <w:r>
        <w:rPr>
          <w:noProof/>
          <w:webHidden/>
        </w:rPr>
        <w:tab/>
      </w:r>
      <w:r w:rsidR="00F21E0E">
        <w:rPr>
          <w:noProof/>
          <w:webHidden/>
        </w:rPr>
        <w:t>24</w:t>
      </w:r>
    </w:p>
    <w:p w14:paraId="3E2E3767" w14:textId="331C276C"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4.2.</w:t>
      </w:r>
      <w:r>
        <w:rPr>
          <w:rFonts w:asciiTheme="minorHAnsi" w:eastAsiaTheme="minorEastAsia" w:hAnsiTheme="minorHAnsi" w:cstheme="minorBidi"/>
          <w:noProof/>
          <w:kern w:val="2"/>
          <w:sz w:val="22"/>
          <w:lang w:eastAsia="en-GB"/>
          <w14:ligatures w14:val="standardContextual"/>
        </w:rPr>
        <w:tab/>
      </w:r>
      <w:r w:rsidRPr="00292B05">
        <w:rPr>
          <w:noProof/>
        </w:rPr>
        <w:t>Data</w:t>
      </w:r>
      <w:r>
        <w:rPr>
          <w:noProof/>
          <w:webHidden/>
        </w:rPr>
        <w:tab/>
      </w:r>
      <w:r w:rsidR="00F21E0E">
        <w:rPr>
          <w:noProof/>
          <w:webHidden/>
        </w:rPr>
        <w:t>25</w:t>
      </w:r>
    </w:p>
    <w:p w14:paraId="0E1044B6" w14:textId="5A21205E"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4.3.</w:t>
      </w:r>
      <w:r>
        <w:rPr>
          <w:rFonts w:asciiTheme="minorHAnsi" w:eastAsiaTheme="minorEastAsia" w:hAnsiTheme="minorHAnsi" w:cstheme="minorBidi"/>
          <w:noProof/>
          <w:kern w:val="2"/>
          <w:sz w:val="22"/>
          <w:lang w:eastAsia="en-GB"/>
          <w14:ligatures w14:val="standardContextual"/>
        </w:rPr>
        <w:tab/>
      </w:r>
      <w:r w:rsidRPr="00292B05">
        <w:rPr>
          <w:noProof/>
        </w:rPr>
        <w:t>Digital solutions</w:t>
      </w:r>
      <w:r>
        <w:rPr>
          <w:noProof/>
          <w:webHidden/>
        </w:rPr>
        <w:tab/>
      </w:r>
      <w:r w:rsidR="00F21E0E">
        <w:rPr>
          <w:noProof/>
          <w:webHidden/>
        </w:rPr>
        <w:t>27</w:t>
      </w:r>
    </w:p>
    <w:p w14:paraId="2128A8E0" w14:textId="43E39096"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bCs/>
          <w:noProof/>
        </w:rPr>
        <w:t>4.4.</w:t>
      </w:r>
      <w:r>
        <w:rPr>
          <w:rFonts w:asciiTheme="minorHAnsi" w:eastAsiaTheme="minorEastAsia" w:hAnsiTheme="minorHAnsi" w:cstheme="minorBidi"/>
          <w:noProof/>
          <w:kern w:val="2"/>
          <w:sz w:val="22"/>
          <w:lang w:eastAsia="en-GB"/>
          <w14:ligatures w14:val="standardContextual"/>
        </w:rPr>
        <w:tab/>
      </w:r>
      <w:r w:rsidRPr="00292B05">
        <w:rPr>
          <w:bCs/>
          <w:noProof/>
        </w:rPr>
        <w:t>Interoperability assessment</w:t>
      </w:r>
      <w:r>
        <w:rPr>
          <w:noProof/>
          <w:webHidden/>
        </w:rPr>
        <w:tab/>
      </w:r>
      <w:r w:rsidR="00F21E0E">
        <w:rPr>
          <w:noProof/>
          <w:webHidden/>
        </w:rPr>
        <w:t>27</w:t>
      </w:r>
    </w:p>
    <w:p w14:paraId="2FE35A0A" w14:textId="0C2EAD8D" w:rsidR="00D37F2D" w:rsidRDefault="00D37F2D" w:rsidP="00D37F2D">
      <w:pPr>
        <w:pStyle w:val="TOC2"/>
        <w:rPr>
          <w:rFonts w:asciiTheme="minorHAnsi" w:eastAsiaTheme="minorEastAsia" w:hAnsiTheme="minorHAnsi" w:cstheme="minorBidi"/>
          <w:noProof/>
          <w:kern w:val="2"/>
          <w:sz w:val="22"/>
          <w:lang w:eastAsia="en-GB"/>
          <w14:ligatures w14:val="standardContextual"/>
        </w:rPr>
      </w:pPr>
      <w:r w:rsidRPr="00292B05">
        <w:rPr>
          <w:noProof/>
        </w:rPr>
        <w:t>4.5.</w:t>
      </w:r>
      <w:r>
        <w:rPr>
          <w:rFonts w:asciiTheme="minorHAnsi" w:eastAsiaTheme="minorEastAsia" w:hAnsiTheme="minorHAnsi" w:cstheme="minorBidi"/>
          <w:noProof/>
          <w:kern w:val="2"/>
          <w:sz w:val="22"/>
          <w:lang w:eastAsia="en-GB"/>
          <w14:ligatures w14:val="standardContextual"/>
        </w:rPr>
        <w:tab/>
      </w:r>
      <w:r w:rsidRPr="00292B05">
        <w:rPr>
          <w:noProof/>
        </w:rPr>
        <w:t>Measures to support digital implementation</w:t>
      </w:r>
      <w:r>
        <w:rPr>
          <w:noProof/>
          <w:webHidden/>
        </w:rPr>
        <w:tab/>
      </w:r>
      <w:r w:rsidR="00F21E0E">
        <w:rPr>
          <w:noProof/>
          <w:webHidden/>
        </w:rPr>
        <w:t>28</w:t>
      </w:r>
    </w:p>
    <w:p w14:paraId="4002021B" w14:textId="77777777" w:rsidR="00D37F2D" w:rsidRDefault="00D37F2D" w:rsidP="00D37F2D">
      <w:pPr>
        <w:pStyle w:val="TOC1"/>
        <w:ind w:left="0" w:firstLine="0"/>
        <w:rPr>
          <w:noProof/>
        </w:rPr>
        <w:sectPr w:rsidR="00D37F2D" w:rsidSect="009A3128">
          <w:footerReference w:type="first" r:id="rId25"/>
          <w:pgSz w:w="11907" w:h="16840" w:code="9"/>
          <w:pgMar w:top="1134" w:right="1418" w:bottom="1134" w:left="1418" w:header="709" w:footer="709" w:gutter="0"/>
          <w:pgNumType w:start="1"/>
          <w:cols w:space="720"/>
          <w:docGrid w:linePitch="360"/>
        </w:sectPr>
      </w:pPr>
    </w:p>
    <w:p w14:paraId="2817A2CC" w14:textId="77777777" w:rsidR="00D37F2D" w:rsidRDefault="00D37F2D" w:rsidP="00D37F2D">
      <w:pPr>
        <w:pStyle w:val="ManualHeading1"/>
        <w:rPr>
          <w:noProof/>
        </w:rPr>
      </w:pPr>
      <w:bookmarkStart w:id="10" w:name="_Toc514938007"/>
      <w:bookmarkStart w:id="11" w:name="_Toc520485025"/>
      <w:bookmarkStart w:id="12" w:name="_Toc160804567"/>
      <w:bookmarkStart w:id="13" w:name="_Toc167220259"/>
      <w:bookmarkStart w:id="14" w:name="_Toc177548992"/>
      <w:r w:rsidRPr="0021790A">
        <w:t>1.</w:t>
      </w:r>
      <w:r w:rsidRPr="0021790A">
        <w:tab/>
      </w:r>
      <w:r>
        <w:rPr>
          <w:noProof/>
        </w:rPr>
        <w:t>FRAMEWORK OF THE PROPOSAL/INITIATIVE</w:t>
      </w:r>
      <w:bookmarkEnd w:id="10"/>
      <w:bookmarkEnd w:id="11"/>
      <w:bookmarkEnd w:id="12"/>
      <w:bookmarkEnd w:id="13"/>
      <w:bookmarkEnd w:id="14"/>
      <w:r>
        <w:rPr>
          <w:noProof/>
        </w:rPr>
        <w:t xml:space="preserve"> </w:t>
      </w:r>
    </w:p>
    <w:p w14:paraId="2DCD2F8C" w14:textId="77777777" w:rsidR="00D37F2D" w:rsidRPr="008774EA" w:rsidRDefault="00D37F2D" w:rsidP="00D37F2D">
      <w:pPr>
        <w:pStyle w:val="ManualHeading2"/>
      </w:pPr>
      <w:bookmarkStart w:id="15" w:name="_Toc514938008"/>
      <w:bookmarkStart w:id="16" w:name="_Toc520485026"/>
      <w:bookmarkStart w:id="17" w:name="_Toc160804568"/>
      <w:bookmarkStart w:id="18" w:name="_Toc167220260"/>
      <w:bookmarkStart w:id="19" w:name="_Toc177548993"/>
      <w:r w:rsidRPr="008774EA">
        <w:t>1.1.</w:t>
      </w:r>
      <w:r w:rsidRPr="008774EA">
        <w:tab/>
        <w:t>Title of the proposal/initiative</w:t>
      </w:r>
      <w:bookmarkEnd w:id="15"/>
      <w:bookmarkEnd w:id="16"/>
      <w:bookmarkEnd w:id="17"/>
      <w:bookmarkEnd w:id="18"/>
      <w:bookmarkEnd w:id="19"/>
    </w:p>
    <w:p w14:paraId="33A5D39E" w14:textId="77777777" w:rsidR="00D37F2D" w:rsidRPr="00615729" w:rsidRDefault="00D37F2D" w:rsidP="00D37F2D">
      <w:pPr>
        <w:pStyle w:val="Text1"/>
        <w:pBdr>
          <w:top w:val="single" w:sz="4" w:space="1" w:color="auto"/>
          <w:left w:val="single" w:sz="4" w:space="4" w:color="auto"/>
          <w:bottom w:val="single" w:sz="4" w:space="1" w:color="auto"/>
          <w:right w:val="single" w:sz="4" w:space="4" w:color="auto"/>
        </w:pBdr>
      </w:pPr>
      <w:r w:rsidRPr="00615729">
        <w:t>REGULATION OF THE EUROPEAN PARLIAMENT AND OF THE COUNCIL</w:t>
      </w:r>
    </w:p>
    <w:p w14:paraId="7BB4325B" w14:textId="77777777" w:rsidR="00D37F2D" w:rsidRPr="00615729" w:rsidRDefault="00D37F2D" w:rsidP="00D37F2D">
      <w:pPr>
        <w:pStyle w:val="Text1"/>
        <w:pBdr>
          <w:top w:val="single" w:sz="4" w:space="1" w:color="auto"/>
          <w:left w:val="single" w:sz="4" w:space="4" w:color="auto"/>
          <w:bottom w:val="single" w:sz="4" w:space="1" w:color="auto"/>
          <w:right w:val="single" w:sz="4" w:space="4" w:color="auto"/>
        </w:pBdr>
      </w:pPr>
      <w:r>
        <w:t xml:space="preserve">laying a framework for strengthening the availability and security of supply of critical medicinal products as well as the availability of, and accessibility of, medicinal products of common interest, and amending Regulation (EU) 2024/795. </w:t>
      </w:r>
    </w:p>
    <w:p w14:paraId="4AFCC4B8" w14:textId="77777777" w:rsidR="00D37F2D" w:rsidRDefault="00D37F2D" w:rsidP="00D37F2D">
      <w:pPr>
        <w:pStyle w:val="ManualHeading2"/>
        <w:rPr>
          <w:i/>
          <w:noProof/>
        </w:rPr>
      </w:pPr>
      <w:bookmarkStart w:id="20" w:name="_Toc514938011"/>
      <w:bookmarkStart w:id="21" w:name="_Toc520485027"/>
      <w:bookmarkStart w:id="22" w:name="_Toc160804569"/>
      <w:bookmarkStart w:id="23" w:name="_Toc167220261"/>
      <w:bookmarkStart w:id="24" w:name="_Toc177548994"/>
      <w:r w:rsidRPr="0021790A">
        <w:t>1.2.</w:t>
      </w:r>
      <w:r w:rsidRPr="0021790A">
        <w:tab/>
      </w:r>
      <w:r>
        <w:rPr>
          <w:noProof/>
        </w:rPr>
        <w:t>Policy area(s) concerned</w:t>
      </w:r>
      <w:bookmarkEnd w:id="20"/>
      <w:bookmarkEnd w:id="21"/>
      <w:bookmarkEnd w:id="22"/>
      <w:bookmarkEnd w:id="23"/>
      <w:bookmarkEnd w:id="24"/>
      <w:r>
        <w:rPr>
          <w:i/>
          <w:noProof/>
        </w:rPr>
        <w:t xml:space="preserve"> </w:t>
      </w:r>
    </w:p>
    <w:p w14:paraId="5E13A3D4" w14:textId="77777777" w:rsidR="00D37F2D" w:rsidRDefault="00D37F2D" w:rsidP="00D37F2D">
      <w:pPr>
        <w:pStyle w:val="Text1"/>
        <w:pBdr>
          <w:top w:val="single" w:sz="4" w:space="1" w:color="auto"/>
          <w:left w:val="single" w:sz="4" w:space="4" w:color="auto"/>
          <w:bottom w:val="single" w:sz="4" w:space="1" w:color="auto"/>
          <w:right w:val="single" w:sz="4" w:space="4" w:color="auto"/>
        </w:pBdr>
        <w:rPr>
          <w:noProof/>
        </w:rPr>
      </w:pPr>
      <w:r>
        <w:t xml:space="preserve">Heading 2: Cohesion, Resilience </w:t>
      </w:r>
      <w:r w:rsidRPr="006D373A">
        <w:t>and Values</w:t>
      </w:r>
    </w:p>
    <w:p w14:paraId="3280E5D1" w14:textId="77777777" w:rsidR="00D37F2D" w:rsidRDefault="00D37F2D" w:rsidP="00D37F2D">
      <w:pPr>
        <w:pStyle w:val="Text1"/>
        <w:pBdr>
          <w:top w:val="single" w:sz="4" w:space="1" w:color="auto"/>
          <w:left w:val="single" w:sz="4" w:space="4" w:color="auto"/>
          <w:bottom w:val="single" w:sz="4" w:space="1" w:color="auto"/>
          <w:right w:val="single" w:sz="4" w:space="4" w:color="auto"/>
        </w:pBdr>
        <w:rPr>
          <w:noProof/>
        </w:rPr>
      </w:pPr>
      <w:r>
        <w:t>EU4Health</w:t>
      </w:r>
    </w:p>
    <w:p w14:paraId="15FD48B0" w14:textId="77777777" w:rsidR="00D37F2D" w:rsidRDefault="00D37F2D" w:rsidP="00D37F2D">
      <w:pPr>
        <w:pStyle w:val="ManualHeading2"/>
        <w:rPr>
          <w:noProof/>
        </w:rPr>
      </w:pPr>
      <w:bookmarkStart w:id="25" w:name="_Toc514938015"/>
      <w:bookmarkStart w:id="26" w:name="_Toc520485029"/>
      <w:bookmarkStart w:id="27" w:name="_Toc160804571"/>
      <w:bookmarkStart w:id="28" w:name="_Toc167220263"/>
      <w:bookmarkStart w:id="29" w:name="_Toc177548995"/>
      <w:r>
        <w:t>1.3.</w:t>
      </w:r>
      <w:r>
        <w:tab/>
      </w:r>
      <w:r w:rsidRPr="7D67B65D">
        <w:rPr>
          <w:noProof/>
        </w:rPr>
        <w:t>Objective(s)</w:t>
      </w:r>
      <w:bookmarkEnd w:id="25"/>
      <w:bookmarkEnd w:id="26"/>
      <w:bookmarkEnd w:id="27"/>
      <w:bookmarkEnd w:id="28"/>
      <w:bookmarkEnd w:id="29"/>
    </w:p>
    <w:p w14:paraId="30DA3F89" w14:textId="728C2F5B" w:rsidR="00D37F2D" w:rsidRPr="009B753E" w:rsidRDefault="00D37F2D" w:rsidP="00D37F2D">
      <w:pPr>
        <w:pStyle w:val="ManualHeading3"/>
        <w:rPr>
          <w:noProof/>
        </w:rPr>
      </w:pPr>
      <w:bookmarkStart w:id="30" w:name="_Toc514938016"/>
      <w:bookmarkStart w:id="31" w:name="_Toc520485030"/>
      <w:bookmarkStart w:id="32" w:name="_Toc160804572"/>
      <w:bookmarkStart w:id="33" w:name="_Toc167220264"/>
      <w:bookmarkStart w:id="34" w:name="_Toc177548996"/>
      <w:r>
        <w:t>1.3.1.</w:t>
      </w:r>
      <w:r>
        <w:tab/>
      </w:r>
      <w:r w:rsidRPr="7D67B65D">
        <w:rPr>
          <w:noProof/>
        </w:rPr>
        <w:t>General objective(s)</w:t>
      </w:r>
      <w:bookmarkEnd w:id="30"/>
      <w:bookmarkEnd w:id="31"/>
      <w:bookmarkEnd w:id="32"/>
      <w:bookmarkEnd w:id="33"/>
      <w:bookmarkEnd w:id="34"/>
    </w:p>
    <w:p w14:paraId="3FC43C11" w14:textId="13373F05" w:rsidR="00D37F2D" w:rsidRPr="00615729" w:rsidRDefault="00D37F2D" w:rsidP="00D37F2D">
      <w:pPr>
        <w:pStyle w:val="Text1"/>
        <w:pBdr>
          <w:top w:val="single" w:sz="4" w:space="1" w:color="auto"/>
          <w:left w:val="single" w:sz="4" w:space="4" w:color="auto"/>
          <w:bottom w:val="single" w:sz="4" w:space="1" w:color="auto"/>
          <w:right w:val="single" w:sz="4" w:space="4" w:color="auto"/>
        </w:pBdr>
      </w:pPr>
      <w:r w:rsidRPr="00615729">
        <w:t xml:space="preserve">The general objective of this Regulation is to </w:t>
      </w:r>
      <w:r w:rsidRPr="00953AA0">
        <w:t>strengthen of the security of supply and the availability of critical medicines within the EU</w:t>
      </w:r>
      <w:r w:rsidR="00226530">
        <w:t xml:space="preserve">, thereby ensuring </w:t>
      </w:r>
      <w:r w:rsidR="008C1A01">
        <w:t xml:space="preserve">a high level of public health protection </w:t>
      </w:r>
      <w:r w:rsidR="00A1043E">
        <w:t>and supporting the security of the Union</w:t>
      </w:r>
      <w:r w:rsidRPr="00953AA0">
        <w:t xml:space="preserve">. It </w:t>
      </w:r>
      <w:r w:rsidR="00FA1686">
        <w:t>is</w:t>
      </w:r>
      <w:r w:rsidRPr="00953AA0">
        <w:t xml:space="preserve"> also to improve the availability and accessibility of other specific medicines, where the functioning of the market does not otherwise sufficiently ensure the availability and accessibility </w:t>
      </w:r>
      <w:r w:rsidR="007C467B">
        <w:t xml:space="preserve">of </w:t>
      </w:r>
      <w:r w:rsidR="0038655D">
        <w:t>those medicines</w:t>
      </w:r>
      <w:r w:rsidRPr="00953AA0">
        <w:t xml:space="preserve"> to patients</w:t>
      </w:r>
      <w:r w:rsidR="004B4B8D">
        <w:t>, whilst giving du</w:t>
      </w:r>
      <w:r w:rsidR="0038655D">
        <w:t>e</w:t>
      </w:r>
      <w:r w:rsidR="004B4B8D">
        <w:t xml:space="preserve"> consideration </w:t>
      </w:r>
      <w:r w:rsidR="00561EA3">
        <w:t xml:space="preserve">to the </w:t>
      </w:r>
      <w:r w:rsidR="00B32CAD">
        <w:t>appropriateness to ensure the affordability of medicines</w:t>
      </w:r>
      <w:r w:rsidRPr="00953AA0">
        <w:t>.</w:t>
      </w:r>
    </w:p>
    <w:p w14:paraId="66413516" w14:textId="77777777" w:rsidR="00D37F2D" w:rsidRDefault="00D37F2D" w:rsidP="00D37F2D">
      <w:pPr>
        <w:pStyle w:val="ManualHeading3"/>
        <w:rPr>
          <w:noProof/>
        </w:rPr>
      </w:pPr>
      <w:bookmarkStart w:id="35" w:name="_Toc514938018"/>
      <w:bookmarkStart w:id="36" w:name="_Toc520485031"/>
      <w:bookmarkStart w:id="37" w:name="_Toc160804573"/>
      <w:bookmarkStart w:id="38" w:name="_Toc167220265"/>
      <w:bookmarkStart w:id="39" w:name="_Toc177548997"/>
      <w:r>
        <w:t>1.3.2.</w:t>
      </w:r>
      <w:r>
        <w:tab/>
      </w:r>
      <w:r w:rsidRPr="7D67B65D">
        <w:rPr>
          <w:noProof/>
        </w:rPr>
        <w:t>Specific objective(s)</w:t>
      </w:r>
      <w:bookmarkEnd w:id="35"/>
      <w:bookmarkEnd w:id="36"/>
      <w:bookmarkEnd w:id="37"/>
      <w:bookmarkEnd w:id="38"/>
      <w:bookmarkEnd w:id="39"/>
    </w:p>
    <w:p w14:paraId="6E9E6FD2" w14:textId="77777777" w:rsidR="00D37F2D" w:rsidRDefault="00D37F2D" w:rsidP="00D37F2D">
      <w:pPr>
        <w:pStyle w:val="Text1"/>
        <w:pBdr>
          <w:top w:val="single" w:sz="4" w:space="1" w:color="auto"/>
          <w:left w:val="single" w:sz="4" w:space="4" w:color="auto"/>
          <w:bottom w:val="single" w:sz="4" w:space="1" w:color="auto"/>
          <w:right w:val="single" w:sz="4" w:space="4" w:color="auto"/>
        </w:pBdr>
      </w:pPr>
      <w:r>
        <w:t>The specific objectives of the initiative are:</w:t>
      </w:r>
    </w:p>
    <w:p w14:paraId="4F34BB88" w14:textId="49795428" w:rsidR="00D37F2D" w:rsidRDefault="00D37F2D" w:rsidP="00D37F2D">
      <w:pPr>
        <w:pStyle w:val="Text1"/>
        <w:pBdr>
          <w:top w:val="single" w:sz="4" w:space="1" w:color="auto"/>
          <w:left w:val="single" w:sz="4" w:space="4" w:color="auto"/>
          <w:bottom w:val="single" w:sz="4" w:space="1" w:color="auto"/>
          <w:right w:val="single" w:sz="4" w:space="4" w:color="auto"/>
        </w:pBdr>
      </w:pPr>
      <w:r>
        <w:t>a)</w:t>
      </w:r>
      <w:r>
        <w:tab/>
        <w:t xml:space="preserve">to facilitate investments in manufacturing </w:t>
      </w:r>
      <w:r w:rsidR="008A75B5">
        <w:t xml:space="preserve">capacity </w:t>
      </w:r>
      <w:r>
        <w:t>for critical medicines, their active substances and other key inputs in the EU;</w:t>
      </w:r>
    </w:p>
    <w:p w14:paraId="350B2E24" w14:textId="77777777" w:rsidR="00D37F2D" w:rsidRDefault="00D37F2D" w:rsidP="00D37F2D">
      <w:pPr>
        <w:pStyle w:val="Text1"/>
        <w:pBdr>
          <w:top w:val="single" w:sz="4" w:space="1" w:color="auto"/>
          <w:left w:val="single" w:sz="4" w:space="4" w:color="auto"/>
          <w:bottom w:val="single" w:sz="4" w:space="1" w:color="auto"/>
          <w:right w:val="single" w:sz="4" w:space="4" w:color="auto"/>
        </w:pBdr>
      </w:pPr>
      <w:r>
        <w:t>b)</w:t>
      </w:r>
      <w:r>
        <w:tab/>
        <w:t>to lower the risk of supply disruptions and strengthen availability by incentivising supply chain diversification and resilience in the public procurement procedures for critical medicines and other medicines of common interest;</w:t>
      </w:r>
    </w:p>
    <w:p w14:paraId="08F5FDD6" w14:textId="77777777" w:rsidR="00D37F2D" w:rsidRDefault="00D37F2D" w:rsidP="00D37F2D">
      <w:pPr>
        <w:pStyle w:val="Text1"/>
        <w:pBdr>
          <w:top w:val="single" w:sz="4" w:space="1" w:color="auto"/>
          <w:left w:val="single" w:sz="4" w:space="4" w:color="auto"/>
          <w:bottom w:val="single" w:sz="4" w:space="1" w:color="auto"/>
          <w:right w:val="single" w:sz="4" w:space="4" w:color="auto"/>
        </w:pBdr>
      </w:pPr>
      <w:r>
        <w:t>c)</w:t>
      </w:r>
      <w:r>
        <w:tab/>
        <w:t xml:space="preserve">to leverage the aggregated demand of the interested Member States through collaborative procurement procedures; </w:t>
      </w:r>
    </w:p>
    <w:p w14:paraId="6017BDA7" w14:textId="77777777" w:rsidR="00D37F2D" w:rsidRDefault="00D37F2D" w:rsidP="00D37F2D">
      <w:pPr>
        <w:pStyle w:val="Text1"/>
        <w:pBdr>
          <w:top w:val="single" w:sz="4" w:space="1" w:color="auto"/>
          <w:left w:val="single" w:sz="4" w:space="4" w:color="auto"/>
          <w:bottom w:val="single" w:sz="4" w:space="1" w:color="auto"/>
          <w:right w:val="single" w:sz="4" w:space="4" w:color="auto"/>
        </w:pBdr>
      </w:pPr>
      <w:r>
        <w:t>d)</w:t>
      </w:r>
      <w:r>
        <w:tab/>
        <w:t>to support the diversification of supply chains also by facilitating the conclusion of strategic partnerships.</w:t>
      </w:r>
    </w:p>
    <w:p w14:paraId="09D39161" w14:textId="77777777" w:rsidR="00D37F2D" w:rsidRPr="00BD0A20" w:rsidRDefault="00D37F2D" w:rsidP="00D37F2D">
      <w:pPr>
        <w:pStyle w:val="ManualHeading3"/>
        <w:rPr>
          <w:noProof/>
        </w:rPr>
      </w:pPr>
      <w:bookmarkStart w:id="40" w:name="_Toc514938019"/>
      <w:bookmarkStart w:id="41" w:name="_Toc520485032"/>
      <w:bookmarkStart w:id="42" w:name="_Toc160804574"/>
      <w:bookmarkStart w:id="43" w:name="_Toc167220266"/>
      <w:bookmarkStart w:id="44" w:name="_Toc177548998"/>
      <w:r>
        <w:t>1.3.3.</w:t>
      </w:r>
      <w:r>
        <w:tab/>
      </w:r>
      <w:r w:rsidRPr="7D67B65D">
        <w:rPr>
          <w:noProof/>
        </w:rPr>
        <w:t>Expected result(s) and impact</w:t>
      </w:r>
      <w:bookmarkEnd w:id="40"/>
      <w:bookmarkEnd w:id="41"/>
      <w:bookmarkEnd w:id="42"/>
      <w:bookmarkEnd w:id="43"/>
      <w:bookmarkEnd w:id="44"/>
    </w:p>
    <w:p w14:paraId="147CE452" w14:textId="77777777" w:rsidR="00D37F2D" w:rsidRDefault="00D37F2D" w:rsidP="00D37F2D">
      <w:pPr>
        <w:pStyle w:val="Text1"/>
        <w:rPr>
          <w:i/>
          <w:noProof/>
          <w:sz w:val="20"/>
        </w:rPr>
      </w:pPr>
      <w:r>
        <w:rPr>
          <w:i/>
          <w:noProof/>
          <w:sz w:val="20"/>
        </w:rPr>
        <w:t>Specify the effects which the proposal/initiative should have on the beneficiaries/groups targeted.</w:t>
      </w:r>
    </w:p>
    <w:p w14:paraId="164FEC77" w14:textId="2CECE2D7" w:rsidR="00D37F2D" w:rsidRDefault="00D37F2D" w:rsidP="00D37F2D">
      <w:pPr>
        <w:pStyle w:val="Text1"/>
        <w:pBdr>
          <w:top w:val="single" w:sz="4" w:space="1" w:color="auto"/>
          <w:left w:val="single" w:sz="4" w:space="4" w:color="auto"/>
          <w:bottom w:val="single" w:sz="4" w:space="1" w:color="auto"/>
          <w:right w:val="single" w:sz="4" w:space="4" w:color="auto"/>
        </w:pBdr>
        <w:rPr>
          <w:noProof/>
        </w:rPr>
      </w:pPr>
      <w:r w:rsidRPr="00E34628">
        <w:t xml:space="preserve">The proposed act is expected to strengthen the resilience of the EU's medicines supply chains, contributing to improved security of supply. It should also reduce shortages of critical medicines and enhance public health and trust. Economically, the proposal is expected to strengthen the manufacturing base of critical medicines and make the pharmaceutical sector more competitive, including through diversification. On a social level, the proposed act should improve access to critical medicines and certain other medicines for EU patients. These outcomes will directly contribute to achieving Sustainable Development Goal (SDG) 3, ‘Good health and well-being’. Besides the public health-related benefits, the proposal is expected to mostly affect the pharmaceutical industry involved in the supply of critical </w:t>
      </w:r>
      <w:r w:rsidR="00B35005" w:rsidRPr="00E34628">
        <w:t>medicin</w:t>
      </w:r>
      <w:r w:rsidR="00B35005">
        <w:t>es</w:t>
      </w:r>
      <w:r w:rsidRPr="00E34628">
        <w:t>, as the industry may benefit from administrative and regulatory support and access to funding for certain strategic projects. In addition, the proposed act will likely affect national administrative authorities and procurers active in the public procurement of critical medicines</w:t>
      </w:r>
      <w:r>
        <w:t xml:space="preserve"> and other medicines of common interest.</w:t>
      </w:r>
    </w:p>
    <w:p w14:paraId="132F606F" w14:textId="77777777" w:rsidR="00D37F2D" w:rsidRDefault="00D37F2D" w:rsidP="00D37F2D">
      <w:pPr>
        <w:pStyle w:val="ManualHeading3"/>
        <w:rPr>
          <w:noProof/>
        </w:rPr>
      </w:pPr>
      <w:bookmarkStart w:id="45" w:name="_Toc514938023"/>
      <w:bookmarkStart w:id="46" w:name="_Toc520485033"/>
      <w:bookmarkStart w:id="47" w:name="_Toc160804575"/>
      <w:bookmarkStart w:id="48" w:name="_Toc167220267"/>
      <w:bookmarkStart w:id="49" w:name="_Toc177548999"/>
      <w:r>
        <w:t>1.3.4.</w:t>
      </w:r>
      <w:r>
        <w:tab/>
      </w:r>
      <w:r w:rsidRPr="7D67B65D">
        <w:rPr>
          <w:noProof/>
        </w:rPr>
        <w:t>Indicators of performance</w:t>
      </w:r>
      <w:bookmarkEnd w:id="45"/>
      <w:bookmarkEnd w:id="46"/>
      <w:bookmarkEnd w:id="47"/>
      <w:bookmarkEnd w:id="48"/>
      <w:bookmarkEnd w:id="49"/>
    </w:p>
    <w:p w14:paraId="1B933594" w14:textId="77777777" w:rsidR="00D37F2D" w:rsidRDefault="00D37F2D" w:rsidP="00D37F2D">
      <w:pPr>
        <w:pStyle w:val="Text1"/>
        <w:rPr>
          <w:i/>
          <w:noProof/>
          <w:sz w:val="20"/>
        </w:rPr>
      </w:pPr>
      <w:r>
        <w:rPr>
          <w:i/>
          <w:noProof/>
          <w:sz w:val="20"/>
        </w:rPr>
        <w:t>Specify the indicators for monitoring progress and achievements.</w:t>
      </w:r>
    </w:p>
    <w:tbl>
      <w:tblPr>
        <w:tblW w:w="0" w:type="auto"/>
        <w:tblLayout w:type="fixed"/>
        <w:tblLook w:val="06A0" w:firstRow="1" w:lastRow="0" w:firstColumn="1" w:lastColumn="0" w:noHBand="1" w:noVBand="1"/>
      </w:tblPr>
      <w:tblGrid>
        <w:gridCol w:w="1008"/>
        <w:gridCol w:w="3468"/>
        <w:gridCol w:w="2826"/>
        <w:gridCol w:w="1759"/>
      </w:tblGrid>
      <w:tr w:rsidR="00D37F2D" w14:paraId="21D75ADB" w14:textId="77777777">
        <w:trPr>
          <w:trHeight w:val="285"/>
        </w:trPr>
        <w:tc>
          <w:tcPr>
            <w:tcW w:w="1008"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797B2B87" w14:textId="77777777" w:rsidR="00D37F2D" w:rsidRPr="005975B6" w:rsidRDefault="00D37F2D">
            <w:pPr>
              <w:spacing w:before="0" w:after="0"/>
              <w:jc w:val="left"/>
              <w:rPr>
                <w:rFonts w:eastAsia="Aptos Narrow"/>
                <w:b/>
                <w:color w:val="FFFFFF" w:themeColor="background1"/>
                <w:sz w:val="18"/>
                <w:szCs w:val="18"/>
              </w:rPr>
            </w:pPr>
            <w:r w:rsidRPr="005975B6">
              <w:rPr>
                <w:rFonts w:eastAsia="Aptos Narrow"/>
                <w:b/>
                <w:color w:val="FFFFFF" w:themeColor="background1"/>
                <w:sz w:val="18"/>
                <w:szCs w:val="18"/>
              </w:rPr>
              <w:t xml:space="preserve">Objective </w:t>
            </w:r>
          </w:p>
        </w:tc>
        <w:tc>
          <w:tcPr>
            <w:tcW w:w="3468"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0541E62A" w14:textId="77777777" w:rsidR="00D37F2D" w:rsidRPr="005975B6" w:rsidRDefault="00D37F2D">
            <w:pPr>
              <w:spacing w:before="0" w:after="0"/>
              <w:jc w:val="left"/>
              <w:rPr>
                <w:rFonts w:eastAsia="Aptos Narrow"/>
                <w:b/>
                <w:color w:val="FFFFFF" w:themeColor="background1"/>
                <w:sz w:val="18"/>
                <w:szCs w:val="18"/>
              </w:rPr>
            </w:pPr>
            <w:r w:rsidRPr="005975B6">
              <w:rPr>
                <w:rFonts w:eastAsia="Aptos Narrow"/>
                <w:b/>
                <w:color w:val="FFFFFF" w:themeColor="background1"/>
                <w:sz w:val="18"/>
                <w:szCs w:val="18"/>
              </w:rPr>
              <w:t>Indicator</w:t>
            </w:r>
          </w:p>
        </w:tc>
        <w:tc>
          <w:tcPr>
            <w:tcW w:w="2826"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4C278025" w14:textId="77777777" w:rsidR="00D37F2D" w:rsidRPr="005975B6" w:rsidRDefault="00D37F2D">
            <w:pPr>
              <w:spacing w:before="0" w:after="0"/>
              <w:jc w:val="left"/>
              <w:rPr>
                <w:rFonts w:eastAsia="Aptos Narrow"/>
                <w:b/>
                <w:color w:val="FFFFFF" w:themeColor="background1"/>
                <w:sz w:val="18"/>
                <w:szCs w:val="18"/>
              </w:rPr>
            </w:pPr>
            <w:r w:rsidRPr="005975B6">
              <w:rPr>
                <w:rFonts w:eastAsia="Aptos Narrow"/>
                <w:b/>
                <w:color w:val="FFFFFF" w:themeColor="background1"/>
                <w:sz w:val="18"/>
                <w:szCs w:val="18"/>
              </w:rPr>
              <w:t>Target and baseline</w:t>
            </w:r>
          </w:p>
        </w:tc>
        <w:tc>
          <w:tcPr>
            <w:tcW w:w="1759" w:type="dxa"/>
            <w:tcBorders>
              <w:top w:val="single" w:sz="4" w:space="0" w:color="auto"/>
              <w:left w:val="single" w:sz="4" w:space="0" w:color="auto"/>
              <w:bottom w:val="single" w:sz="4" w:space="0" w:color="auto"/>
              <w:right w:val="single" w:sz="4" w:space="0" w:color="auto"/>
            </w:tcBorders>
            <w:shd w:val="clear" w:color="auto" w:fill="156082"/>
            <w:tcMar>
              <w:top w:w="15" w:type="dxa"/>
              <w:left w:w="15" w:type="dxa"/>
              <w:right w:w="15" w:type="dxa"/>
            </w:tcMar>
            <w:vAlign w:val="bottom"/>
          </w:tcPr>
          <w:p w14:paraId="226BEFB3" w14:textId="77777777" w:rsidR="00D37F2D" w:rsidRPr="005975B6" w:rsidRDefault="00D37F2D">
            <w:pPr>
              <w:spacing w:before="0" w:after="0"/>
              <w:jc w:val="left"/>
              <w:rPr>
                <w:rFonts w:eastAsia="Aptos Narrow"/>
                <w:b/>
                <w:color w:val="FFFFFF" w:themeColor="background1"/>
                <w:sz w:val="18"/>
                <w:szCs w:val="18"/>
              </w:rPr>
            </w:pPr>
            <w:r w:rsidRPr="005975B6">
              <w:rPr>
                <w:rFonts w:eastAsia="Aptos Narrow"/>
                <w:b/>
                <w:color w:val="FFFFFF" w:themeColor="background1"/>
                <w:sz w:val="18"/>
                <w:szCs w:val="18"/>
              </w:rPr>
              <w:t>Data source and availibility</w:t>
            </w:r>
          </w:p>
        </w:tc>
      </w:tr>
      <w:tr w:rsidR="00D37F2D" w14:paraId="0559017E" w14:textId="77777777">
        <w:trPr>
          <w:trHeight w:val="55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DC53935"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2308230"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 of critical medicinal products </w:t>
            </w:r>
            <w:r>
              <w:rPr>
                <w:rFonts w:eastAsia="Aptos Narrow"/>
                <w:color w:val="000000" w:themeColor="text1"/>
                <w:sz w:val="18"/>
                <w:szCs w:val="18"/>
              </w:rPr>
              <w:t>on the Union List of Critical Medicinal products</w:t>
            </w:r>
            <w:r w:rsidRPr="005975B6">
              <w:rPr>
                <w:rFonts w:eastAsia="Aptos Narrow"/>
                <w:color w:val="000000" w:themeColor="text1"/>
                <w:sz w:val="18"/>
                <w:szCs w:val="18"/>
              </w:rPr>
              <w:t xml:space="preserve">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9FF66C5" w14:textId="77777777" w:rsidR="00D37F2D" w:rsidRPr="005975B6" w:rsidRDefault="00D37F2D">
            <w:pPr>
              <w:spacing w:before="0" w:after="0"/>
              <w:jc w:val="left"/>
              <w:rPr>
                <w:rFonts w:eastAsia="Aptos Narrow"/>
                <w:color w:val="000000" w:themeColor="text1"/>
                <w:sz w:val="18"/>
                <w:szCs w:val="18"/>
              </w:rPr>
            </w:pPr>
            <w:r>
              <w:rPr>
                <w:rFonts w:eastAsia="Aptos Narrow"/>
                <w:color w:val="000000" w:themeColor="text1"/>
                <w:sz w:val="18"/>
                <w:szCs w:val="18"/>
              </w:rPr>
              <w:t>276</w:t>
            </w:r>
            <w:r w:rsidRPr="005975B6">
              <w:rPr>
                <w:rFonts w:eastAsia="Aptos Narrow"/>
                <w:color w:val="000000" w:themeColor="text1"/>
                <w:sz w:val="18"/>
                <w:szCs w:val="18"/>
              </w:rPr>
              <w:t xml:space="preserve"> – this number is expected to increase then plateau</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6166CCE"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EMA/Union List of Critical Medicines already available</w:t>
            </w:r>
          </w:p>
        </w:tc>
      </w:tr>
      <w:tr w:rsidR="00D37F2D" w14:paraId="3B4A362B" w14:textId="77777777">
        <w:trPr>
          <w:trHeight w:val="55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29AEC68" w14:textId="77777777" w:rsidR="00D37F2D" w:rsidRPr="005975B6" w:rsidRDefault="00D37F2D">
            <w:pPr>
              <w:spacing w:before="0" w:after="0"/>
              <w:jc w:val="left"/>
              <w:rPr>
                <w:rFonts w:eastAsia="Aptos Narrow"/>
                <w:color w:val="000000" w:themeColor="text1"/>
                <w:sz w:val="18"/>
                <w:szCs w:val="18"/>
              </w:rPr>
            </w:pPr>
            <w:r>
              <w:rPr>
                <w:rFonts w:eastAsia="Aptos Narrow"/>
                <w:color w:val="000000" w:themeColor="text1"/>
                <w:sz w:val="18"/>
                <w:szCs w:val="18"/>
              </w:rPr>
              <w:t>/</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C6C1D02"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 of critical shortages escalated to the SPOC WP for the </w:t>
            </w:r>
            <w:r>
              <w:rPr>
                <w:rFonts w:eastAsia="Aptos Narrow"/>
                <w:color w:val="000000" w:themeColor="text1"/>
                <w:sz w:val="18"/>
                <w:szCs w:val="18"/>
              </w:rPr>
              <w:t xml:space="preserve">critical medicinal </w:t>
            </w:r>
            <w:r w:rsidRPr="005975B6">
              <w:rPr>
                <w:rFonts w:eastAsia="Aptos Narrow"/>
                <w:color w:val="000000" w:themeColor="text1"/>
                <w:sz w:val="18"/>
                <w:szCs w:val="18"/>
              </w:rPr>
              <w:t>products</w:t>
            </w:r>
            <w:r>
              <w:rPr>
                <w:rFonts w:eastAsia="Aptos Narrow"/>
                <w:color w:val="000000" w:themeColor="text1"/>
                <w:sz w:val="18"/>
                <w:szCs w:val="18"/>
              </w:rPr>
              <w:t xml:space="preserve"> on the Union list</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AA1BDA6"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The number of reported shortages of critical medicines is dependent on the reporting rate. Shortages of critical medicines may be driven by external forces (such as increased demand due to a new pandemic), therefore </w:t>
            </w:r>
            <w:r>
              <w:rPr>
                <w:rFonts w:eastAsia="Aptos Narrow"/>
                <w:color w:val="000000" w:themeColor="text1"/>
                <w:sz w:val="18"/>
                <w:szCs w:val="18"/>
              </w:rPr>
              <w:t xml:space="preserve">any trends in </w:t>
            </w:r>
            <w:r w:rsidRPr="005975B6">
              <w:rPr>
                <w:rFonts w:eastAsia="Aptos Narrow"/>
                <w:color w:val="000000" w:themeColor="text1"/>
                <w:sz w:val="18"/>
                <w:szCs w:val="18"/>
              </w:rPr>
              <w:t xml:space="preserve">this number should be </w:t>
            </w:r>
            <w:r>
              <w:rPr>
                <w:rFonts w:eastAsia="Aptos Narrow"/>
                <w:color w:val="000000" w:themeColor="text1"/>
                <w:sz w:val="18"/>
                <w:szCs w:val="18"/>
              </w:rPr>
              <w:t>interpreted with prudence.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9F58708"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EMA/already available</w:t>
            </w:r>
          </w:p>
        </w:tc>
      </w:tr>
      <w:tr w:rsidR="00D37F2D" w14:paraId="1F6A1096" w14:textId="77777777">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90CD78E" w14:textId="77777777" w:rsidR="00D37F2D" w:rsidRPr="005975B6" w:rsidRDefault="00D37F2D">
            <w:pPr>
              <w:spacing w:before="0" w:after="0"/>
              <w:jc w:val="left"/>
              <w:rPr>
                <w:rFonts w:eastAsia="Aptos Narrow"/>
                <w:color w:val="000000" w:themeColor="text1"/>
                <w:sz w:val="18"/>
                <w:szCs w:val="18"/>
              </w:rPr>
            </w:pPr>
            <w:r>
              <w:rPr>
                <w:rFonts w:eastAsia="Aptos Narrow"/>
                <w:color w:val="000000" w:themeColor="text1"/>
                <w:sz w:val="18"/>
                <w:szCs w:val="18"/>
              </w:rPr>
              <w:t>/</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CB62472" w14:textId="77777777" w:rsidR="00D37F2D" w:rsidRPr="005975B6" w:rsidRDefault="00D37F2D">
            <w:pPr>
              <w:spacing w:before="0" w:after="0"/>
              <w:jc w:val="left"/>
              <w:rPr>
                <w:rFonts w:eastAsia="Aptos Narrow"/>
                <w:color w:val="000000" w:themeColor="text1"/>
                <w:sz w:val="18"/>
                <w:szCs w:val="18"/>
              </w:rPr>
            </w:pPr>
            <w:r>
              <w:rPr>
                <w:rFonts w:eastAsia="Aptos Narrow"/>
                <w:color w:val="000000" w:themeColor="text1"/>
                <w:sz w:val="18"/>
                <w:szCs w:val="18"/>
              </w:rPr>
              <w:t>Proportion (%) of critical shortages escalated to the SPOC WP that corresponded to a critical medicinal product listed on the Union list.</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2A11CA8" w14:textId="77777777" w:rsidR="00D37F2D" w:rsidRPr="005975B6" w:rsidRDefault="00D37F2D">
            <w:pPr>
              <w:spacing w:before="0" w:after="0"/>
              <w:jc w:val="left"/>
              <w:rPr>
                <w:rFonts w:eastAsia="Aptos Narrow"/>
                <w:color w:val="000000" w:themeColor="text1"/>
                <w:sz w:val="18"/>
                <w:szCs w:val="18"/>
              </w:rPr>
            </w:pPr>
            <w:r w:rsidRPr="00CA6398">
              <w:rPr>
                <w:rFonts w:eastAsia="Aptos Narrow"/>
                <w:color w:val="000000" w:themeColor="text1"/>
                <w:sz w:val="18"/>
                <w:szCs w:val="18"/>
                <w:lang w:val="en-US"/>
              </w:rPr>
              <w:t xml:space="preserve">Of the </w:t>
            </w:r>
            <w:r w:rsidRPr="00F50ABC">
              <w:rPr>
                <w:rFonts w:eastAsia="Aptos Narrow"/>
                <w:color w:val="000000" w:themeColor="text1"/>
                <w:sz w:val="18"/>
                <w:szCs w:val="18"/>
                <w:lang w:val="en-US"/>
              </w:rPr>
              <w:t>63</w:t>
            </w:r>
            <w:r w:rsidRPr="00CA6398">
              <w:rPr>
                <w:rFonts w:eastAsia="Aptos Narrow"/>
                <w:color w:val="000000" w:themeColor="text1"/>
                <w:sz w:val="18"/>
                <w:szCs w:val="18"/>
                <w:lang w:val="en-US"/>
              </w:rPr>
              <w:t xml:space="preserve"> INN critical shortages received by EMA from EU/EEA countries</w:t>
            </w:r>
            <w:r>
              <w:rPr>
                <w:rFonts w:eastAsia="Aptos Narrow"/>
                <w:color w:val="000000" w:themeColor="text1"/>
                <w:sz w:val="18"/>
                <w:szCs w:val="18"/>
                <w:lang w:val="en-US"/>
              </w:rPr>
              <w:t xml:space="preserve"> in 2024</w:t>
            </w:r>
            <w:r w:rsidRPr="00CA6398">
              <w:rPr>
                <w:rFonts w:eastAsia="Aptos Narrow"/>
                <w:color w:val="000000" w:themeColor="text1"/>
                <w:sz w:val="18"/>
                <w:szCs w:val="18"/>
                <w:lang w:val="en-US"/>
              </w:rPr>
              <w:t>, 29 (~45%) correspond</w:t>
            </w:r>
            <w:r>
              <w:rPr>
                <w:rFonts w:eastAsia="Aptos Narrow"/>
                <w:color w:val="000000" w:themeColor="text1"/>
                <w:sz w:val="18"/>
                <w:szCs w:val="18"/>
                <w:lang w:val="en-US"/>
              </w:rPr>
              <w:t>ed</w:t>
            </w:r>
            <w:r w:rsidRPr="00CA6398">
              <w:rPr>
                <w:rFonts w:eastAsia="Aptos Narrow"/>
                <w:color w:val="000000" w:themeColor="text1"/>
                <w:sz w:val="18"/>
                <w:szCs w:val="18"/>
                <w:lang w:val="en-US"/>
              </w:rPr>
              <w:t xml:space="preserve"> to </w:t>
            </w:r>
            <w:r>
              <w:rPr>
                <w:rFonts w:eastAsia="Aptos Narrow"/>
                <w:color w:val="000000" w:themeColor="text1"/>
                <w:sz w:val="18"/>
                <w:szCs w:val="18"/>
                <w:lang w:val="en-US"/>
              </w:rPr>
              <w:t>the critical medicines on the Union list. The proportion s expected to decrease.</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9D51A99"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EMA/already available</w:t>
            </w:r>
          </w:p>
        </w:tc>
      </w:tr>
      <w:tr w:rsidR="00D37F2D" w14:paraId="4691FDFB" w14:textId="77777777">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30B1C64"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Specific objective </w:t>
            </w:r>
            <w:r>
              <w:rPr>
                <w:rFonts w:eastAsia="Aptos Narrow"/>
                <w:color w:val="000000" w:themeColor="text1"/>
                <w:sz w:val="18"/>
                <w:szCs w:val="18"/>
              </w:rPr>
              <w:t>a)</w:t>
            </w:r>
            <w:r w:rsidRPr="005975B6">
              <w:rPr>
                <w:rFonts w:eastAsia="Aptos Narrow"/>
                <w:color w:val="000000" w:themeColor="text1"/>
                <w:sz w:val="18"/>
                <w:szCs w:val="18"/>
              </w:rPr>
              <w:t xml:space="preserve"> </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C4CF043"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 of strategic projects identified as addressing an existing vulnerability in the supply chains of critical medicinal products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EA9FC34"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0 / target: highly dependent on demand </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A3D23C4"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MS reporting as defined in article 16</w:t>
            </w:r>
          </w:p>
        </w:tc>
      </w:tr>
      <w:tr w:rsidR="00D37F2D" w14:paraId="6B8B9F9A" w14:textId="77777777">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9C94F9C"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Specific objective </w:t>
            </w:r>
            <w:r>
              <w:rPr>
                <w:rFonts w:eastAsia="Aptos Narrow"/>
                <w:color w:val="000000" w:themeColor="text1"/>
                <w:sz w:val="18"/>
                <w:szCs w:val="18"/>
              </w:rPr>
              <w:t>a)</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B00142C"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of strategic projects for critical medicines that benefit from national financial support</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D12C987"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0 / target: highly dependent on demand and</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4CA2F76"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MS reporting as defined in article 17</w:t>
            </w:r>
          </w:p>
        </w:tc>
      </w:tr>
      <w:tr w:rsidR="00D37F2D" w14:paraId="795DFEED" w14:textId="77777777">
        <w:trPr>
          <w:trHeight w:val="87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676B9B3" w14:textId="77777777" w:rsidR="00D37F2D" w:rsidRPr="005975B6" w:rsidRDefault="00D37F2D">
            <w:pPr>
              <w:spacing w:before="0" w:after="0"/>
              <w:jc w:val="left"/>
              <w:rPr>
                <w:rFonts w:eastAsia="Calibri"/>
                <w:color w:val="000000" w:themeColor="text1"/>
                <w:sz w:val="18"/>
                <w:szCs w:val="18"/>
              </w:rPr>
            </w:pPr>
            <w:r w:rsidRPr="005975B6">
              <w:rPr>
                <w:rFonts w:eastAsia="Aptos Narrow"/>
                <w:color w:val="000000" w:themeColor="text1"/>
                <w:sz w:val="18"/>
                <w:szCs w:val="18"/>
              </w:rPr>
              <w:t xml:space="preserve">Specific objective </w:t>
            </w:r>
            <w:r>
              <w:rPr>
                <w:rFonts w:eastAsia="Aptos Narrow"/>
                <w:color w:val="000000" w:themeColor="text1"/>
                <w:sz w:val="18"/>
                <w:szCs w:val="18"/>
              </w:rPr>
              <w:t>a)</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3BEF173"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of strategic projects for critical medicines that benefit from financial support from the Union</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F41B86B"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0 / target: highly dependent on demand</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174CD397"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 MS reporting as defined in article 17</w:t>
            </w:r>
          </w:p>
        </w:tc>
      </w:tr>
      <w:tr w:rsidR="00D37F2D" w14:paraId="407B3A9C" w14:textId="77777777">
        <w:trPr>
          <w:trHeight w:val="58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609B758" w14:textId="77777777" w:rsidR="00D37F2D" w:rsidRPr="005975B6" w:rsidRDefault="00D37F2D">
            <w:pPr>
              <w:spacing w:before="0" w:after="0"/>
              <w:jc w:val="left"/>
              <w:rPr>
                <w:rFonts w:eastAsia="Calibri"/>
                <w:color w:val="000000" w:themeColor="text1"/>
                <w:sz w:val="18"/>
                <w:szCs w:val="18"/>
                <w:lang w:val="fr-BE"/>
              </w:rPr>
            </w:pPr>
            <w:r w:rsidRPr="005975B6">
              <w:rPr>
                <w:rFonts w:eastAsia="Aptos Narrow"/>
                <w:color w:val="000000" w:themeColor="text1"/>
                <w:sz w:val="18"/>
                <w:szCs w:val="18"/>
              </w:rPr>
              <w:t xml:space="preserve">Specific objective </w:t>
            </w:r>
            <w:r>
              <w:rPr>
                <w:rFonts w:eastAsia="Aptos Narrow"/>
                <w:color w:val="000000" w:themeColor="text1"/>
                <w:sz w:val="18"/>
                <w:szCs w:val="18"/>
              </w:rPr>
              <w:t>a)</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DCB7E83"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of dedicated advice provided by EMA to project promoters of Strategic Projects with innovative manufacturing processes</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62C155BC"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0 / target: highly dependent on demand</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E02E796"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EMA</w:t>
            </w:r>
          </w:p>
        </w:tc>
      </w:tr>
      <w:tr w:rsidR="00D37F2D" w14:paraId="61938B97" w14:textId="77777777">
        <w:trPr>
          <w:trHeight w:val="58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528459B3" w14:textId="77777777" w:rsidR="00D37F2D" w:rsidRPr="005975B6" w:rsidRDefault="00D37F2D">
            <w:pPr>
              <w:spacing w:before="0" w:after="0"/>
              <w:jc w:val="left"/>
              <w:rPr>
                <w:rFonts w:eastAsia="Calibri"/>
                <w:color w:val="000000" w:themeColor="text1"/>
                <w:sz w:val="18"/>
                <w:szCs w:val="18"/>
                <w:lang w:val="fr-BE"/>
              </w:rPr>
            </w:pPr>
            <w:r w:rsidRPr="005975B6">
              <w:rPr>
                <w:rFonts w:eastAsia="Aptos Narrow"/>
                <w:color w:val="000000" w:themeColor="text1"/>
                <w:sz w:val="18"/>
                <w:szCs w:val="18"/>
              </w:rPr>
              <w:t xml:space="preserve">Specific objective </w:t>
            </w:r>
            <w:r>
              <w:rPr>
                <w:rFonts w:eastAsia="Aptos Narrow"/>
                <w:color w:val="000000" w:themeColor="text1"/>
                <w:sz w:val="18"/>
                <w:szCs w:val="18"/>
              </w:rPr>
              <w:t>b)</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3A71F880"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 of national programmes issued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157237C"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 0  / target: 27 </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6F935D8"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MS reporting as defined in article 19</w:t>
            </w:r>
          </w:p>
        </w:tc>
      </w:tr>
      <w:tr w:rsidR="00D37F2D" w14:paraId="726C5612" w14:textId="77777777">
        <w:trPr>
          <w:trHeight w:val="585"/>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45EFDD0" w14:textId="77777777" w:rsidR="00D37F2D" w:rsidRPr="005975B6" w:rsidRDefault="00D37F2D">
            <w:pPr>
              <w:spacing w:before="0" w:after="0"/>
              <w:jc w:val="left"/>
              <w:rPr>
                <w:rFonts w:eastAsia="Calibri"/>
                <w:color w:val="000000" w:themeColor="text1"/>
                <w:sz w:val="18"/>
                <w:szCs w:val="18"/>
                <w:lang w:val="fr-BE"/>
              </w:rPr>
            </w:pPr>
            <w:r w:rsidRPr="005975B6">
              <w:rPr>
                <w:rFonts w:eastAsia="Aptos Narrow"/>
                <w:color w:val="000000" w:themeColor="text1"/>
                <w:sz w:val="18"/>
                <w:szCs w:val="18"/>
              </w:rPr>
              <w:t xml:space="preserve">Specific objective </w:t>
            </w:r>
            <w:r>
              <w:rPr>
                <w:rFonts w:eastAsia="Aptos Narrow"/>
                <w:color w:val="000000" w:themeColor="text1"/>
                <w:sz w:val="18"/>
                <w:szCs w:val="18"/>
              </w:rPr>
              <w:t>c)</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B3C0C38"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 of cross-border procurement, procurement on behalf or joint procurements for critical medicines and other medicines of common interest </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9ADC3B1"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0 / target: highly dependent on demand</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2A39472D"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as procurement would be done by the EC, data will be easily available  </w:t>
            </w:r>
          </w:p>
        </w:tc>
      </w:tr>
      <w:tr w:rsidR="00D37F2D" w14:paraId="048F9C19" w14:textId="77777777">
        <w:trPr>
          <w:trHeight w:val="840"/>
        </w:trPr>
        <w:tc>
          <w:tcPr>
            <w:tcW w:w="10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12EF0BE"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Specific objective </w:t>
            </w:r>
            <w:r>
              <w:rPr>
                <w:rFonts w:eastAsia="Aptos Narrow"/>
                <w:color w:val="000000" w:themeColor="text1"/>
                <w:sz w:val="18"/>
                <w:szCs w:val="18"/>
              </w:rPr>
              <w:t>c)</w:t>
            </w:r>
            <w:r w:rsidRPr="005975B6">
              <w:rPr>
                <w:rFonts w:eastAsia="Aptos Narrow"/>
                <w:color w:val="000000" w:themeColor="text1"/>
                <w:sz w:val="18"/>
                <w:szCs w:val="18"/>
              </w:rPr>
              <w:t xml:space="preserve"> </w:t>
            </w:r>
          </w:p>
        </w:tc>
        <w:tc>
          <w:tcPr>
            <w:tcW w:w="346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40D67AC5"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countries benefiting from cross-border procurement, procurement on behalf or joint procurements for critical medicines and other medicines of common interest</w:t>
            </w:r>
          </w:p>
        </w:tc>
        <w:tc>
          <w:tcPr>
            <w:tcW w:w="28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7F30B7EC"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0 / target: highly dependent on demand</w:t>
            </w:r>
          </w:p>
        </w:tc>
        <w:tc>
          <w:tcPr>
            <w:tcW w:w="17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bottom"/>
          </w:tcPr>
          <w:p w14:paraId="0B0CC935" w14:textId="77777777" w:rsidR="00D37F2D" w:rsidRPr="005975B6" w:rsidRDefault="00D37F2D">
            <w:pPr>
              <w:spacing w:before="0" w:after="0"/>
              <w:jc w:val="left"/>
              <w:rPr>
                <w:rFonts w:eastAsia="Aptos Narrow"/>
                <w:color w:val="000000" w:themeColor="text1"/>
                <w:sz w:val="18"/>
                <w:szCs w:val="18"/>
              </w:rPr>
            </w:pPr>
            <w:r w:rsidRPr="005975B6">
              <w:rPr>
                <w:rFonts w:eastAsia="Aptos Narrow"/>
                <w:color w:val="000000" w:themeColor="text1"/>
                <w:sz w:val="18"/>
                <w:szCs w:val="18"/>
              </w:rPr>
              <w:t xml:space="preserve">as procurement would be done by the EC, data will be easily available  </w:t>
            </w:r>
          </w:p>
        </w:tc>
      </w:tr>
    </w:tbl>
    <w:p w14:paraId="14641425" w14:textId="77777777" w:rsidR="00D37F2D" w:rsidRDefault="00D37F2D" w:rsidP="00D37F2D">
      <w:pPr>
        <w:pStyle w:val="Text1"/>
        <w:rPr>
          <w:i/>
          <w:noProof/>
          <w:sz w:val="20"/>
        </w:rPr>
      </w:pPr>
    </w:p>
    <w:p w14:paraId="5E659799" w14:textId="77777777" w:rsidR="00D37F2D" w:rsidRDefault="00D37F2D" w:rsidP="00D37F2D">
      <w:pPr>
        <w:pStyle w:val="ManualHeading2"/>
        <w:rPr>
          <w:noProof/>
        </w:rPr>
      </w:pPr>
      <w:bookmarkStart w:id="50" w:name="_Toc177549000"/>
      <w:r>
        <w:t>1.4.</w:t>
      </w:r>
      <w:r>
        <w:tab/>
      </w:r>
      <w:r w:rsidRPr="7D67B65D">
        <w:rPr>
          <w:noProof/>
        </w:rPr>
        <w:t>The proposal/initiative relates to:</w:t>
      </w:r>
      <w:bookmarkEnd w:id="50"/>
      <w:r w:rsidRPr="7D67B65D">
        <w:rPr>
          <w:noProof/>
        </w:rPr>
        <w:t xml:space="preserve"> </w:t>
      </w:r>
    </w:p>
    <w:p w14:paraId="7A759F59" w14:textId="77777777" w:rsidR="00D37F2D" w:rsidRPr="003B4AA4" w:rsidRDefault="00D37F2D" w:rsidP="00D37F2D">
      <w:pPr>
        <w:pStyle w:val="Text1"/>
        <w:rPr>
          <w:noProof/>
          <w:sz w:val="22"/>
        </w:rPr>
      </w:pPr>
      <w:r>
        <w:rPr>
          <w:rFonts w:ascii="Wingdings" w:eastAsia="Wingdings" w:hAnsi="Wingdings" w:cs="Wingdings"/>
          <w:noProof/>
          <w:sz w:val="22"/>
        </w:rPr>
        <w:t>x</w:t>
      </w:r>
      <w:r w:rsidRPr="003B4AA4">
        <w:rPr>
          <w:i/>
          <w:iCs/>
          <w:noProof/>
          <w:sz w:val="22"/>
        </w:rPr>
        <w:t xml:space="preserve"> </w:t>
      </w:r>
      <w:r w:rsidRPr="003B4AA4">
        <w:rPr>
          <w:noProof/>
        </w:rPr>
        <w:t>a new action</w:t>
      </w:r>
      <w:r w:rsidRPr="003B4AA4">
        <w:rPr>
          <w:noProof/>
          <w:sz w:val="22"/>
        </w:rPr>
        <w:t xml:space="preserve"> </w:t>
      </w:r>
    </w:p>
    <w:p w14:paraId="0D6F0036" w14:textId="77777777" w:rsidR="00D37F2D" w:rsidRPr="003B4AA4" w:rsidRDefault="00D37F2D" w:rsidP="00D37F2D">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 following a pilot project / preparatory action</w:t>
      </w:r>
      <w:r>
        <w:rPr>
          <w:rStyle w:val="FootnoteReference"/>
          <w:noProof/>
        </w:rPr>
        <w:footnoteReference w:id="97"/>
      </w:r>
      <w:r w:rsidRPr="003B4AA4">
        <w:rPr>
          <w:noProof/>
          <w:sz w:val="22"/>
        </w:rPr>
        <w:t xml:space="preserve"> </w:t>
      </w:r>
    </w:p>
    <w:p w14:paraId="7667DA3A" w14:textId="77777777" w:rsidR="00D37F2D" w:rsidRPr="003B4AA4" w:rsidRDefault="00D37F2D" w:rsidP="00D37F2D">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the extension of an existing action</w:t>
      </w:r>
      <w:r w:rsidRPr="003B4AA4">
        <w:rPr>
          <w:noProof/>
          <w:sz w:val="22"/>
        </w:rPr>
        <w:t xml:space="preserve"> </w:t>
      </w:r>
    </w:p>
    <w:p w14:paraId="092BCF45" w14:textId="77777777" w:rsidR="00D37F2D" w:rsidRPr="003B4AA4" w:rsidRDefault="00D37F2D" w:rsidP="00D37F2D">
      <w:pPr>
        <w:pStyle w:val="Text1"/>
        <w:rPr>
          <w:noProof/>
        </w:rPr>
      </w:pPr>
      <w:r w:rsidRPr="003B4AA4">
        <w:rPr>
          <w:rFonts w:ascii="Wingdings" w:eastAsia="Wingdings" w:hAnsi="Wingdings" w:cs="Wingdings"/>
          <w:noProof/>
          <w:sz w:val="22"/>
        </w:rPr>
        <w:t>¨</w:t>
      </w:r>
      <w:r w:rsidRPr="003B4AA4">
        <w:rPr>
          <w:i/>
          <w:iCs/>
          <w:noProof/>
          <w:sz w:val="22"/>
        </w:rPr>
        <w:t xml:space="preserve"> </w:t>
      </w:r>
      <w:r w:rsidRPr="003B4AA4">
        <w:rPr>
          <w:noProof/>
        </w:rPr>
        <w:t>a merger or redirection of one or more actions towards another/a new action</w:t>
      </w:r>
    </w:p>
    <w:p w14:paraId="70BB48A1" w14:textId="77777777" w:rsidR="00D37F2D" w:rsidRDefault="00D37F2D" w:rsidP="00D37F2D">
      <w:pPr>
        <w:pStyle w:val="ManualHeading2"/>
        <w:rPr>
          <w:bCs/>
          <w:noProof/>
          <w:szCs w:val="24"/>
        </w:rPr>
      </w:pPr>
      <w:bookmarkStart w:id="51" w:name="_Toc514938025"/>
      <w:bookmarkStart w:id="52" w:name="_Toc520485034"/>
      <w:bookmarkStart w:id="53" w:name="_Toc160804576"/>
      <w:bookmarkStart w:id="54" w:name="_Toc167220268"/>
      <w:bookmarkStart w:id="55" w:name="_Toc177549001"/>
      <w:r w:rsidRPr="0021790A">
        <w:t>1.5.</w:t>
      </w:r>
      <w:r w:rsidRPr="0021790A">
        <w:tab/>
      </w:r>
      <w:r>
        <w:rPr>
          <w:noProof/>
        </w:rPr>
        <w:t>Grounds for the proposal/initiative</w:t>
      </w:r>
      <w:bookmarkEnd w:id="51"/>
      <w:bookmarkEnd w:id="52"/>
      <w:bookmarkEnd w:id="53"/>
      <w:bookmarkEnd w:id="54"/>
      <w:bookmarkEnd w:id="55"/>
      <w:r>
        <w:rPr>
          <w:noProof/>
        </w:rPr>
        <w:t xml:space="preserve"> </w:t>
      </w:r>
    </w:p>
    <w:p w14:paraId="5BDE3C07" w14:textId="77777777" w:rsidR="00D37F2D" w:rsidRDefault="00D37F2D" w:rsidP="00D37F2D">
      <w:pPr>
        <w:pStyle w:val="ManualHeading3"/>
        <w:rPr>
          <w:noProof/>
        </w:rPr>
      </w:pPr>
      <w:bookmarkStart w:id="56" w:name="_Toc514938026"/>
      <w:bookmarkStart w:id="57" w:name="_Toc520485035"/>
      <w:bookmarkStart w:id="58" w:name="_Toc160804577"/>
      <w:bookmarkStart w:id="59" w:name="_Toc167220269"/>
      <w:bookmarkStart w:id="60" w:name="_Toc177549002"/>
      <w:r w:rsidRPr="0021790A">
        <w:t>1.5.1.</w:t>
      </w:r>
      <w:r w:rsidRPr="0021790A">
        <w:tab/>
      </w:r>
      <w:r>
        <w:rPr>
          <w:noProof/>
        </w:rPr>
        <w:t>Requirement(s) to be met in the short or long term including a detailed timeline for roll-out of the implementation of the initiative</w:t>
      </w:r>
      <w:bookmarkEnd w:id="56"/>
      <w:bookmarkEnd w:id="57"/>
      <w:bookmarkEnd w:id="58"/>
      <w:bookmarkEnd w:id="59"/>
      <w:bookmarkEnd w:id="60"/>
    </w:p>
    <w:p w14:paraId="77B1B5FA" w14:textId="5F015180"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xml:space="preserve">The adoption is expected for Q4 2025 and the implementation will start in 2026. </w:t>
      </w:r>
    </w:p>
    <w:p w14:paraId="779F2510" w14:textId="77777777" w:rsidR="00D37F2D" w:rsidRDefault="00D37F2D" w:rsidP="00D37F2D">
      <w:pPr>
        <w:pStyle w:val="ManualHeading3"/>
        <w:rPr>
          <w:bCs/>
          <w:noProof/>
          <w:szCs w:val="24"/>
        </w:rPr>
      </w:pPr>
      <w:bookmarkStart w:id="61" w:name="_Toc514938029"/>
      <w:bookmarkStart w:id="62" w:name="_Toc520485036"/>
      <w:bookmarkStart w:id="63" w:name="_Toc160804578"/>
      <w:bookmarkStart w:id="64" w:name="_Toc167220270"/>
      <w:bookmarkStart w:id="65" w:name="_Toc177549003"/>
      <w:r w:rsidRPr="0021790A">
        <w:t>1.5.2.</w:t>
      </w:r>
      <w:r w:rsidRPr="0021790A">
        <w:tab/>
      </w:r>
      <w:r>
        <w:rPr>
          <w:noProof/>
        </w:rPr>
        <w:t xml:space="preserve">Added value of EU </w:t>
      </w:r>
      <w:r w:rsidRPr="00CD72BB">
        <w:rPr>
          <w:noProof/>
        </w:rPr>
        <w:t>involvement (it may result from different factors, e.g. coordination gains, legal certainty, great</w:t>
      </w:r>
      <w:r w:rsidRPr="004830A5">
        <w:rPr>
          <w:noProof/>
        </w:rPr>
        <w:t>er effectiveness or complementarities).</w:t>
      </w:r>
      <w:r>
        <w:rPr>
          <w:noProof/>
        </w:rPr>
        <w:t xml:space="preserve"> For the purposes of this section 'added value of EU involvement' is the value resulting from EU action, that is additional to the value that would have been otherwise created by Member States alone.</w:t>
      </w:r>
      <w:bookmarkEnd w:id="61"/>
      <w:bookmarkEnd w:id="62"/>
      <w:bookmarkEnd w:id="63"/>
      <w:bookmarkEnd w:id="64"/>
      <w:bookmarkEnd w:id="65"/>
    </w:p>
    <w:p w14:paraId="2F5DD0B9"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xml:space="preserve">Medicine shortages have hit every Member State in the EU over the last decade. While an individual Member State can act to improve its supply of certain medicines, these efforts are fragmented and insufficient to address the broader, cross-border supply chain problems, including dependency on certain non-EU countries. To address these challenges and to achieve a secure and reliable supply of critical medicines, a common effort at EU level is needed through this proposed </w:t>
      </w:r>
      <w:r>
        <w:t>A</w:t>
      </w:r>
      <w:r w:rsidRPr="001B59E4">
        <w:t>ct.</w:t>
      </w:r>
      <w:r w:rsidRPr="00870B95">
        <w:rPr>
          <w:rFonts w:ascii="Segoe UI" w:hAnsi="Segoe UI" w:cs="Segoe UI"/>
          <w:sz w:val="18"/>
          <w:szCs w:val="18"/>
          <w:lang w:val="en-IE" w:eastAsia="en-IE"/>
        </w:rPr>
        <w:t xml:space="preserve"> </w:t>
      </w:r>
      <w:r w:rsidRPr="00870B95">
        <w:rPr>
          <w:lang w:val="en-IE"/>
        </w:rPr>
        <w:t xml:space="preserve">Adding to this issue, access problems can also exist for other medicines of common interest, disproportionately affecting some Member States, such as those with a smaller market size. To improve the </w:t>
      </w:r>
      <w:r>
        <w:rPr>
          <w:lang w:val="en-IE"/>
        </w:rPr>
        <w:t xml:space="preserve">availability of </w:t>
      </w:r>
      <w:r w:rsidRPr="00870B95">
        <w:rPr>
          <w:lang w:val="en-IE"/>
        </w:rPr>
        <w:t xml:space="preserve">and access to these medicines, this Act therefore proposes measures to leverage the aggregated demand of the interested Member States through collaborative procurement procedures. </w:t>
      </w:r>
    </w:p>
    <w:p w14:paraId="3D1D1110" w14:textId="77777777" w:rsidR="00D37F2D" w:rsidRDefault="00D37F2D" w:rsidP="00D37F2D">
      <w:pPr>
        <w:pStyle w:val="ManualHeading3"/>
        <w:rPr>
          <w:noProof/>
        </w:rPr>
      </w:pPr>
      <w:bookmarkStart w:id="66" w:name="_Toc514938030"/>
      <w:bookmarkStart w:id="67" w:name="_Toc520485037"/>
      <w:bookmarkStart w:id="68" w:name="_Toc160804579"/>
      <w:bookmarkStart w:id="69" w:name="_Toc167220271"/>
      <w:bookmarkStart w:id="70" w:name="_Toc177549004"/>
      <w:r w:rsidRPr="0021790A">
        <w:t>1.5.3.</w:t>
      </w:r>
      <w:r w:rsidRPr="0021790A">
        <w:tab/>
      </w:r>
      <w:r>
        <w:rPr>
          <w:noProof/>
        </w:rPr>
        <w:t>Lessons learned from similar experiences in the past</w:t>
      </w:r>
      <w:bookmarkEnd w:id="66"/>
      <w:bookmarkEnd w:id="67"/>
      <w:bookmarkEnd w:id="68"/>
      <w:bookmarkEnd w:id="69"/>
      <w:bookmarkEnd w:id="70"/>
    </w:p>
    <w:p w14:paraId="1F247412" w14:textId="77777777" w:rsidR="00D37F2D" w:rsidRPr="00053A88" w:rsidRDefault="00D37F2D" w:rsidP="00D37F2D">
      <w:pPr>
        <w:pStyle w:val="Text1"/>
        <w:pBdr>
          <w:top w:val="single" w:sz="4" w:space="1" w:color="auto"/>
          <w:left w:val="single" w:sz="4" w:space="4" w:color="auto"/>
          <w:bottom w:val="single" w:sz="4" w:space="1" w:color="auto"/>
          <w:right w:val="single" w:sz="4" w:space="4" w:color="auto"/>
        </w:pBdr>
        <w:ind w:left="851"/>
        <w:rPr>
          <w:lang w:val="en-IE"/>
        </w:rPr>
      </w:pPr>
      <w:r w:rsidRPr="00361333">
        <w:rPr>
          <w:noProof/>
        </w:rPr>
        <w:t>The Union List of Critical Medicines, created collaboratively by Member State</w:t>
      </w:r>
      <w:r>
        <w:rPr>
          <w:noProof/>
        </w:rPr>
        <w:t>s</w:t>
      </w:r>
      <w:r w:rsidRPr="00361333">
        <w:rPr>
          <w:noProof/>
        </w:rPr>
        <w:t xml:space="preserve">, the European </w:t>
      </w:r>
      <w:r>
        <w:rPr>
          <w:noProof/>
        </w:rPr>
        <w:t>Medicines Agency and</w:t>
      </w:r>
      <w:r w:rsidRPr="00361333">
        <w:rPr>
          <w:noProof/>
        </w:rPr>
        <w:t xml:space="preserve"> the European Commission, identifies medicines crucial for treating serious conditions with limited alternatives. Initially published in December 2023 and updated a year later, it includes </w:t>
      </w:r>
      <w:r>
        <w:rPr>
          <w:noProof/>
        </w:rPr>
        <w:t>276</w:t>
      </w:r>
      <w:r w:rsidRPr="00361333">
        <w:rPr>
          <w:noProof/>
        </w:rPr>
        <w:t xml:space="preserve"> active substances. </w:t>
      </w:r>
      <w:r>
        <w:rPr>
          <w:noProof/>
        </w:rPr>
        <w:t>The Commission’s</w:t>
      </w:r>
      <w:r w:rsidRPr="00361333">
        <w:rPr>
          <w:noProof/>
        </w:rPr>
        <w:t xml:space="preserve"> analysis of supply chain vulnerabilities for 11 representative medicines found reliance on non-EU suppliers and market concentration risks, underscoring the need for strategic interventions to bolster resilience through diversified supply sources, flexible production capacity, and robust risk management.</w:t>
      </w:r>
      <w:r w:rsidRPr="00215088">
        <w:rPr>
          <w:rFonts w:ascii="Segoe UI" w:hAnsi="Segoe UI" w:cs="Segoe UI"/>
          <w:sz w:val="18"/>
          <w:szCs w:val="18"/>
          <w:lang w:val="en-IE" w:eastAsia="en-IE"/>
        </w:rPr>
        <w:t xml:space="preserve"> </w:t>
      </w:r>
    </w:p>
    <w:p w14:paraId="5485A789" w14:textId="77777777" w:rsidR="00D37F2D" w:rsidRPr="007C7278" w:rsidRDefault="00D37F2D" w:rsidP="00D37F2D">
      <w:pPr>
        <w:pStyle w:val="Text1"/>
        <w:pBdr>
          <w:top w:val="single" w:sz="4" w:space="1" w:color="auto"/>
          <w:left w:val="single" w:sz="4" w:space="4" w:color="auto"/>
          <w:bottom w:val="single" w:sz="4" w:space="1" w:color="auto"/>
          <w:right w:val="single" w:sz="4" w:space="4" w:color="auto"/>
        </w:pBdr>
        <w:ind w:left="851"/>
        <w:rPr>
          <w:lang w:val="en-IE"/>
        </w:rPr>
      </w:pPr>
      <w:r w:rsidRPr="00D63AB7">
        <w:rPr>
          <w:lang w:val="en-IE"/>
        </w:rPr>
        <w:t xml:space="preserve">Some Member States have been involved in cross-border procurement of medicinal products, pursuant to the public procurement directive. Whereas it has been found helpful to make small markets attractive for suppliers, thereby achieving better availability of medicinal products, its implementation is time and resource-intensive, especially in the starting phase, what is considered a limiting factor. The potential benefits that leveraging of several Member States demand in one procurement procedure may have is also illustrated by the experiences resulting from the implementation of joint procurement of medical countermeasures and COVID-19 vaccines. </w:t>
      </w:r>
    </w:p>
    <w:p w14:paraId="26791A2C" w14:textId="77777777" w:rsidR="00D37F2D" w:rsidRDefault="00D37F2D" w:rsidP="00D37F2D">
      <w:pPr>
        <w:pStyle w:val="ManualHeading3"/>
        <w:rPr>
          <w:noProof/>
        </w:rPr>
      </w:pPr>
      <w:bookmarkStart w:id="71" w:name="_Toc514938033"/>
      <w:bookmarkStart w:id="72" w:name="_Toc520485038"/>
      <w:bookmarkStart w:id="73" w:name="_Toc160804580"/>
      <w:bookmarkStart w:id="74" w:name="_Toc167220272"/>
      <w:bookmarkStart w:id="75" w:name="_Toc177549005"/>
      <w:r w:rsidRPr="0021790A">
        <w:t>1.5.4.</w:t>
      </w:r>
      <w:r w:rsidRPr="0021790A">
        <w:tab/>
      </w:r>
      <w:r>
        <w:rPr>
          <w:noProof/>
        </w:rPr>
        <w:t>Compatibility with the multiannual financial framework and possible synergies with other appropriate instruments</w:t>
      </w:r>
      <w:bookmarkEnd w:id="71"/>
      <w:bookmarkEnd w:id="72"/>
      <w:bookmarkEnd w:id="73"/>
      <w:bookmarkEnd w:id="74"/>
      <w:bookmarkEnd w:id="75"/>
    </w:p>
    <w:p w14:paraId="0EEDD6F0" w14:textId="1CFA2DA1" w:rsidR="00D37F2D" w:rsidRPr="00192836" w:rsidRDefault="00D37F2D" w:rsidP="00D37F2D">
      <w:pPr>
        <w:pStyle w:val="Text1"/>
        <w:pBdr>
          <w:top w:val="single" w:sz="4" w:space="1" w:color="auto"/>
          <w:left w:val="single" w:sz="4" w:space="4" w:color="auto"/>
          <w:bottom w:val="single" w:sz="4" w:space="1" w:color="auto"/>
          <w:right w:val="single" w:sz="4" w:space="4" w:color="auto"/>
        </w:pBdr>
        <w:rPr>
          <w:noProof/>
        </w:rPr>
      </w:pPr>
      <w:r w:rsidRPr="001B59E4">
        <w:t xml:space="preserve">For the duration of the Multiannual Financial Framework 2021-2027, the </w:t>
      </w:r>
      <w:r>
        <w:t>s</w:t>
      </w:r>
      <w:r w:rsidRPr="001B59E4">
        <w:t xml:space="preserve">trategic </w:t>
      </w:r>
      <w:r>
        <w:t>p</w:t>
      </w:r>
      <w:r w:rsidRPr="001B59E4">
        <w:t xml:space="preserve">rojects </w:t>
      </w:r>
      <w:r>
        <w:t>may</w:t>
      </w:r>
      <w:r w:rsidRPr="001B59E4">
        <w:t xml:space="preserve"> be supported by EU funding, including but not limited to EU4Health programme, Horizon Europe, and the Digital Europe Programme, </w:t>
      </w:r>
      <w:r>
        <w:t>in line with the objectives set out in the Regulation establishing those programmes</w:t>
      </w:r>
      <w:r w:rsidRPr="00192836">
        <w:t>.</w:t>
      </w:r>
      <w:r w:rsidRPr="001B59E4">
        <w:t xml:space="preserve"> </w:t>
      </w:r>
      <w:r w:rsidR="002B0F45" w:rsidRPr="00DA7817">
        <w:t xml:space="preserve">Authorities in charge of the Union programmes covered by the STEP Regulation should in particular consider supporting Strategic projects addressing vulnerability in the supply chain of critical medicinal products. These projects </w:t>
      </w:r>
      <w:r w:rsidR="002B0F45">
        <w:t>should</w:t>
      </w:r>
      <w:r w:rsidR="002B0F45" w:rsidRPr="00DA7817">
        <w:t xml:space="preserve"> be deemed to contribute to STEP</w:t>
      </w:r>
      <w:r w:rsidR="002B0F45">
        <w:t>.</w:t>
      </w:r>
    </w:p>
    <w:p w14:paraId="31ED0F59" w14:textId="50A0958F" w:rsidR="00D37F2D" w:rsidRDefault="00D37F2D" w:rsidP="00D37F2D">
      <w:pPr>
        <w:pStyle w:val="ManualHeading3"/>
        <w:rPr>
          <w:noProof/>
        </w:rPr>
      </w:pPr>
      <w:bookmarkStart w:id="76" w:name="_Toc514938036"/>
      <w:bookmarkStart w:id="77" w:name="_Toc520485039"/>
      <w:bookmarkStart w:id="78" w:name="_Toc160804581"/>
      <w:bookmarkStart w:id="79" w:name="_Toc167220273"/>
      <w:bookmarkStart w:id="80" w:name="_Toc177549006"/>
      <w:r w:rsidRPr="0021790A">
        <w:t>1.5.5.</w:t>
      </w:r>
      <w:r w:rsidRPr="0021790A">
        <w:tab/>
      </w:r>
      <w:r>
        <w:rPr>
          <w:noProof/>
        </w:rPr>
        <w:t>Assessment of the different available financing options, including scope for redeployment</w:t>
      </w:r>
      <w:bookmarkEnd w:id="76"/>
      <w:bookmarkEnd w:id="77"/>
      <w:bookmarkEnd w:id="78"/>
      <w:bookmarkEnd w:id="79"/>
      <w:bookmarkEnd w:id="80"/>
    </w:p>
    <w:p w14:paraId="6E72A3D8" w14:textId="77777777" w:rsidR="00D37F2D" w:rsidRDefault="00D37F2D" w:rsidP="00D37F2D">
      <w:pPr>
        <w:pStyle w:val="Text1"/>
        <w:pBdr>
          <w:top w:val="single" w:sz="4" w:space="1" w:color="auto"/>
          <w:left w:val="single" w:sz="4" w:space="4" w:color="auto"/>
          <w:bottom w:val="single" w:sz="4" w:space="1" w:color="auto"/>
          <w:right w:val="single" w:sz="4" w:space="4" w:color="auto"/>
        </w:pBdr>
        <w:rPr>
          <w:noProof/>
        </w:rPr>
      </w:pPr>
      <w:r w:rsidRPr="001B59E4">
        <w:t>N/A</w:t>
      </w:r>
    </w:p>
    <w:p w14:paraId="3F047F7E" w14:textId="77777777" w:rsidR="00D37F2D" w:rsidRDefault="00D37F2D" w:rsidP="00D37F2D">
      <w:pPr>
        <w:pStyle w:val="ManualHeading2"/>
        <w:rPr>
          <w:bCs/>
          <w:noProof/>
          <w:szCs w:val="24"/>
        </w:rPr>
      </w:pPr>
      <w:r>
        <w:rPr>
          <w:noProof/>
        </w:rPr>
        <w:br w:type="page"/>
      </w:r>
      <w:bookmarkStart w:id="81" w:name="_Toc514938039"/>
      <w:bookmarkStart w:id="82" w:name="_Toc520485040"/>
      <w:bookmarkStart w:id="83" w:name="_Toc160804582"/>
      <w:bookmarkStart w:id="84" w:name="_Toc167220274"/>
      <w:bookmarkStart w:id="85" w:name="_Toc177549007"/>
      <w:r w:rsidRPr="0021790A">
        <w:t>1.6.</w:t>
      </w:r>
      <w:r w:rsidRPr="0021790A">
        <w:tab/>
      </w:r>
      <w:r>
        <w:rPr>
          <w:noProof/>
        </w:rPr>
        <w:t>Duration of the proposal/initiative</w:t>
      </w:r>
      <w:bookmarkEnd w:id="81"/>
      <w:bookmarkEnd w:id="82"/>
      <w:r>
        <w:rPr>
          <w:noProof/>
        </w:rPr>
        <w:t xml:space="preserve"> and of its financial impact</w:t>
      </w:r>
      <w:bookmarkEnd w:id="83"/>
      <w:bookmarkEnd w:id="84"/>
      <w:bookmarkEnd w:id="85"/>
    </w:p>
    <w:p w14:paraId="2A9BDF83" w14:textId="77777777" w:rsidR="00D37F2D" w:rsidRDefault="00D37F2D" w:rsidP="00D37F2D">
      <w:pPr>
        <w:pStyle w:val="Text1"/>
        <w:rPr>
          <w:noProof/>
        </w:rPr>
      </w:pPr>
      <w:r>
        <w:rPr>
          <w:rFonts w:ascii="Wingdings" w:eastAsia="Wingdings" w:hAnsi="Wingdings" w:cs="Wingdings"/>
          <w:noProof/>
        </w:rPr>
        <w:t>¨</w:t>
      </w:r>
      <w:r>
        <w:rPr>
          <w:b/>
          <w:i/>
          <w:noProof/>
        </w:rPr>
        <w:t xml:space="preserve"> </w:t>
      </w:r>
      <w:r>
        <w:rPr>
          <w:b/>
          <w:noProof/>
        </w:rPr>
        <w:t xml:space="preserve">limited duration </w:t>
      </w:r>
    </w:p>
    <w:p w14:paraId="38DA7D28" w14:textId="77777777" w:rsidR="00D37F2D" w:rsidRDefault="00D37F2D" w:rsidP="00D37F2D">
      <w:pPr>
        <w:pStyle w:val="ListDash2"/>
        <w:rPr>
          <w:noProof/>
        </w:rPr>
      </w:pPr>
      <w:r>
        <w:rPr>
          <w:rFonts w:ascii="Wingdings" w:eastAsia="Wingdings" w:hAnsi="Wingdings" w:cs="Wingdings"/>
          <w:noProof/>
        </w:rPr>
        <w:t>¨</w:t>
      </w:r>
      <w:r>
        <w:rPr>
          <w:noProof/>
        </w:rPr>
        <w:tab/>
        <w:t xml:space="preserve">in effect from [DD/MM]YYYY to [DD/MM]YYYY </w:t>
      </w:r>
    </w:p>
    <w:p w14:paraId="310035D5" w14:textId="77777777" w:rsidR="00D37F2D" w:rsidRDefault="00D37F2D" w:rsidP="00D37F2D">
      <w:pPr>
        <w:pStyle w:val="ListDash2"/>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14:paraId="701DFF19" w14:textId="77777777" w:rsidR="00D37F2D" w:rsidRDefault="00D37F2D" w:rsidP="00D37F2D">
      <w:pPr>
        <w:pStyle w:val="Text1"/>
        <w:rPr>
          <w:noProof/>
        </w:rPr>
      </w:pPr>
      <w:r>
        <w:rPr>
          <w:rFonts w:ascii="Wingdings" w:eastAsia="Wingdings" w:hAnsi="Wingdings" w:cs="Wingdings"/>
          <w:noProof/>
        </w:rPr>
        <w:t>x</w:t>
      </w:r>
      <w:r>
        <w:rPr>
          <w:b/>
          <w:i/>
          <w:noProof/>
        </w:rPr>
        <w:t xml:space="preserve"> </w:t>
      </w:r>
      <w:r>
        <w:rPr>
          <w:b/>
          <w:noProof/>
        </w:rPr>
        <w:t>unlimited duration</w:t>
      </w:r>
    </w:p>
    <w:p w14:paraId="49D0504D" w14:textId="77777777" w:rsidR="00D37F2D" w:rsidRDefault="00D37F2D" w:rsidP="00D37F2D">
      <w:pPr>
        <w:pStyle w:val="ListDash1"/>
        <w:rPr>
          <w:noProof/>
        </w:rPr>
      </w:pPr>
      <w:r>
        <w:rPr>
          <w:noProof/>
        </w:rPr>
        <w:t>Implementation with a start-up period from 2026 to 2027,</w:t>
      </w:r>
    </w:p>
    <w:p w14:paraId="57A57B4E" w14:textId="77777777" w:rsidR="00D37F2D" w:rsidRDefault="00D37F2D" w:rsidP="00D37F2D">
      <w:pPr>
        <w:pStyle w:val="ListDash1"/>
        <w:rPr>
          <w:noProof/>
        </w:rPr>
      </w:pPr>
      <w:r>
        <w:rPr>
          <w:noProof/>
        </w:rPr>
        <w:t>followed by full-scale operation as of 2027.</w:t>
      </w:r>
    </w:p>
    <w:p w14:paraId="0278374E" w14:textId="77777777" w:rsidR="00D37F2D" w:rsidRDefault="00D37F2D" w:rsidP="00D37F2D">
      <w:pPr>
        <w:pStyle w:val="ManualHeading2"/>
        <w:rPr>
          <w:bCs/>
          <w:noProof/>
          <w:szCs w:val="24"/>
        </w:rPr>
      </w:pPr>
      <w:bookmarkStart w:id="86" w:name="_Toc514938040"/>
      <w:bookmarkStart w:id="87" w:name="_Toc520485041"/>
      <w:bookmarkStart w:id="88" w:name="_Toc160804583"/>
      <w:bookmarkStart w:id="89" w:name="_Toc167220275"/>
      <w:bookmarkStart w:id="90" w:name="_Toc177549008"/>
      <w:r w:rsidRPr="0021790A">
        <w:t>1.7.</w:t>
      </w:r>
      <w:r w:rsidRPr="0021790A">
        <w:tab/>
      </w:r>
      <w:r>
        <w:rPr>
          <w:noProof/>
        </w:rPr>
        <w:t>Method(s) of budget implementation planned</w:t>
      </w:r>
      <w:r>
        <w:rPr>
          <w:rStyle w:val="FootnoteReference"/>
          <w:noProof/>
        </w:rPr>
        <w:footnoteReference w:id="98"/>
      </w:r>
      <w:bookmarkEnd w:id="86"/>
      <w:bookmarkEnd w:id="87"/>
      <w:bookmarkEnd w:id="88"/>
      <w:bookmarkEnd w:id="89"/>
      <w:bookmarkEnd w:id="90"/>
      <w:r>
        <w:rPr>
          <w:rStyle w:val="FootnoteReference"/>
          <w:noProof/>
        </w:rPr>
        <w:t xml:space="preserve"> </w:t>
      </w:r>
    </w:p>
    <w:p w14:paraId="58EE6840" w14:textId="77777777" w:rsidR="00D37F2D" w:rsidRDefault="00D37F2D" w:rsidP="00D37F2D">
      <w:pPr>
        <w:pStyle w:val="Text1"/>
        <w:rPr>
          <w:noProof/>
        </w:rPr>
      </w:pPr>
      <w:r>
        <w:rPr>
          <w:rFonts w:ascii="Wingdings" w:eastAsia="Wingdings" w:hAnsi="Wingdings" w:cs="Wingdings"/>
          <w:noProof/>
        </w:rPr>
        <w:t>x</w:t>
      </w:r>
      <w:r>
        <w:rPr>
          <w:i/>
          <w:noProof/>
        </w:rPr>
        <w:t xml:space="preserve"> </w:t>
      </w:r>
      <w:r>
        <w:rPr>
          <w:b/>
          <w:noProof/>
        </w:rPr>
        <w:t>Direct management</w:t>
      </w:r>
      <w:r>
        <w:rPr>
          <w:noProof/>
        </w:rPr>
        <w:t xml:space="preserve"> by the Commission</w:t>
      </w:r>
    </w:p>
    <w:p w14:paraId="4D2252F1" w14:textId="77777777" w:rsidR="00D37F2D" w:rsidRDefault="00D37F2D" w:rsidP="00D37F2D">
      <w:pPr>
        <w:pStyle w:val="ListDash2"/>
        <w:rPr>
          <w:rFonts w:cs="EUAlbertina"/>
          <w:noProof/>
        </w:rPr>
      </w:pPr>
      <w:r>
        <w:rPr>
          <w:rFonts w:ascii="Wingdings" w:eastAsia="Wingdings" w:hAnsi="Wingdings" w:cs="Wingdings"/>
          <w:noProof/>
        </w:rPr>
        <w:t>x</w:t>
      </w:r>
      <w:r>
        <w:rPr>
          <w:noProof/>
        </w:rPr>
        <w:t xml:space="preserve"> by its departments, including by its staff in the Union delegations; </w:t>
      </w:r>
    </w:p>
    <w:p w14:paraId="38D4C36A" w14:textId="77777777" w:rsidR="00D37F2D" w:rsidRDefault="00D37F2D" w:rsidP="00D37F2D">
      <w:pPr>
        <w:pStyle w:val="ListDash2"/>
        <w:rPr>
          <w:noProof/>
        </w:rPr>
      </w:pPr>
      <w:r>
        <w:rPr>
          <w:rFonts w:ascii="Wingdings" w:eastAsia="Wingdings" w:hAnsi="Wingdings" w:cs="Wingdings"/>
          <w:noProof/>
        </w:rPr>
        <w:t>x</w:t>
      </w:r>
      <w:r>
        <w:rPr>
          <w:noProof/>
        </w:rPr>
        <w:tab/>
        <w:t xml:space="preserve">by the executive agencies </w:t>
      </w:r>
    </w:p>
    <w:p w14:paraId="55598782" w14:textId="77777777" w:rsidR="00D37F2D" w:rsidRDefault="00D37F2D" w:rsidP="00D37F2D">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14:paraId="66B0636F" w14:textId="77777777" w:rsidR="00D37F2D" w:rsidRDefault="00D37F2D" w:rsidP="00D37F2D">
      <w:pPr>
        <w:pStyle w:val="Text1"/>
        <w:rPr>
          <w:noProof/>
        </w:rPr>
      </w:pPr>
      <w:r>
        <w:rPr>
          <w:rFonts w:ascii="Wingdings" w:eastAsia="Wingdings" w:hAnsi="Wingdings" w:cs="Wingdings"/>
          <w:noProof/>
        </w:rPr>
        <w:t>x</w:t>
      </w:r>
      <w:r>
        <w:rPr>
          <w:i/>
          <w:noProof/>
        </w:rPr>
        <w:t xml:space="preserve"> </w:t>
      </w:r>
      <w:r>
        <w:rPr>
          <w:b/>
          <w:noProof/>
        </w:rPr>
        <w:t>Indirect management</w:t>
      </w:r>
      <w:r>
        <w:rPr>
          <w:noProof/>
        </w:rPr>
        <w:t xml:space="preserve"> by entrusting budget implementation tasks to:</w:t>
      </w:r>
    </w:p>
    <w:p w14:paraId="17E39808" w14:textId="77777777" w:rsidR="00D37F2D" w:rsidRDefault="00D37F2D" w:rsidP="00D37F2D">
      <w:pPr>
        <w:pStyle w:val="ListDash2"/>
        <w:rPr>
          <w:noProof/>
        </w:rPr>
      </w:pPr>
      <w:r>
        <w:rPr>
          <w:rFonts w:ascii="Wingdings" w:eastAsia="Wingdings" w:hAnsi="Wingdings" w:cs="Wingdings"/>
          <w:noProof/>
        </w:rPr>
        <w:t>¨</w:t>
      </w:r>
      <w:r>
        <w:rPr>
          <w:noProof/>
        </w:rPr>
        <w:t xml:space="preserve"> third countries or the bodies they have designated</w:t>
      </w:r>
    </w:p>
    <w:p w14:paraId="114C244E" w14:textId="77777777" w:rsidR="00D37F2D" w:rsidRDefault="00D37F2D" w:rsidP="00D37F2D">
      <w:pPr>
        <w:pStyle w:val="ListDash2"/>
        <w:rPr>
          <w:noProof/>
        </w:rPr>
      </w:pPr>
      <w:r>
        <w:rPr>
          <w:rFonts w:ascii="Wingdings" w:eastAsia="Wingdings" w:hAnsi="Wingdings" w:cs="Wingdings"/>
          <w:noProof/>
        </w:rPr>
        <w:t>¨</w:t>
      </w:r>
      <w:r>
        <w:rPr>
          <w:noProof/>
        </w:rPr>
        <w:t xml:space="preserve"> international organisations and their agencies (to be specified)</w:t>
      </w:r>
    </w:p>
    <w:p w14:paraId="31197D0F" w14:textId="77777777" w:rsidR="00D37F2D" w:rsidRDefault="00D37F2D" w:rsidP="00D37F2D">
      <w:pPr>
        <w:pStyle w:val="ListDash2"/>
        <w:rPr>
          <w:noProof/>
        </w:rPr>
      </w:pPr>
      <w:r>
        <w:rPr>
          <w:rFonts w:ascii="Wingdings" w:eastAsia="Wingdings" w:hAnsi="Wingdings" w:cs="Wingdings"/>
          <w:noProof/>
        </w:rPr>
        <w:t>¨</w:t>
      </w:r>
      <w:r>
        <w:rPr>
          <w:noProof/>
        </w:rPr>
        <w:t xml:space="preserve"> the European Investment Bank and the European Investment Fund</w:t>
      </w:r>
    </w:p>
    <w:p w14:paraId="39DF6F2F" w14:textId="77777777" w:rsidR="00D37F2D" w:rsidRDefault="00D37F2D" w:rsidP="00D37F2D">
      <w:pPr>
        <w:pStyle w:val="ListDash2"/>
        <w:rPr>
          <w:noProof/>
        </w:rPr>
      </w:pPr>
      <w:r>
        <w:rPr>
          <w:rFonts w:ascii="Wingdings" w:eastAsia="Wingdings" w:hAnsi="Wingdings" w:cs="Wingdings"/>
          <w:noProof/>
        </w:rPr>
        <w:t>x</w:t>
      </w:r>
      <w:r>
        <w:rPr>
          <w:noProof/>
        </w:rPr>
        <w:t xml:space="preserve"> bodies referred to in Articles 70 and 71 of the Financial Regulation</w:t>
      </w:r>
    </w:p>
    <w:p w14:paraId="4BB92388" w14:textId="77777777" w:rsidR="00D37F2D" w:rsidRDefault="00D37F2D" w:rsidP="00D37F2D">
      <w:pPr>
        <w:pStyle w:val="ListDash2"/>
        <w:rPr>
          <w:noProof/>
        </w:rPr>
      </w:pPr>
      <w:r>
        <w:rPr>
          <w:rFonts w:ascii="Wingdings" w:eastAsia="Wingdings" w:hAnsi="Wingdings" w:cs="Wingdings"/>
          <w:noProof/>
        </w:rPr>
        <w:t>¨</w:t>
      </w:r>
      <w:r>
        <w:rPr>
          <w:noProof/>
        </w:rPr>
        <w:t xml:space="preserve"> public law bodies</w:t>
      </w:r>
    </w:p>
    <w:p w14:paraId="189500DC" w14:textId="77777777" w:rsidR="00D37F2D" w:rsidRDefault="00D37F2D" w:rsidP="00D37F2D">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14:paraId="274EB358" w14:textId="77777777" w:rsidR="00D37F2D" w:rsidRDefault="00D37F2D" w:rsidP="00D37F2D">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14:paraId="1142EC05" w14:textId="77777777" w:rsidR="00D37F2D" w:rsidRDefault="00D37F2D" w:rsidP="00D37F2D">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14:paraId="4F65465F" w14:textId="77777777" w:rsidR="00D37F2D" w:rsidRDefault="00D37F2D" w:rsidP="00D37F2D">
      <w:pPr>
        <w:pStyle w:val="ListDash2"/>
        <w:rPr>
          <w:noProof/>
        </w:rPr>
      </w:pPr>
      <w:r>
        <w:rPr>
          <w:rFonts w:ascii="Wingdings" w:eastAsia="Wingdings" w:hAnsi="Wingdings" w:cs="Wingdings"/>
          <w:noProof/>
        </w:rPr>
        <w:t xml:space="preserve">¨ </w:t>
      </w:r>
      <w: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7B497A15" w14:textId="77777777" w:rsidR="00D37F2D" w:rsidRDefault="00D37F2D" w:rsidP="00D37F2D">
      <w:pPr>
        <w:rPr>
          <w:noProof/>
        </w:rPr>
      </w:pPr>
      <w:r>
        <w:rPr>
          <w:noProof/>
        </w:rPr>
        <w:t xml:space="preserve">Comments </w:t>
      </w:r>
    </w:p>
    <w:p w14:paraId="4CDD7416" w14:textId="77777777" w:rsidR="00D37F2D" w:rsidRDefault="00D37F2D" w:rsidP="00D37F2D">
      <w:pPr>
        <w:pStyle w:val="ManualHeading1"/>
        <w:rPr>
          <w:bCs/>
          <w:noProof/>
          <w:szCs w:val="24"/>
        </w:rPr>
      </w:pPr>
      <w:bookmarkStart w:id="91" w:name="_Toc514938041"/>
      <w:bookmarkStart w:id="92" w:name="_Toc520485042"/>
      <w:bookmarkStart w:id="93" w:name="_Toc160804584"/>
      <w:bookmarkStart w:id="94" w:name="_Toc167220276"/>
      <w:bookmarkStart w:id="95" w:name="_Toc177549009"/>
      <w:r w:rsidRPr="0021790A">
        <w:t>2.</w:t>
      </w:r>
      <w:r w:rsidRPr="0021790A">
        <w:tab/>
      </w:r>
      <w:r>
        <w:rPr>
          <w:noProof/>
        </w:rPr>
        <w:t>MANAGEMENT MEASURES</w:t>
      </w:r>
      <w:bookmarkEnd w:id="91"/>
      <w:bookmarkEnd w:id="92"/>
      <w:bookmarkEnd w:id="93"/>
      <w:bookmarkEnd w:id="94"/>
      <w:bookmarkEnd w:id="95"/>
      <w:r>
        <w:rPr>
          <w:noProof/>
        </w:rPr>
        <w:t xml:space="preserve"> </w:t>
      </w:r>
    </w:p>
    <w:p w14:paraId="66BB3E97" w14:textId="77777777" w:rsidR="00D37F2D" w:rsidRDefault="00D37F2D" w:rsidP="00D37F2D">
      <w:pPr>
        <w:pStyle w:val="ManualHeading2"/>
        <w:rPr>
          <w:noProof/>
        </w:rPr>
      </w:pPr>
      <w:bookmarkStart w:id="96" w:name="_Toc514938042"/>
      <w:bookmarkStart w:id="97" w:name="_Toc520485043"/>
      <w:bookmarkStart w:id="98" w:name="_Toc160804585"/>
      <w:bookmarkStart w:id="99" w:name="_Toc167220277"/>
      <w:bookmarkStart w:id="100" w:name="_Toc177549010"/>
      <w:r w:rsidRPr="0021790A">
        <w:t>2.1.</w:t>
      </w:r>
      <w:r w:rsidRPr="0021790A">
        <w:tab/>
      </w:r>
      <w:r>
        <w:rPr>
          <w:noProof/>
        </w:rPr>
        <w:t>Monitoring and reporting rules</w:t>
      </w:r>
      <w:bookmarkEnd w:id="96"/>
      <w:bookmarkEnd w:id="97"/>
      <w:bookmarkEnd w:id="98"/>
      <w:bookmarkEnd w:id="99"/>
      <w:bookmarkEnd w:id="100"/>
      <w:r>
        <w:rPr>
          <w:noProof/>
        </w:rPr>
        <w:t xml:space="preserve"> </w:t>
      </w:r>
    </w:p>
    <w:p w14:paraId="385D1573" w14:textId="77777777" w:rsidR="00D37F2D" w:rsidRPr="001B59E4" w:rsidRDefault="00D37F2D" w:rsidP="00D37F2D">
      <w:pPr>
        <w:pStyle w:val="Text1"/>
        <w:pBdr>
          <w:top w:val="single" w:sz="4" w:space="1" w:color="auto"/>
          <w:left w:val="single" w:sz="4" w:space="1" w:color="auto"/>
          <w:bottom w:val="single" w:sz="4" w:space="1" w:color="auto"/>
          <w:right w:val="single" w:sz="4" w:space="1" w:color="auto"/>
        </w:pBdr>
      </w:pPr>
      <w:r w:rsidRPr="001B59E4">
        <w:t xml:space="preserve">Annual monitoring foreseen on the defined indicators </w:t>
      </w:r>
    </w:p>
    <w:p w14:paraId="660CBA83" w14:textId="77777777" w:rsidR="00D37F2D" w:rsidRPr="001B59E4" w:rsidRDefault="00D37F2D" w:rsidP="00D37F2D">
      <w:pPr>
        <w:pStyle w:val="Text1"/>
        <w:pBdr>
          <w:top w:val="single" w:sz="4" w:space="1" w:color="auto"/>
          <w:left w:val="single" w:sz="4" w:space="1" w:color="auto"/>
          <w:bottom w:val="single" w:sz="4" w:space="1" w:color="auto"/>
          <w:right w:val="single" w:sz="4" w:space="1" w:color="auto"/>
        </w:pBdr>
      </w:pPr>
      <w:r w:rsidRPr="001B59E4">
        <w:t>The proposal relies on existing workstreams in the European Commission and the European Medicinal Agency, which will facilitate monitoring of several indicators. For these, continuous data/information will be available.</w:t>
      </w:r>
    </w:p>
    <w:p w14:paraId="115C1659" w14:textId="77777777" w:rsidR="00D37F2D" w:rsidRDefault="00D37F2D" w:rsidP="00D37F2D">
      <w:pPr>
        <w:pStyle w:val="ManualHeading2"/>
        <w:rPr>
          <w:bCs/>
          <w:noProof/>
          <w:szCs w:val="24"/>
        </w:rPr>
      </w:pPr>
      <w:bookmarkStart w:id="101" w:name="_Toc514938045"/>
      <w:bookmarkStart w:id="102" w:name="_Toc520485044"/>
      <w:bookmarkStart w:id="103" w:name="_Toc160804586"/>
      <w:bookmarkStart w:id="104" w:name="_Toc167220278"/>
      <w:bookmarkStart w:id="105" w:name="_Toc177549011"/>
      <w:r w:rsidRPr="0021790A">
        <w:t>2.2.</w:t>
      </w:r>
      <w:r w:rsidRPr="0021790A">
        <w:tab/>
      </w:r>
      <w:r>
        <w:rPr>
          <w:noProof/>
        </w:rPr>
        <w:t>Management and control system(s)</w:t>
      </w:r>
      <w:bookmarkEnd w:id="101"/>
      <w:bookmarkEnd w:id="102"/>
      <w:bookmarkEnd w:id="103"/>
      <w:bookmarkEnd w:id="104"/>
      <w:bookmarkEnd w:id="105"/>
      <w:r>
        <w:rPr>
          <w:noProof/>
        </w:rPr>
        <w:t xml:space="preserve"> </w:t>
      </w:r>
    </w:p>
    <w:p w14:paraId="14D2173F" w14:textId="77777777" w:rsidR="00D37F2D" w:rsidRPr="00721674" w:rsidRDefault="00D37F2D" w:rsidP="00D37F2D">
      <w:pPr>
        <w:pStyle w:val="ManualHeading3"/>
        <w:rPr>
          <w:noProof/>
        </w:rPr>
      </w:pPr>
      <w:bookmarkStart w:id="106" w:name="_Toc514938046"/>
      <w:bookmarkStart w:id="107" w:name="_Toc520485045"/>
      <w:bookmarkStart w:id="108" w:name="_Toc160804587"/>
      <w:bookmarkStart w:id="109" w:name="_Toc167220279"/>
      <w:bookmarkStart w:id="110" w:name="_Toc177549012"/>
      <w:r w:rsidRPr="0021790A">
        <w:t>2.2.1.</w:t>
      </w:r>
      <w:r w:rsidRPr="0021790A">
        <w:tab/>
      </w:r>
      <w:r>
        <w:rPr>
          <w:noProof/>
        </w:rPr>
        <w:t>Justification of the budget implementation method(s), the funding implementation mechanism(s), the payment modalities and the control strategy proposed</w:t>
      </w:r>
      <w:bookmarkEnd w:id="106"/>
      <w:bookmarkEnd w:id="107"/>
      <w:bookmarkEnd w:id="108"/>
      <w:bookmarkEnd w:id="109"/>
      <w:bookmarkEnd w:id="110"/>
    </w:p>
    <w:p w14:paraId="5AD2873B" w14:textId="533BA97C" w:rsidR="00D37F2D" w:rsidRPr="001B59E4" w:rsidRDefault="00D37F2D" w:rsidP="00D37F2D">
      <w:pPr>
        <w:pStyle w:val="Text1"/>
        <w:pBdr>
          <w:top w:val="single" w:sz="4" w:space="1" w:color="auto"/>
          <w:left w:val="single" w:sz="4" w:space="1" w:color="auto"/>
          <w:bottom w:val="single" w:sz="4" w:space="1" w:color="auto"/>
          <w:right w:val="single" w:sz="4" w:space="1" w:color="auto"/>
        </w:pBdr>
      </w:pPr>
      <w:r w:rsidRPr="004B4401">
        <w:t xml:space="preserve">The actions for </w:t>
      </w:r>
      <w:r>
        <w:t>strengthening of the security of supply and the availability of critical medicinal products within the Union and for improving the availability and accessibility of other medicinal products, where the functioning of the market does not otherwise sufficiently ensure the availability and accessibility of these medicinal products to patient</w:t>
      </w:r>
      <w:r w:rsidRPr="001B59E4">
        <w:t xml:space="preserve">s, will be implemented through direct management, using the implementation modes offered by the Financial Regulation, mainly being grants and procurement. Direct management allows to establish grant agreements/contracts with beneficiaries/contractors directly engaged in activities that serve Union policies. The Commission ensures direct monitoring over the outcome of the actions financed. The payment modalities of the actions funded will be adapted to the risks pertaining to the financial transactions. </w:t>
      </w:r>
    </w:p>
    <w:p w14:paraId="599AB6E0" w14:textId="77777777" w:rsidR="00D37F2D" w:rsidRPr="001B59E4" w:rsidRDefault="00D37F2D" w:rsidP="00D37F2D">
      <w:pPr>
        <w:pStyle w:val="Text1"/>
        <w:pBdr>
          <w:top w:val="single" w:sz="4" w:space="1" w:color="auto"/>
          <w:left w:val="single" w:sz="4" w:space="1" w:color="auto"/>
          <w:bottom w:val="single" w:sz="4" w:space="1" w:color="auto"/>
          <w:right w:val="single" w:sz="4" w:space="1" w:color="auto"/>
        </w:pBdr>
      </w:pPr>
      <w:r w:rsidRPr="001B59E4">
        <w:t>In order to ensure the effectiveness, efficiency and economy of the Commission controls, the control strategy will be oriented towards a balance of ex-ante and ex-post checks and focus on three key stages of grant/contract implementation, in accordance with the Financial Regulation:</w:t>
      </w:r>
    </w:p>
    <w:p w14:paraId="1F66A46A" w14:textId="77777777" w:rsidR="00D37F2D" w:rsidRPr="001B59E4" w:rsidRDefault="00D37F2D" w:rsidP="00FF677D">
      <w:pPr>
        <w:pStyle w:val="Tiret1"/>
        <w:numPr>
          <w:ilvl w:val="0"/>
          <w:numId w:val="17"/>
        </w:numPr>
        <w:pBdr>
          <w:top w:val="single" w:sz="4" w:space="1" w:color="auto"/>
          <w:left w:val="single" w:sz="4" w:space="1" w:color="auto"/>
          <w:bottom w:val="single" w:sz="4" w:space="1" w:color="auto"/>
          <w:right w:val="single" w:sz="4" w:space="1" w:color="auto"/>
        </w:pBdr>
      </w:pPr>
      <w:r w:rsidRPr="001B59E4">
        <w:t>Selection of proposals/tenders that fit the policy objectives of the Regulation;</w:t>
      </w:r>
    </w:p>
    <w:p w14:paraId="3FBE45B5" w14:textId="77777777" w:rsidR="00D37F2D" w:rsidRPr="001B59E4" w:rsidRDefault="00D37F2D" w:rsidP="00D37F2D">
      <w:pPr>
        <w:pStyle w:val="Tiret1"/>
        <w:pBdr>
          <w:top w:val="single" w:sz="4" w:space="1" w:color="auto"/>
          <w:left w:val="single" w:sz="4" w:space="1" w:color="auto"/>
          <w:bottom w:val="single" w:sz="4" w:space="1" w:color="auto"/>
          <w:right w:val="single" w:sz="4" w:space="1" w:color="auto"/>
        </w:pBdr>
      </w:pPr>
      <w:r w:rsidRPr="001B59E4">
        <w:t>Operational, monitoring and ex-ante controls that cover project implementation, public procurement, pre-financing, interim and final payments, management of guarantees; Ex-post controls at the beneficiaries/contractors’ sites will also be carried out on a sample of transactions. The selection of these transactions will combine a risk assessment and a random selection</w:t>
      </w:r>
    </w:p>
    <w:p w14:paraId="01850A5F" w14:textId="77777777" w:rsidR="00D37F2D" w:rsidRDefault="00D37F2D" w:rsidP="00D37F2D">
      <w:pPr>
        <w:pStyle w:val="ManualHeading3"/>
        <w:rPr>
          <w:bCs/>
          <w:noProof/>
          <w:szCs w:val="24"/>
        </w:rPr>
      </w:pPr>
      <w:bookmarkStart w:id="111" w:name="_Toc514938047"/>
      <w:bookmarkStart w:id="112" w:name="_Toc520485046"/>
      <w:bookmarkStart w:id="113" w:name="_Toc160804588"/>
      <w:bookmarkStart w:id="114" w:name="_Toc167220280"/>
      <w:bookmarkStart w:id="115" w:name="_Toc177549013"/>
      <w:r w:rsidRPr="0021790A">
        <w:t>2.2.2.</w:t>
      </w:r>
      <w:r w:rsidRPr="0021790A">
        <w:tab/>
      </w:r>
      <w:r>
        <w:rPr>
          <w:noProof/>
        </w:rPr>
        <w:t>Information concerning the risks identified and the internal control system(s) set up to mitigate them</w:t>
      </w:r>
      <w:bookmarkEnd w:id="111"/>
      <w:bookmarkEnd w:id="112"/>
      <w:bookmarkEnd w:id="113"/>
      <w:bookmarkEnd w:id="114"/>
      <w:bookmarkEnd w:id="115"/>
    </w:p>
    <w:p w14:paraId="67EB9B47"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xml:space="preserve">The proposal will be implemented through grants and public procurement, taking into account the funding opportunities </w:t>
      </w:r>
      <w:r>
        <w:t xml:space="preserve">facilitated </w:t>
      </w:r>
      <w:r w:rsidRPr="001B59E4">
        <w:t xml:space="preserve">by the Strategic Technologies for Europe Platform (‘STEP’), </w:t>
      </w:r>
      <w:r>
        <w:t xml:space="preserve">and those offered by, inter alia, </w:t>
      </w:r>
      <w:r w:rsidRPr="001B59E4">
        <w:t>the InvestEU programme, the Recovery and Resilience Facility, Horizon Europe, EU4Health, Digital Europe Programme and cohesion policy programmes</w:t>
      </w:r>
      <w:r>
        <w:t xml:space="preserve"> as well as the Technical Support Instrument</w:t>
      </w:r>
      <w:r w:rsidRPr="001B59E4">
        <w:t>. The grants and procurements will mainly be awarded and concluded to support Strategic Projects, as well as to support activities to non-governmental organisations, respective competent authorities of the Member States.</w:t>
      </w:r>
    </w:p>
    <w:p w14:paraId="54B0D88C"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The main risks are the following:</w:t>
      </w:r>
    </w:p>
    <w:p w14:paraId="1F704B6D"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Risk of not fully achieving the objectives of the Regulation due to insufficient uptake or quality/delays in the implementation of the selected projects or contracts;</w:t>
      </w:r>
    </w:p>
    <w:p w14:paraId="320A62E6"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Risk of inefficient or non-economic use of funds awarded, both for grants (complexity of funding rules) and for procurement (limited number of economic providers with the required specialist knowledge entailing insufficient possibilities to compare price offers in some sectors);</w:t>
      </w:r>
    </w:p>
    <w:p w14:paraId="5380E446"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Reputational risk for the Commission, if fraud or criminal activities are discovered; only partial assurance can be drawn from the third parties' internal control systems due to the rather large number of heterogeneous contractors and beneficiaries, each operating their own control system.</w:t>
      </w:r>
    </w:p>
    <w:p w14:paraId="12C23FA7"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xml:space="preserve">The Commission put in place internal procedures that aim at covering the risks identified above. The internal procedures are in full compliance with the Financial Regulation and include anti-fraud measures and cost-benefit considerations. Within this framework, the Commission continues to explore possibilities to enhance the management and to realise efficiency gains. Main features of the control framework are the following: </w:t>
      </w:r>
    </w:p>
    <w:p w14:paraId="4110A490"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xml:space="preserve">Controls before and during the implementation of the projects: </w:t>
      </w:r>
    </w:p>
    <w:p w14:paraId="3685F950"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An appropriate project management system will be put in place focusing on the contributions of projects and contracts to the policy objectives, ensuring a systematic involvement of all actors, establishing a regular project management reporting complemented by on-site-visits on a case by case basis, including risk reports to senior management, as well as maintaining appropriate budgetary flexibility.</w:t>
      </w:r>
    </w:p>
    <w:p w14:paraId="4CBA331A"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Model grant agreements and service contracts used are developed within the Commission. They provide for a number of control provisions such as audit certificates, financial guarantees, on-site audits as well as inspections by OLAF. The rules governing the eligibility of costs are being simplified, for example, by using unit costs, lump sums, contributions not linked to costs and other possibilities offered by the Financial Regulation. This will reduce the cost of controls and put the focus on checks and controls in high risk areas.</w:t>
      </w:r>
    </w:p>
    <w:p w14:paraId="1E473966"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xml:space="preserve">• All staff sign up to the code of good administrative behaviour. Staff who are involved in the selection procedure or in the management of the grant agreements/contracts (also) sign a declaration of absence of a conflict of interest. Staff is regularly trained and uses networks to exchange best practices. </w:t>
      </w:r>
    </w:p>
    <w:p w14:paraId="2D71C670"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Technical implementation of a project is checked at regular intervals at the desk on the basis of technical progress reports of the contractors and beneficiaries; in addition contractors'/beneficiaries' meetings and on-site-visits are foreseen on a case by case basis.</w:t>
      </w:r>
    </w:p>
    <w:p w14:paraId="00D67C00" w14:textId="32E1D2FD"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Controls at the end of the project: Ex-post audits are performed on a sample of transactions to verify on-the-spot the eligibility of cost claims. The aim of these controls is to prevent, detect and correct material errors related to the legality and regularity of financial transactions. With a view to achieving a high control impact, the selection of beneficiaries to be audited foresees to combine a risk based selection with a random sampling, and to pay attention to operational aspects whenever possible during the on-site audit.</w:t>
      </w:r>
    </w:p>
    <w:p w14:paraId="3F5FC027" w14:textId="1C67FEB1" w:rsidR="00D37F2D" w:rsidRDefault="00D37F2D" w:rsidP="00D37F2D">
      <w:pPr>
        <w:pStyle w:val="ManualHeading3"/>
        <w:rPr>
          <w:noProof/>
        </w:rPr>
      </w:pPr>
      <w:bookmarkStart w:id="116" w:name="_Toc514938048"/>
      <w:bookmarkStart w:id="117" w:name="_Toc520485047"/>
      <w:bookmarkStart w:id="118" w:name="_Toc160804589"/>
      <w:bookmarkStart w:id="119" w:name="_Toc167220281"/>
      <w:bookmarkStart w:id="120" w:name="_Toc177549014"/>
      <w:r w:rsidRPr="0021790A">
        <w:t>2.2.3.</w:t>
      </w:r>
      <w:r w:rsidRPr="0021790A">
        <w:tab/>
      </w:r>
      <w:r>
        <w:rPr>
          <w:noProof/>
        </w:rPr>
        <w:t>Estimation and justification of the cost-effectiveness of the controls (ratio between the control costs and the value of the related funds managed), and assessment of the expected levels of risk of error (at payment &amp; at closure)</w:t>
      </w:r>
      <w:bookmarkEnd w:id="116"/>
      <w:bookmarkEnd w:id="117"/>
      <w:bookmarkEnd w:id="118"/>
      <w:bookmarkEnd w:id="119"/>
      <w:bookmarkEnd w:id="120"/>
      <w:r>
        <w:rPr>
          <w:noProof/>
        </w:rPr>
        <w:t xml:space="preserve"> </w:t>
      </w:r>
    </w:p>
    <w:p w14:paraId="575B5BD4"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xml:space="preserve">The yearly costs of the suggested level of controls under the third Health programme 2014-2020 represented approximately 4 to 7% of the yearly budget of the operational expenditure. This is justified by the diversity of transactions to be controlled. Indeed, in the area of health, direct management involves the attribution of numerous contracts and grants for actions of very small to very large sizes, and the payment of numerous operating grants to non-governmental organisations. The risk related to these activities concerns the capacity of (especially) smaller organisations to effectively control expenditure. </w:t>
      </w:r>
    </w:p>
    <w:p w14:paraId="66DEBA24"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The Commission considers that the average costs of controls is likely to be the same for the actions proposed under this Regulation.</w:t>
      </w:r>
    </w:p>
    <w:p w14:paraId="0997E706"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xml:space="preserve">Under the third Health Programme 2014-2020, on a 5 years basis, the error rate for the on-the-spot audits of grants under direct management was 1.8% while for procurement contracts it was below 1%. This level of error is considered acceptable, as it is under the materiality level of 2%. </w:t>
      </w:r>
    </w:p>
    <w:p w14:paraId="238692E5"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The proposed actions will not affect the way the appropriations are currently managed. The existing control system proved to be able to prevent and/or to detect errors and/or irregularities, and in case of errors or irregularities, to correct them. It will be adapted to include the new actions and to ensure that residual error rates (after correction) remain below the threshold of 2%.</w:t>
      </w:r>
      <w:bookmarkStart w:id="121" w:name="_Toc514938049"/>
      <w:bookmarkStart w:id="122" w:name="_Toc520485048"/>
      <w:bookmarkStart w:id="123" w:name="_Toc160804590"/>
      <w:bookmarkStart w:id="124" w:name="_Toc167220282"/>
      <w:bookmarkStart w:id="125" w:name="_Toc177549015"/>
    </w:p>
    <w:p w14:paraId="7CBE1A21" w14:textId="2E9C78AE" w:rsidR="00D37F2D" w:rsidRPr="00470001" w:rsidRDefault="00763241" w:rsidP="00D37F2D">
      <w:pPr>
        <w:pStyle w:val="ManualHeading2"/>
        <w:rPr>
          <w:bCs/>
          <w:noProof/>
          <w:szCs w:val="24"/>
        </w:rPr>
      </w:pPr>
      <w:r>
        <w:t>2.3</w:t>
      </w:r>
      <w:r w:rsidR="00D37F2D" w:rsidRPr="00470001">
        <w:tab/>
      </w:r>
      <w:r w:rsidR="00D37F2D" w:rsidRPr="00470001">
        <w:rPr>
          <w:noProof/>
        </w:rPr>
        <w:t>Measures to prevent fraud and irregularities</w:t>
      </w:r>
      <w:bookmarkEnd w:id="121"/>
      <w:bookmarkEnd w:id="122"/>
      <w:bookmarkEnd w:id="123"/>
      <w:bookmarkEnd w:id="124"/>
      <w:bookmarkEnd w:id="125"/>
      <w:r w:rsidR="00D37F2D" w:rsidRPr="00470001">
        <w:rPr>
          <w:noProof/>
        </w:rPr>
        <w:t xml:space="preserve"> </w:t>
      </w:r>
    </w:p>
    <w:p w14:paraId="23FD5402"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As for its activities in direct management, the Commission shall take appropriate measures ensuring that the financial interests of the European Union are protected by the application of preventive measures against fraud, corruption and any other illegal activities, by effective checks and, if irregularities are detected, by the recovery of the amounts wrongly paid and, where appropriate, by effective, proportional and deterrent penalties. To this effect, the Commission adopted an anti-fraud strategy, latest update of April 2019 (COM(2019) 196), covering notably the following preventive, detective and corrective measures:</w:t>
      </w:r>
    </w:p>
    <w:p w14:paraId="488C997B"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The Commission or its representatives and the Court of Auditors shall have the power of audit, on the basis of documents and on-the-spot, over all grant beneficiaries, contractors and subcontractors who have received Union funds. OLAF shall be authorised to carry out on-the-spot checks and inspections on economic operators concerned directly or indirectly by such funding.</w:t>
      </w:r>
    </w:p>
    <w:p w14:paraId="54E8EBD5"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The Commission also implements a series of measures such as:</w:t>
      </w:r>
    </w:p>
    <w:p w14:paraId="06AC36A7"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decisions, agreements and contracts resulting from the implementation of the Regulation will expressly entitle the Commission, including OLAF, and the Court of Auditors to conduct audits, on-the-spot checks and inspections and to recover amounts unduly paid and, where appropriate, impose administrative sanctions;</w:t>
      </w:r>
    </w:p>
    <w:p w14:paraId="17B96A34"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during the evaluation phase of a call for proposals/tender, the applicants and tenderers are checked against the published exclusion criteria based on declarations and the Early Detection and Exclusion System (EDES);</w:t>
      </w:r>
    </w:p>
    <w:p w14:paraId="3F2C15F2"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pPr>
      <w:r w:rsidRPr="001B59E4">
        <w:t>- the rules governing the eligibility of costs will be simplified in accordance with the provisions of the Financial Regulation ;</w:t>
      </w:r>
    </w:p>
    <w:p w14:paraId="1952C294" w14:textId="77777777" w:rsidR="00D37F2D" w:rsidRPr="001B59E4" w:rsidRDefault="00D37F2D" w:rsidP="00D37F2D">
      <w:pPr>
        <w:pStyle w:val="Text1"/>
        <w:pBdr>
          <w:top w:val="single" w:sz="4" w:space="1" w:color="auto"/>
          <w:left w:val="single" w:sz="4" w:space="4" w:color="auto"/>
          <w:bottom w:val="single" w:sz="4" w:space="1" w:color="auto"/>
          <w:right w:val="single" w:sz="4" w:space="4" w:color="auto"/>
        </w:pBdr>
        <w:jc w:val="left"/>
        <w:sectPr w:rsidR="00D37F2D" w:rsidRPr="001B59E4" w:rsidSect="009A3128">
          <w:pgSz w:w="11907" w:h="16840" w:code="9"/>
          <w:pgMar w:top="1134" w:right="1418" w:bottom="1134" w:left="1418" w:header="709" w:footer="709" w:gutter="0"/>
          <w:cols w:space="708"/>
          <w:docGrid w:linePitch="360"/>
        </w:sectPr>
      </w:pPr>
      <w:r w:rsidRPr="001B59E4">
        <w:t xml:space="preserve">- regular training on issues related to fraud and irregularities is given to all staff involved in contract management as well as to auditors and controllers who verify the beneficiaries' declarations on the spot.  </w:t>
      </w:r>
    </w:p>
    <w:p w14:paraId="16FF5D31" w14:textId="77777777" w:rsidR="00D37F2D" w:rsidRDefault="00D37F2D" w:rsidP="00D37F2D">
      <w:pPr>
        <w:pStyle w:val="ManualHeading1"/>
        <w:rPr>
          <w:bCs/>
          <w:noProof/>
          <w:szCs w:val="24"/>
        </w:rPr>
      </w:pPr>
      <w:bookmarkStart w:id="126" w:name="_Toc514938050"/>
      <w:bookmarkStart w:id="127" w:name="_Toc520485049"/>
      <w:bookmarkStart w:id="128" w:name="_Toc160804591"/>
      <w:bookmarkStart w:id="129" w:name="_Toc167220283"/>
      <w:bookmarkStart w:id="130" w:name="_Toc177549016"/>
      <w:r w:rsidRPr="0021790A">
        <w:t>3.</w:t>
      </w:r>
      <w:r w:rsidRPr="0021790A">
        <w:tab/>
      </w:r>
      <w:r>
        <w:rPr>
          <w:noProof/>
        </w:rPr>
        <w:t>ESTIMATED FINANCIAL IMPACT OF THE PROPOSAL/INITIATIVE</w:t>
      </w:r>
      <w:bookmarkEnd w:id="126"/>
      <w:bookmarkEnd w:id="127"/>
      <w:bookmarkEnd w:id="128"/>
      <w:bookmarkEnd w:id="129"/>
      <w:bookmarkEnd w:id="130"/>
      <w:r>
        <w:rPr>
          <w:noProof/>
        </w:rPr>
        <w:t xml:space="preserve"> </w:t>
      </w:r>
    </w:p>
    <w:p w14:paraId="5DA6E7D5" w14:textId="77777777" w:rsidR="00D37F2D" w:rsidRDefault="00D37F2D" w:rsidP="00D37F2D">
      <w:pPr>
        <w:pStyle w:val="ManualHeading2"/>
        <w:rPr>
          <w:noProof/>
        </w:rPr>
      </w:pPr>
      <w:bookmarkStart w:id="131" w:name="_Toc514938051"/>
      <w:bookmarkStart w:id="132" w:name="_Toc520485050"/>
      <w:bookmarkStart w:id="133" w:name="_Toc160804592"/>
      <w:bookmarkStart w:id="134" w:name="_Toc167220284"/>
      <w:bookmarkStart w:id="135" w:name="_Toc177549017"/>
      <w:r w:rsidRPr="0021790A">
        <w:t>3.1.</w:t>
      </w:r>
      <w:r w:rsidRPr="0021790A">
        <w:tab/>
      </w:r>
      <w:r>
        <w:rPr>
          <w:noProof/>
        </w:rPr>
        <w:t>Heading(s) of the multiannual financial framework and expenditure budget line(s) affected</w:t>
      </w:r>
      <w:bookmarkEnd w:id="131"/>
      <w:bookmarkEnd w:id="132"/>
      <w:bookmarkEnd w:id="133"/>
      <w:bookmarkEnd w:id="134"/>
      <w:bookmarkEnd w:id="135"/>
      <w:r>
        <w:rPr>
          <w:noProof/>
        </w:rPr>
        <w:t xml:space="preserve"> </w:t>
      </w:r>
    </w:p>
    <w:p w14:paraId="6718B7B5" w14:textId="77777777" w:rsidR="00D37F2D" w:rsidRDefault="00D37F2D" w:rsidP="00D37F2D">
      <w:pPr>
        <w:pStyle w:val="ListBullet1"/>
        <w:rPr>
          <w:noProof/>
        </w:rPr>
      </w:pPr>
      <w:r>
        <w:rPr>
          <w:noProof/>
        </w:rPr>
        <w:t xml:space="preserve">Existing budget lines </w:t>
      </w:r>
    </w:p>
    <w:p w14:paraId="3A4C9915" w14:textId="77777777" w:rsidR="00D37F2D" w:rsidRDefault="00D37F2D" w:rsidP="00D37F2D">
      <w:pPr>
        <w:pStyle w:val="Text1"/>
        <w:rPr>
          <w:i/>
          <w:noProof/>
        </w:rPr>
      </w:pPr>
      <w:r w:rsidRPr="009B753E">
        <w:rPr>
          <w:i/>
          <w:noProof/>
          <w:u w:val="single"/>
        </w:rPr>
        <w:t>In order</w:t>
      </w:r>
      <w:r w:rsidRPr="009B753E">
        <w:rPr>
          <w:i/>
          <w:noProof/>
        </w:rPr>
        <w:t xml:space="preserve"> of multiannual financial framework headings and budget lines.</w:t>
      </w:r>
    </w:p>
    <w:p w14:paraId="27999DE9" w14:textId="77777777" w:rsidR="00D37F2D" w:rsidRDefault="00D37F2D" w:rsidP="00D37F2D">
      <w:pPr>
        <w:pStyle w:val="Text1"/>
        <w:rPr>
          <w:i/>
          <w:noProof/>
        </w:rPr>
      </w:pP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D37F2D" w14:paraId="5377764F" w14:textId="77777777">
        <w:trPr>
          <w:jc w:val="center"/>
        </w:trPr>
        <w:tc>
          <w:tcPr>
            <w:tcW w:w="1092" w:type="dxa"/>
            <w:vMerge w:val="restart"/>
            <w:vAlign w:val="center"/>
          </w:tcPr>
          <w:p w14:paraId="4B4BC0F8" w14:textId="77777777" w:rsidR="00D37F2D" w:rsidRPr="003A769F" w:rsidRDefault="00D37F2D">
            <w:pPr>
              <w:spacing w:before="60" w:after="60"/>
              <w:jc w:val="center"/>
              <w:rPr>
                <w:noProof/>
                <w:lang w:val="en-IE"/>
              </w:rPr>
            </w:pPr>
            <w:r w:rsidRPr="003A769F">
              <w:rPr>
                <w:noProof/>
                <w:sz w:val="18"/>
                <w:lang w:val="en-IE"/>
              </w:rPr>
              <w:t>Heading of multiannual financial framework</w:t>
            </w:r>
          </w:p>
        </w:tc>
        <w:tc>
          <w:tcPr>
            <w:tcW w:w="4002" w:type="dxa"/>
            <w:vAlign w:val="center"/>
          </w:tcPr>
          <w:p w14:paraId="3436D551" w14:textId="77777777" w:rsidR="00D37F2D" w:rsidRDefault="00D37F2D">
            <w:pPr>
              <w:spacing w:before="60" w:after="60"/>
              <w:jc w:val="center"/>
              <w:rPr>
                <w:noProof/>
              </w:rPr>
            </w:pPr>
            <w:r>
              <w:rPr>
                <w:noProof/>
                <w:sz w:val="20"/>
              </w:rPr>
              <w:t>Budget line</w:t>
            </w:r>
          </w:p>
        </w:tc>
        <w:tc>
          <w:tcPr>
            <w:tcW w:w="1092" w:type="dxa"/>
            <w:vAlign w:val="center"/>
          </w:tcPr>
          <w:p w14:paraId="36A25B7E" w14:textId="77777777" w:rsidR="00D37F2D" w:rsidRDefault="00D37F2D">
            <w:pPr>
              <w:spacing w:before="60" w:after="60"/>
              <w:jc w:val="center"/>
              <w:rPr>
                <w:noProof/>
              </w:rPr>
            </w:pPr>
            <w:r>
              <w:rPr>
                <w:noProof/>
                <w:sz w:val="18"/>
              </w:rPr>
              <w:t>Type of expenditure</w:t>
            </w:r>
          </w:p>
        </w:tc>
        <w:tc>
          <w:tcPr>
            <w:tcW w:w="4487" w:type="dxa"/>
            <w:gridSpan w:val="4"/>
            <w:vAlign w:val="center"/>
          </w:tcPr>
          <w:p w14:paraId="0D9CCD2A" w14:textId="77777777" w:rsidR="00D37F2D" w:rsidRDefault="00D37F2D">
            <w:pPr>
              <w:spacing w:before="60" w:after="60"/>
              <w:jc w:val="center"/>
              <w:rPr>
                <w:noProof/>
              </w:rPr>
            </w:pPr>
            <w:r>
              <w:rPr>
                <w:noProof/>
                <w:sz w:val="20"/>
              </w:rPr>
              <w:t xml:space="preserve">Contribution </w:t>
            </w:r>
          </w:p>
        </w:tc>
      </w:tr>
      <w:tr w:rsidR="00D37F2D" w14:paraId="4EAAA380" w14:textId="77777777">
        <w:trPr>
          <w:cantSplit/>
          <w:jc w:val="center"/>
        </w:trPr>
        <w:tc>
          <w:tcPr>
            <w:tcW w:w="1092" w:type="dxa"/>
            <w:vMerge/>
            <w:vAlign w:val="center"/>
          </w:tcPr>
          <w:p w14:paraId="29029B6D" w14:textId="77777777" w:rsidR="00D37F2D" w:rsidRPr="00FF5DD8" w:rsidRDefault="00D37F2D">
            <w:pPr>
              <w:jc w:val="center"/>
              <w:rPr>
                <w:noProof/>
              </w:rPr>
            </w:pPr>
          </w:p>
        </w:tc>
        <w:tc>
          <w:tcPr>
            <w:tcW w:w="4002" w:type="dxa"/>
            <w:vAlign w:val="center"/>
          </w:tcPr>
          <w:p w14:paraId="64117F8F" w14:textId="77777777" w:rsidR="00D37F2D" w:rsidRPr="00FF5DD8" w:rsidRDefault="00D37F2D">
            <w:pPr>
              <w:rPr>
                <w:noProof/>
              </w:rPr>
            </w:pPr>
            <w:r w:rsidRPr="00FF5DD8">
              <w:rPr>
                <w:noProof/>
                <w:sz w:val="20"/>
              </w:rPr>
              <w:t xml:space="preserve">Number </w:t>
            </w:r>
            <w:r w:rsidRPr="00FF5DD8">
              <w:rPr>
                <w:noProof/>
                <w:sz w:val="22"/>
              </w:rPr>
              <w:br/>
            </w:r>
          </w:p>
        </w:tc>
        <w:tc>
          <w:tcPr>
            <w:tcW w:w="1092" w:type="dxa"/>
            <w:vAlign w:val="center"/>
          </w:tcPr>
          <w:p w14:paraId="0E577E6C" w14:textId="77777777" w:rsidR="00D37F2D" w:rsidRPr="00FF5DD8" w:rsidRDefault="00D37F2D">
            <w:pPr>
              <w:jc w:val="center"/>
              <w:rPr>
                <w:noProof/>
              </w:rPr>
            </w:pPr>
            <w:r w:rsidRPr="00FF5DD8">
              <w:rPr>
                <w:noProof/>
                <w:sz w:val="18"/>
              </w:rPr>
              <w:t>Diff./Non-diff.</w:t>
            </w:r>
            <w:r>
              <w:rPr>
                <w:rStyle w:val="FootnoteReference"/>
                <w:noProof/>
                <w:sz w:val="18"/>
              </w:rPr>
              <w:footnoteReference w:id="99"/>
            </w:r>
          </w:p>
        </w:tc>
        <w:tc>
          <w:tcPr>
            <w:tcW w:w="966" w:type="dxa"/>
            <w:vAlign w:val="center"/>
          </w:tcPr>
          <w:p w14:paraId="4D99B72C" w14:textId="77777777" w:rsidR="00D37F2D" w:rsidRPr="00FF5DD8" w:rsidRDefault="00D37F2D">
            <w:pPr>
              <w:jc w:val="center"/>
              <w:rPr>
                <w:b/>
                <w:noProof/>
                <w:sz w:val="18"/>
              </w:rPr>
            </w:pPr>
            <w:r w:rsidRPr="00FF5DD8">
              <w:rPr>
                <w:noProof/>
                <w:sz w:val="18"/>
              </w:rPr>
              <w:t>from EFTA countries</w:t>
            </w:r>
            <w:r>
              <w:rPr>
                <w:rStyle w:val="FootnoteReference"/>
                <w:noProof/>
                <w:sz w:val="18"/>
              </w:rPr>
              <w:footnoteReference w:id="100"/>
            </w:r>
          </w:p>
        </w:tc>
        <w:tc>
          <w:tcPr>
            <w:tcW w:w="1092" w:type="dxa"/>
            <w:vAlign w:val="center"/>
          </w:tcPr>
          <w:p w14:paraId="1D14E6D5" w14:textId="77777777" w:rsidR="00D37F2D" w:rsidRPr="003A769F" w:rsidRDefault="00D37F2D">
            <w:pPr>
              <w:jc w:val="center"/>
              <w:rPr>
                <w:noProof/>
                <w:sz w:val="18"/>
                <w:lang w:val="en-IE"/>
              </w:rPr>
            </w:pPr>
            <w:r w:rsidRPr="003A769F">
              <w:rPr>
                <w:noProof/>
                <w:sz w:val="18"/>
                <w:lang w:val="en-IE"/>
              </w:rPr>
              <w:t>from candidate countries and potential candidates</w:t>
            </w:r>
            <w:r>
              <w:rPr>
                <w:rStyle w:val="FootnoteReference"/>
                <w:noProof/>
                <w:sz w:val="18"/>
              </w:rPr>
              <w:footnoteReference w:id="101"/>
            </w:r>
          </w:p>
        </w:tc>
        <w:tc>
          <w:tcPr>
            <w:tcW w:w="966" w:type="dxa"/>
            <w:vAlign w:val="center"/>
          </w:tcPr>
          <w:p w14:paraId="45E836AC" w14:textId="77777777" w:rsidR="00D37F2D" w:rsidRPr="00FF5DD8" w:rsidRDefault="00D37F2D">
            <w:pPr>
              <w:jc w:val="center"/>
              <w:rPr>
                <w:noProof/>
                <w:sz w:val="18"/>
              </w:rPr>
            </w:pPr>
            <w:r>
              <w:rPr>
                <w:noProof/>
                <w:sz w:val="18"/>
              </w:rPr>
              <w:t>F</w:t>
            </w:r>
            <w:r w:rsidRPr="00FF5DD8">
              <w:rPr>
                <w:noProof/>
                <w:sz w:val="18"/>
              </w:rPr>
              <w:t>rom</w:t>
            </w:r>
            <w:r>
              <w:rPr>
                <w:noProof/>
                <w:sz w:val="18"/>
              </w:rPr>
              <w:t xml:space="preserve"> other </w:t>
            </w:r>
            <w:r w:rsidRPr="00FF5DD8">
              <w:rPr>
                <w:noProof/>
                <w:sz w:val="18"/>
              </w:rPr>
              <w:t>third countries</w:t>
            </w:r>
          </w:p>
        </w:tc>
        <w:tc>
          <w:tcPr>
            <w:tcW w:w="1463" w:type="dxa"/>
            <w:vAlign w:val="center"/>
          </w:tcPr>
          <w:p w14:paraId="78862E49" w14:textId="77777777" w:rsidR="00D37F2D" w:rsidRPr="00FF5DD8" w:rsidRDefault="00D37F2D">
            <w:pPr>
              <w:jc w:val="center"/>
              <w:rPr>
                <w:noProof/>
              </w:rPr>
            </w:pPr>
            <w:r w:rsidRPr="00154373">
              <w:rPr>
                <w:noProof/>
                <w:sz w:val="18"/>
                <w:szCs w:val="18"/>
                <w:lang w:val="en-IE"/>
              </w:rPr>
              <w:t>other assigned revenue</w:t>
            </w:r>
          </w:p>
        </w:tc>
      </w:tr>
      <w:tr w:rsidR="00D37F2D" w14:paraId="23721940" w14:textId="77777777">
        <w:trPr>
          <w:jc w:val="center"/>
        </w:trPr>
        <w:tc>
          <w:tcPr>
            <w:tcW w:w="1092" w:type="dxa"/>
            <w:vAlign w:val="center"/>
          </w:tcPr>
          <w:p w14:paraId="034F3E72" w14:textId="77777777" w:rsidR="00D37F2D" w:rsidRPr="00470001" w:rsidRDefault="00D37F2D">
            <w:pPr>
              <w:jc w:val="center"/>
              <w:rPr>
                <w:noProof/>
              </w:rPr>
            </w:pPr>
            <w:r w:rsidRPr="00470001">
              <w:rPr>
                <w:noProof/>
              </w:rPr>
              <w:t>2</w:t>
            </w:r>
          </w:p>
        </w:tc>
        <w:tc>
          <w:tcPr>
            <w:tcW w:w="4002" w:type="dxa"/>
            <w:vAlign w:val="center"/>
          </w:tcPr>
          <w:p w14:paraId="121B3FD5" w14:textId="77777777" w:rsidR="00D37F2D" w:rsidRDefault="00D37F2D">
            <w:pPr>
              <w:spacing w:before="60"/>
              <w:rPr>
                <w:noProof/>
              </w:rPr>
            </w:pPr>
            <w:r w:rsidRPr="00343E36">
              <w:rPr>
                <w:noProof/>
                <w:sz w:val="22"/>
              </w:rPr>
              <w:t>06 06 01 - EU4Health Programme</w:t>
            </w:r>
          </w:p>
          <w:p w14:paraId="3A6C8C7F" w14:textId="77777777" w:rsidR="00D37F2D" w:rsidRDefault="00D37F2D">
            <w:pPr>
              <w:spacing w:after="60"/>
              <w:rPr>
                <w:noProof/>
              </w:rPr>
            </w:pPr>
          </w:p>
        </w:tc>
        <w:tc>
          <w:tcPr>
            <w:tcW w:w="1092" w:type="dxa"/>
            <w:vAlign w:val="center"/>
          </w:tcPr>
          <w:p w14:paraId="7156C4DE" w14:textId="77777777" w:rsidR="00D37F2D" w:rsidRDefault="00D37F2D">
            <w:pPr>
              <w:jc w:val="center"/>
              <w:rPr>
                <w:noProof/>
                <w:color w:val="0000FF"/>
              </w:rPr>
            </w:pPr>
            <w:r>
              <w:rPr>
                <w:noProof/>
                <w:sz w:val="22"/>
              </w:rPr>
              <w:t>Diff.</w:t>
            </w:r>
          </w:p>
        </w:tc>
        <w:tc>
          <w:tcPr>
            <w:tcW w:w="966" w:type="dxa"/>
            <w:vAlign w:val="center"/>
          </w:tcPr>
          <w:p w14:paraId="28CB6599" w14:textId="77777777" w:rsidR="00D37F2D" w:rsidRPr="008D0E8A" w:rsidRDefault="00D37F2D">
            <w:pPr>
              <w:jc w:val="center"/>
              <w:rPr>
                <w:noProof/>
                <w:sz w:val="20"/>
                <w:szCs w:val="20"/>
              </w:rPr>
            </w:pPr>
            <w:r w:rsidRPr="007974DD">
              <w:rPr>
                <w:noProof/>
                <w:sz w:val="20"/>
                <w:szCs w:val="20"/>
              </w:rPr>
              <w:t>YES</w:t>
            </w:r>
          </w:p>
        </w:tc>
        <w:tc>
          <w:tcPr>
            <w:tcW w:w="1092" w:type="dxa"/>
            <w:vAlign w:val="center"/>
          </w:tcPr>
          <w:p w14:paraId="1E055642" w14:textId="77777777" w:rsidR="00D37F2D" w:rsidRPr="008D0E8A" w:rsidRDefault="00D37F2D">
            <w:pPr>
              <w:jc w:val="center"/>
              <w:rPr>
                <w:noProof/>
                <w:sz w:val="20"/>
                <w:szCs w:val="20"/>
              </w:rPr>
            </w:pPr>
            <w:r w:rsidRPr="007974DD">
              <w:rPr>
                <w:noProof/>
                <w:sz w:val="20"/>
                <w:szCs w:val="20"/>
              </w:rPr>
              <w:t>YES</w:t>
            </w:r>
          </w:p>
        </w:tc>
        <w:tc>
          <w:tcPr>
            <w:tcW w:w="966" w:type="dxa"/>
            <w:vAlign w:val="center"/>
          </w:tcPr>
          <w:p w14:paraId="4DCAD3E1" w14:textId="77777777" w:rsidR="00D37F2D" w:rsidRPr="008D0E8A" w:rsidRDefault="00D37F2D">
            <w:pPr>
              <w:jc w:val="center"/>
              <w:rPr>
                <w:noProof/>
                <w:sz w:val="20"/>
                <w:szCs w:val="20"/>
              </w:rPr>
            </w:pPr>
            <w:r w:rsidRPr="007974DD">
              <w:rPr>
                <w:noProof/>
                <w:sz w:val="20"/>
                <w:szCs w:val="20"/>
              </w:rPr>
              <w:t>YES</w:t>
            </w:r>
          </w:p>
        </w:tc>
        <w:tc>
          <w:tcPr>
            <w:tcW w:w="1463" w:type="dxa"/>
            <w:vAlign w:val="center"/>
          </w:tcPr>
          <w:p w14:paraId="792F3786" w14:textId="77777777" w:rsidR="00D37F2D" w:rsidRPr="008D0E8A" w:rsidRDefault="00D37F2D">
            <w:pPr>
              <w:jc w:val="center"/>
              <w:rPr>
                <w:noProof/>
                <w:sz w:val="20"/>
                <w:szCs w:val="20"/>
              </w:rPr>
            </w:pPr>
            <w:r w:rsidRPr="007974DD">
              <w:rPr>
                <w:noProof/>
                <w:sz w:val="20"/>
                <w:szCs w:val="20"/>
              </w:rPr>
              <w:t>NO</w:t>
            </w:r>
          </w:p>
        </w:tc>
      </w:tr>
    </w:tbl>
    <w:p w14:paraId="6B3F729B" w14:textId="77777777" w:rsidR="00D37F2D" w:rsidRDefault="00D37F2D" w:rsidP="00D37F2D">
      <w:pPr>
        <w:rPr>
          <w:noProof/>
        </w:rPr>
        <w:sectPr w:rsidR="00D37F2D" w:rsidSect="009A3128">
          <w:pgSz w:w="11907" w:h="16840" w:code="1"/>
          <w:pgMar w:top="1134" w:right="1418" w:bottom="1134" w:left="1418" w:header="709" w:footer="709" w:gutter="0"/>
          <w:cols w:space="708"/>
          <w:docGrid w:linePitch="360"/>
        </w:sectPr>
      </w:pPr>
    </w:p>
    <w:p w14:paraId="7C1C93A6" w14:textId="77777777" w:rsidR="00D37F2D" w:rsidRDefault="00D37F2D" w:rsidP="00D37F2D">
      <w:pPr>
        <w:pStyle w:val="ManualHeading2"/>
        <w:rPr>
          <w:bCs/>
          <w:noProof/>
          <w:szCs w:val="24"/>
        </w:rPr>
      </w:pPr>
      <w:bookmarkStart w:id="136" w:name="_Toc514938052"/>
      <w:bookmarkStart w:id="137" w:name="_Toc520485051"/>
      <w:bookmarkStart w:id="138" w:name="_Toc160804593"/>
      <w:bookmarkStart w:id="139" w:name="_Toc167220285"/>
      <w:bookmarkStart w:id="140" w:name="_Toc177549018"/>
      <w:r w:rsidRPr="0021790A">
        <w:t>3.2.</w:t>
      </w:r>
      <w:r w:rsidRPr="0021790A">
        <w:tab/>
      </w:r>
      <w:r>
        <w:rPr>
          <w:noProof/>
        </w:rPr>
        <w:t>Estimated financial impact of the proposal on appropriations</w:t>
      </w:r>
      <w:bookmarkEnd w:id="136"/>
      <w:bookmarkEnd w:id="137"/>
      <w:bookmarkEnd w:id="138"/>
      <w:bookmarkEnd w:id="139"/>
      <w:bookmarkEnd w:id="140"/>
      <w:r>
        <w:rPr>
          <w:noProof/>
        </w:rPr>
        <w:t xml:space="preserve"> </w:t>
      </w:r>
    </w:p>
    <w:p w14:paraId="6F594482" w14:textId="77777777" w:rsidR="00D37F2D" w:rsidRDefault="00D37F2D" w:rsidP="00D37F2D">
      <w:pPr>
        <w:pStyle w:val="ManualHeading3"/>
        <w:rPr>
          <w:noProof/>
        </w:rPr>
      </w:pPr>
      <w:bookmarkStart w:id="141" w:name="_Toc514938053"/>
      <w:bookmarkStart w:id="142" w:name="_Toc520485052"/>
      <w:bookmarkStart w:id="143" w:name="_Toc160804594"/>
      <w:bookmarkStart w:id="144" w:name="_Toc167220286"/>
      <w:bookmarkStart w:id="145" w:name="_Toc177549019"/>
      <w:r w:rsidRPr="0021790A">
        <w:t>3.2.1.</w:t>
      </w:r>
      <w:r w:rsidRPr="0021790A">
        <w:tab/>
      </w:r>
      <w:r>
        <w:rPr>
          <w:noProof/>
        </w:rPr>
        <w:t>Summary of estimated impact on operational appropriations</w:t>
      </w:r>
      <w:bookmarkEnd w:id="141"/>
      <w:bookmarkEnd w:id="142"/>
      <w:bookmarkEnd w:id="143"/>
      <w:bookmarkEnd w:id="144"/>
      <w:bookmarkEnd w:id="145"/>
      <w:r>
        <w:rPr>
          <w:noProof/>
        </w:rPr>
        <w:t xml:space="preserve"> </w:t>
      </w:r>
    </w:p>
    <w:p w14:paraId="4EA61D25" w14:textId="77777777" w:rsidR="00D37F2D" w:rsidRDefault="00D37F2D" w:rsidP="00D37F2D">
      <w:pPr>
        <w:pStyle w:val="ListDash1"/>
        <w:rPr>
          <w:noProof/>
        </w:rPr>
      </w:pPr>
      <w:r>
        <w:rPr>
          <w:rFonts w:ascii="Wingdings" w:eastAsia="Wingdings" w:hAnsi="Wingdings" w:cs="Wingdings"/>
          <w:noProof/>
        </w:rPr>
        <w:t>¨</w:t>
      </w:r>
      <w:r>
        <w:rPr>
          <w:noProof/>
        </w:rPr>
        <w:tab/>
        <w:t xml:space="preserve">The proposal/initiative does not require the use of operational appropriations </w:t>
      </w:r>
    </w:p>
    <w:p w14:paraId="55B90043" w14:textId="77777777" w:rsidR="00D37F2D" w:rsidRDefault="00D37F2D" w:rsidP="00D37F2D">
      <w:pPr>
        <w:pStyle w:val="ListDash1"/>
        <w:rPr>
          <w:noProof/>
        </w:rPr>
      </w:pPr>
      <w:r>
        <w:rPr>
          <w:rFonts w:ascii="Wingdings" w:eastAsia="Wingdings" w:hAnsi="Wingdings" w:cs="Wingdings"/>
          <w:noProof/>
        </w:rPr>
        <w:t>x</w:t>
      </w:r>
      <w:r>
        <w:rPr>
          <w:noProof/>
        </w:rPr>
        <w:tab/>
        <w:t>The proposal/initiative requires the use of operational appropriations, as explained below</w:t>
      </w:r>
    </w:p>
    <w:p w14:paraId="354BF2CA" w14:textId="77777777" w:rsidR="00D37F2D" w:rsidRDefault="00D37F2D" w:rsidP="0032759E">
      <w:pPr>
        <w:rPr>
          <w:noProof/>
        </w:rPr>
      </w:pPr>
      <w:r>
        <w:rPr>
          <w:noProof/>
        </w:rPr>
        <w:t>The allocations will be redeployed within the existing envelope of the EU4Health programme</w:t>
      </w:r>
    </w:p>
    <w:p w14:paraId="3DAE112A" w14:textId="77777777" w:rsidR="00D37F2D" w:rsidRDefault="00D37F2D" w:rsidP="00D37F2D">
      <w:pPr>
        <w:pStyle w:val="ManualHeading3"/>
      </w:pPr>
      <w:bookmarkStart w:id="146" w:name="_Toc160804595"/>
      <w:bookmarkStart w:id="147" w:name="_Toc167220287"/>
      <w:bookmarkStart w:id="148" w:name="_Toc177549020"/>
      <w:r>
        <w:t>3.2.1.1.</w:t>
      </w:r>
      <w:r>
        <w:tab/>
        <w:t>Appropriations from voted budget</w:t>
      </w:r>
      <w:bookmarkEnd w:id="146"/>
      <w:bookmarkEnd w:id="147"/>
      <w:bookmarkEnd w:id="148"/>
    </w:p>
    <w:p w14:paraId="59D553AB" w14:textId="77777777" w:rsidR="00D37F2D" w:rsidRDefault="00D37F2D" w:rsidP="00D37F2D">
      <w:pPr>
        <w:jc w:val="right"/>
        <w:rPr>
          <w:noProof/>
          <w:sz w:val="18"/>
          <w:szCs w:val="18"/>
          <w:lang w:val="en-IE"/>
        </w:rPr>
      </w:pPr>
      <w:r w:rsidRPr="003A769F">
        <w:rPr>
          <w:noProof/>
          <w:sz w:val="18"/>
          <w:szCs w:val="18"/>
          <w:lang w:val="en-IE"/>
        </w:rPr>
        <w:t>EUR million (to three decimal places)</w:t>
      </w:r>
    </w:p>
    <w:p w14:paraId="67F7B809" w14:textId="77777777" w:rsidR="00D37F2D" w:rsidRDefault="00D37F2D" w:rsidP="00D37F2D">
      <w:pPr>
        <w:jc w:val="right"/>
        <w:rPr>
          <w:noProof/>
          <w:sz w:val="18"/>
          <w:szCs w:val="18"/>
          <w:lang w:val="en-IE"/>
        </w:rPr>
      </w:pPr>
    </w:p>
    <w:tbl>
      <w:tblPr>
        <w:tblW w:w="11635" w:type="dxa"/>
        <w:tblInd w:w="108" w:type="dxa"/>
        <w:tblLook w:val="04A0" w:firstRow="1" w:lastRow="0" w:firstColumn="1" w:lastColumn="0" w:noHBand="0" w:noVBand="1"/>
      </w:tblPr>
      <w:tblGrid>
        <w:gridCol w:w="3874"/>
        <w:gridCol w:w="1396"/>
        <w:gridCol w:w="456"/>
        <w:gridCol w:w="340"/>
        <w:gridCol w:w="1063"/>
        <w:gridCol w:w="1061"/>
        <w:gridCol w:w="1073"/>
        <w:gridCol w:w="1071"/>
        <w:gridCol w:w="1301"/>
      </w:tblGrid>
      <w:tr w:rsidR="00D37F2D" w:rsidRPr="00C672A8" w14:paraId="73D3CAF0" w14:textId="77777777">
        <w:trPr>
          <w:trHeight w:val="315"/>
        </w:trPr>
        <w:tc>
          <w:tcPr>
            <w:tcW w:w="3874" w:type="dxa"/>
            <w:tcBorders>
              <w:top w:val="nil"/>
              <w:left w:val="nil"/>
              <w:bottom w:val="nil"/>
              <w:right w:val="nil"/>
            </w:tcBorders>
            <w:shd w:val="clear" w:color="auto" w:fill="auto"/>
            <w:noWrap/>
            <w:vAlign w:val="bottom"/>
            <w:hideMark/>
          </w:tcPr>
          <w:p w14:paraId="255C2735" w14:textId="77777777" w:rsidR="00D37F2D" w:rsidRPr="00C672A8" w:rsidRDefault="00D37F2D">
            <w:pPr>
              <w:spacing w:before="0" w:after="0"/>
              <w:jc w:val="center"/>
              <w:rPr>
                <w:rFonts w:eastAsia="Times New Roman"/>
                <w:b/>
                <w:bCs/>
                <w:color w:val="000000"/>
                <w:sz w:val="28"/>
                <w:szCs w:val="28"/>
                <w:lang w:val="en-IE" w:eastAsia="en-IE"/>
              </w:rPr>
            </w:pPr>
          </w:p>
        </w:tc>
        <w:tc>
          <w:tcPr>
            <w:tcW w:w="1396" w:type="dxa"/>
            <w:tcBorders>
              <w:top w:val="nil"/>
              <w:left w:val="nil"/>
              <w:bottom w:val="nil"/>
              <w:right w:val="nil"/>
            </w:tcBorders>
            <w:shd w:val="clear" w:color="auto" w:fill="auto"/>
            <w:noWrap/>
            <w:vAlign w:val="bottom"/>
            <w:hideMark/>
          </w:tcPr>
          <w:p w14:paraId="5B58F258" w14:textId="77777777" w:rsidR="00D37F2D" w:rsidRPr="00C672A8" w:rsidRDefault="00D37F2D">
            <w:pPr>
              <w:spacing w:before="0" w:after="0"/>
              <w:jc w:val="left"/>
              <w:rPr>
                <w:rFonts w:eastAsia="Times New Roman"/>
                <w:sz w:val="20"/>
                <w:szCs w:val="20"/>
                <w:lang w:val="en-IE" w:eastAsia="en-IE"/>
              </w:rPr>
            </w:pPr>
          </w:p>
        </w:tc>
        <w:tc>
          <w:tcPr>
            <w:tcW w:w="456" w:type="dxa"/>
            <w:tcBorders>
              <w:top w:val="nil"/>
              <w:left w:val="nil"/>
              <w:bottom w:val="nil"/>
              <w:right w:val="nil"/>
            </w:tcBorders>
            <w:shd w:val="clear" w:color="auto" w:fill="auto"/>
            <w:noWrap/>
            <w:vAlign w:val="bottom"/>
            <w:hideMark/>
          </w:tcPr>
          <w:p w14:paraId="7E560EDA" w14:textId="77777777" w:rsidR="00D37F2D" w:rsidRPr="00C672A8" w:rsidRDefault="00D37F2D">
            <w:pPr>
              <w:spacing w:before="0" w:after="0"/>
              <w:jc w:val="left"/>
              <w:rPr>
                <w:rFonts w:eastAsia="Times New Roman"/>
                <w:sz w:val="20"/>
                <w:szCs w:val="20"/>
                <w:lang w:val="en-IE" w:eastAsia="en-IE"/>
              </w:rPr>
            </w:pPr>
          </w:p>
        </w:tc>
        <w:tc>
          <w:tcPr>
            <w:tcW w:w="340" w:type="dxa"/>
            <w:tcBorders>
              <w:top w:val="nil"/>
              <w:left w:val="nil"/>
              <w:bottom w:val="nil"/>
              <w:right w:val="nil"/>
            </w:tcBorders>
            <w:shd w:val="clear" w:color="auto" w:fill="auto"/>
            <w:noWrap/>
            <w:vAlign w:val="bottom"/>
            <w:hideMark/>
          </w:tcPr>
          <w:p w14:paraId="4684CF2F" w14:textId="77777777" w:rsidR="00D37F2D" w:rsidRPr="00C672A8" w:rsidRDefault="00D37F2D">
            <w:pPr>
              <w:spacing w:before="0" w:after="0"/>
              <w:jc w:val="left"/>
              <w:rPr>
                <w:rFonts w:eastAsia="Times New Roman"/>
                <w:sz w:val="20"/>
                <w:szCs w:val="20"/>
                <w:lang w:val="en-IE" w:eastAsia="en-IE"/>
              </w:rPr>
            </w:pPr>
          </w:p>
        </w:tc>
        <w:tc>
          <w:tcPr>
            <w:tcW w:w="1063" w:type="dxa"/>
            <w:tcBorders>
              <w:top w:val="nil"/>
              <w:left w:val="nil"/>
              <w:bottom w:val="nil"/>
              <w:right w:val="nil"/>
            </w:tcBorders>
            <w:shd w:val="clear" w:color="auto" w:fill="auto"/>
            <w:noWrap/>
            <w:vAlign w:val="bottom"/>
            <w:hideMark/>
          </w:tcPr>
          <w:p w14:paraId="700D2001" w14:textId="77777777" w:rsidR="00D37F2D" w:rsidRPr="00C672A8" w:rsidRDefault="00D37F2D">
            <w:pPr>
              <w:spacing w:before="0" w:after="0"/>
              <w:jc w:val="left"/>
              <w:rPr>
                <w:rFonts w:eastAsia="Times New Roman"/>
                <w:sz w:val="20"/>
                <w:szCs w:val="20"/>
                <w:lang w:val="en-IE" w:eastAsia="en-IE"/>
              </w:rPr>
            </w:pPr>
          </w:p>
        </w:tc>
        <w:tc>
          <w:tcPr>
            <w:tcW w:w="1061" w:type="dxa"/>
            <w:tcBorders>
              <w:top w:val="nil"/>
              <w:left w:val="nil"/>
              <w:bottom w:val="nil"/>
              <w:right w:val="nil"/>
            </w:tcBorders>
            <w:shd w:val="clear" w:color="auto" w:fill="auto"/>
            <w:noWrap/>
            <w:vAlign w:val="bottom"/>
            <w:hideMark/>
          </w:tcPr>
          <w:p w14:paraId="4291AFB6" w14:textId="77777777" w:rsidR="00D37F2D" w:rsidRPr="00C672A8" w:rsidRDefault="00D37F2D">
            <w:pPr>
              <w:spacing w:before="0" w:after="0"/>
              <w:jc w:val="left"/>
              <w:rPr>
                <w:rFonts w:eastAsia="Times New Roman"/>
                <w:sz w:val="20"/>
                <w:szCs w:val="20"/>
                <w:lang w:val="en-IE" w:eastAsia="en-IE"/>
              </w:rPr>
            </w:pPr>
          </w:p>
        </w:tc>
        <w:tc>
          <w:tcPr>
            <w:tcW w:w="1073" w:type="dxa"/>
            <w:tcBorders>
              <w:top w:val="nil"/>
              <w:left w:val="nil"/>
              <w:bottom w:val="nil"/>
              <w:right w:val="nil"/>
            </w:tcBorders>
            <w:shd w:val="clear" w:color="auto" w:fill="auto"/>
            <w:noWrap/>
            <w:vAlign w:val="bottom"/>
            <w:hideMark/>
          </w:tcPr>
          <w:p w14:paraId="6A0EC1F1" w14:textId="77777777" w:rsidR="00D37F2D" w:rsidRPr="00C672A8" w:rsidRDefault="00D37F2D">
            <w:pPr>
              <w:spacing w:before="0" w:after="0"/>
              <w:jc w:val="left"/>
              <w:rPr>
                <w:rFonts w:eastAsia="Times New Roman"/>
                <w:sz w:val="20"/>
                <w:szCs w:val="20"/>
                <w:lang w:val="en-IE" w:eastAsia="en-IE"/>
              </w:rPr>
            </w:pPr>
          </w:p>
        </w:tc>
        <w:tc>
          <w:tcPr>
            <w:tcW w:w="1071" w:type="dxa"/>
            <w:tcBorders>
              <w:top w:val="nil"/>
              <w:left w:val="nil"/>
              <w:bottom w:val="nil"/>
              <w:right w:val="nil"/>
            </w:tcBorders>
            <w:shd w:val="clear" w:color="auto" w:fill="auto"/>
            <w:noWrap/>
            <w:vAlign w:val="bottom"/>
            <w:hideMark/>
          </w:tcPr>
          <w:p w14:paraId="533318CF" w14:textId="77777777" w:rsidR="00D37F2D" w:rsidRPr="00C672A8" w:rsidRDefault="00D37F2D">
            <w:pPr>
              <w:spacing w:before="0" w:after="0"/>
              <w:jc w:val="left"/>
              <w:rPr>
                <w:rFonts w:eastAsia="Times New Roman"/>
                <w:sz w:val="20"/>
                <w:szCs w:val="20"/>
                <w:lang w:val="en-IE" w:eastAsia="en-IE"/>
              </w:rPr>
            </w:pPr>
          </w:p>
        </w:tc>
        <w:tc>
          <w:tcPr>
            <w:tcW w:w="1301" w:type="dxa"/>
            <w:tcBorders>
              <w:top w:val="nil"/>
              <w:left w:val="nil"/>
              <w:bottom w:val="single" w:sz="4" w:space="0" w:color="auto"/>
              <w:right w:val="nil"/>
            </w:tcBorders>
            <w:shd w:val="clear" w:color="auto" w:fill="auto"/>
            <w:noWrap/>
            <w:vAlign w:val="bottom"/>
            <w:hideMark/>
          </w:tcPr>
          <w:p w14:paraId="6A4BAA5E" w14:textId="77777777" w:rsidR="00D37F2D" w:rsidRPr="00C672A8" w:rsidRDefault="00D37F2D">
            <w:pPr>
              <w:spacing w:before="0" w:after="0"/>
              <w:jc w:val="left"/>
              <w:rPr>
                <w:rFonts w:eastAsia="Times New Roman"/>
                <w:sz w:val="20"/>
                <w:szCs w:val="20"/>
                <w:lang w:val="en-IE" w:eastAsia="en-IE"/>
              </w:rPr>
            </w:pPr>
          </w:p>
        </w:tc>
      </w:tr>
      <w:tr w:rsidR="00D37F2D" w:rsidRPr="00C672A8" w14:paraId="1D850C89" w14:textId="77777777">
        <w:trPr>
          <w:trHeight w:val="420"/>
        </w:trPr>
        <w:tc>
          <w:tcPr>
            <w:tcW w:w="6066"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1F1D3D85" w14:textId="77777777" w:rsidR="00D37F2D" w:rsidRPr="00C672A8" w:rsidRDefault="00D37F2D">
            <w:pPr>
              <w:spacing w:before="0" w:after="0"/>
              <w:jc w:val="center"/>
              <w:rPr>
                <w:rFonts w:eastAsia="Times New Roman"/>
                <w:color w:val="000000"/>
                <w:sz w:val="22"/>
                <w:lang w:val="en-IE" w:eastAsia="en-IE"/>
              </w:rPr>
            </w:pPr>
          </w:p>
        </w:tc>
        <w:tc>
          <w:tcPr>
            <w:tcW w:w="1063" w:type="dxa"/>
            <w:tcBorders>
              <w:top w:val="single" w:sz="8" w:space="0" w:color="auto"/>
              <w:left w:val="nil"/>
              <w:bottom w:val="single" w:sz="8" w:space="0" w:color="auto"/>
              <w:right w:val="single" w:sz="8" w:space="0" w:color="auto"/>
            </w:tcBorders>
            <w:shd w:val="clear" w:color="auto" w:fill="auto"/>
            <w:vAlign w:val="center"/>
            <w:hideMark/>
          </w:tcPr>
          <w:p w14:paraId="3FCDD32F" w14:textId="77777777" w:rsidR="00D37F2D" w:rsidRPr="00C672A8" w:rsidRDefault="00D37F2D">
            <w:pPr>
              <w:spacing w:before="0" w:after="0"/>
              <w:jc w:val="center"/>
              <w:rPr>
                <w:rFonts w:eastAsia="Times New Roman"/>
                <w:color w:val="000000"/>
                <w:sz w:val="20"/>
                <w:szCs w:val="20"/>
                <w:lang w:val="en-IE" w:eastAsia="en-IE"/>
              </w:rPr>
            </w:pPr>
            <w:r w:rsidRPr="00C672A8">
              <w:rPr>
                <w:rFonts w:eastAsia="Times New Roman"/>
                <w:color w:val="000000"/>
                <w:sz w:val="20"/>
                <w:szCs w:val="20"/>
                <w:lang w:val="en-IE" w:eastAsia="en-IE"/>
              </w:rPr>
              <w:t>Year</w:t>
            </w:r>
          </w:p>
        </w:tc>
        <w:tc>
          <w:tcPr>
            <w:tcW w:w="1061" w:type="dxa"/>
            <w:tcBorders>
              <w:top w:val="single" w:sz="8" w:space="0" w:color="auto"/>
              <w:left w:val="nil"/>
              <w:bottom w:val="single" w:sz="8" w:space="0" w:color="auto"/>
              <w:right w:val="single" w:sz="8" w:space="0" w:color="auto"/>
            </w:tcBorders>
            <w:shd w:val="clear" w:color="auto" w:fill="auto"/>
            <w:vAlign w:val="center"/>
            <w:hideMark/>
          </w:tcPr>
          <w:p w14:paraId="562B90EF" w14:textId="77777777" w:rsidR="00D37F2D" w:rsidRPr="00C672A8" w:rsidRDefault="00D37F2D">
            <w:pPr>
              <w:spacing w:before="0" w:after="0"/>
              <w:jc w:val="center"/>
              <w:rPr>
                <w:rFonts w:eastAsia="Times New Roman"/>
                <w:color w:val="000000"/>
                <w:sz w:val="20"/>
                <w:szCs w:val="20"/>
                <w:lang w:val="en-IE" w:eastAsia="en-IE"/>
              </w:rPr>
            </w:pPr>
            <w:r w:rsidRPr="00C672A8">
              <w:rPr>
                <w:rFonts w:eastAsia="Times New Roman"/>
                <w:color w:val="000000"/>
                <w:sz w:val="20"/>
                <w:szCs w:val="20"/>
                <w:lang w:val="en-IE" w:eastAsia="en-IE"/>
              </w:rPr>
              <w:t>Year</w:t>
            </w:r>
          </w:p>
        </w:tc>
        <w:tc>
          <w:tcPr>
            <w:tcW w:w="1073" w:type="dxa"/>
            <w:tcBorders>
              <w:top w:val="single" w:sz="8" w:space="0" w:color="auto"/>
              <w:left w:val="nil"/>
              <w:bottom w:val="single" w:sz="8" w:space="0" w:color="auto"/>
              <w:right w:val="single" w:sz="8" w:space="0" w:color="auto"/>
            </w:tcBorders>
            <w:shd w:val="clear" w:color="auto" w:fill="auto"/>
            <w:vAlign w:val="center"/>
            <w:hideMark/>
          </w:tcPr>
          <w:p w14:paraId="6063F903" w14:textId="77777777" w:rsidR="00D37F2D" w:rsidRPr="00C672A8" w:rsidRDefault="00D37F2D">
            <w:pPr>
              <w:spacing w:before="0" w:after="0"/>
              <w:jc w:val="center"/>
              <w:rPr>
                <w:rFonts w:eastAsia="Times New Roman"/>
                <w:color w:val="000000"/>
                <w:sz w:val="20"/>
                <w:szCs w:val="20"/>
                <w:lang w:val="en-IE" w:eastAsia="en-IE"/>
              </w:rPr>
            </w:pPr>
            <w:r w:rsidRPr="00C672A8">
              <w:rPr>
                <w:rFonts w:eastAsia="Times New Roman"/>
                <w:color w:val="000000"/>
                <w:sz w:val="20"/>
                <w:szCs w:val="20"/>
                <w:lang w:val="en-IE" w:eastAsia="en-IE"/>
              </w:rPr>
              <w:t>Year</w:t>
            </w:r>
          </w:p>
        </w:tc>
        <w:tc>
          <w:tcPr>
            <w:tcW w:w="1071" w:type="dxa"/>
            <w:tcBorders>
              <w:top w:val="single" w:sz="8" w:space="0" w:color="auto"/>
              <w:left w:val="nil"/>
              <w:bottom w:val="single" w:sz="8" w:space="0" w:color="auto"/>
              <w:right w:val="single" w:sz="4" w:space="0" w:color="auto"/>
            </w:tcBorders>
            <w:shd w:val="clear" w:color="auto" w:fill="auto"/>
            <w:vAlign w:val="center"/>
            <w:hideMark/>
          </w:tcPr>
          <w:p w14:paraId="7654E046" w14:textId="77777777" w:rsidR="00D37F2D" w:rsidRPr="00C672A8" w:rsidRDefault="00D37F2D">
            <w:pPr>
              <w:spacing w:before="0" w:after="0"/>
              <w:jc w:val="center"/>
              <w:rPr>
                <w:rFonts w:eastAsia="Times New Roman"/>
                <w:color w:val="000000"/>
                <w:sz w:val="20"/>
                <w:szCs w:val="20"/>
                <w:lang w:val="en-IE" w:eastAsia="en-IE"/>
              </w:rPr>
            </w:pPr>
            <w:r w:rsidRPr="00C672A8">
              <w:rPr>
                <w:rFonts w:eastAsia="Times New Roman"/>
                <w:color w:val="000000"/>
                <w:sz w:val="20"/>
                <w:szCs w:val="20"/>
                <w:lang w:val="en-IE" w:eastAsia="en-IE"/>
              </w:rPr>
              <w:t>Year</w:t>
            </w:r>
          </w:p>
        </w:tc>
        <w:tc>
          <w:tcPr>
            <w:tcW w:w="1301" w:type="dxa"/>
            <w:vMerge w:val="restart"/>
            <w:tcBorders>
              <w:top w:val="single" w:sz="4" w:space="0" w:color="auto"/>
              <w:left w:val="single" w:sz="4" w:space="0" w:color="auto"/>
              <w:bottom w:val="single" w:sz="8" w:space="0" w:color="auto"/>
              <w:right w:val="single" w:sz="4" w:space="0" w:color="auto"/>
            </w:tcBorders>
            <w:shd w:val="clear" w:color="auto" w:fill="auto"/>
            <w:vAlign w:val="center"/>
            <w:hideMark/>
          </w:tcPr>
          <w:p w14:paraId="312CC4C2" w14:textId="77777777" w:rsidR="00D37F2D" w:rsidRPr="00C672A8" w:rsidRDefault="00D37F2D">
            <w:pPr>
              <w:spacing w:before="0" w:after="0"/>
              <w:jc w:val="center"/>
              <w:rPr>
                <w:rFonts w:eastAsia="Times New Roman"/>
                <w:b/>
                <w:bCs/>
                <w:color w:val="000000"/>
                <w:sz w:val="20"/>
                <w:szCs w:val="20"/>
                <w:lang w:val="en-IE" w:eastAsia="en-IE"/>
              </w:rPr>
            </w:pPr>
            <w:r w:rsidRPr="00C672A8">
              <w:rPr>
                <w:rFonts w:eastAsia="Times New Roman"/>
                <w:b/>
                <w:bCs/>
                <w:color w:val="000000"/>
                <w:sz w:val="20"/>
                <w:szCs w:val="20"/>
                <w:lang w:val="en-IE" w:eastAsia="en-IE"/>
              </w:rPr>
              <w:t>TOTAL MFF</w:t>
            </w:r>
            <w:r w:rsidRPr="00C672A8">
              <w:rPr>
                <w:rFonts w:eastAsia="Times New Roman"/>
                <w:b/>
                <w:bCs/>
                <w:color w:val="000000"/>
                <w:sz w:val="20"/>
                <w:szCs w:val="20"/>
                <w:lang w:val="en-IE" w:eastAsia="en-IE"/>
              </w:rPr>
              <w:br/>
              <w:t>2021-2027</w:t>
            </w:r>
          </w:p>
        </w:tc>
      </w:tr>
      <w:tr w:rsidR="00D37F2D" w:rsidRPr="00C672A8" w14:paraId="0270E93F" w14:textId="77777777">
        <w:trPr>
          <w:trHeight w:val="315"/>
        </w:trPr>
        <w:tc>
          <w:tcPr>
            <w:tcW w:w="6066" w:type="dxa"/>
            <w:gridSpan w:val="4"/>
            <w:vMerge/>
            <w:vAlign w:val="center"/>
            <w:hideMark/>
          </w:tcPr>
          <w:p w14:paraId="143EB73E" w14:textId="77777777" w:rsidR="00D37F2D" w:rsidRPr="00C672A8" w:rsidRDefault="00D37F2D">
            <w:pPr>
              <w:spacing w:before="0" w:after="0"/>
              <w:jc w:val="left"/>
              <w:rPr>
                <w:rFonts w:eastAsia="Times New Roman"/>
                <w:color w:val="000000"/>
                <w:sz w:val="22"/>
                <w:lang w:val="en-IE" w:eastAsia="en-IE"/>
              </w:rPr>
            </w:pPr>
          </w:p>
        </w:tc>
        <w:tc>
          <w:tcPr>
            <w:tcW w:w="1063" w:type="dxa"/>
            <w:tcBorders>
              <w:top w:val="nil"/>
              <w:left w:val="nil"/>
              <w:bottom w:val="single" w:sz="8" w:space="0" w:color="auto"/>
              <w:right w:val="single" w:sz="8" w:space="0" w:color="auto"/>
            </w:tcBorders>
            <w:shd w:val="clear" w:color="auto" w:fill="auto"/>
            <w:vAlign w:val="center"/>
            <w:hideMark/>
          </w:tcPr>
          <w:p w14:paraId="45088656" w14:textId="77777777" w:rsidR="00D37F2D" w:rsidRPr="00C672A8" w:rsidRDefault="00D37F2D">
            <w:pPr>
              <w:spacing w:before="0" w:after="0"/>
              <w:jc w:val="center"/>
              <w:rPr>
                <w:rFonts w:eastAsia="Times New Roman"/>
                <w:b/>
                <w:bCs/>
                <w:color w:val="000000"/>
                <w:sz w:val="20"/>
                <w:szCs w:val="20"/>
                <w:lang w:val="en-IE" w:eastAsia="en-IE"/>
              </w:rPr>
            </w:pPr>
            <w:r w:rsidRPr="00C672A8">
              <w:rPr>
                <w:rFonts w:eastAsia="Times New Roman"/>
                <w:b/>
                <w:bCs/>
                <w:color w:val="000000"/>
                <w:sz w:val="20"/>
                <w:szCs w:val="20"/>
                <w:lang w:val="en-IE" w:eastAsia="en-IE"/>
              </w:rPr>
              <w:t>2024</w:t>
            </w:r>
          </w:p>
        </w:tc>
        <w:tc>
          <w:tcPr>
            <w:tcW w:w="1061" w:type="dxa"/>
            <w:tcBorders>
              <w:top w:val="nil"/>
              <w:left w:val="nil"/>
              <w:bottom w:val="single" w:sz="8" w:space="0" w:color="auto"/>
              <w:right w:val="single" w:sz="8" w:space="0" w:color="auto"/>
            </w:tcBorders>
            <w:shd w:val="clear" w:color="auto" w:fill="auto"/>
            <w:vAlign w:val="center"/>
            <w:hideMark/>
          </w:tcPr>
          <w:p w14:paraId="73166FA6" w14:textId="77777777" w:rsidR="00D37F2D" w:rsidRPr="00C672A8" w:rsidRDefault="00D37F2D">
            <w:pPr>
              <w:spacing w:before="0" w:after="0"/>
              <w:jc w:val="center"/>
              <w:rPr>
                <w:rFonts w:eastAsia="Times New Roman"/>
                <w:b/>
                <w:bCs/>
                <w:color w:val="000000"/>
                <w:sz w:val="20"/>
                <w:szCs w:val="20"/>
                <w:lang w:val="en-IE" w:eastAsia="en-IE"/>
              </w:rPr>
            </w:pPr>
            <w:r w:rsidRPr="00C672A8">
              <w:rPr>
                <w:rFonts w:eastAsia="Times New Roman"/>
                <w:b/>
                <w:bCs/>
                <w:color w:val="000000"/>
                <w:sz w:val="20"/>
                <w:szCs w:val="20"/>
                <w:lang w:val="en-IE" w:eastAsia="en-IE"/>
              </w:rPr>
              <w:t>2025</w:t>
            </w:r>
          </w:p>
        </w:tc>
        <w:tc>
          <w:tcPr>
            <w:tcW w:w="1073" w:type="dxa"/>
            <w:tcBorders>
              <w:top w:val="nil"/>
              <w:left w:val="nil"/>
              <w:bottom w:val="single" w:sz="8" w:space="0" w:color="auto"/>
              <w:right w:val="single" w:sz="8" w:space="0" w:color="auto"/>
            </w:tcBorders>
            <w:shd w:val="clear" w:color="auto" w:fill="auto"/>
            <w:vAlign w:val="center"/>
            <w:hideMark/>
          </w:tcPr>
          <w:p w14:paraId="3EC62E6A" w14:textId="77777777" w:rsidR="00D37F2D" w:rsidRPr="00C672A8" w:rsidRDefault="00D37F2D">
            <w:pPr>
              <w:spacing w:before="0" w:after="0"/>
              <w:jc w:val="center"/>
              <w:rPr>
                <w:rFonts w:eastAsia="Times New Roman"/>
                <w:b/>
                <w:bCs/>
                <w:color w:val="000000"/>
                <w:sz w:val="20"/>
                <w:szCs w:val="20"/>
                <w:lang w:val="en-IE" w:eastAsia="en-IE"/>
              </w:rPr>
            </w:pPr>
            <w:r w:rsidRPr="00C672A8">
              <w:rPr>
                <w:rFonts w:eastAsia="Times New Roman"/>
                <w:b/>
                <w:bCs/>
                <w:color w:val="000000"/>
                <w:sz w:val="20"/>
                <w:szCs w:val="20"/>
                <w:lang w:val="en-IE" w:eastAsia="en-IE"/>
              </w:rPr>
              <w:t>2026</w:t>
            </w:r>
          </w:p>
        </w:tc>
        <w:tc>
          <w:tcPr>
            <w:tcW w:w="1071" w:type="dxa"/>
            <w:tcBorders>
              <w:top w:val="nil"/>
              <w:left w:val="nil"/>
              <w:bottom w:val="single" w:sz="8" w:space="0" w:color="auto"/>
              <w:right w:val="single" w:sz="4" w:space="0" w:color="auto"/>
            </w:tcBorders>
            <w:shd w:val="clear" w:color="auto" w:fill="auto"/>
            <w:vAlign w:val="center"/>
            <w:hideMark/>
          </w:tcPr>
          <w:p w14:paraId="53EF5CC4" w14:textId="77777777" w:rsidR="00D37F2D" w:rsidRPr="00C672A8" w:rsidRDefault="00D37F2D">
            <w:pPr>
              <w:spacing w:before="0" w:after="0"/>
              <w:jc w:val="center"/>
              <w:rPr>
                <w:rFonts w:eastAsia="Times New Roman"/>
                <w:b/>
                <w:bCs/>
                <w:color w:val="000000"/>
                <w:sz w:val="20"/>
                <w:szCs w:val="20"/>
                <w:lang w:val="en-IE" w:eastAsia="en-IE"/>
              </w:rPr>
            </w:pPr>
            <w:r w:rsidRPr="00C672A8">
              <w:rPr>
                <w:rFonts w:eastAsia="Times New Roman"/>
                <w:b/>
                <w:bCs/>
                <w:color w:val="000000"/>
                <w:sz w:val="20"/>
                <w:szCs w:val="20"/>
                <w:lang w:val="en-IE" w:eastAsia="en-IE"/>
              </w:rPr>
              <w:t>2027</w:t>
            </w:r>
          </w:p>
        </w:tc>
        <w:tc>
          <w:tcPr>
            <w:tcW w:w="1301" w:type="dxa"/>
            <w:vMerge/>
            <w:tcBorders>
              <w:top w:val="single" w:sz="8" w:space="0" w:color="auto"/>
              <w:left w:val="single" w:sz="4" w:space="0" w:color="auto"/>
              <w:bottom w:val="single" w:sz="4" w:space="0" w:color="auto"/>
              <w:right w:val="single" w:sz="4" w:space="0" w:color="auto"/>
            </w:tcBorders>
            <w:vAlign w:val="center"/>
            <w:hideMark/>
          </w:tcPr>
          <w:p w14:paraId="20C6B740" w14:textId="77777777" w:rsidR="00D37F2D" w:rsidRPr="00C672A8" w:rsidRDefault="00D37F2D">
            <w:pPr>
              <w:spacing w:before="0" w:after="0"/>
              <w:jc w:val="left"/>
              <w:rPr>
                <w:rFonts w:eastAsia="Times New Roman"/>
                <w:b/>
                <w:bCs/>
                <w:color w:val="000000"/>
                <w:sz w:val="20"/>
                <w:szCs w:val="20"/>
                <w:lang w:val="en-IE" w:eastAsia="en-IE"/>
              </w:rPr>
            </w:pPr>
          </w:p>
        </w:tc>
      </w:tr>
      <w:tr w:rsidR="00D37F2D" w:rsidRPr="00C672A8" w14:paraId="58802E17" w14:textId="77777777">
        <w:trPr>
          <w:trHeight w:val="300"/>
        </w:trPr>
        <w:tc>
          <w:tcPr>
            <w:tcW w:w="11635" w:type="dxa"/>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40B0C4F1" w14:textId="77777777" w:rsidR="00D37F2D" w:rsidRPr="00C672A8" w:rsidRDefault="00D37F2D">
            <w:pPr>
              <w:spacing w:before="0" w:after="0"/>
              <w:jc w:val="left"/>
              <w:rPr>
                <w:rFonts w:eastAsia="Times New Roman"/>
                <w:color w:val="000000"/>
                <w:sz w:val="21"/>
                <w:szCs w:val="21"/>
                <w:lang w:val="en-IE" w:eastAsia="en-IE"/>
              </w:rPr>
            </w:pPr>
            <w:r w:rsidRPr="00C672A8">
              <w:rPr>
                <w:rFonts w:eastAsia="Times New Roman"/>
                <w:color w:val="000000"/>
                <w:sz w:val="21"/>
                <w:szCs w:val="21"/>
                <w:lang w:val="en-IE" w:eastAsia="en-IE"/>
              </w:rPr>
              <w:t xml:space="preserve">Operational appropriations </w:t>
            </w:r>
          </w:p>
        </w:tc>
      </w:tr>
      <w:tr w:rsidR="00D37F2D" w:rsidRPr="00C672A8" w14:paraId="6D13398D" w14:textId="77777777">
        <w:trPr>
          <w:trHeight w:val="315"/>
        </w:trPr>
        <w:tc>
          <w:tcPr>
            <w:tcW w:w="3874" w:type="dxa"/>
            <w:vMerge w:val="restart"/>
            <w:tcBorders>
              <w:top w:val="nil"/>
              <w:left w:val="single" w:sz="8" w:space="0" w:color="auto"/>
              <w:bottom w:val="single" w:sz="8" w:space="0" w:color="auto"/>
              <w:right w:val="single" w:sz="8" w:space="0" w:color="auto"/>
            </w:tcBorders>
            <w:shd w:val="clear" w:color="auto" w:fill="auto"/>
            <w:noWrap/>
            <w:vAlign w:val="center"/>
            <w:hideMark/>
          </w:tcPr>
          <w:p w14:paraId="4874FF59" w14:textId="77777777" w:rsidR="00D37F2D" w:rsidRPr="00C672A8" w:rsidRDefault="00D37F2D">
            <w:pPr>
              <w:spacing w:before="0" w:after="0"/>
              <w:jc w:val="left"/>
              <w:rPr>
                <w:rFonts w:eastAsia="Times New Roman"/>
                <w:color w:val="000000"/>
                <w:sz w:val="22"/>
                <w:lang w:val="en-IE" w:eastAsia="en-IE"/>
              </w:rPr>
            </w:pPr>
            <w:r w:rsidRPr="00C672A8">
              <w:rPr>
                <w:rFonts w:eastAsia="Times New Roman"/>
                <w:color w:val="000000"/>
                <w:sz w:val="22"/>
                <w:lang w:val="en-IE" w:eastAsia="en-IE"/>
              </w:rPr>
              <w:t>06 06 01 - EU4Health Programme</w:t>
            </w:r>
          </w:p>
        </w:tc>
        <w:tc>
          <w:tcPr>
            <w:tcW w:w="1396" w:type="dxa"/>
            <w:tcBorders>
              <w:top w:val="nil"/>
              <w:left w:val="nil"/>
              <w:bottom w:val="single" w:sz="8" w:space="0" w:color="auto"/>
              <w:right w:val="single" w:sz="8" w:space="0" w:color="auto"/>
            </w:tcBorders>
            <w:shd w:val="clear" w:color="auto" w:fill="auto"/>
            <w:vAlign w:val="center"/>
            <w:hideMark/>
          </w:tcPr>
          <w:p w14:paraId="4B74CEC0" w14:textId="77777777" w:rsidR="00D37F2D" w:rsidRPr="00C672A8" w:rsidRDefault="00D37F2D">
            <w:pPr>
              <w:spacing w:before="0" w:after="0"/>
              <w:rPr>
                <w:rFonts w:eastAsia="Times New Roman"/>
                <w:color w:val="000000"/>
                <w:sz w:val="18"/>
                <w:szCs w:val="18"/>
                <w:lang w:val="en-IE" w:eastAsia="en-IE"/>
              </w:rPr>
            </w:pPr>
            <w:r w:rsidRPr="00C672A8">
              <w:rPr>
                <w:rFonts w:eastAsia="Times New Roman"/>
                <w:color w:val="000000"/>
                <w:sz w:val="18"/>
                <w:szCs w:val="18"/>
                <w:lang w:val="en-IE" w:eastAsia="en-IE"/>
              </w:rPr>
              <w:t>Commitments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5B2C7849" w14:textId="77777777" w:rsidR="00D37F2D" w:rsidRPr="00C672A8" w:rsidRDefault="00D37F2D">
            <w:pPr>
              <w:spacing w:before="0" w:after="0"/>
              <w:jc w:val="center"/>
              <w:rPr>
                <w:rFonts w:eastAsia="Times New Roman"/>
                <w:color w:val="000000"/>
                <w:sz w:val="14"/>
                <w:szCs w:val="14"/>
                <w:lang w:val="en-IE" w:eastAsia="en-IE"/>
              </w:rPr>
            </w:pPr>
            <w:r w:rsidRPr="00C672A8">
              <w:rPr>
                <w:rFonts w:eastAsia="Times New Roman"/>
                <w:color w:val="000000"/>
                <w:sz w:val="14"/>
                <w:szCs w:val="14"/>
                <w:lang w:val="en-IE" w:eastAsia="en-IE"/>
              </w:rPr>
              <w:t>(1a)</w:t>
            </w:r>
          </w:p>
        </w:tc>
        <w:tc>
          <w:tcPr>
            <w:tcW w:w="1063" w:type="dxa"/>
            <w:tcBorders>
              <w:top w:val="nil"/>
              <w:left w:val="nil"/>
              <w:bottom w:val="single" w:sz="8" w:space="0" w:color="auto"/>
              <w:right w:val="single" w:sz="8" w:space="0" w:color="auto"/>
            </w:tcBorders>
            <w:shd w:val="clear" w:color="auto" w:fill="auto"/>
            <w:vAlign w:val="center"/>
            <w:hideMark/>
          </w:tcPr>
          <w:p w14:paraId="540F6EDF"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 </w:t>
            </w:r>
          </w:p>
        </w:tc>
        <w:tc>
          <w:tcPr>
            <w:tcW w:w="1061" w:type="dxa"/>
            <w:tcBorders>
              <w:top w:val="nil"/>
              <w:left w:val="nil"/>
              <w:bottom w:val="single" w:sz="8" w:space="0" w:color="auto"/>
              <w:right w:val="single" w:sz="8" w:space="0" w:color="auto"/>
            </w:tcBorders>
            <w:shd w:val="clear" w:color="auto" w:fill="auto"/>
            <w:vAlign w:val="center"/>
            <w:hideMark/>
          </w:tcPr>
          <w:p w14:paraId="6F1D3F7E"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 </w:t>
            </w:r>
          </w:p>
        </w:tc>
        <w:tc>
          <w:tcPr>
            <w:tcW w:w="1073" w:type="dxa"/>
            <w:tcBorders>
              <w:top w:val="nil"/>
              <w:left w:val="nil"/>
              <w:bottom w:val="single" w:sz="8" w:space="0" w:color="auto"/>
              <w:right w:val="single" w:sz="8" w:space="0" w:color="auto"/>
            </w:tcBorders>
            <w:shd w:val="clear" w:color="auto" w:fill="auto"/>
            <w:vAlign w:val="center"/>
            <w:hideMark/>
          </w:tcPr>
          <w:p w14:paraId="5019C6D9"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40,405</w:t>
            </w:r>
          </w:p>
        </w:tc>
        <w:tc>
          <w:tcPr>
            <w:tcW w:w="1071" w:type="dxa"/>
            <w:tcBorders>
              <w:top w:val="nil"/>
              <w:left w:val="nil"/>
              <w:bottom w:val="single" w:sz="8" w:space="0" w:color="auto"/>
              <w:right w:val="single" w:sz="8" w:space="0" w:color="auto"/>
            </w:tcBorders>
            <w:shd w:val="clear" w:color="auto" w:fill="auto"/>
            <w:vAlign w:val="center"/>
            <w:hideMark/>
          </w:tcPr>
          <w:p w14:paraId="07EE5943"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41,213</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5DE31E6E"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81,618</w:t>
            </w:r>
          </w:p>
        </w:tc>
      </w:tr>
      <w:tr w:rsidR="00D37F2D" w:rsidRPr="00C672A8" w14:paraId="31701868" w14:textId="77777777">
        <w:trPr>
          <w:trHeight w:val="315"/>
        </w:trPr>
        <w:tc>
          <w:tcPr>
            <w:tcW w:w="3874" w:type="dxa"/>
            <w:vMerge/>
            <w:vAlign w:val="center"/>
            <w:hideMark/>
          </w:tcPr>
          <w:p w14:paraId="1593BD07" w14:textId="77777777" w:rsidR="00D37F2D" w:rsidRPr="00C672A8" w:rsidRDefault="00D37F2D">
            <w:pPr>
              <w:spacing w:before="0" w:after="0"/>
              <w:jc w:val="left"/>
              <w:rPr>
                <w:rFonts w:eastAsia="Times New Roman"/>
                <w:color w:val="000000"/>
                <w:sz w:val="22"/>
                <w:lang w:val="en-IE" w:eastAsia="en-IE"/>
              </w:rPr>
            </w:pPr>
          </w:p>
        </w:tc>
        <w:tc>
          <w:tcPr>
            <w:tcW w:w="1396" w:type="dxa"/>
            <w:tcBorders>
              <w:top w:val="nil"/>
              <w:left w:val="nil"/>
              <w:bottom w:val="single" w:sz="8" w:space="0" w:color="auto"/>
              <w:right w:val="single" w:sz="8" w:space="0" w:color="auto"/>
            </w:tcBorders>
            <w:shd w:val="clear" w:color="auto" w:fill="auto"/>
            <w:vAlign w:val="center"/>
            <w:hideMark/>
          </w:tcPr>
          <w:p w14:paraId="5FC7711C" w14:textId="77777777" w:rsidR="00D37F2D" w:rsidRPr="00C672A8" w:rsidRDefault="00D37F2D">
            <w:pPr>
              <w:spacing w:before="0" w:after="0"/>
              <w:rPr>
                <w:rFonts w:eastAsia="Times New Roman"/>
                <w:color w:val="000000"/>
                <w:sz w:val="18"/>
                <w:szCs w:val="18"/>
                <w:lang w:val="en-IE" w:eastAsia="en-IE"/>
              </w:rPr>
            </w:pPr>
            <w:r w:rsidRPr="00C672A8">
              <w:rPr>
                <w:rFonts w:eastAsia="Times New Roman"/>
                <w:color w:val="000000"/>
                <w:sz w:val="18"/>
                <w:szCs w:val="18"/>
                <w:lang w:val="en-IE" w:eastAsia="en-IE"/>
              </w:rPr>
              <w:t>Payments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014B2886" w14:textId="77777777" w:rsidR="00D37F2D" w:rsidRPr="00C672A8" w:rsidRDefault="00D37F2D">
            <w:pPr>
              <w:spacing w:before="0" w:after="0"/>
              <w:jc w:val="center"/>
              <w:rPr>
                <w:rFonts w:eastAsia="Times New Roman"/>
                <w:color w:val="000000"/>
                <w:sz w:val="14"/>
                <w:szCs w:val="14"/>
                <w:lang w:val="en-IE" w:eastAsia="en-IE"/>
              </w:rPr>
            </w:pPr>
            <w:r w:rsidRPr="00C672A8">
              <w:rPr>
                <w:rFonts w:eastAsia="Times New Roman"/>
                <w:color w:val="000000"/>
                <w:sz w:val="14"/>
                <w:szCs w:val="14"/>
                <w:lang w:val="en-IE" w:eastAsia="en-IE"/>
              </w:rPr>
              <w:t>(2a)</w:t>
            </w:r>
          </w:p>
        </w:tc>
        <w:tc>
          <w:tcPr>
            <w:tcW w:w="1063" w:type="dxa"/>
            <w:tcBorders>
              <w:top w:val="nil"/>
              <w:left w:val="nil"/>
              <w:bottom w:val="single" w:sz="8" w:space="0" w:color="auto"/>
              <w:right w:val="single" w:sz="8" w:space="0" w:color="auto"/>
            </w:tcBorders>
            <w:shd w:val="clear" w:color="auto" w:fill="auto"/>
            <w:vAlign w:val="center"/>
            <w:hideMark/>
          </w:tcPr>
          <w:p w14:paraId="3B5E5EFE"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 </w:t>
            </w:r>
          </w:p>
        </w:tc>
        <w:tc>
          <w:tcPr>
            <w:tcW w:w="1061" w:type="dxa"/>
            <w:tcBorders>
              <w:top w:val="nil"/>
              <w:left w:val="nil"/>
              <w:bottom w:val="single" w:sz="8" w:space="0" w:color="auto"/>
              <w:right w:val="single" w:sz="8" w:space="0" w:color="auto"/>
            </w:tcBorders>
            <w:shd w:val="clear" w:color="auto" w:fill="auto"/>
            <w:vAlign w:val="center"/>
            <w:hideMark/>
          </w:tcPr>
          <w:p w14:paraId="2E6F0699"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 </w:t>
            </w:r>
          </w:p>
        </w:tc>
        <w:tc>
          <w:tcPr>
            <w:tcW w:w="1073" w:type="dxa"/>
            <w:tcBorders>
              <w:top w:val="nil"/>
              <w:left w:val="nil"/>
              <w:bottom w:val="single" w:sz="8" w:space="0" w:color="auto"/>
              <w:right w:val="single" w:sz="8" w:space="0" w:color="auto"/>
            </w:tcBorders>
            <w:shd w:val="clear" w:color="auto" w:fill="auto"/>
            <w:vAlign w:val="center"/>
            <w:hideMark/>
          </w:tcPr>
          <w:p w14:paraId="745CF618"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28,284</w:t>
            </w:r>
          </w:p>
        </w:tc>
        <w:tc>
          <w:tcPr>
            <w:tcW w:w="1071" w:type="dxa"/>
            <w:tcBorders>
              <w:top w:val="nil"/>
              <w:left w:val="nil"/>
              <w:bottom w:val="single" w:sz="8" w:space="0" w:color="auto"/>
              <w:right w:val="single" w:sz="8" w:space="0" w:color="auto"/>
            </w:tcBorders>
            <w:shd w:val="clear" w:color="auto" w:fill="auto"/>
            <w:vAlign w:val="center"/>
            <w:hideMark/>
          </w:tcPr>
          <w:p w14:paraId="2D59E0BE"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40,971</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6C0FB3C2"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69,254</w:t>
            </w:r>
          </w:p>
        </w:tc>
      </w:tr>
      <w:tr w:rsidR="00D37F2D" w:rsidRPr="00C672A8" w14:paraId="4B384605" w14:textId="77777777">
        <w:trPr>
          <w:trHeight w:val="315"/>
        </w:trPr>
        <w:tc>
          <w:tcPr>
            <w:tcW w:w="3874" w:type="dxa"/>
            <w:vMerge w:val="restart"/>
            <w:tcBorders>
              <w:top w:val="nil"/>
              <w:left w:val="single" w:sz="8" w:space="0" w:color="auto"/>
              <w:bottom w:val="single" w:sz="8" w:space="0" w:color="auto"/>
              <w:right w:val="single" w:sz="8" w:space="0" w:color="auto"/>
            </w:tcBorders>
            <w:shd w:val="clear" w:color="auto" w:fill="auto"/>
            <w:vAlign w:val="center"/>
            <w:hideMark/>
          </w:tcPr>
          <w:p w14:paraId="34651C3B" w14:textId="77777777" w:rsidR="00D37F2D" w:rsidRPr="00C672A8" w:rsidRDefault="00D37F2D">
            <w:pPr>
              <w:spacing w:before="0" w:after="0"/>
              <w:rPr>
                <w:rFonts w:eastAsia="Times New Roman"/>
                <w:color w:val="000000"/>
                <w:sz w:val="20"/>
                <w:szCs w:val="20"/>
                <w:lang w:val="en-IE" w:eastAsia="en-IE"/>
              </w:rPr>
            </w:pPr>
            <w:r w:rsidRPr="00C672A8">
              <w:rPr>
                <w:rFonts w:eastAsia="Times New Roman"/>
                <w:color w:val="000000"/>
                <w:sz w:val="20"/>
                <w:szCs w:val="20"/>
                <w:lang w:val="en-IE" w:eastAsia="en-IE"/>
              </w:rPr>
              <w:t>06 10 03 Union contribution to the European Medicines Agency</w:t>
            </w:r>
          </w:p>
        </w:tc>
        <w:tc>
          <w:tcPr>
            <w:tcW w:w="1396" w:type="dxa"/>
            <w:tcBorders>
              <w:top w:val="nil"/>
              <w:left w:val="nil"/>
              <w:bottom w:val="single" w:sz="8" w:space="0" w:color="auto"/>
              <w:right w:val="single" w:sz="8" w:space="0" w:color="auto"/>
            </w:tcBorders>
            <w:shd w:val="clear" w:color="auto" w:fill="auto"/>
            <w:vAlign w:val="center"/>
            <w:hideMark/>
          </w:tcPr>
          <w:p w14:paraId="25F8E418" w14:textId="77777777" w:rsidR="00D37F2D" w:rsidRPr="00C672A8" w:rsidRDefault="00D37F2D">
            <w:pPr>
              <w:spacing w:before="0" w:after="0"/>
              <w:rPr>
                <w:rFonts w:eastAsia="Times New Roman"/>
                <w:color w:val="000000"/>
                <w:sz w:val="18"/>
                <w:szCs w:val="18"/>
                <w:lang w:val="en-IE" w:eastAsia="en-IE"/>
              </w:rPr>
            </w:pPr>
            <w:r w:rsidRPr="00C672A8">
              <w:rPr>
                <w:rFonts w:eastAsia="Times New Roman"/>
                <w:color w:val="000000"/>
                <w:sz w:val="18"/>
                <w:szCs w:val="18"/>
                <w:lang w:val="en-IE" w:eastAsia="en-IE"/>
              </w:rPr>
              <w:t>Commitments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58532C55" w14:textId="77777777" w:rsidR="00D37F2D" w:rsidRPr="00C672A8" w:rsidRDefault="00D37F2D">
            <w:pPr>
              <w:spacing w:before="0" w:after="0"/>
              <w:jc w:val="center"/>
              <w:rPr>
                <w:rFonts w:eastAsia="Times New Roman"/>
                <w:color w:val="000000"/>
                <w:sz w:val="14"/>
                <w:szCs w:val="14"/>
                <w:lang w:val="en-IE" w:eastAsia="en-IE"/>
              </w:rPr>
            </w:pPr>
            <w:r w:rsidRPr="00C672A8">
              <w:rPr>
                <w:rFonts w:eastAsia="Times New Roman"/>
                <w:color w:val="000000"/>
                <w:sz w:val="14"/>
                <w:szCs w:val="14"/>
                <w:lang w:val="en-IE" w:eastAsia="en-IE"/>
              </w:rPr>
              <w:t>(1b)</w:t>
            </w:r>
          </w:p>
        </w:tc>
        <w:tc>
          <w:tcPr>
            <w:tcW w:w="1063" w:type="dxa"/>
            <w:tcBorders>
              <w:top w:val="nil"/>
              <w:left w:val="nil"/>
              <w:bottom w:val="single" w:sz="8" w:space="0" w:color="auto"/>
              <w:right w:val="single" w:sz="8" w:space="0" w:color="auto"/>
            </w:tcBorders>
            <w:shd w:val="clear" w:color="auto" w:fill="auto"/>
            <w:vAlign w:val="center"/>
            <w:hideMark/>
          </w:tcPr>
          <w:p w14:paraId="09D89AE4"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 </w:t>
            </w:r>
          </w:p>
        </w:tc>
        <w:tc>
          <w:tcPr>
            <w:tcW w:w="1061" w:type="dxa"/>
            <w:tcBorders>
              <w:top w:val="nil"/>
              <w:left w:val="nil"/>
              <w:bottom w:val="single" w:sz="8" w:space="0" w:color="auto"/>
              <w:right w:val="single" w:sz="8" w:space="0" w:color="auto"/>
            </w:tcBorders>
            <w:shd w:val="clear" w:color="auto" w:fill="auto"/>
            <w:vAlign w:val="center"/>
            <w:hideMark/>
          </w:tcPr>
          <w:p w14:paraId="55BAC06B"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 </w:t>
            </w:r>
          </w:p>
        </w:tc>
        <w:tc>
          <w:tcPr>
            <w:tcW w:w="1073" w:type="dxa"/>
            <w:tcBorders>
              <w:top w:val="nil"/>
              <w:left w:val="nil"/>
              <w:bottom w:val="single" w:sz="8" w:space="0" w:color="auto"/>
              <w:right w:val="single" w:sz="8" w:space="0" w:color="auto"/>
            </w:tcBorders>
            <w:shd w:val="clear" w:color="auto" w:fill="auto"/>
            <w:vAlign w:val="center"/>
            <w:hideMark/>
          </w:tcPr>
          <w:p w14:paraId="7874AD6C"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0,651</w:t>
            </w:r>
          </w:p>
        </w:tc>
        <w:tc>
          <w:tcPr>
            <w:tcW w:w="1071" w:type="dxa"/>
            <w:tcBorders>
              <w:top w:val="nil"/>
              <w:left w:val="nil"/>
              <w:bottom w:val="single" w:sz="8" w:space="0" w:color="auto"/>
              <w:right w:val="single" w:sz="8" w:space="0" w:color="auto"/>
            </w:tcBorders>
            <w:shd w:val="clear" w:color="auto" w:fill="auto"/>
            <w:vAlign w:val="center"/>
            <w:hideMark/>
          </w:tcPr>
          <w:p w14:paraId="2F2DFF4C"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0,758</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12A7D237"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1,408</w:t>
            </w:r>
          </w:p>
        </w:tc>
      </w:tr>
      <w:tr w:rsidR="00D37F2D" w:rsidRPr="00C672A8" w14:paraId="4203C40A" w14:textId="77777777">
        <w:trPr>
          <w:trHeight w:val="315"/>
        </w:trPr>
        <w:tc>
          <w:tcPr>
            <w:tcW w:w="3874" w:type="dxa"/>
            <w:vMerge/>
            <w:vAlign w:val="center"/>
            <w:hideMark/>
          </w:tcPr>
          <w:p w14:paraId="48E316F1" w14:textId="77777777" w:rsidR="00D37F2D" w:rsidRPr="00C672A8" w:rsidRDefault="00D37F2D">
            <w:pPr>
              <w:spacing w:before="0" w:after="0"/>
              <w:jc w:val="left"/>
              <w:rPr>
                <w:rFonts w:eastAsia="Times New Roman"/>
                <w:color w:val="000000"/>
                <w:sz w:val="20"/>
                <w:szCs w:val="20"/>
                <w:lang w:val="en-IE" w:eastAsia="en-IE"/>
              </w:rPr>
            </w:pPr>
          </w:p>
        </w:tc>
        <w:tc>
          <w:tcPr>
            <w:tcW w:w="1396" w:type="dxa"/>
            <w:tcBorders>
              <w:top w:val="nil"/>
              <w:left w:val="nil"/>
              <w:bottom w:val="single" w:sz="8" w:space="0" w:color="auto"/>
              <w:right w:val="single" w:sz="8" w:space="0" w:color="auto"/>
            </w:tcBorders>
            <w:shd w:val="clear" w:color="auto" w:fill="auto"/>
            <w:vAlign w:val="center"/>
            <w:hideMark/>
          </w:tcPr>
          <w:p w14:paraId="4AF3EF52" w14:textId="77777777" w:rsidR="00D37F2D" w:rsidRPr="00C672A8" w:rsidRDefault="00D37F2D">
            <w:pPr>
              <w:spacing w:before="0" w:after="0"/>
              <w:rPr>
                <w:rFonts w:eastAsia="Times New Roman"/>
                <w:color w:val="000000"/>
                <w:sz w:val="18"/>
                <w:szCs w:val="18"/>
                <w:lang w:val="en-IE" w:eastAsia="en-IE"/>
              </w:rPr>
            </w:pPr>
            <w:r w:rsidRPr="00C672A8">
              <w:rPr>
                <w:rFonts w:eastAsia="Times New Roman"/>
                <w:color w:val="000000"/>
                <w:sz w:val="18"/>
                <w:szCs w:val="18"/>
                <w:lang w:val="en-IE" w:eastAsia="en-IE"/>
              </w:rPr>
              <w:t>Payments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0B30F97B" w14:textId="77777777" w:rsidR="00D37F2D" w:rsidRPr="00C672A8" w:rsidRDefault="00D37F2D">
            <w:pPr>
              <w:spacing w:before="0" w:after="0"/>
              <w:jc w:val="center"/>
              <w:rPr>
                <w:rFonts w:eastAsia="Times New Roman"/>
                <w:color w:val="000000"/>
                <w:sz w:val="14"/>
                <w:szCs w:val="14"/>
                <w:lang w:val="en-IE" w:eastAsia="en-IE"/>
              </w:rPr>
            </w:pPr>
            <w:r w:rsidRPr="00C672A8">
              <w:rPr>
                <w:rFonts w:eastAsia="Times New Roman"/>
                <w:color w:val="000000"/>
                <w:sz w:val="14"/>
                <w:szCs w:val="14"/>
                <w:lang w:val="en-IE" w:eastAsia="en-IE"/>
              </w:rPr>
              <w:t>(2b)</w:t>
            </w:r>
          </w:p>
        </w:tc>
        <w:tc>
          <w:tcPr>
            <w:tcW w:w="1063" w:type="dxa"/>
            <w:tcBorders>
              <w:top w:val="nil"/>
              <w:left w:val="nil"/>
              <w:bottom w:val="single" w:sz="8" w:space="0" w:color="auto"/>
              <w:right w:val="single" w:sz="8" w:space="0" w:color="auto"/>
            </w:tcBorders>
            <w:shd w:val="clear" w:color="auto" w:fill="auto"/>
            <w:vAlign w:val="center"/>
            <w:hideMark/>
          </w:tcPr>
          <w:p w14:paraId="70DF8B3E"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 </w:t>
            </w:r>
          </w:p>
        </w:tc>
        <w:tc>
          <w:tcPr>
            <w:tcW w:w="1061" w:type="dxa"/>
            <w:tcBorders>
              <w:top w:val="nil"/>
              <w:left w:val="nil"/>
              <w:bottom w:val="single" w:sz="8" w:space="0" w:color="auto"/>
              <w:right w:val="single" w:sz="8" w:space="0" w:color="auto"/>
            </w:tcBorders>
            <w:shd w:val="clear" w:color="auto" w:fill="auto"/>
            <w:vAlign w:val="center"/>
            <w:hideMark/>
          </w:tcPr>
          <w:p w14:paraId="4AEDC621"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 </w:t>
            </w:r>
          </w:p>
        </w:tc>
        <w:tc>
          <w:tcPr>
            <w:tcW w:w="1073" w:type="dxa"/>
            <w:tcBorders>
              <w:top w:val="nil"/>
              <w:left w:val="nil"/>
              <w:bottom w:val="single" w:sz="8" w:space="0" w:color="auto"/>
              <w:right w:val="single" w:sz="8" w:space="0" w:color="auto"/>
            </w:tcBorders>
            <w:shd w:val="clear" w:color="auto" w:fill="auto"/>
            <w:vAlign w:val="center"/>
            <w:hideMark/>
          </w:tcPr>
          <w:p w14:paraId="1ED6BC87"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0,651</w:t>
            </w:r>
          </w:p>
        </w:tc>
        <w:tc>
          <w:tcPr>
            <w:tcW w:w="1071" w:type="dxa"/>
            <w:tcBorders>
              <w:top w:val="nil"/>
              <w:left w:val="nil"/>
              <w:bottom w:val="single" w:sz="8" w:space="0" w:color="auto"/>
              <w:right w:val="single" w:sz="8" w:space="0" w:color="auto"/>
            </w:tcBorders>
            <w:shd w:val="clear" w:color="auto" w:fill="auto"/>
            <w:vAlign w:val="center"/>
            <w:hideMark/>
          </w:tcPr>
          <w:p w14:paraId="2F0B4708" w14:textId="77777777" w:rsidR="00D37F2D" w:rsidRPr="00C672A8" w:rsidRDefault="00D37F2D">
            <w:pPr>
              <w:spacing w:before="0" w:after="0"/>
              <w:jc w:val="right"/>
              <w:rPr>
                <w:rFonts w:eastAsia="Times New Roman"/>
                <w:color w:val="000000"/>
                <w:sz w:val="20"/>
                <w:szCs w:val="20"/>
                <w:lang w:val="en-IE" w:eastAsia="en-IE"/>
              </w:rPr>
            </w:pPr>
            <w:r w:rsidRPr="00C672A8">
              <w:rPr>
                <w:rFonts w:eastAsia="Times New Roman"/>
                <w:color w:val="000000"/>
                <w:sz w:val="20"/>
                <w:szCs w:val="20"/>
                <w:lang w:val="en-IE" w:eastAsia="en-IE"/>
              </w:rPr>
              <w:t>0,758</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5EB0DC64"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1,408</w:t>
            </w:r>
          </w:p>
        </w:tc>
      </w:tr>
      <w:tr w:rsidR="00D37F2D" w:rsidRPr="00C672A8" w14:paraId="6B1716E6" w14:textId="77777777">
        <w:trPr>
          <w:trHeight w:val="315"/>
        </w:trPr>
        <w:tc>
          <w:tcPr>
            <w:tcW w:w="11635" w:type="dxa"/>
            <w:gridSpan w:val="9"/>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849A10" w14:textId="77777777" w:rsidR="00D37F2D" w:rsidRPr="00C672A8" w:rsidRDefault="00D37F2D">
            <w:pPr>
              <w:spacing w:before="0" w:after="0"/>
              <w:jc w:val="left"/>
              <w:rPr>
                <w:rFonts w:eastAsia="Times New Roman"/>
                <w:color w:val="000000"/>
                <w:sz w:val="22"/>
                <w:lang w:val="en-IE" w:eastAsia="en-IE"/>
              </w:rPr>
            </w:pPr>
            <w:r w:rsidRPr="00C672A8">
              <w:rPr>
                <w:rFonts w:eastAsia="Times New Roman"/>
                <w:color w:val="000000"/>
                <w:sz w:val="22"/>
                <w:lang w:val="en-IE" w:eastAsia="en-IE"/>
              </w:rPr>
              <w:t>Appropriations of an administrative nature financed from the envelope of specific programmes</w:t>
            </w:r>
          </w:p>
        </w:tc>
      </w:tr>
      <w:tr w:rsidR="00D37F2D" w:rsidRPr="00C672A8" w14:paraId="10FA0294" w14:textId="77777777">
        <w:trPr>
          <w:trHeight w:val="315"/>
        </w:trPr>
        <w:tc>
          <w:tcPr>
            <w:tcW w:w="3874" w:type="dxa"/>
            <w:tcBorders>
              <w:top w:val="nil"/>
              <w:left w:val="single" w:sz="8" w:space="0" w:color="auto"/>
              <w:bottom w:val="single" w:sz="8" w:space="0" w:color="auto"/>
              <w:right w:val="single" w:sz="8" w:space="0" w:color="auto"/>
            </w:tcBorders>
            <w:shd w:val="clear" w:color="auto" w:fill="auto"/>
            <w:vAlign w:val="center"/>
            <w:hideMark/>
          </w:tcPr>
          <w:p w14:paraId="6FD67382" w14:textId="77777777" w:rsidR="00D37F2D" w:rsidRPr="00C672A8" w:rsidRDefault="00D37F2D">
            <w:pPr>
              <w:spacing w:before="0" w:after="0"/>
              <w:rPr>
                <w:rFonts w:eastAsia="Times New Roman"/>
                <w:color w:val="000000"/>
                <w:sz w:val="20"/>
                <w:szCs w:val="20"/>
                <w:lang w:val="en-IE" w:eastAsia="en-IE"/>
              </w:rPr>
            </w:pPr>
            <w:r w:rsidRPr="00C672A8">
              <w:rPr>
                <w:rFonts w:eastAsia="Times New Roman"/>
                <w:color w:val="000000"/>
                <w:sz w:val="20"/>
                <w:szCs w:val="20"/>
                <w:lang w:val="en-IE" w:eastAsia="en-IE"/>
              </w:rPr>
              <w:t>Budget line</w:t>
            </w:r>
          </w:p>
        </w:tc>
        <w:tc>
          <w:tcPr>
            <w:tcW w:w="1396" w:type="dxa"/>
            <w:tcBorders>
              <w:top w:val="nil"/>
              <w:left w:val="nil"/>
              <w:bottom w:val="single" w:sz="8" w:space="0" w:color="auto"/>
              <w:right w:val="single" w:sz="8" w:space="0" w:color="auto"/>
            </w:tcBorders>
            <w:shd w:val="clear" w:color="auto" w:fill="auto"/>
            <w:vAlign w:val="center"/>
            <w:hideMark/>
          </w:tcPr>
          <w:p w14:paraId="111A291B" w14:textId="77777777" w:rsidR="00D37F2D" w:rsidRPr="00C672A8" w:rsidRDefault="00D37F2D">
            <w:pPr>
              <w:spacing w:before="0" w:after="0"/>
              <w:jc w:val="right"/>
              <w:rPr>
                <w:rFonts w:eastAsia="Times New Roman"/>
                <w:color w:val="000000"/>
                <w:sz w:val="18"/>
                <w:szCs w:val="18"/>
                <w:lang w:val="en-IE" w:eastAsia="en-IE"/>
              </w:rPr>
            </w:pPr>
            <w:r w:rsidRPr="00C672A8">
              <w:rPr>
                <w:rFonts w:eastAsia="Times New Roman"/>
                <w:color w:val="000000"/>
                <w:sz w:val="18"/>
                <w:szCs w:val="18"/>
                <w:lang w:val="en-IE" w:eastAsia="en-IE"/>
              </w:rPr>
              <w:t> </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33A7B36C" w14:textId="77777777" w:rsidR="00D37F2D" w:rsidRPr="00C672A8" w:rsidRDefault="00D37F2D">
            <w:pPr>
              <w:spacing w:before="0" w:after="0"/>
              <w:jc w:val="center"/>
              <w:rPr>
                <w:rFonts w:eastAsia="Times New Roman"/>
                <w:color w:val="000000"/>
                <w:sz w:val="14"/>
                <w:szCs w:val="14"/>
                <w:lang w:val="en-IE" w:eastAsia="en-IE"/>
              </w:rPr>
            </w:pPr>
            <w:r w:rsidRPr="00C672A8">
              <w:rPr>
                <w:rFonts w:eastAsia="Times New Roman"/>
                <w:color w:val="000000"/>
                <w:sz w:val="14"/>
                <w:szCs w:val="14"/>
                <w:lang w:val="en-IE" w:eastAsia="en-IE"/>
              </w:rPr>
              <w:t>(3)</w:t>
            </w:r>
          </w:p>
        </w:tc>
        <w:tc>
          <w:tcPr>
            <w:tcW w:w="1063" w:type="dxa"/>
            <w:tcBorders>
              <w:top w:val="nil"/>
              <w:left w:val="nil"/>
              <w:bottom w:val="single" w:sz="8" w:space="0" w:color="auto"/>
              <w:right w:val="single" w:sz="8" w:space="0" w:color="auto"/>
            </w:tcBorders>
            <w:shd w:val="clear" w:color="auto" w:fill="auto"/>
            <w:vAlign w:val="center"/>
            <w:hideMark/>
          </w:tcPr>
          <w:p w14:paraId="439AFC11"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 </w:t>
            </w:r>
          </w:p>
        </w:tc>
        <w:tc>
          <w:tcPr>
            <w:tcW w:w="1061" w:type="dxa"/>
            <w:tcBorders>
              <w:top w:val="nil"/>
              <w:left w:val="nil"/>
              <w:bottom w:val="single" w:sz="8" w:space="0" w:color="auto"/>
              <w:right w:val="single" w:sz="8" w:space="0" w:color="auto"/>
            </w:tcBorders>
            <w:shd w:val="clear" w:color="auto" w:fill="auto"/>
            <w:vAlign w:val="center"/>
            <w:hideMark/>
          </w:tcPr>
          <w:p w14:paraId="2BC4FD1B"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 </w:t>
            </w:r>
          </w:p>
        </w:tc>
        <w:tc>
          <w:tcPr>
            <w:tcW w:w="1073" w:type="dxa"/>
            <w:tcBorders>
              <w:top w:val="nil"/>
              <w:left w:val="nil"/>
              <w:bottom w:val="single" w:sz="8" w:space="0" w:color="auto"/>
              <w:right w:val="single" w:sz="8" w:space="0" w:color="auto"/>
            </w:tcBorders>
            <w:shd w:val="clear" w:color="auto" w:fill="auto"/>
            <w:vAlign w:val="center"/>
            <w:hideMark/>
          </w:tcPr>
          <w:p w14:paraId="3F2EC1FC"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 </w:t>
            </w:r>
          </w:p>
        </w:tc>
        <w:tc>
          <w:tcPr>
            <w:tcW w:w="1071" w:type="dxa"/>
            <w:tcBorders>
              <w:top w:val="nil"/>
              <w:left w:val="nil"/>
              <w:bottom w:val="single" w:sz="8" w:space="0" w:color="auto"/>
              <w:right w:val="single" w:sz="8" w:space="0" w:color="auto"/>
            </w:tcBorders>
            <w:shd w:val="clear" w:color="auto" w:fill="auto"/>
            <w:vAlign w:val="center"/>
            <w:hideMark/>
          </w:tcPr>
          <w:p w14:paraId="7FD4BDD4"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 </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1F8373B1"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0,000</w:t>
            </w:r>
          </w:p>
        </w:tc>
      </w:tr>
      <w:tr w:rsidR="00D37F2D" w:rsidRPr="00C672A8" w14:paraId="320F0941" w14:textId="77777777">
        <w:trPr>
          <w:trHeight w:val="315"/>
        </w:trPr>
        <w:tc>
          <w:tcPr>
            <w:tcW w:w="3874" w:type="dxa"/>
            <w:tcBorders>
              <w:top w:val="nil"/>
              <w:left w:val="single" w:sz="8" w:space="0" w:color="auto"/>
              <w:bottom w:val="single" w:sz="8" w:space="0" w:color="auto"/>
              <w:right w:val="single" w:sz="8" w:space="0" w:color="auto"/>
            </w:tcBorders>
            <w:shd w:val="clear" w:color="auto" w:fill="auto"/>
            <w:vAlign w:val="center"/>
            <w:hideMark/>
          </w:tcPr>
          <w:p w14:paraId="6241A0DC" w14:textId="77777777" w:rsidR="00D37F2D" w:rsidRPr="00C672A8" w:rsidRDefault="00D37F2D">
            <w:pPr>
              <w:spacing w:before="0" w:after="0"/>
              <w:jc w:val="center"/>
              <w:rPr>
                <w:rFonts w:eastAsia="Times New Roman"/>
                <w:b/>
                <w:bCs/>
                <w:color w:val="000000"/>
                <w:sz w:val="22"/>
                <w:lang w:val="en-IE" w:eastAsia="en-IE"/>
              </w:rPr>
            </w:pPr>
            <w:r w:rsidRPr="00C672A8">
              <w:rPr>
                <w:rFonts w:eastAsia="Times New Roman"/>
                <w:b/>
                <w:bCs/>
                <w:color w:val="000000"/>
                <w:sz w:val="22"/>
                <w:lang w:val="en-IE" w:eastAsia="en-IE"/>
              </w:rPr>
              <w:t>TOTAL appropriations</w:t>
            </w:r>
          </w:p>
        </w:tc>
        <w:tc>
          <w:tcPr>
            <w:tcW w:w="1396" w:type="dxa"/>
            <w:tcBorders>
              <w:top w:val="nil"/>
              <w:left w:val="nil"/>
              <w:bottom w:val="single" w:sz="8" w:space="0" w:color="auto"/>
              <w:right w:val="single" w:sz="8" w:space="0" w:color="auto"/>
            </w:tcBorders>
            <w:shd w:val="clear" w:color="auto" w:fill="auto"/>
            <w:vAlign w:val="center"/>
            <w:hideMark/>
          </w:tcPr>
          <w:p w14:paraId="0AC50180" w14:textId="77777777" w:rsidR="00D37F2D" w:rsidRPr="00C672A8" w:rsidRDefault="00D37F2D">
            <w:pPr>
              <w:spacing w:before="0" w:after="0"/>
              <w:rPr>
                <w:rFonts w:eastAsia="Times New Roman"/>
                <w:color w:val="000000"/>
                <w:sz w:val="18"/>
                <w:szCs w:val="18"/>
                <w:lang w:val="en-IE" w:eastAsia="en-IE"/>
              </w:rPr>
            </w:pPr>
            <w:r w:rsidRPr="00C672A8">
              <w:rPr>
                <w:rFonts w:eastAsia="Times New Roman"/>
                <w:color w:val="000000"/>
                <w:sz w:val="18"/>
                <w:szCs w:val="18"/>
                <w:lang w:val="en-IE" w:eastAsia="en-IE"/>
              </w:rPr>
              <w:t>Commitments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42D73C5A" w14:textId="77777777" w:rsidR="00D37F2D" w:rsidRPr="00C672A8" w:rsidRDefault="00D37F2D">
            <w:pPr>
              <w:spacing w:before="0" w:after="0"/>
              <w:jc w:val="center"/>
              <w:rPr>
                <w:rFonts w:eastAsia="Times New Roman"/>
                <w:color w:val="000000"/>
                <w:sz w:val="14"/>
                <w:szCs w:val="14"/>
                <w:lang w:val="en-IE" w:eastAsia="en-IE"/>
              </w:rPr>
            </w:pPr>
            <w:r w:rsidRPr="00C672A8">
              <w:rPr>
                <w:rFonts w:eastAsia="Times New Roman"/>
                <w:color w:val="000000"/>
                <w:sz w:val="14"/>
                <w:szCs w:val="14"/>
                <w:lang w:val="en-IE" w:eastAsia="en-IE"/>
              </w:rPr>
              <w:t>=1a+1b+3</w:t>
            </w:r>
          </w:p>
        </w:tc>
        <w:tc>
          <w:tcPr>
            <w:tcW w:w="1063" w:type="dxa"/>
            <w:tcBorders>
              <w:top w:val="nil"/>
              <w:left w:val="nil"/>
              <w:bottom w:val="single" w:sz="8" w:space="0" w:color="auto"/>
              <w:right w:val="single" w:sz="8" w:space="0" w:color="auto"/>
            </w:tcBorders>
            <w:shd w:val="clear" w:color="auto" w:fill="D9D9D9" w:themeFill="background1" w:themeFillShade="D9"/>
            <w:vAlign w:val="center"/>
            <w:hideMark/>
          </w:tcPr>
          <w:p w14:paraId="56333304"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0,000</w:t>
            </w:r>
          </w:p>
        </w:tc>
        <w:tc>
          <w:tcPr>
            <w:tcW w:w="1061" w:type="dxa"/>
            <w:tcBorders>
              <w:top w:val="nil"/>
              <w:left w:val="nil"/>
              <w:bottom w:val="single" w:sz="8" w:space="0" w:color="auto"/>
              <w:right w:val="single" w:sz="8" w:space="0" w:color="auto"/>
            </w:tcBorders>
            <w:shd w:val="clear" w:color="auto" w:fill="D9D9D9" w:themeFill="background1" w:themeFillShade="D9"/>
            <w:vAlign w:val="center"/>
            <w:hideMark/>
          </w:tcPr>
          <w:p w14:paraId="053916FE"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0,000</w:t>
            </w:r>
          </w:p>
        </w:tc>
        <w:tc>
          <w:tcPr>
            <w:tcW w:w="1073" w:type="dxa"/>
            <w:tcBorders>
              <w:top w:val="nil"/>
              <w:left w:val="nil"/>
              <w:bottom w:val="single" w:sz="8" w:space="0" w:color="auto"/>
              <w:right w:val="single" w:sz="8" w:space="0" w:color="auto"/>
            </w:tcBorders>
            <w:shd w:val="clear" w:color="auto" w:fill="D9D9D9" w:themeFill="background1" w:themeFillShade="D9"/>
            <w:vAlign w:val="center"/>
            <w:hideMark/>
          </w:tcPr>
          <w:p w14:paraId="7A33CF62"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41,056</w:t>
            </w:r>
          </w:p>
        </w:tc>
        <w:tc>
          <w:tcPr>
            <w:tcW w:w="1071" w:type="dxa"/>
            <w:tcBorders>
              <w:top w:val="nil"/>
              <w:left w:val="nil"/>
              <w:bottom w:val="single" w:sz="8" w:space="0" w:color="auto"/>
              <w:right w:val="single" w:sz="8" w:space="0" w:color="auto"/>
            </w:tcBorders>
            <w:shd w:val="clear" w:color="auto" w:fill="D9D9D9" w:themeFill="background1" w:themeFillShade="D9"/>
            <w:vAlign w:val="center"/>
            <w:hideMark/>
          </w:tcPr>
          <w:p w14:paraId="30A7DCE3"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41,971</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32D1B4BA"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83,027</w:t>
            </w:r>
          </w:p>
        </w:tc>
      </w:tr>
      <w:tr w:rsidR="00D37F2D" w:rsidRPr="00C672A8" w14:paraId="1E460CEF" w14:textId="77777777">
        <w:trPr>
          <w:trHeight w:val="315"/>
        </w:trPr>
        <w:tc>
          <w:tcPr>
            <w:tcW w:w="3874" w:type="dxa"/>
            <w:tcBorders>
              <w:top w:val="nil"/>
              <w:left w:val="single" w:sz="8" w:space="0" w:color="auto"/>
              <w:bottom w:val="single" w:sz="8" w:space="0" w:color="auto"/>
              <w:right w:val="single" w:sz="8" w:space="0" w:color="auto"/>
            </w:tcBorders>
            <w:shd w:val="clear" w:color="auto" w:fill="auto"/>
            <w:vAlign w:val="center"/>
            <w:hideMark/>
          </w:tcPr>
          <w:p w14:paraId="05E2D99C" w14:textId="77777777" w:rsidR="00D37F2D" w:rsidRPr="00C672A8" w:rsidRDefault="00D37F2D">
            <w:pPr>
              <w:spacing w:before="0" w:after="0"/>
              <w:jc w:val="center"/>
              <w:rPr>
                <w:rFonts w:eastAsia="Times New Roman"/>
                <w:b/>
                <w:bCs/>
                <w:color w:val="000000"/>
                <w:sz w:val="22"/>
                <w:lang w:val="en-IE" w:eastAsia="en-IE"/>
              </w:rPr>
            </w:pPr>
          </w:p>
        </w:tc>
        <w:tc>
          <w:tcPr>
            <w:tcW w:w="1396" w:type="dxa"/>
            <w:tcBorders>
              <w:top w:val="nil"/>
              <w:left w:val="nil"/>
              <w:bottom w:val="single" w:sz="8" w:space="0" w:color="auto"/>
              <w:right w:val="single" w:sz="8" w:space="0" w:color="auto"/>
            </w:tcBorders>
            <w:shd w:val="clear" w:color="auto" w:fill="auto"/>
            <w:vAlign w:val="center"/>
            <w:hideMark/>
          </w:tcPr>
          <w:p w14:paraId="6AC2E4B9" w14:textId="77777777" w:rsidR="00D37F2D" w:rsidRPr="00C672A8" w:rsidRDefault="00D37F2D">
            <w:pPr>
              <w:spacing w:before="0" w:after="0"/>
              <w:rPr>
                <w:rFonts w:eastAsia="Times New Roman"/>
                <w:color w:val="000000"/>
                <w:sz w:val="18"/>
                <w:szCs w:val="18"/>
                <w:lang w:val="en-IE" w:eastAsia="en-IE"/>
              </w:rPr>
            </w:pPr>
            <w:r w:rsidRPr="00C672A8">
              <w:rPr>
                <w:rFonts w:eastAsia="Times New Roman"/>
                <w:color w:val="000000"/>
                <w:sz w:val="18"/>
                <w:szCs w:val="18"/>
                <w:lang w:val="en-IE" w:eastAsia="en-IE"/>
              </w:rPr>
              <w:t>Payments</w:t>
            </w:r>
          </w:p>
        </w:tc>
        <w:tc>
          <w:tcPr>
            <w:tcW w:w="796" w:type="dxa"/>
            <w:gridSpan w:val="2"/>
            <w:tcBorders>
              <w:top w:val="single" w:sz="8" w:space="0" w:color="auto"/>
              <w:left w:val="nil"/>
              <w:bottom w:val="single" w:sz="8" w:space="0" w:color="auto"/>
              <w:right w:val="single" w:sz="8" w:space="0" w:color="auto"/>
            </w:tcBorders>
            <w:shd w:val="clear" w:color="auto" w:fill="auto"/>
            <w:vAlign w:val="center"/>
            <w:hideMark/>
          </w:tcPr>
          <w:p w14:paraId="51CD901B" w14:textId="77777777" w:rsidR="00D37F2D" w:rsidRPr="00C672A8" w:rsidRDefault="00D37F2D">
            <w:pPr>
              <w:spacing w:before="0" w:after="0"/>
              <w:jc w:val="center"/>
              <w:rPr>
                <w:rFonts w:eastAsia="Times New Roman"/>
                <w:color w:val="000000"/>
                <w:sz w:val="14"/>
                <w:szCs w:val="14"/>
                <w:lang w:val="en-IE" w:eastAsia="en-IE"/>
              </w:rPr>
            </w:pPr>
            <w:r w:rsidRPr="00C672A8">
              <w:rPr>
                <w:rFonts w:eastAsia="Times New Roman"/>
                <w:color w:val="000000"/>
                <w:sz w:val="14"/>
                <w:szCs w:val="14"/>
                <w:lang w:val="en-IE" w:eastAsia="en-IE"/>
              </w:rPr>
              <w:t>=2a+2b+3</w:t>
            </w:r>
          </w:p>
        </w:tc>
        <w:tc>
          <w:tcPr>
            <w:tcW w:w="1063" w:type="dxa"/>
            <w:tcBorders>
              <w:top w:val="nil"/>
              <w:left w:val="nil"/>
              <w:bottom w:val="single" w:sz="8" w:space="0" w:color="auto"/>
              <w:right w:val="single" w:sz="8" w:space="0" w:color="auto"/>
            </w:tcBorders>
            <w:shd w:val="clear" w:color="auto" w:fill="D9D9D9" w:themeFill="background1" w:themeFillShade="D9"/>
            <w:vAlign w:val="center"/>
            <w:hideMark/>
          </w:tcPr>
          <w:p w14:paraId="561E4229"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0,000</w:t>
            </w:r>
          </w:p>
        </w:tc>
        <w:tc>
          <w:tcPr>
            <w:tcW w:w="1061" w:type="dxa"/>
            <w:tcBorders>
              <w:top w:val="nil"/>
              <w:left w:val="nil"/>
              <w:bottom w:val="single" w:sz="8" w:space="0" w:color="auto"/>
              <w:right w:val="single" w:sz="8" w:space="0" w:color="auto"/>
            </w:tcBorders>
            <w:shd w:val="clear" w:color="auto" w:fill="D9D9D9" w:themeFill="background1" w:themeFillShade="D9"/>
            <w:vAlign w:val="center"/>
            <w:hideMark/>
          </w:tcPr>
          <w:p w14:paraId="61DCFD61"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0,000</w:t>
            </w:r>
          </w:p>
        </w:tc>
        <w:tc>
          <w:tcPr>
            <w:tcW w:w="1073" w:type="dxa"/>
            <w:tcBorders>
              <w:top w:val="nil"/>
              <w:left w:val="nil"/>
              <w:bottom w:val="single" w:sz="8" w:space="0" w:color="auto"/>
              <w:right w:val="single" w:sz="8" w:space="0" w:color="auto"/>
            </w:tcBorders>
            <w:shd w:val="clear" w:color="auto" w:fill="D9D9D9" w:themeFill="background1" w:themeFillShade="D9"/>
            <w:vAlign w:val="center"/>
            <w:hideMark/>
          </w:tcPr>
          <w:p w14:paraId="75F14DF3"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28,934</w:t>
            </w:r>
          </w:p>
        </w:tc>
        <w:tc>
          <w:tcPr>
            <w:tcW w:w="1071" w:type="dxa"/>
            <w:tcBorders>
              <w:top w:val="nil"/>
              <w:left w:val="nil"/>
              <w:bottom w:val="single" w:sz="8" w:space="0" w:color="auto"/>
              <w:right w:val="single" w:sz="8" w:space="0" w:color="auto"/>
            </w:tcBorders>
            <w:shd w:val="clear" w:color="auto" w:fill="D9D9D9" w:themeFill="background1" w:themeFillShade="D9"/>
            <w:vAlign w:val="center"/>
            <w:hideMark/>
          </w:tcPr>
          <w:p w14:paraId="454849B4"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41,729</w:t>
            </w:r>
          </w:p>
        </w:tc>
        <w:tc>
          <w:tcPr>
            <w:tcW w:w="1301" w:type="dxa"/>
            <w:tcBorders>
              <w:top w:val="nil"/>
              <w:left w:val="nil"/>
              <w:bottom w:val="single" w:sz="8" w:space="0" w:color="auto"/>
              <w:right w:val="single" w:sz="8" w:space="0" w:color="auto"/>
            </w:tcBorders>
            <w:shd w:val="clear" w:color="auto" w:fill="D9D9D9" w:themeFill="background1" w:themeFillShade="D9"/>
            <w:vAlign w:val="center"/>
            <w:hideMark/>
          </w:tcPr>
          <w:p w14:paraId="014063EC" w14:textId="77777777" w:rsidR="00D37F2D" w:rsidRPr="00C672A8" w:rsidRDefault="00D37F2D">
            <w:pPr>
              <w:spacing w:before="0" w:after="0"/>
              <w:jc w:val="right"/>
              <w:rPr>
                <w:rFonts w:eastAsia="Times New Roman"/>
                <w:b/>
                <w:bCs/>
                <w:color w:val="000000"/>
                <w:sz w:val="20"/>
                <w:szCs w:val="20"/>
                <w:lang w:val="en-IE" w:eastAsia="en-IE"/>
              </w:rPr>
            </w:pPr>
            <w:r w:rsidRPr="00C672A8">
              <w:rPr>
                <w:rFonts w:eastAsia="Times New Roman"/>
                <w:b/>
                <w:bCs/>
                <w:color w:val="000000"/>
                <w:sz w:val="20"/>
                <w:szCs w:val="20"/>
                <w:lang w:val="en-IE" w:eastAsia="en-IE"/>
              </w:rPr>
              <w:t>70,663</w:t>
            </w:r>
          </w:p>
        </w:tc>
      </w:tr>
    </w:tbl>
    <w:p w14:paraId="006AE926" w14:textId="77777777" w:rsidR="00D37F2D" w:rsidRDefault="00D37F2D" w:rsidP="00D37F2D">
      <w:pPr>
        <w:jc w:val="left"/>
        <w:rPr>
          <w:noProof/>
          <w:sz w:val="18"/>
          <w:szCs w:val="18"/>
          <w:lang w:val="en-IE"/>
        </w:rPr>
      </w:pPr>
    </w:p>
    <w:p w14:paraId="207EF7E3" w14:textId="77777777" w:rsidR="00D37F2D" w:rsidRDefault="00D37F2D" w:rsidP="00D37F2D">
      <w:pPr>
        <w:jc w:val="right"/>
        <w:rPr>
          <w:noProof/>
          <w:sz w:val="18"/>
          <w:szCs w:val="18"/>
          <w:lang w:val="en-IE"/>
        </w:rPr>
      </w:pPr>
    </w:p>
    <w:p w14:paraId="41F88D94" w14:textId="77777777" w:rsidR="00D37F2D" w:rsidRPr="003A769F" w:rsidRDefault="00D37F2D" w:rsidP="00D37F2D">
      <w:pPr>
        <w:tabs>
          <w:tab w:val="left" w:pos="510"/>
        </w:tabs>
        <w:rPr>
          <w:noProof/>
          <w:sz w:val="18"/>
          <w:szCs w:val="18"/>
          <w:lang w:val="en-IE"/>
        </w:rPr>
      </w:pPr>
    </w:p>
    <w:p w14:paraId="775C46BF" w14:textId="77777777" w:rsidR="00D37F2D" w:rsidRDefault="00D37F2D" w:rsidP="00D37F2D">
      <w:pPr>
        <w:rPr>
          <w:noProof/>
          <w:sz w:val="16"/>
        </w:rPr>
      </w:pPr>
    </w:p>
    <w:p w14:paraId="2A130161" w14:textId="77777777" w:rsidR="00D37F2D" w:rsidRDefault="00D37F2D" w:rsidP="00D37F2D">
      <w:pPr>
        <w:rPr>
          <w:noProof/>
          <w:sz w:val="16"/>
        </w:rPr>
      </w:pPr>
    </w:p>
    <w:p w14:paraId="3628A09C" w14:textId="77777777" w:rsidR="00D37F2D" w:rsidRDefault="00D37F2D" w:rsidP="00D37F2D">
      <w:pPr>
        <w:rPr>
          <w:noProof/>
          <w:sz w:val="16"/>
        </w:rPr>
      </w:pPr>
    </w:p>
    <w:p w14:paraId="4FA64741" w14:textId="77777777" w:rsidR="00D37F2D" w:rsidRDefault="00D37F2D" w:rsidP="00D37F2D">
      <w:pPr>
        <w:rPr>
          <w:noProof/>
          <w:sz w:val="16"/>
        </w:rPr>
      </w:pPr>
      <w:r w:rsidRPr="005A0BCD">
        <w:rPr>
          <w:noProof/>
          <w:sz w:val="16"/>
        </w:rPr>
        <w:t>EUR million (to three decimal places)</w:t>
      </w:r>
    </w:p>
    <w:p w14:paraId="39086680" w14:textId="77777777" w:rsidR="00D37F2D" w:rsidRDefault="00D37F2D" w:rsidP="00D37F2D">
      <w:pPr>
        <w:rPr>
          <w:noProof/>
          <w:sz w:val="16"/>
        </w:rPr>
      </w:pPr>
    </w:p>
    <w:tbl>
      <w:tblPr>
        <w:tblW w:w="11351" w:type="dxa"/>
        <w:tblInd w:w="118" w:type="dxa"/>
        <w:tblLook w:val="04A0" w:firstRow="1" w:lastRow="0" w:firstColumn="1" w:lastColumn="0" w:noHBand="0" w:noVBand="1"/>
      </w:tblPr>
      <w:tblGrid>
        <w:gridCol w:w="3195"/>
        <w:gridCol w:w="1237"/>
        <w:gridCol w:w="1110"/>
        <w:gridCol w:w="1113"/>
        <w:gridCol w:w="1113"/>
        <w:gridCol w:w="1115"/>
        <w:gridCol w:w="1115"/>
        <w:gridCol w:w="1353"/>
      </w:tblGrid>
      <w:tr w:rsidR="00D37F2D" w:rsidRPr="000626DB" w14:paraId="415086D8" w14:textId="77777777">
        <w:trPr>
          <w:trHeight w:val="300"/>
        </w:trPr>
        <w:tc>
          <w:tcPr>
            <w:tcW w:w="5542"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25106D5" w14:textId="77777777" w:rsidR="00D37F2D" w:rsidRPr="000626DB" w:rsidRDefault="00D37F2D">
            <w:pPr>
              <w:spacing w:before="0" w:after="0"/>
              <w:jc w:val="center"/>
              <w:rPr>
                <w:rFonts w:eastAsia="Times New Roman"/>
                <w:b/>
                <w:bCs/>
                <w:color w:val="000000"/>
                <w:sz w:val="22"/>
                <w:lang w:val="en-IE" w:eastAsia="en-IE"/>
              </w:rPr>
            </w:pPr>
            <w:r w:rsidRPr="000626DB">
              <w:rPr>
                <w:rFonts w:eastAsia="Times New Roman"/>
                <w:b/>
                <w:bCs/>
                <w:color w:val="000000"/>
                <w:sz w:val="22"/>
                <w:lang w:val="en-IE" w:eastAsia="en-IE"/>
              </w:rPr>
              <w:t> </w:t>
            </w:r>
          </w:p>
        </w:tc>
        <w:tc>
          <w:tcPr>
            <w:tcW w:w="1113" w:type="dxa"/>
            <w:tcBorders>
              <w:top w:val="single" w:sz="8" w:space="0" w:color="auto"/>
              <w:left w:val="nil"/>
              <w:bottom w:val="single" w:sz="8" w:space="0" w:color="auto"/>
              <w:right w:val="single" w:sz="8" w:space="0" w:color="auto"/>
            </w:tcBorders>
            <w:shd w:val="clear" w:color="auto" w:fill="auto"/>
            <w:vAlign w:val="center"/>
            <w:hideMark/>
          </w:tcPr>
          <w:p w14:paraId="497FD40C" w14:textId="77777777" w:rsidR="00D37F2D" w:rsidRPr="000626DB" w:rsidRDefault="00D37F2D">
            <w:pPr>
              <w:spacing w:before="0" w:after="0"/>
              <w:jc w:val="center"/>
              <w:rPr>
                <w:rFonts w:eastAsia="Times New Roman"/>
                <w:color w:val="000000"/>
                <w:sz w:val="20"/>
                <w:szCs w:val="20"/>
                <w:lang w:val="en-IE" w:eastAsia="en-IE"/>
              </w:rPr>
            </w:pPr>
            <w:r w:rsidRPr="000626DB">
              <w:rPr>
                <w:rFonts w:eastAsia="Times New Roman"/>
                <w:color w:val="000000"/>
                <w:sz w:val="20"/>
                <w:szCs w:val="20"/>
                <w:lang w:val="en-IE" w:eastAsia="en-IE"/>
              </w:rPr>
              <w:t>Year</w:t>
            </w:r>
          </w:p>
        </w:tc>
        <w:tc>
          <w:tcPr>
            <w:tcW w:w="1113" w:type="dxa"/>
            <w:tcBorders>
              <w:top w:val="single" w:sz="8" w:space="0" w:color="auto"/>
              <w:left w:val="nil"/>
              <w:bottom w:val="single" w:sz="8" w:space="0" w:color="auto"/>
              <w:right w:val="single" w:sz="8" w:space="0" w:color="auto"/>
            </w:tcBorders>
            <w:shd w:val="clear" w:color="auto" w:fill="auto"/>
            <w:vAlign w:val="center"/>
            <w:hideMark/>
          </w:tcPr>
          <w:p w14:paraId="47F6B2D1" w14:textId="77777777" w:rsidR="00D37F2D" w:rsidRPr="000626DB" w:rsidRDefault="00D37F2D">
            <w:pPr>
              <w:spacing w:before="0" w:after="0"/>
              <w:jc w:val="center"/>
              <w:rPr>
                <w:rFonts w:eastAsia="Times New Roman"/>
                <w:color w:val="000000"/>
                <w:sz w:val="20"/>
                <w:szCs w:val="20"/>
                <w:lang w:val="en-IE" w:eastAsia="en-IE"/>
              </w:rPr>
            </w:pPr>
            <w:r w:rsidRPr="000626DB">
              <w:rPr>
                <w:rFonts w:eastAsia="Times New Roman"/>
                <w:color w:val="000000"/>
                <w:sz w:val="20"/>
                <w:szCs w:val="20"/>
                <w:lang w:val="en-IE" w:eastAsia="en-IE"/>
              </w:rPr>
              <w:t>Year</w:t>
            </w:r>
          </w:p>
        </w:tc>
        <w:tc>
          <w:tcPr>
            <w:tcW w:w="1115" w:type="dxa"/>
            <w:tcBorders>
              <w:top w:val="single" w:sz="8" w:space="0" w:color="auto"/>
              <w:left w:val="nil"/>
              <w:bottom w:val="single" w:sz="8" w:space="0" w:color="auto"/>
              <w:right w:val="single" w:sz="8" w:space="0" w:color="auto"/>
            </w:tcBorders>
            <w:shd w:val="clear" w:color="auto" w:fill="auto"/>
            <w:vAlign w:val="center"/>
            <w:hideMark/>
          </w:tcPr>
          <w:p w14:paraId="5E36C953" w14:textId="77777777" w:rsidR="00D37F2D" w:rsidRPr="000626DB" w:rsidRDefault="00D37F2D">
            <w:pPr>
              <w:spacing w:before="0" w:after="0"/>
              <w:jc w:val="center"/>
              <w:rPr>
                <w:rFonts w:eastAsia="Times New Roman"/>
                <w:color w:val="000000"/>
                <w:sz w:val="20"/>
                <w:szCs w:val="20"/>
                <w:lang w:val="en-IE" w:eastAsia="en-IE"/>
              </w:rPr>
            </w:pPr>
            <w:r w:rsidRPr="000626DB">
              <w:rPr>
                <w:rFonts w:eastAsia="Times New Roman"/>
                <w:color w:val="000000"/>
                <w:sz w:val="20"/>
                <w:szCs w:val="20"/>
                <w:lang w:val="en-IE" w:eastAsia="en-IE"/>
              </w:rPr>
              <w:t>Year</w:t>
            </w:r>
          </w:p>
        </w:tc>
        <w:tc>
          <w:tcPr>
            <w:tcW w:w="1115" w:type="dxa"/>
            <w:tcBorders>
              <w:top w:val="single" w:sz="8" w:space="0" w:color="auto"/>
              <w:left w:val="nil"/>
              <w:bottom w:val="single" w:sz="8" w:space="0" w:color="auto"/>
              <w:right w:val="single" w:sz="8" w:space="0" w:color="auto"/>
            </w:tcBorders>
            <w:shd w:val="clear" w:color="auto" w:fill="auto"/>
            <w:vAlign w:val="center"/>
            <w:hideMark/>
          </w:tcPr>
          <w:p w14:paraId="76D66757" w14:textId="77777777" w:rsidR="00D37F2D" w:rsidRPr="000626DB" w:rsidRDefault="00D37F2D">
            <w:pPr>
              <w:spacing w:before="0" w:after="0"/>
              <w:jc w:val="center"/>
              <w:rPr>
                <w:rFonts w:eastAsia="Times New Roman"/>
                <w:color w:val="000000"/>
                <w:sz w:val="20"/>
                <w:szCs w:val="20"/>
                <w:lang w:val="en-IE" w:eastAsia="en-IE"/>
              </w:rPr>
            </w:pPr>
            <w:r w:rsidRPr="000626DB">
              <w:rPr>
                <w:rFonts w:eastAsia="Times New Roman"/>
                <w:color w:val="000000"/>
                <w:sz w:val="20"/>
                <w:szCs w:val="20"/>
                <w:lang w:val="en-IE" w:eastAsia="en-IE"/>
              </w:rPr>
              <w:t>Year</w:t>
            </w:r>
          </w:p>
        </w:tc>
        <w:tc>
          <w:tcPr>
            <w:tcW w:w="1353"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1A476DEB" w14:textId="77777777" w:rsidR="00D37F2D" w:rsidRPr="000626DB" w:rsidRDefault="00D37F2D">
            <w:pPr>
              <w:spacing w:before="0" w:after="0"/>
              <w:jc w:val="center"/>
              <w:rPr>
                <w:rFonts w:eastAsia="Times New Roman"/>
                <w:b/>
                <w:bCs/>
                <w:color w:val="000000"/>
                <w:sz w:val="20"/>
                <w:szCs w:val="20"/>
                <w:lang w:val="en-IE" w:eastAsia="en-IE"/>
              </w:rPr>
            </w:pPr>
            <w:r w:rsidRPr="000626DB">
              <w:rPr>
                <w:rFonts w:eastAsia="Times New Roman"/>
                <w:b/>
                <w:bCs/>
                <w:color w:val="000000"/>
                <w:sz w:val="20"/>
                <w:szCs w:val="20"/>
                <w:lang w:val="en-IE" w:eastAsia="en-IE"/>
              </w:rPr>
              <w:t>TOTAL MFF</w:t>
            </w:r>
            <w:r w:rsidRPr="000626DB">
              <w:rPr>
                <w:rFonts w:eastAsia="Times New Roman"/>
                <w:b/>
                <w:bCs/>
                <w:color w:val="000000"/>
                <w:sz w:val="20"/>
                <w:szCs w:val="20"/>
                <w:lang w:val="en-IE" w:eastAsia="en-IE"/>
              </w:rPr>
              <w:br/>
              <w:t>2021-2027</w:t>
            </w:r>
          </w:p>
        </w:tc>
      </w:tr>
      <w:tr w:rsidR="00D37F2D" w:rsidRPr="000626DB" w14:paraId="762DFA34" w14:textId="77777777">
        <w:trPr>
          <w:trHeight w:val="300"/>
        </w:trPr>
        <w:tc>
          <w:tcPr>
            <w:tcW w:w="5542" w:type="dxa"/>
            <w:gridSpan w:val="3"/>
            <w:vMerge/>
            <w:tcBorders>
              <w:top w:val="single" w:sz="8" w:space="0" w:color="auto"/>
              <w:left w:val="single" w:sz="8" w:space="0" w:color="auto"/>
              <w:bottom w:val="single" w:sz="8" w:space="0" w:color="000000"/>
              <w:right w:val="single" w:sz="8" w:space="0" w:color="000000"/>
            </w:tcBorders>
            <w:vAlign w:val="center"/>
            <w:hideMark/>
          </w:tcPr>
          <w:p w14:paraId="4951E855" w14:textId="77777777" w:rsidR="00D37F2D" w:rsidRPr="000626DB" w:rsidRDefault="00D37F2D">
            <w:pPr>
              <w:spacing w:before="0" w:after="0"/>
              <w:jc w:val="left"/>
              <w:rPr>
                <w:rFonts w:eastAsia="Times New Roman"/>
                <w:b/>
                <w:bCs/>
                <w:color w:val="000000"/>
                <w:sz w:val="22"/>
                <w:lang w:val="en-IE" w:eastAsia="en-IE"/>
              </w:rPr>
            </w:pPr>
          </w:p>
        </w:tc>
        <w:tc>
          <w:tcPr>
            <w:tcW w:w="1113" w:type="dxa"/>
            <w:tcBorders>
              <w:top w:val="nil"/>
              <w:left w:val="nil"/>
              <w:bottom w:val="single" w:sz="8" w:space="0" w:color="auto"/>
              <w:right w:val="single" w:sz="8" w:space="0" w:color="auto"/>
            </w:tcBorders>
            <w:shd w:val="clear" w:color="auto" w:fill="auto"/>
            <w:vAlign w:val="center"/>
            <w:hideMark/>
          </w:tcPr>
          <w:p w14:paraId="664AD2E1" w14:textId="77777777" w:rsidR="00D37F2D" w:rsidRPr="000626DB" w:rsidRDefault="00D37F2D">
            <w:pPr>
              <w:spacing w:before="0" w:after="0"/>
              <w:jc w:val="center"/>
              <w:rPr>
                <w:rFonts w:eastAsia="Times New Roman"/>
                <w:b/>
                <w:bCs/>
                <w:color w:val="000000"/>
                <w:sz w:val="20"/>
                <w:szCs w:val="20"/>
                <w:lang w:val="en-IE" w:eastAsia="en-IE"/>
              </w:rPr>
            </w:pPr>
            <w:r w:rsidRPr="000626DB">
              <w:rPr>
                <w:rFonts w:eastAsia="Times New Roman"/>
                <w:b/>
                <w:bCs/>
                <w:color w:val="000000"/>
                <w:sz w:val="20"/>
                <w:szCs w:val="20"/>
                <w:lang w:val="en-IE" w:eastAsia="en-IE"/>
              </w:rPr>
              <w:t>2024</w:t>
            </w:r>
          </w:p>
        </w:tc>
        <w:tc>
          <w:tcPr>
            <w:tcW w:w="1113" w:type="dxa"/>
            <w:tcBorders>
              <w:top w:val="nil"/>
              <w:left w:val="nil"/>
              <w:bottom w:val="single" w:sz="8" w:space="0" w:color="auto"/>
              <w:right w:val="single" w:sz="8" w:space="0" w:color="auto"/>
            </w:tcBorders>
            <w:shd w:val="clear" w:color="auto" w:fill="auto"/>
            <w:vAlign w:val="center"/>
            <w:hideMark/>
          </w:tcPr>
          <w:p w14:paraId="5F88DEF3" w14:textId="77777777" w:rsidR="00D37F2D" w:rsidRPr="000626DB" w:rsidRDefault="00D37F2D">
            <w:pPr>
              <w:spacing w:before="0" w:after="0"/>
              <w:jc w:val="center"/>
              <w:rPr>
                <w:rFonts w:eastAsia="Times New Roman"/>
                <w:b/>
                <w:bCs/>
                <w:color w:val="000000"/>
                <w:sz w:val="20"/>
                <w:szCs w:val="20"/>
                <w:lang w:val="en-IE" w:eastAsia="en-IE"/>
              </w:rPr>
            </w:pPr>
            <w:r w:rsidRPr="000626DB">
              <w:rPr>
                <w:rFonts w:eastAsia="Times New Roman"/>
                <w:b/>
                <w:bCs/>
                <w:color w:val="000000"/>
                <w:sz w:val="20"/>
                <w:szCs w:val="20"/>
                <w:lang w:val="en-IE" w:eastAsia="en-IE"/>
              </w:rPr>
              <w:t>2025</w:t>
            </w:r>
          </w:p>
        </w:tc>
        <w:tc>
          <w:tcPr>
            <w:tcW w:w="1115" w:type="dxa"/>
            <w:tcBorders>
              <w:top w:val="nil"/>
              <w:left w:val="nil"/>
              <w:bottom w:val="single" w:sz="8" w:space="0" w:color="auto"/>
              <w:right w:val="single" w:sz="8" w:space="0" w:color="auto"/>
            </w:tcBorders>
            <w:shd w:val="clear" w:color="auto" w:fill="auto"/>
            <w:vAlign w:val="center"/>
            <w:hideMark/>
          </w:tcPr>
          <w:p w14:paraId="20DDE89F" w14:textId="77777777" w:rsidR="00D37F2D" w:rsidRPr="000626DB" w:rsidRDefault="00D37F2D">
            <w:pPr>
              <w:spacing w:before="0" w:after="0"/>
              <w:jc w:val="center"/>
              <w:rPr>
                <w:rFonts w:eastAsia="Times New Roman"/>
                <w:b/>
                <w:bCs/>
                <w:color w:val="000000"/>
                <w:sz w:val="20"/>
                <w:szCs w:val="20"/>
                <w:lang w:val="en-IE" w:eastAsia="en-IE"/>
              </w:rPr>
            </w:pPr>
            <w:r w:rsidRPr="000626DB">
              <w:rPr>
                <w:rFonts w:eastAsia="Times New Roman"/>
                <w:b/>
                <w:bCs/>
                <w:color w:val="000000"/>
                <w:sz w:val="20"/>
                <w:szCs w:val="20"/>
                <w:lang w:val="en-IE" w:eastAsia="en-IE"/>
              </w:rPr>
              <w:t>2026</w:t>
            </w:r>
          </w:p>
        </w:tc>
        <w:tc>
          <w:tcPr>
            <w:tcW w:w="1115" w:type="dxa"/>
            <w:tcBorders>
              <w:top w:val="nil"/>
              <w:left w:val="nil"/>
              <w:bottom w:val="single" w:sz="8" w:space="0" w:color="auto"/>
              <w:right w:val="single" w:sz="8" w:space="0" w:color="auto"/>
            </w:tcBorders>
            <w:shd w:val="clear" w:color="auto" w:fill="auto"/>
            <w:vAlign w:val="center"/>
            <w:hideMark/>
          </w:tcPr>
          <w:p w14:paraId="7C31D527" w14:textId="77777777" w:rsidR="00D37F2D" w:rsidRPr="000626DB" w:rsidRDefault="00D37F2D">
            <w:pPr>
              <w:spacing w:before="0" w:after="0"/>
              <w:jc w:val="center"/>
              <w:rPr>
                <w:rFonts w:eastAsia="Times New Roman"/>
                <w:b/>
                <w:bCs/>
                <w:color w:val="000000"/>
                <w:sz w:val="20"/>
                <w:szCs w:val="20"/>
                <w:lang w:val="en-IE" w:eastAsia="en-IE"/>
              </w:rPr>
            </w:pPr>
            <w:r w:rsidRPr="000626DB">
              <w:rPr>
                <w:rFonts w:eastAsia="Times New Roman"/>
                <w:b/>
                <w:bCs/>
                <w:color w:val="000000"/>
                <w:sz w:val="20"/>
                <w:szCs w:val="20"/>
                <w:lang w:val="en-IE" w:eastAsia="en-IE"/>
              </w:rPr>
              <w:t>2027</w:t>
            </w:r>
          </w:p>
        </w:tc>
        <w:tc>
          <w:tcPr>
            <w:tcW w:w="1353" w:type="dxa"/>
            <w:vMerge/>
            <w:tcBorders>
              <w:top w:val="single" w:sz="8" w:space="0" w:color="auto"/>
              <w:left w:val="single" w:sz="8" w:space="0" w:color="auto"/>
              <w:bottom w:val="single" w:sz="8" w:space="0" w:color="auto"/>
              <w:right w:val="single" w:sz="8" w:space="0" w:color="auto"/>
            </w:tcBorders>
            <w:vAlign w:val="center"/>
            <w:hideMark/>
          </w:tcPr>
          <w:p w14:paraId="1ECB3E9E" w14:textId="77777777" w:rsidR="00D37F2D" w:rsidRPr="000626DB" w:rsidRDefault="00D37F2D">
            <w:pPr>
              <w:spacing w:before="0" w:after="0"/>
              <w:jc w:val="left"/>
              <w:rPr>
                <w:rFonts w:eastAsia="Times New Roman"/>
                <w:b/>
                <w:bCs/>
                <w:color w:val="000000"/>
                <w:sz w:val="20"/>
                <w:szCs w:val="20"/>
                <w:lang w:val="en-IE" w:eastAsia="en-IE"/>
              </w:rPr>
            </w:pPr>
          </w:p>
        </w:tc>
      </w:tr>
      <w:tr w:rsidR="00D37F2D" w:rsidRPr="000626DB" w14:paraId="3AC6E273" w14:textId="77777777">
        <w:trPr>
          <w:trHeight w:val="432"/>
        </w:trPr>
        <w:tc>
          <w:tcPr>
            <w:tcW w:w="3195" w:type="dxa"/>
            <w:vMerge w:val="restart"/>
            <w:tcBorders>
              <w:top w:val="nil"/>
              <w:left w:val="single" w:sz="8" w:space="0" w:color="auto"/>
              <w:bottom w:val="single" w:sz="8" w:space="0" w:color="auto"/>
              <w:right w:val="single" w:sz="8" w:space="0" w:color="auto"/>
            </w:tcBorders>
            <w:shd w:val="clear" w:color="auto" w:fill="auto"/>
            <w:vAlign w:val="center"/>
            <w:hideMark/>
          </w:tcPr>
          <w:p w14:paraId="5CE48FAE" w14:textId="77777777" w:rsidR="00D37F2D" w:rsidRPr="000626DB" w:rsidRDefault="00D37F2D">
            <w:pPr>
              <w:spacing w:before="0" w:after="0"/>
              <w:rPr>
                <w:rFonts w:eastAsia="Times New Roman"/>
                <w:color w:val="000000"/>
                <w:sz w:val="21"/>
                <w:szCs w:val="21"/>
                <w:lang w:val="en-IE" w:eastAsia="en-IE"/>
              </w:rPr>
            </w:pPr>
            <w:r w:rsidRPr="000626DB">
              <w:rPr>
                <w:rFonts w:eastAsia="Times New Roman"/>
                <w:color w:val="000000"/>
                <w:sz w:val="21"/>
                <w:szCs w:val="21"/>
                <w:lang w:val="en-IE" w:eastAsia="en-IE"/>
              </w:rPr>
              <w:t xml:space="preserve">TOTAL operational appropriations </w:t>
            </w:r>
            <w:r w:rsidRPr="000626DB">
              <w:rPr>
                <w:rFonts w:eastAsia="Times New Roman"/>
                <w:color w:val="000000"/>
                <w:sz w:val="21"/>
                <w:szCs w:val="21"/>
                <w:lang w:val="en-IE" w:eastAsia="en-IE"/>
              </w:rPr>
              <w:br/>
              <w:t>(including contribution to decentralised agency)</w:t>
            </w:r>
          </w:p>
        </w:tc>
        <w:tc>
          <w:tcPr>
            <w:tcW w:w="1237" w:type="dxa"/>
            <w:tcBorders>
              <w:top w:val="nil"/>
              <w:left w:val="nil"/>
              <w:bottom w:val="single" w:sz="8" w:space="0" w:color="auto"/>
              <w:right w:val="single" w:sz="8" w:space="0" w:color="auto"/>
            </w:tcBorders>
            <w:shd w:val="clear" w:color="auto" w:fill="auto"/>
            <w:vAlign w:val="center"/>
            <w:hideMark/>
          </w:tcPr>
          <w:p w14:paraId="4768EA8A" w14:textId="77777777" w:rsidR="00D37F2D" w:rsidRPr="000626DB" w:rsidRDefault="00D37F2D">
            <w:pPr>
              <w:spacing w:before="0" w:after="0"/>
              <w:rPr>
                <w:rFonts w:eastAsia="Times New Roman"/>
                <w:color w:val="000000"/>
                <w:sz w:val="18"/>
                <w:szCs w:val="18"/>
                <w:lang w:val="en-IE" w:eastAsia="en-IE"/>
              </w:rPr>
            </w:pPr>
            <w:r w:rsidRPr="000626DB">
              <w:rPr>
                <w:rFonts w:eastAsia="Times New Roman"/>
                <w:color w:val="000000"/>
                <w:sz w:val="18"/>
                <w:szCs w:val="18"/>
                <w:lang w:val="en-IE" w:eastAsia="en-IE"/>
              </w:rPr>
              <w:t>Commitments</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1EFA924B" w14:textId="77777777" w:rsidR="00D37F2D" w:rsidRPr="000626DB" w:rsidRDefault="00D37F2D">
            <w:pPr>
              <w:spacing w:before="0" w:after="0"/>
              <w:jc w:val="center"/>
              <w:rPr>
                <w:rFonts w:eastAsia="Times New Roman"/>
                <w:color w:val="000000"/>
                <w:sz w:val="14"/>
                <w:szCs w:val="14"/>
                <w:lang w:val="en-IE" w:eastAsia="en-IE"/>
              </w:rPr>
            </w:pPr>
            <w:r w:rsidRPr="000626DB">
              <w:rPr>
                <w:rFonts w:eastAsia="Times New Roman"/>
                <w:color w:val="000000"/>
                <w:sz w:val="14"/>
                <w:szCs w:val="14"/>
                <w:lang w:val="en-IE" w:eastAsia="en-IE"/>
              </w:rPr>
              <w:t>(4)</w:t>
            </w:r>
          </w:p>
        </w:tc>
        <w:tc>
          <w:tcPr>
            <w:tcW w:w="1113" w:type="dxa"/>
            <w:tcBorders>
              <w:top w:val="nil"/>
              <w:left w:val="nil"/>
              <w:bottom w:val="single" w:sz="8" w:space="0" w:color="auto"/>
              <w:right w:val="single" w:sz="8" w:space="0" w:color="auto"/>
            </w:tcBorders>
            <w:shd w:val="clear" w:color="000000" w:fill="D9D9D9"/>
            <w:vAlign w:val="center"/>
            <w:hideMark/>
          </w:tcPr>
          <w:p w14:paraId="0DCAF8C7"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000000" w:fill="D9D9D9"/>
            <w:vAlign w:val="center"/>
            <w:hideMark/>
          </w:tcPr>
          <w:p w14:paraId="3EB6A03E"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000000" w:fill="D9D9D9"/>
            <w:vAlign w:val="center"/>
            <w:hideMark/>
          </w:tcPr>
          <w:p w14:paraId="7F2E3BF8"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41,056</w:t>
            </w:r>
          </w:p>
        </w:tc>
        <w:tc>
          <w:tcPr>
            <w:tcW w:w="1115" w:type="dxa"/>
            <w:tcBorders>
              <w:top w:val="nil"/>
              <w:left w:val="nil"/>
              <w:bottom w:val="single" w:sz="8" w:space="0" w:color="auto"/>
              <w:right w:val="single" w:sz="8" w:space="0" w:color="auto"/>
            </w:tcBorders>
            <w:shd w:val="clear" w:color="000000" w:fill="D9D9D9"/>
            <w:vAlign w:val="center"/>
            <w:hideMark/>
          </w:tcPr>
          <w:p w14:paraId="2BBF83F1"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41,971</w:t>
            </w:r>
          </w:p>
        </w:tc>
        <w:tc>
          <w:tcPr>
            <w:tcW w:w="1353" w:type="dxa"/>
            <w:tcBorders>
              <w:top w:val="nil"/>
              <w:left w:val="nil"/>
              <w:bottom w:val="single" w:sz="8" w:space="0" w:color="auto"/>
              <w:right w:val="single" w:sz="8" w:space="0" w:color="auto"/>
            </w:tcBorders>
            <w:shd w:val="clear" w:color="000000" w:fill="D9D9D9"/>
            <w:vAlign w:val="center"/>
            <w:hideMark/>
          </w:tcPr>
          <w:p w14:paraId="6D358F49"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83,027</w:t>
            </w:r>
          </w:p>
        </w:tc>
      </w:tr>
      <w:tr w:rsidR="00D37F2D" w:rsidRPr="000626DB" w14:paraId="026F15D6" w14:textId="77777777">
        <w:trPr>
          <w:trHeight w:val="458"/>
        </w:trPr>
        <w:tc>
          <w:tcPr>
            <w:tcW w:w="3195" w:type="dxa"/>
            <w:vMerge/>
            <w:tcBorders>
              <w:top w:val="nil"/>
              <w:left w:val="single" w:sz="8" w:space="0" w:color="auto"/>
              <w:bottom w:val="single" w:sz="8" w:space="0" w:color="auto"/>
              <w:right w:val="single" w:sz="8" w:space="0" w:color="auto"/>
            </w:tcBorders>
            <w:vAlign w:val="center"/>
            <w:hideMark/>
          </w:tcPr>
          <w:p w14:paraId="7AEA2439" w14:textId="77777777" w:rsidR="00D37F2D" w:rsidRPr="000626DB" w:rsidRDefault="00D37F2D">
            <w:pPr>
              <w:spacing w:before="0" w:after="0"/>
              <w:jc w:val="left"/>
              <w:rPr>
                <w:rFonts w:eastAsia="Times New Roman"/>
                <w:color w:val="000000"/>
                <w:sz w:val="21"/>
                <w:szCs w:val="21"/>
                <w:lang w:val="en-IE" w:eastAsia="en-IE"/>
              </w:rPr>
            </w:pPr>
          </w:p>
        </w:tc>
        <w:tc>
          <w:tcPr>
            <w:tcW w:w="1237" w:type="dxa"/>
            <w:tcBorders>
              <w:top w:val="nil"/>
              <w:left w:val="nil"/>
              <w:bottom w:val="single" w:sz="8" w:space="0" w:color="auto"/>
              <w:right w:val="single" w:sz="8" w:space="0" w:color="auto"/>
            </w:tcBorders>
            <w:shd w:val="clear" w:color="auto" w:fill="auto"/>
            <w:vAlign w:val="center"/>
            <w:hideMark/>
          </w:tcPr>
          <w:p w14:paraId="037CA5BB" w14:textId="77777777" w:rsidR="00D37F2D" w:rsidRPr="000626DB" w:rsidRDefault="00D37F2D">
            <w:pPr>
              <w:spacing w:before="0" w:after="0"/>
              <w:rPr>
                <w:rFonts w:eastAsia="Times New Roman"/>
                <w:color w:val="000000"/>
                <w:sz w:val="18"/>
                <w:szCs w:val="18"/>
                <w:lang w:val="en-IE" w:eastAsia="en-IE"/>
              </w:rPr>
            </w:pPr>
            <w:r w:rsidRPr="000626DB">
              <w:rPr>
                <w:rFonts w:eastAsia="Times New Roman"/>
                <w:color w:val="000000"/>
                <w:sz w:val="18"/>
                <w:szCs w:val="18"/>
                <w:lang w:val="en-IE" w:eastAsia="en-IE"/>
              </w:rPr>
              <w:t>Payments</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5FEEB6B2" w14:textId="77777777" w:rsidR="00D37F2D" w:rsidRPr="000626DB" w:rsidRDefault="00D37F2D">
            <w:pPr>
              <w:spacing w:before="0" w:after="0"/>
              <w:jc w:val="center"/>
              <w:rPr>
                <w:rFonts w:eastAsia="Times New Roman"/>
                <w:color w:val="000000"/>
                <w:sz w:val="14"/>
                <w:szCs w:val="14"/>
                <w:lang w:val="en-IE" w:eastAsia="en-IE"/>
              </w:rPr>
            </w:pPr>
            <w:r w:rsidRPr="000626DB">
              <w:rPr>
                <w:rFonts w:eastAsia="Times New Roman"/>
                <w:color w:val="000000"/>
                <w:sz w:val="14"/>
                <w:szCs w:val="14"/>
                <w:lang w:val="en-IE" w:eastAsia="en-IE"/>
              </w:rPr>
              <w:t>(5)</w:t>
            </w:r>
          </w:p>
        </w:tc>
        <w:tc>
          <w:tcPr>
            <w:tcW w:w="1113" w:type="dxa"/>
            <w:tcBorders>
              <w:top w:val="nil"/>
              <w:left w:val="nil"/>
              <w:bottom w:val="single" w:sz="8" w:space="0" w:color="auto"/>
              <w:right w:val="single" w:sz="8" w:space="0" w:color="auto"/>
            </w:tcBorders>
            <w:shd w:val="clear" w:color="000000" w:fill="D9D9D9"/>
            <w:vAlign w:val="center"/>
            <w:hideMark/>
          </w:tcPr>
          <w:p w14:paraId="63E3BA9B"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000000" w:fill="D9D9D9"/>
            <w:vAlign w:val="center"/>
            <w:hideMark/>
          </w:tcPr>
          <w:p w14:paraId="327AB463"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000000" w:fill="D9D9D9"/>
            <w:vAlign w:val="center"/>
            <w:hideMark/>
          </w:tcPr>
          <w:p w14:paraId="2866F8E8"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28,934</w:t>
            </w:r>
          </w:p>
        </w:tc>
        <w:tc>
          <w:tcPr>
            <w:tcW w:w="1115" w:type="dxa"/>
            <w:tcBorders>
              <w:top w:val="nil"/>
              <w:left w:val="nil"/>
              <w:bottom w:val="single" w:sz="8" w:space="0" w:color="auto"/>
              <w:right w:val="single" w:sz="8" w:space="0" w:color="auto"/>
            </w:tcBorders>
            <w:shd w:val="clear" w:color="000000" w:fill="D9D9D9"/>
            <w:vAlign w:val="center"/>
            <w:hideMark/>
          </w:tcPr>
          <w:p w14:paraId="1167A5F0"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41,729</w:t>
            </w:r>
          </w:p>
        </w:tc>
        <w:tc>
          <w:tcPr>
            <w:tcW w:w="1353" w:type="dxa"/>
            <w:tcBorders>
              <w:top w:val="nil"/>
              <w:left w:val="nil"/>
              <w:bottom w:val="single" w:sz="8" w:space="0" w:color="auto"/>
              <w:right w:val="single" w:sz="8" w:space="0" w:color="auto"/>
            </w:tcBorders>
            <w:shd w:val="clear" w:color="000000" w:fill="D9D9D9"/>
            <w:vAlign w:val="center"/>
            <w:hideMark/>
          </w:tcPr>
          <w:p w14:paraId="5055B0DE"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70,663</w:t>
            </w:r>
          </w:p>
        </w:tc>
      </w:tr>
      <w:tr w:rsidR="00D37F2D" w:rsidRPr="000626DB" w14:paraId="7CC38D80" w14:textId="77777777">
        <w:trPr>
          <w:trHeight w:val="923"/>
        </w:trPr>
        <w:tc>
          <w:tcPr>
            <w:tcW w:w="4432"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AA55668" w14:textId="77777777" w:rsidR="00D37F2D" w:rsidRPr="000626DB" w:rsidRDefault="00D37F2D">
            <w:pPr>
              <w:spacing w:before="0" w:after="0"/>
              <w:rPr>
                <w:rFonts w:eastAsia="Times New Roman"/>
                <w:color w:val="000000"/>
                <w:sz w:val="21"/>
                <w:szCs w:val="21"/>
                <w:lang w:val="en-IE" w:eastAsia="en-IE"/>
              </w:rPr>
            </w:pPr>
            <w:r w:rsidRPr="000626DB">
              <w:rPr>
                <w:rFonts w:eastAsia="Times New Roman"/>
                <w:color w:val="000000"/>
                <w:sz w:val="21"/>
                <w:szCs w:val="21"/>
                <w:lang w:val="en-IE" w:eastAsia="en-IE"/>
              </w:rPr>
              <w:t xml:space="preserve">Ÿ TOTAL appropriations of an administrative nature financed from the envelope for specific programmes </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33F0BF4F" w14:textId="77777777" w:rsidR="00D37F2D" w:rsidRPr="000626DB" w:rsidRDefault="00D37F2D">
            <w:pPr>
              <w:spacing w:before="0" w:after="0"/>
              <w:jc w:val="center"/>
              <w:rPr>
                <w:rFonts w:eastAsia="Times New Roman"/>
                <w:color w:val="000000"/>
                <w:sz w:val="14"/>
                <w:szCs w:val="14"/>
                <w:lang w:val="en-IE" w:eastAsia="en-IE"/>
              </w:rPr>
            </w:pPr>
            <w:r w:rsidRPr="000626DB">
              <w:rPr>
                <w:rFonts w:eastAsia="Times New Roman"/>
                <w:color w:val="000000"/>
                <w:sz w:val="14"/>
                <w:szCs w:val="14"/>
                <w:lang w:val="en-IE" w:eastAsia="en-IE"/>
              </w:rPr>
              <w:t>(6)</w:t>
            </w:r>
          </w:p>
        </w:tc>
        <w:tc>
          <w:tcPr>
            <w:tcW w:w="1113" w:type="dxa"/>
            <w:tcBorders>
              <w:top w:val="nil"/>
              <w:left w:val="nil"/>
              <w:bottom w:val="single" w:sz="8" w:space="0" w:color="auto"/>
              <w:right w:val="single" w:sz="8" w:space="0" w:color="auto"/>
            </w:tcBorders>
            <w:shd w:val="clear" w:color="000000" w:fill="D9D9D9"/>
            <w:vAlign w:val="center"/>
            <w:hideMark/>
          </w:tcPr>
          <w:p w14:paraId="35E7F6EB"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000000" w:fill="D9D9D9"/>
            <w:vAlign w:val="center"/>
            <w:hideMark/>
          </w:tcPr>
          <w:p w14:paraId="1EF85836"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000000" w:fill="D9D9D9"/>
            <w:vAlign w:val="center"/>
            <w:hideMark/>
          </w:tcPr>
          <w:p w14:paraId="385CC3FE"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000000" w:fill="D9D9D9"/>
            <w:vAlign w:val="center"/>
            <w:hideMark/>
          </w:tcPr>
          <w:p w14:paraId="59D7BFD6" w14:textId="77777777" w:rsidR="00D37F2D" w:rsidRPr="000626DB" w:rsidRDefault="00D37F2D">
            <w:pPr>
              <w:spacing w:before="0" w:after="0"/>
              <w:jc w:val="right"/>
              <w:rPr>
                <w:rFonts w:eastAsia="Times New Roman"/>
                <w:color w:val="000000"/>
                <w:sz w:val="20"/>
                <w:szCs w:val="20"/>
                <w:lang w:val="en-IE" w:eastAsia="en-IE"/>
              </w:rPr>
            </w:pPr>
            <w:r w:rsidRPr="000626DB">
              <w:rPr>
                <w:rFonts w:eastAsia="Times New Roman"/>
                <w:color w:val="000000"/>
                <w:sz w:val="20"/>
                <w:szCs w:val="20"/>
                <w:lang w:val="en-IE" w:eastAsia="en-IE"/>
              </w:rPr>
              <w:t>0,000</w:t>
            </w:r>
          </w:p>
        </w:tc>
        <w:tc>
          <w:tcPr>
            <w:tcW w:w="1353" w:type="dxa"/>
            <w:tcBorders>
              <w:top w:val="nil"/>
              <w:left w:val="nil"/>
              <w:bottom w:val="single" w:sz="8" w:space="0" w:color="auto"/>
              <w:right w:val="single" w:sz="8" w:space="0" w:color="auto"/>
            </w:tcBorders>
            <w:shd w:val="clear" w:color="000000" w:fill="D9D9D9"/>
            <w:vAlign w:val="center"/>
            <w:hideMark/>
          </w:tcPr>
          <w:p w14:paraId="44E76968"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0,000</w:t>
            </w:r>
          </w:p>
        </w:tc>
      </w:tr>
      <w:tr w:rsidR="00D37F2D" w:rsidRPr="000626DB" w14:paraId="64179451" w14:textId="77777777">
        <w:trPr>
          <w:trHeight w:val="585"/>
        </w:trPr>
        <w:tc>
          <w:tcPr>
            <w:tcW w:w="3195" w:type="dxa"/>
            <w:tcBorders>
              <w:top w:val="nil"/>
              <w:left w:val="single" w:sz="8" w:space="0" w:color="auto"/>
              <w:bottom w:val="nil"/>
              <w:right w:val="single" w:sz="8" w:space="0" w:color="auto"/>
            </w:tcBorders>
            <w:shd w:val="thinDiagStripe" w:color="C0C0C0" w:fill="F1F1F1"/>
            <w:vAlign w:val="center"/>
            <w:hideMark/>
          </w:tcPr>
          <w:p w14:paraId="751855B7" w14:textId="77777777" w:rsidR="00D37F2D" w:rsidRPr="000626DB" w:rsidRDefault="00D37F2D">
            <w:pPr>
              <w:spacing w:before="0" w:after="0"/>
              <w:jc w:val="center"/>
              <w:rPr>
                <w:rFonts w:eastAsia="Times New Roman"/>
                <w:b/>
                <w:bCs/>
                <w:color w:val="000000"/>
                <w:sz w:val="22"/>
                <w:lang w:val="en-IE" w:eastAsia="en-IE"/>
              </w:rPr>
            </w:pPr>
            <w:r w:rsidRPr="000626DB">
              <w:rPr>
                <w:rFonts w:eastAsia="Times New Roman"/>
                <w:b/>
                <w:bCs/>
                <w:color w:val="000000"/>
                <w:sz w:val="22"/>
                <w:lang w:val="en-IE" w:eastAsia="en-IE"/>
              </w:rPr>
              <w:t>TOTAL appropriations</w:t>
            </w:r>
            <w:r w:rsidRPr="000626DB">
              <w:rPr>
                <w:rFonts w:eastAsia="Times New Roman"/>
                <w:b/>
                <w:bCs/>
                <w:color w:val="000000"/>
                <w:sz w:val="22"/>
                <w:lang w:val="en-IE" w:eastAsia="en-IE"/>
              </w:rPr>
              <w:br/>
              <w:t xml:space="preserve">under HEADING </w:t>
            </w:r>
            <w:r>
              <w:rPr>
                <w:rFonts w:eastAsia="Times New Roman"/>
                <w:b/>
                <w:bCs/>
                <w:color w:val="000000"/>
                <w:sz w:val="22"/>
                <w:lang w:val="en-IE" w:eastAsia="en-IE"/>
              </w:rPr>
              <w:t>2</w:t>
            </w:r>
          </w:p>
        </w:tc>
        <w:tc>
          <w:tcPr>
            <w:tcW w:w="1237" w:type="dxa"/>
            <w:tcBorders>
              <w:top w:val="nil"/>
              <w:left w:val="nil"/>
              <w:bottom w:val="single" w:sz="8" w:space="0" w:color="auto"/>
              <w:right w:val="single" w:sz="8" w:space="0" w:color="auto"/>
            </w:tcBorders>
            <w:shd w:val="clear" w:color="auto" w:fill="auto"/>
            <w:vAlign w:val="center"/>
            <w:hideMark/>
          </w:tcPr>
          <w:p w14:paraId="419D552D" w14:textId="77777777" w:rsidR="00D37F2D" w:rsidRPr="000626DB" w:rsidRDefault="00D37F2D">
            <w:pPr>
              <w:spacing w:before="0" w:after="0"/>
              <w:rPr>
                <w:rFonts w:eastAsia="Times New Roman"/>
                <w:color w:val="000000"/>
                <w:sz w:val="18"/>
                <w:szCs w:val="18"/>
                <w:lang w:val="en-IE" w:eastAsia="en-IE"/>
              </w:rPr>
            </w:pPr>
            <w:r w:rsidRPr="000626DB">
              <w:rPr>
                <w:rFonts w:eastAsia="Times New Roman"/>
                <w:color w:val="000000"/>
                <w:sz w:val="18"/>
                <w:szCs w:val="18"/>
                <w:lang w:val="en-IE" w:eastAsia="en-IE"/>
              </w:rPr>
              <w:t>Commitments</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4BD97763" w14:textId="77777777" w:rsidR="00D37F2D" w:rsidRPr="000626DB" w:rsidRDefault="00D37F2D">
            <w:pPr>
              <w:spacing w:before="0" w:after="0"/>
              <w:jc w:val="center"/>
              <w:rPr>
                <w:rFonts w:eastAsia="Times New Roman"/>
                <w:color w:val="000000"/>
                <w:sz w:val="14"/>
                <w:szCs w:val="14"/>
                <w:lang w:val="en-IE" w:eastAsia="en-IE"/>
              </w:rPr>
            </w:pPr>
            <w:r w:rsidRPr="000626DB">
              <w:rPr>
                <w:rFonts w:eastAsia="Times New Roman"/>
                <w:color w:val="000000"/>
                <w:sz w:val="14"/>
                <w:szCs w:val="14"/>
                <w:lang w:val="en-IE" w:eastAsia="en-IE"/>
              </w:rPr>
              <w:t>=4+6</w:t>
            </w:r>
          </w:p>
        </w:tc>
        <w:tc>
          <w:tcPr>
            <w:tcW w:w="1113" w:type="dxa"/>
            <w:tcBorders>
              <w:top w:val="nil"/>
              <w:left w:val="nil"/>
              <w:bottom w:val="single" w:sz="8" w:space="0" w:color="auto"/>
              <w:right w:val="single" w:sz="8" w:space="0" w:color="auto"/>
            </w:tcBorders>
            <w:shd w:val="clear" w:color="000000" w:fill="D9D9D9"/>
            <w:vAlign w:val="center"/>
            <w:hideMark/>
          </w:tcPr>
          <w:p w14:paraId="70C5FB36"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000000" w:fill="D9D9D9"/>
            <w:vAlign w:val="center"/>
            <w:hideMark/>
          </w:tcPr>
          <w:p w14:paraId="7643362F"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000000" w:fill="D9D9D9"/>
            <w:vAlign w:val="center"/>
            <w:hideMark/>
          </w:tcPr>
          <w:p w14:paraId="0B8294C0"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41,056</w:t>
            </w:r>
          </w:p>
        </w:tc>
        <w:tc>
          <w:tcPr>
            <w:tcW w:w="1115" w:type="dxa"/>
            <w:tcBorders>
              <w:top w:val="nil"/>
              <w:left w:val="nil"/>
              <w:bottom w:val="single" w:sz="8" w:space="0" w:color="auto"/>
              <w:right w:val="single" w:sz="8" w:space="0" w:color="auto"/>
            </w:tcBorders>
            <w:shd w:val="clear" w:color="000000" w:fill="D9D9D9"/>
            <w:vAlign w:val="center"/>
            <w:hideMark/>
          </w:tcPr>
          <w:p w14:paraId="2B913DFA"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41,971</w:t>
            </w:r>
          </w:p>
        </w:tc>
        <w:tc>
          <w:tcPr>
            <w:tcW w:w="1353" w:type="dxa"/>
            <w:tcBorders>
              <w:top w:val="nil"/>
              <w:left w:val="nil"/>
              <w:bottom w:val="single" w:sz="8" w:space="0" w:color="auto"/>
              <w:right w:val="single" w:sz="8" w:space="0" w:color="auto"/>
            </w:tcBorders>
            <w:shd w:val="clear" w:color="000000" w:fill="D9D9D9"/>
            <w:vAlign w:val="center"/>
            <w:hideMark/>
          </w:tcPr>
          <w:p w14:paraId="7E036A72"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83,027</w:t>
            </w:r>
          </w:p>
        </w:tc>
      </w:tr>
      <w:tr w:rsidR="00D37F2D" w:rsidRPr="000626DB" w14:paraId="4683D07A" w14:textId="77777777">
        <w:trPr>
          <w:trHeight w:val="529"/>
        </w:trPr>
        <w:tc>
          <w:tcPr>
            <w:tcW w:w="3195" w:type="dxa"/>
            <w:tcBorders>
              <w:top w:val="nil"/>
              <w:left w:val="single" w:sz="8" w:space="0" w:color="auto"/>
              <w:bottom w:val="single" w:sz="8" w:space="0" w:color="auto"/>
              <w:right w:val="single" w:sz="8" w:space="0" w:color="auto"/>
            </w:tcBorders>
            <w:shd w:val="thinDiagStripe" w:color="C0C0C0" w:fill="F1F1F1"/>
            <w:vAlign w:val="center"/>
            <w:hideMark/>
          </w:tcPr>
          <w:p w14:paraId="77A1DFD5" w14:textId="77777777" w:rsidR="00D37F2D" w:rsidRPr="000626DB" w:rsidRDefault="00D37F2D">
            <w:pPr>
              <w:spacing w:before="0" w:after="0"/>
              <w:jc w:val="center"/>
              <w:rPr>
                <w:rFonts w:eastAsia="Times New Roman"/>
                <w:color w:val="000000"/>
                <w:sz w:val="22"/>
                <w:lang w:val="en-IE" w:eastAsia="en-IE"/>
              </w:rPr>
            </w:pPr>
            <w:r w:rsidRPr="000626DB">
              <w:rPr>
                <w:rFonts w:eastAsia="Times New Roman"/>
                <w:color w:val="000000"/>
                <w:sz w:val="22"/>
                <w:lang w:val="en-IE" w:eastAsia="en-IE"/>
              </w:rPr>
              <w:t>of the multiannual financial framework</w:t>
            </w:r>
          </w:p>
        </w:tc>
        <w:tc>
          <w:tcPr>
            <w:tcW w:w="1237" w:type="dxa"/>
            <w:tcBorders>
              <w:top w:val="nil"/>
              <w:left w:val="nil"/>
              <w:bottom w:val="single" w:sz="8" w:space="0" w:color="auto"/>
              <w:right w:val="single" w:sz="8" w:space="0" w:color="auto"/>
            </w:tcBorders>
            <w:shd w:val="clear" w:color="auto" w:fill="auto"/>
            <w:vAlign w:val="center"/>
            <w:hideMark/>
          </w:tcPr>
          <w:p w14:paraId="1814EA9D" w14:textId="77777777" w:rsidR="00D37F2D" w:rsidRPr="000626DB" w:rsidRDefault="00D37F2D">
            <w:pPr>
              <w:spacing w:before="0" w:after="0"/>
              <w:rPr>
                <w:rFonts w:eastAsia="Times New Roman"/>
                <w:color w:val="000000"/>
                <w:sz w:val="18"/>
                <w:szCs w:val="18"/>
                <w:lang w:val="en-IE" w:eastAsia="en-IE"/>
              </w:rPr>
            </w:pPr>
            <w:r w:rsidRPr="000626DB">
              <w:rPr>
                <w:rFonts w:eastAsia="Times New Roman"/>
                <w:color w:val="000000"/>
                <w:sz w:val="18"/>
                <w:szCs w:val="18"/>
                <w:lang w:val="en-IE" w:eastAsia="en-IE"/>
              </w:rPr>
              <w:t>Payments</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14:paraId="757942CD" w14:textId="77777777" w:rsidR="00D37F2D" w:rsidRPr="000626DB" w:rsidRDefault="00D37F2D">
            <w:pPr>
              <w:spacing w:before="0" w:after="0"/>
              <w:jc w:val="center"/>
              <w:rPr>
                <w:rFonts w:eastAsia="Times New Roman"/>
                <w:color w:val="000000"/>
                <w:sz w:val="14"/>
                <w:szCs w:val="14"/>
                <w:lang w:val="en-IE" w:eastAsia="en-IE"/>
              </w:rPr>
            </w:pPr>
            <w:r w:rsidRPr="000626DB">
              <w:rPr>
                <w:rFonts w:eastAsia="Times New Roman"/>
                <w:color w:val="000000"/>
                <w:sz w:val="14"/>
                <w:szCs w:val="14"/>
                <w:lang w:val="en-IE" w:eastAsia="en-IE"/>
              </w:rPr>
              <w:t>=5+6</w:t>
            </w:r>
          </w:p>
        </w:tc>
        <w:tc>
          <w:tcPr>
            <w:tcW w:w="1113" w:type="dxa"/>
            <w:tcBorders>
              <w:top w:val="nil"/>
              <w:left w:val="nil"/>
              <w:bottom w:val="single" w:sz="8" w:space="0" w:color="auto"/>
              <w:right w:val="single" w:sz="8" w:space="0" w:color="auto"/>
            </w:tcBorders>
            <w:shd w:val="clear" w:color="000000" w:fill="D9D9D9"/>
            <w:vAlign w:val="center"/>
            <w:hideMark/>
          </w:tcPr>
          <w:p w14:paraId="4804B466"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000000" w:fill="D9D9D9"/>
            <w:vAlign w:val="center"/>
            <w:hideMark/>
          </w:tcPr>
          <w:p w14:paraId="778985B1"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000000" w:fill="D9D9D9"/>
            <w:vAlign w:val="center"/>
            <w:hideMark/>
          </w:tcPr>
          <w:p w14:paraId="71DAD2EE"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28,934</w:t>
            </w:r>
          </w:p>
        </w:tc>
        <w:tc>
          <w:tcPr>
            <w:tcW w:w="1115" w:type="dxa"/>
            <w:tcBorders>
              <w:top w:val="nil"/>
              <w:left w:val="nil"/>
              <w:bottom w:val="single" w:sz="8" w:space="0" w:color="auto"/>
              <w:right w:val="single" w:sz="8" w:space="0" w:color="auto"/>
            </w:tcBorders>
            <w:shd w:val="clear" w:color="000000" w:fill="D9D9D9"/>
            <w:vAlign w:val="center"/>
            <w:hideMark/>
          </w:tcPr>
          <w:p w14:paraId="72DAE992"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41,729</w:t>
            </w:r>
          </w:p>
        </w:tc>
        <w:tc>
          <w:tcPr>
            <w:tcW w:w="1353" w:type="dxa"/>
            <w:tcBorders>
              <w:top w:val="nil"/>
              <w:left w:val="nil"/>
              <w:bottom w:val="single" w:sz="8" w:space="0" w:color="auto"/>
              <w:right w:val="single" w:sz="8" w:space="0" w:color="auto"/>
            </w:tcBorders>
            <w:shd w:val="clear" w:color="000000" w:fill="D9D9D9"/>
            <w:vAlign w:val="center"/>
            <w:hideMark/>
          </w:tcPr>
          <w:p w14:paraId="533F82A5" w14:textId="77777777" w:rsidR="00D37F2D" w:rsidRPr="000626DB" w:rsidRDefault="00D37F2D">
            <w:pPr>
              <w:spacing w:before="0" w:after="0"/>
              <w:jc w:val="right"/>
              <w:rPr>
                <w:rFonts w:eastAsia="Times New Roman"/>
                <w:b/>
                <w:bCs/>
                <w:color w:val="000000"/>
                <w:sz w:val="20"/>
                <w:szCs w:val="20"/>
                <w:lang w:val="en-IE" w:eastAsia="en-IE"/>
              </w:rPr>
            </w:pPr>
            <w:r w:rsidRPr="000626DB">
              <w:rPr>
                <w:rFonts w:eastAsia="Times New Roman"/>
                <w:b/>
                <w:bCs/>
                <w:color w:val="000000"/>
                <w:sz w:val="20"/>
                <w:szCs w:val="20"/>
                <w:lang w:val="en-IE" w:eastAsia="en-IE"/>
              </w:rPr>
              <w:t>70,663</w:t>
            </w:r>
          </w:p>
        </w:tc>
      </w:tr>
    </w:tbl>
    <w:p w14:paraId="49E1BEAC" w14:textId="77777777" w:rsidR="00D37F2D" w:rsidRDefault="00D37F2D" w:rsidP="00D37F2D">
      <w:pPr>
        <w:rPr>
          <w:noProof/>
          <w:sz w:val="16"/>
        </w:rPr>
      </w:pPr>
      <w:r w:rsidRPr="005A0BCD">
        <w:rPr>
          <w:noProof/>
          <w:sz w:val="16"/>
        </w:rPr>
        <w:t>EUR million (to three decimal places)</w:t>
      </w:r>
    </w:p>
    <w:p w14:paraId="745CAAF7" w14:textId="77777777" w:rsidR="00D37F2D" w:rsidRDefault="00D37F2D" w:rsidP="00D37F2D">
      <w:pPr>
        <w:rPr>
          <w:noProof/>
          <w:sz w:val="16"/>
        </w:rPr>
      </w:pPr>
    </w:p>
    <w:tbl>
      <w:tblPr>
        <w:tblW w:w="11351" w:type="dxa"/>
        <w:tblInd w:w="118" w:type="dxa"/>
        <w:tblLook w:val="04A0" w:firstRow="1" w:lastRow="0" w:firstColumn="1" w:lastColumn="0" w:noHBand="0" w:noVBand="1"/>
      </w:tblPr>
      <w:tblGrid>
        <w:gridCol w:w="3195"/>
        <w:gridCol w:w="1237"/>
        <w:gridCol w:w="1110"/>
        <w:gridCol w:w="1113"/>
        <w:gridCol w:w="1113"/>
        <w:gridCol w:w="1115"/>
        <w:gridCol w:w="1115"/>
        <w:gridCol w:w="1353"/>
      </w:tblGrid>
      <w:tr w:rsidR="00D37F2D" w:rsidRPr="000F4945" w14:paraId="1F295073" w14:textId="77777777">
        <w:trPr>
          <w:trHeight w:val="300"/>
        </w:trPr>
        <w:tc>
          <w:tcPr>
            <w:tcW w:w="554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17C7CF" w14:textId="77777777" w:rsidR="00D37F2D" w:rsidRPr="000F4945" w:rsidRDefault="00D37F2D">
            <w:pPr>
              <w:spacing w:before="0" w:after="0"/>
              <w:jc w:val="center"/>
              <w:rPr>
                <w:rFonts w:eastAsia="Times New Roman"/>
                <w:color w:val="000000"/>
                <w:sz w:val="22"/>
                <w:lang w:val="en-IE" w:eastAsia="en-IE"/>
              </w:rPr>
            </w:pPr>
          </w:p>
        </w:tc>
        <w:tc>
          <w:tcPr>
            <w:tcW w:w="1113" w:type="dxa"/>
            <w:tcBorders>
              <w:top w:val="single" w:sz="8" w:space="0" w:color="auto"/>
              <w:left w:val="single" w:sz="4" w:space="0" w:color="auto"/>
              <w:bottom w:val="nil"/>
              <w:right w:val="single" w:sz="8" w:space="0" w:color="auto"/>
            </w:tcBorders>
            <w:shd w:val="clear" w:color="auto" w:fill="auto"/>
            <w:vAlign w:val="center"/>
            <w:hideMark/>
          </w:tcPr>
          <w:p w14:paraId="05591044" w14:textId="77777777" w:rsidR="00D37F2D" w:rsidRPr="000F4945" w:rsidRDefault="00D37F2D">
            <w:pPr>
              <w:spacing w:before="0" w:after="0"/>
              <w:jc w:val="center"/>
              <w:rPr>
                <w:rFonts w:eastAsia="Times New Roman"/>
                <w:color w:val="000000"/>
                <w:sz w:val="20"/>
                <w:szCs w:val="20"/>
                <w:lang w:val="en-IE" w:eastAsia="en-IE"/>
              </w:rPr>
            </w:pPr>
            <w:r w:rsidRPr="000F4945">
              <w:rPr>
                <w:rFonts w:eastAsia="Times New Roman"/>
                <w:color w:val="000000"/>
                <w:sz w:val="20"/>
                <w:szCs w:val="20"/>
                <w:lang w:val="en-IE" w:eastAsia="en-IE"/>
              </w:rPr>
              <w:t>Year</w:t>
            </w:r>
          </w:p>
        </w:tc>
        <w:tc>
          <w:tcPr>
            <w:tcW w:w="1113" w:type="dxa"/>
            <w:tcBorders>
              <w:top w:val="single" w:sz="8" w:space="0" w:color="auto"/>
              <w:left w:val="nil"/>
              <w:bottom w:val="nil"/>
              <w:right w:val="single" w:sz="8" w:space="0" w:color="auto"/>
            </w:tcBorders>
            <w:shd w:val="clear" w:color="auto" w:fill="auto"/>
            <w:vAlign w:val="center"/>
            <w:hideMark/>
          </w:tcPr>
          <w:p w14:paraId="44D1BFCB" w14:textId="77777777" w:rsidR="00D37F2D" w:rsidRPr="000F4945" w:rsidRDefault="00D37F2D">
            <w:pPr>
              <w:spacing w:before="0" w:after="0"/>
              <w:jc w:val="center"/>
              <w:rPr>
                <w:rFonts w:eastAsia="Times New Roman"/>
                <w:color w:val="000000"/>
                <w:sz w:val="20"/>
                <w:szCs w:val="20"/>
                <w:lang w:val="en-IE" w:eastAsia="en-IE"/>
              </w:rPr>
            </w:pPr>
            <w:r w:rsidRPr="000F4945">
              <w:rPr>
                <w:rFonts w:eastAsia="Times New Roman"/>
                <w:color w:val="000000"/>
                <w:sz w:val="20"/>
                <w:szCs w:val="20"/>
                <w:lang w:val="en-IE" w:eastAsia="en-IE"/>
              </w:rPr>
              <w:t>Year</w:t>
            </w:r>
          </w:p>
        </w:tc>
        <w:tc>
          <w:tcPr>
            <w:tcW w:w="1115" w:type="dxa"/>
            <w:tcBorders>
              <w:top w:val="single" w:sz="8" w:space="0" w:color="auto"/>
              <w:left w:val="nil"/>
              <w:bottom w:val="nil"/>
              <w:right w:val="single" w:sz="8" w:space="0" w:color="auto"/>
            </w:tcBorders>
            <w:shd w:val="clear" w:color="auto" w:fill="auto"/>
            <w:vAlign w:val="center"/>
            <w:hideMark/>
          </w:tcPr>
          <w:p w14:paraId="3DB7A656" w14:textId="77777777" w:rsidR="00D37F2D" w:rsidRPr="000F4945" w:rsidRDefault="00D37F2D">
            <w:pPr>
              <w:spacing w:before="0" w:after="0"/>
              <w:jc w:val="center"/>
              <w:rPr>
                <w:rFonts w:eastAsia="Times New Roman"/>
                <w:color w:val="000000"/>
                <w:sz w:val="20"/>
                <w:szCs w:val="20"/>
                <w:lang w:val="en-IE" w:eastAsia="en-IE"/>
              </w:rPr>
            </w:pPr>
            <w:r w:rsidRPr="000F4945">
              <w:rPr>
                <w:rFonts w:eastAsia="Times New Roman"/>
                <w:color w:val="000000"/>
                <w:sz w:val="20"/>
                <w:szCs w:val="20"/>
                <w:lang w:val="en-IE" w:eastAsia="en-IE"/>
              </w:rPr>
              <w:t>Year</w:t>
            </w:r>
          </w:p>
        </w:tc>
        <w:tc>
          <w:tcPr>
            <w:tcW w:w="1115" w:type="dxa"/>
            <w:tcBorders>
              <w:top w:val="single" w:sz="8" w:space="0" w:color="auto"/>
              <w:left w:val="nil"/>
              <w:bottom w:val="nil"/>
              <w:right w:val="single" w:sz="8" w:space="0" w:color="auto"/>
            </w:tcBorders>
            <w:shd w:val="clear" w:color="auto" w:fill="auto"/>
            <w:vAlign w:val="center"/>
            <w:hideMark/>
          </w:tcPr>
          <w:p w14:paraId="4975180B" w14:textId="77777777" w:rsidR="00D37F2D" w:rsidRPr="000F4945" w:rsidRDefault="00D37F2D">
            <w:pPr>
              <w:spacing w:before="0" w:after="0"/>
              <w:jc w:val="center"/>
              <w:rPr>
                <w:rFonts w:eastAsia="Times New Roman"/>
                <w:color w:val="000000"/>
                <w:sz w:val="20"/>
                <w:szCs w:val="20"/>
                <w:lang w:val="en-IE" w:eastAsia="en-IE"/>
              </w:rPr>
            </w:pPr>
            <w:r w:rsidRPr="000F4945">
              <w:rPr>
                <w:rFonts w:eastAsia="Times New Roman"/>
                <w:color w:val="000000"/>
                <w:sz w:val="20"/>
                <w:szCs w:val="20"/>
                <w:lang w:val="en-IE" w:eastAsia="en-IE"/>
              </w:rPr>
              <w:t>Year</w:t>
            </w:r>
          </w:p>
        </w:tc>
        <w:tc>
          <w:tcPr>
            <w:tcW w:w="1353" w:type="dxa"/>
            <w:vMerge w:val="restart"/>
            <w:tcBorders>
              <w:top w:val="single" w:sz="8" w:space="0" w:color="auto"/>
              <w:left w:val="single" w:sz="8" w:space="0" w:color="auto"/>
              <w:bottom w:val="single" w:sz="8" w:space="0" w:color="000000" w:themeColor="text1"/>
              <w:right w:val="single" w:sz="8" w:space="0" w:color="auto"/>
            </w:tcBorders>
            <w:shd w:val="clear" w:color="auto" w:fill="auto"/>
            <w:vAlign w:val="center"/>
            <w:hideMark/>
          </w:tcPr>
          <w:p w14:paraId="2C283FEE" w14:textId="77777777" w:rsidR="00D37F2D" w:rsidRPr="000F4945" w:rsidRDefault="00D37F2D">
            <w:pPr>
              <w:spacing w:before="0" w:after="0"/>
              <w:jc w:val="center"/>
              <w:rPr>
                <w:rFonts w:eastAsia="Times New Roman"/>
                <w:b/>
                <w:bCs/>
                <w:color w:val="000000"/>
                <w:sz w:val="20"/>
                <w:szCs w:val="20"/>
                <w:lang w:val="en-IE" w:eastAsia="en-IE"/>
              </w:rPr>
            </w:pPr>
            <w:r w:rsidRPr="000F4945">
              <w:rPr>
                <w:rFonts w:eastAsia="Times New Roman"/>
                <w:b/>
                <w:bCs/>
                <w:color w:val="000000"/>
                <w:sz w:val="20"/>
                <w:szCs w:val="20"/>
                <w:lang w:val="en-IE" w:eastAsia="en-IE"/>
              </w:rPr>
              <w:t>TOTAL MFF</w:t>
            </w:r>
            <w:r w:rsidRPr="000F4945">
              <w:rPr>
                <w:rFonts w:eastAsia="Times New Roman"/>
                <w:b/>
                <w:bCs/>
                <w:color w:val="000000"/>
                <w:sz w:val="20"/>
                <w:szCs w:val="20"/>
                <w:lang w:val="en-IE" w:eastAsia="en-IE"/>
              </w:rPr>
              <w:br/>
              <w:t>2021-2027</w:t>
            </w:r>
          </w:p>
        </w:tc>
      </w:tr>
      <w:tr w:rsidR="00D37F2D" w:rsidRPr="000F4945" w14:paraId="3D09642D" w14:textId="77777777">
        <w:trPr>
          <w:trHeight w:val="315"/>
        </w:trPr>
        <w:tc>
          <w:tcPr>
            <w:tcW w:w="5542" w:type="dxa"/>
            <w:gridSpan w:val="3"/>
            <w:vMerge/>
            <w:tcBorders>
              <w:top w:val="single" w:sz="8" w:space="0" w:color="000000" w:themeColor="text1"/>
              <w:left w:val="single" w:sz="4" w:space="0" w:color="auto"/>
              <w:bottom w:val="single" w:sz="4" w:space="0" w:color="auto"/>
              <w:right w:val="single" w:sz="4" w:space="0" w:color="auto"/>
            </w:tcBorders>
            <w:vAlign w:val="center"/>
            <w:hideMark/>
          </w:tcPr>
          <w:p w14:paraId="0F000E18" w14:textId="77777777" w:rsidR="00D37F2D" w:rsidRPr="000F4945" w:rsidRDefault="00D37F2D">
            <w:pPr>
              <w:spacing w:before="0" w:after="0"/>
              <w:jc w:val="left"/>
              <w:rPr>
                <w:rFonts w:eastAsia="Times New Roman"/>
                <w:color w:val="000000"/>
                <w:sz w:val="22"/>
                <w:lang w:val="en-IE" w:eastAsia="en-IE"/>
              </w:rPr>
            </w:pPr>
          </w:p>
        </w:tc>
        <w:tc>
          <w:tcPr>
            <w:tcW w:w="1113" w:type="dxa"/>
            <w:tcBorders>
              <w:top w:val="nil"/>
              <w:left w:val="single" w:sz="4" w:space="0" w:color="auto"/>
              <w:bottom w:val="single" w:sz="8" w:space="0" w:color="auto"/>
              <w:right w:val="single" w:sz="8" w:space="0" w:color="auto"/>
            </w:tcBorders>
            <w:shd w:val="clear" w:color="auto" w:fill="auto"/>
            <w:vAlign w:val="center"/>
            <w:hideMark/>
          </w:tcPr>
          <w:p w14:paraId="102958AF" w14:textId="77777777" w:rsidR="00D37F2D" w:rsidRPr="000F4945" w:rsidRDefault="00D37F2D">
            <w:pPr>
              <w:spacing w:before="0" w:after="0"/>
              <w:jc w:val="center"/>
              <w:rPr>
                <w:rFonts w:eastAsia="Times New Roman"/>
                <w:b/>
                <w:bCs/>
                <w:color w:val="000000"/>
                <w:sz w:val="20"/>
                <w:szCs w:val="20"/>
                <w:lang w:val="en-IE" w:eastAsia="en-IE"/>
              </w:rPr>
            </w:pPr>
            <w:r w:rsidRPr="000F4945">
              <w:rPr>
                <w:rFonts w:eastAsia="Times New Roman"/>
                <w:b/>
                <w:bCs/>
                <w:color w:val="000000"/>
                <w:sz w:val="20"/>
                <w:szCs w:val="20"/>
                <w:lang w:val="en-IE" w:eastAsia="en-IE"/>
              </w:rPr>
              <w:t>2024</w:t>
            </w:r>
          </w:p>
        </w:tc>
        <w:tc>
          <w:tcPr>
            <w:tcW w:w="1113" w:type="dxa"/>
            <w:tcBorders>
              <w:top w:val="nil"/>
              <w:left w:val="nil"/>
              <w:bottom w:val="single" w:sz="8" w:space="0" w:color="auto"/>
              <w:right w:val="single" w:sz="8" w:space="0" w:color="auto"/>
            </w:tcBorders>
            <w:shd w:val="clear" w:color="auto" w:fill="auto"/>
            <w:vAlign w:val="center"/>
            <w:hideMark/>
          </w:tcPr>
          <w:p w14:paraId="1D3BDA43" w14:textId="77777777" w:rsidR="00D37F2D" w:rsidRPr="000F4945" w:rsidRDefault="00D37F2D">
            <w:pPr>
              <w:spacing w:before="0" w:after="0"/>
              <w:jc w:val="center"/>
              <w:rPr>
                <w:rFonts w:eastAsia="Times New Roman"/>
                <w:b/>
                <w:bCs/>
                <w:color w:val="000000"/>
                <w:sz w:val="20"/>
                <w:szCs w:val="20"/>
                <w:lang w:val="en-IE" w:eastAsia="en-IE"/>
              </w:rPr>
            </w:pPr>
            <w:r w:rsidRPr="000F4945">
              <w:rPr>
                <w:rFonts w:eastAsia="Times New Roman"/>
                <w:b/>
                <w:bCs/>
                <w:color w:val="000000"/>
                <w:sz w:val="20"/>
                <w:szCs w:val="20"/>
                <w:lang w:val="en-IE" w:eastAsia="en-IE"/>
              </w:rPr>
              <w:t>2025</w:t>
            </w:r>
          </w:p>
        </w:tc>
        <w:tc>
          <w:tcPr>
            <w:tcW w:w="1115" w:type="dxa"/>
            <w:tcBorders>
              <w:top w:val="nil"/>
              <w:left w:val="nil"/>
              <w:bottom w:val="single" w:sz="8" w:space="0" w:color="auto"/>
              <w:right w:val="single" w:sz="8" w:space="0" w:color="auto"/>
            </w:tcBorders>
            <w:shd w:val="clear" w:color="auto" w:fill="auto"/>
            <w:vAlign w:val="center"/>
            <w:hideMark/>
          </w:tcPr>
          <w:p w14:paraId="1C310805" w14:textId="77777777" w:rsidR="00D37F2D" w:rsidRPr="000F4945" w:rsidRDefault="00D37F2D">
            <w:pPr>
              <w:spacing w:before="0" w:after="0"/>
              <w:jc w:val="center"/>
              <w:rPr>
                <w:rFonts w:eastAsia="Times New Roman"/>
                <w:b/>
                <w:bCs/>
                <w:color w:val="000000"/>
                <w:sz w:val="20"/>
                <w:szCs w:val="20"/>
                <w:lang w:val="en-IE" w:eastAsia="en-IE"/>
              </w:rPr>
            </w:pPr>
            <w:r w:rsidRPr="000F4945">
              <w:rPr>
                <w:rFonts w:eastAsia="Times New Roman"/>
                <w:b/>
                <w:bCs/>
                <w:color w:val="000000"/>
                <w:sz w:val="20"/>
                <w:szCs w:val="20"/>
                <w:lang w:val="en-IE" w:eastAsia="en-IE"/>
              </w:rPr>
              <w:t>2026</w:t>
            </w:r>
          </w:p>
        </w:tc>
        <w:tc>
          <w:tcPr>
            <w:tcW w:w="1115" w:type="dxa"/>
            <w:tcBorders>
              <w:top w:val="nil"/>
              <w:left w:val="nil"/>
              <w:bottom w:val="single" w:sz="8" w:space="0" w:color="auto"/>
              <w:right w:val="single" w:sz="8" w:space="0" w:color="auto"/>
            </w:tcBorders>
            <w:shd w:val="clear" w:color="auto" w:fill="auto"/>
            <w:vAlign w:val="center"/>
            <w:hideMark/>
          </w:tcPr>
          <w:p w14:paraId="200D6CD4" w14:textId="77777777" w:rsidR="00D37F2D" w:rsidRPr="000F4945" w:rsidRDefault="00D37F2D">
            <w:pPr>
              <w:spacing w:before="0" w:after="0"/>
              <w:jc w:val="center"/>
              <w:rPr>
                <w:rFonts w:eastAsia="Times New Roman"/>
                <w:b/>
                <w:bCs/>
                <w:color w:val="000000"/>
                <w:sz w:val="20"/>
                <w:szCs w:val="20"/>
                <w:lang w:val="en-IE" w:eastAsia="en-IE"/>
              </w:rPr>
            </w:pPr>
            <w:r w:rsidRPr="000F4945">
              <w:rPr>
                <w:rFonts w:eastAsia="Times New Roman"/>
                <w:b/>
                <w:bCs/>
                <w:color w:val="000000"/>
                <w:sz w:val="20"/>
                <w:szCs w:val="20"/>
                <w:lang w:val="en-IE" w:eastAsia="en-IE"/>
              </w:rPr>
              <w:t>2027</w:t>
            </w:r>
          </w:p>
        </w:tc>
        <w:tc>
          <w:tcPr>
            <w:tcW w:w="1353" w:type="dxa"/>
            <w:vMerge/>
            <w:vAlign w:val="center"/>
            <w:hideMark/>
          </w:tcPr>
          <w:p w14:paraId="3E14BFA8" w14:textId="77777777" w:rsidR="00D37F2D" w:rsidRPr="000F4945" w:rsidRDefault="00D37F2D">
            <w:pPr>
              <w:spacing w:before="0" w:after="0"/>
              <w:jc w:val="left"/>
              <w:rPr>
                <w:rFonts w:eastAsia="Times New Roman"/>
                <w:b/>
                <w:bCs/>
                <w:color w:val="000000"/>
                <w:sz w:val="20"/>
                <w:szCs w:val="20"/>
                <w:lang w:val="en-IE" w:eastAsia="en-IE"/>
              </w:rPr>
            </w:pPr>
          </w:p>
        </w:tc>
      </w:tr>
      <w:tr w:rsidR="00D37F2D" w:rsidRPr="000F4945" w14:paraId="0827BA6F" w14:textId="77777777">
        <w:trPr>
          <w:trHeight w:val="315"/>
        </w:trPr>
        <w:tc>
          <w:tcPr>
            <w:tcW w:w="3195" w:type="dxa"/>
            <w:vMerge w:val="restart"/>
            <w:tcBorders>
              <w:top w:val="single" w:sz="4" w:space="0" w:color="auto"/>
              <w:left w:val="single" w:sz="8" w:space="0" w:color="auto"/>
              <w:bottom w:val="single" w:sz="8" w:space="0" w:color="auto"/>
              <w:right w:val="single" w:sz="8" w:space="0" w:color="auto"/>
            </w:tcBorders>
            <w:shd w:val="clear" w:color="auto" w:fill="auto"/>
            <w:vAlign w:val="center"/>
            <w:hideMark/>
          </w:tcPr>
          <w:p w14:paraId="2C54EB84" w14:textId="77777777" w:rsidR="00D37F2D" w:rsidRPr="000F4945" w:rsidRDefault="00D37F2D">
            <w:pPr>
              <w:spacing w:before="0" w:after="0"/>
              <w:rPr>
                <w:rFonts w:eastAsia="Times New Roman"/>
                <w:color w:val="000000"/>
                <w:sz w:val="21"/>
                <w:szCs w:val="21"/>
                <w:lang w:val="en-IE" w:eastAsia="en-IE"/>
              </w:rPr>
            </w:pPr>
            <w:r w:rsidRPr="000F4945">
              <w:rPr>
                <w:rFonts w:eastAsia="Times New Roman"/>
                <w:color w:val="000000"/>
                <w:sz w:val="21"/>
                <w:szCs w:val="21"/>
                <w:lang w:val="en-IE" w:eastAsia="en-IE"/>
              </w:rPr>
              <w:t>• TOTAL operational appropriations (all operational headings)</w:t>
            </w:r>
          </w:p>
        </w:tc>
        <w:tc>
          <w:tcPr>
            <w:tcW w:w="1237" w:type="dxa"/>
            <w:tcBorders>
              <w:top w:val="single" w:sz="4" w:space="0" w:color="auto"/>
              <w:left w:val="nil"/>
              <w:bottom w:val="single" w:sz="8" w:space="0" w:color="auto"/>
              <w:right w:val="single" w:sz="8" w:space="0" w:color="auto"/>
            </w:tcBorders>
            <w:shd w:val="clear" w:color="auto" w:fill="auto"/>
            <w:vAlign w:val="center"/>
            <w:hideMark/>
          </w:tcPr>
          <w:p w14:paraId="50DBE046" w14:textId="77777777" w:rsidR="00D37F2D" w:rsidRPr="000F4945" w:rsidRDefault="00D37F2D">
            <w:pPr>
              <w:spacing w:before="0" w:after="0"/>
              <w:rPr>
                <w:rFonts w:eastAsia="Times New Roman"/>
                <w:color w:val="000000"/>
                <w:sz w:val="18"/>
                <w:szCs w:val="18"/>
                <w:lang w:val="en-IE" w:eastAsia="en-IE"/>
              </w:rPr>
            </w:pPr>
            <w:r w:rsidRPr="000F4945">
              <w:rPr>
                <w:rFonts w:eastAsia="Times New Roman"/>
                <w:color w:val="000000"/>
                <w:sz w:val="18"/>
                <w:szCs w:val="18"/>
                <w:lang w:val="en-IE" w:eastAsia="en-IE"/>
              </w:rPr>
              <w:t>Commitments</w:t>
            </w:r>
          </w:p>
        </w:tc>
        <w:tc>
          <w:tcPr>
            <w:tcW w:w="1110" w:type="dxa"/>
            <w:tcBorders>
              <w:top w:val="single" w:sz="4" w:space="0" w:color="auto"/>
              <w:left w:val="nil"/>
              <w:bottom w:val="single" w:sz="8" w:space="0" w:color="auto"/>
              <w:right w:val="single" w:sz="8" w:space="0" w:color="000000" w:themeColor="text1"/>
            </w:tcBorders>
            <w:shd w:val="clear" w:color="auto" w:fill="auto"/>
            <w:vAlign w:val="center"/>
            <w:hideMark/>
          </w:tcPr>
          <w:p w14:paraId="1E37B58C" w14:textId="77777777" w:rsidR="00D37F2D" w:rsidRPr="000F4945" w:rsidRDefault="00D37F2D">
            <w:pPr>
              <w:spacing w:before="0" w:after="0"/>
              <w:jc w:val="center"/>
              <w:rPr>
                <w:rFonts w:eastAsia="Times New Roman"/>
                <w:color w:val="000000"/>
                <w:sz w:val="14"/>
                <w:szCs w:val="14"/>
                <w:lang w:val="en-IE" w:eastAsia="en-IE"/>
              </w:rPr>
            </w:pPr>
            <w:r w:rsidRPr="000F4945">
              <w:rPr>
                <w:rFonts w:eastAsia="Times New Roman"/>
                <w:color w:val="000000"/>
                <w:sz w:val="14"/>
                <w:szCs w:val="14"/>
                <w:lang w:val="en-IE" w:eastAsia="en-IE"/>
              </w:rPr>
              <w:t>(4)</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5A3C86B6"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5F08DF90"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72758348"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41,056</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213A578C"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41,971</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563D4909"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83,027</w:t>
            </w:r>
          </w:p>
        </w:tc>
      </w:tr>
      <w:tr w:rsidR="00D37F2D" w:rsidRPr="000F4945" w14:paraId="5DE74BD2" w14:textId="77777777">
        <w:trPr>
          <w:trHeight w:val="315"/>
        </w:trPr>
        <w:tc>
          <w:tcPr>
            <w:tcW w:w="3195" w:type="dxa"/>
            <w:vMerge/>
            <w:vAlign w:val="center"/>
            <w:hideMark/>
          </w:tcPr>
          <w:p w14:paraId="7727F7D5" w14:textId="77777777" w:rsidR="00D37F2D" w:rsidRPr="000F4945" w:rsidRDefault="00D37F2D">
            <w:pPr>
              <w:spacing w:before="0" w:after="0"/>
              <w:jc w:val="left"/>
              <w:rPr>
                <w:rFonts w:eastAsia="Times New Roman"/>
                <w:color w:val="000000"/>
                <w:sz w:val="21"/>
                <w:szCs w:val="21"/>
                <w:lang w:val="en-IE" w:eastAsia="en-IE"/>
              </w:rPr>
            </w:pPr>
          </w:p>
        </w:tc>
        <w:tc>
          <w:tcPr>
            <w:tcW w:w="1237" w:type="dxa"/>
            <w:tcBorders>
              <w:top w:val="nil"/>
              <w:left w:val="nil"/>
              <w:bottom w:val="single" w:sz="8" w:space="0" w:color="auto"/>
              <w:right w:val="single" w:sz="8" w:space="0" w:color="auto"/>
            </w:tcBorders>
            <w:shd w:val="clear" w:color="auto" w:fill="auto"/>
            <w:vAlign w:val="center"/>
            <w:hideMark/>
          </w:tcPr>
          <w:p w14:paraId="535B9978" w14:textId="77777777" w:rsidR="00D37F2D" w:rsidRPr="000F4945" w:rsidRDefault="00D37F2D">
            <w:pPr>
              <w:spacing w:before="0" w:after="0"/>
              <w:rPr>
                <w:rFonts w:eastAsia="Times New Roman"/>
                <w:color w:val="000000"/>
                <w:sz w:val="18"/>
                <w:szCs w:val="18"/>
                <w:lang w:val="en-IE" w:eastAsia="en-IE"/>
              </w:rPr>
            </w:pPr>
            <w:r w:rsidRPr="000F4945">
              <w:rPr>
                <w:rFonts w:eastAsia="Times New Roman"/>
                <w:color w:val="000000"/>
                <w:sz w:val="18"/>
                <w:szCs w:val="18"/>
                <w:lang w:val="en-IE" w:eastAsia="en-IE"/>
              </w:rPr>
              <w:t>Payments</w:t>
            </w:r>
          </w:p>
        </w:tc>
        <w:tc>
          <w:tcPr>
            <w:tcW w:w="1110" w:type="dxa"/>
            <w:tcBorders>
              <w:top w:val="single" w:sz="8" w:space="0" w:color="auto"/>
              <w:left w:val="nil"/>
              <w:bottom w:val="single" w:sz="8" w:space="0" w:color="auto"/>
              <w:right w:val="single" w:sz="8" w:space="0" w:color="000000" w:themeColor="text1"/>
            </w:tcBorders>
            <w:shd w:val="clear" w:color="auto" w:fill="auto"/>
            <w:vAlign w:val="center"/>
            <w:hideMark/>
          </w:tcPr>
          <w:p w14:paraId="7C1B6A6E" w14:textId="77777777" w:rsidR="00D37F2D" w:rsidRPr="000F4945" w:rsidRDefault="00D37F2D">
            <w:pPr>
              <w:spacing w:before="0" w:after="0"/>
              <w:jc w:val="center"/>
              <w:rPr>
                <w:rFonts w:eastAsia="Times New Roman"/>
                <w:color w:val="000000"/>
                <w:sz w:val="14"/>
                <w:szCs w:val="14"/>
                <w:lang w:val="en-IE" w:eastAsia="en-IE"/>
              </w:rPr>
            </w:pPr>
            <w:r w:rsidRPr="000F4945">
              <w:rPr>
                <w:rFonts w:eastAsia="Times New Roman"/>
                <w:color w:val="000000"/>
                <w:sz w:val="14"/>
                <w:szCs w:val="14"/>
                <w:lang w:val="en-IE" w:eastAsia="en-IE"/>
              </w:rPr>
              <w:t>(5)</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42CEF5FF"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18C0112E"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1B5FC783"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28,934</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4475B01A"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41,729</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71F1A22B"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70,663</w:t>
            </w:r>
          </w:p>
        </w:tc>
      </w:tr>
      <w:tr w:rsidR="00D37F2D" w:rsidRPr="000F4945" w14:paraId="58E6290C" w14:textId="77777777">
        <w:trPr>
          <w:trHeight w:val="990"/>
        </w:trPr>
        <w:tc>
          <w:tcPr>
            <w:tcW w:w="4432" w:type="dxa"/>
            <w:gridSpan w:val="2"/>
            <w:tcBorders>
              <w:top w:val="single" w:sz="8" w:space="0" w:color="auto"/>
              <w:left w:val="single" w:sz="8" w:space="0" w:color="auto"/>
              <w:bottom w:val="single" w:sz="8" w:space="0" w:color="auto"/>
              <w:right w:val="single" w:sz="8" w:space="0" w:color="000000" w:themeColor="text1"/>
            </w:tcBorders>
            <w:shd w:val="clear" w:color="auto" w:fill="auto"/>
            <w:vAlign w:val="center"/>
            <w:hideMark/>
          </w:tcPr>
          <w:p w14:paraId="0D54AF67" w14:textId="77777777" w:rsidR="00D37F2D" w:rsidRPr="000F4945" w:rsidRDefault="00D37F2D">
            <w:pPr>
              <w:spacing w:before="0" w:after="0"/>
              <w:rPr>
                <w:rFonts w:eastAsia="Times New Roman"/>
                <w:color w:val="000000"/>
                <w:sz w:val="21"/>
                <w:szCs w:val="21"/>
                <w:lang w:val="en-IE" w:eastAsia="en-IE"/>
              </w:rPr>
            </w:pPr>
            <w:r w:rsidRPr="000F4945">
              <w:rPr>
                <w:rFonts w:eastAsia="Times New Roman"/>
                <w:color w:val="000000"/>
                <w:sz w:val="21"/>
                <w:szCs w:val="21"/>
                <w:lang w:val="en-IE" w:eastAsia="en-IE"/>
              </w:rPr>
              <w:t>• TOTAL appropriations of an administrative nature financed from the envelope for specific programmes (all operational headings)</w:t>
            </w:r>
          </w:p>
        </w:tc>
        <w:tc>
          <w:tcPr>
            <w:tcW w:w="1110" w:type="dxa"/>
            <w:tcBorders>
              <w:top w:val="single" w:sz="8" w:space="0" w:color="auto"/>
              <w:left w:val="nil"/>
              <w:bottom w:val="single" w:sz="8" w:space="0" w:color="auto"/>
              <w:right w:val="single" w:sz="8" w:space="0" w:color="000000" w:themeColor="text1"/>
            </w:tcBorders>
            <w:shd w:val="clear" w:color="auto" w:fill="auto"/>
            <w:vAlign w:val="center"/>
            <w:hideMark/>
          </w:tcPr>
          <w:p w14:paraId="04D9BC6B" w14:textId="77777777" w:rsidR="00D37F2D" w:rsidRPr="000F4945" w:rsidRDefault="00D37F2D">
            <w:pPr>
              <w:spacing w:before="0" w:after="0"/>
              <w:jc w:val="center"/>
              <w:rPr>
                <w:rFonts w:eastAsia="Times New Roman"/>
                <w:color w:val="000000"/>
                <w:sz w:val="14"/>
                <w:szCs w:val="14"/>
                <w:lang w:val="en-IE" w:eastAsia="en-IE"/>
              </w:rPr>
            </w:pPr>
            <w:r w:rsidRPr="000F4945">
              <w:rPr>
                <w:rFonts w:eastAsia="Times New Roman"/>
                <w:color w:val="000000"/>
                <w:sz w:val="14"/>
                <w:szCs w:val="14"/>
                <w:lang w:val="en-IE" w:eastAsia="en-IE"/>
              </w:rPr>
              <w:t>(6)</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301DF89D"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08D76B2A"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4B36F2B7"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160A22C3" w14:textId="77777777" w:rsidR="00D37F2D" w:rsidRPr="000F4945" w:rsidRDefault="00D37F2D">
            <w:pPr>
              <w:spacing w:before="0" w:after="0"/>
              <w:jc w:val="right"/>
              <w:rPr>
                <w:rFonts w:eastAsia="Times New Roman"/>
                <w:color w:val="000000"/>
                <w:sz w:val="20"/>
                <w:szCs w:val="20"/>
                <w:lang w:val="en-IE" w:eastAsia="en-IE"/>
              </w:rPr>
            </w:pPr>
            <w:r w:rsidRPr="000F4945">
              <w:rPr>
                <w:rFonts w:eastAsia="Times New Roman"/>
                <w:color w:val="000000"/>
                <w:sz w:val="20"/>
                <w:szCs w:val="20"/>
                <w:lang w:val="en-IE" w:eastAsia="en-IE"/>
              </w:rPr>
              <w:t>0,000</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1DE442DF"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0,000</w:t>
            </w:r>
          </w:p>
        </w:tc>
      </w:tr>
      <w:tr w:rsidR="00D37F2D" w:rsidRPr="000F4945" w14:paraId="324749AF" w14:textId="77777777">
        <w:trPr>
          <w:trHeight w:val="585"/>
        </w:trPr>
        <w:tc>
          <w:tcPr>
            <w:tcW w:w="3195" w:type="dxa"/>
            <w:tcBorders>
              <w:top w:val="nil"/>
              <w:left w:val="single" w:sz="8" w:space="0" w:color="auto"/>
              <w:bottom w:val="nil"/>
              <w:right w:val="single" w:sz="8" w:space="0" w:color="auto"/>
            </w:tcBorders>
            <w:shd w:val="clear" w:color="auto" w:fill="F1F1F1"/>
            <w:vAlign w:val="center"/>
            <w:hideMark/>
          </w:tcPr>
          <w:p w14:paraId="10C18881" w14:textId="77777777" w:rsidR="00D37F2D" w:rsidRPr="000F4945" w:rsidRDefault="00D37F2D">
            <w:pPr>
              <w:spacing w:before="0" w:after="0"/>
              <w:jc w:val="center"/>
              <w:rPr>
                <w:rFonts w:eastAsia="Times New Roman"/>
                <w:b/>
                <w:bCs/>
                <w:color w:val="000000"/>
                <w:sz w:val="22"/>
                <w:lang w:val="en-IE" w:eastAsia="en-IE"/>
              </w:rPr>
            </w:pPr>
            <w:r w:rsidRPr="000F4945">
              <w:rPr>
                <w:rFonts w:eastAsia="Times New Roman"/>
                <w:b/>
                <w:bCs/>
                <w:color w:val="000000"/>
                <w:sz w:val="22"/>
                <w:lang w:val="en-IE" w:eastAsia="en-IE"/>
              </w:rPr>
              <w:t>TOTAL appropriations</w:t>
            </w:r>
            <w:r w:rsidRPr="000F4945">
              <w:rPr>
                <w:rFonts w:eastAsia="Times New Roman"/>
                <w:b/>
                <w:bCs/>
                <w:color w:val="000000"/>
                <w:sz w:val="22"/>
                <w:lang w:val="en-IE" w:eastAsia="en-IE"/>
              </w:rPr>
              <w:br/>
              <w:t>Under Heading 1 to 6</w:t>
            </w:r>
          </w:p>
        </w:tc>
        <w:tc>
          <w:tcPr>
            <w:tcW w:w="1237" w:type="dxa"/>
            <w:tcBorders>
              <w:top w:val="nil"/>
              <w:left w:val="nil"/>
              <w:bottom w:val="nil"/>
              <w:right w:val="single" w:sz="8" w:space="0" w:color="auto"/>
            </w:tcBorders>
            <w:shd w:val="clear" w:color="auto" w:fill="auto"/>
            <w:vAlign w:val="center"/>
            <w:hideMark/>
          </w:tcPr>
          <w:p w14:paraId="6B9E79DA" w14:textId="77777777" w:rsidR="00D37F2D" w:rsidRPr="000F4945" w:rsidRDefault="00D37F2D">
            <w:pPr>
              <w:spacing w:before="0" w:after="0"/>
              <w:rPr>
                <w:rFonts w:eastAsia="Times New Roman"/>
                <w:color w:val="000000"/>
                <w:sz w:val="18"/>
                <w:szCs w:val="18"/>
                <w:lang w:val="en-IE" w:eastAsia="en-IE"/>
              </w:rPr>
            </w:pPr>
            <w:r w:rsidRPr="000F4945">
              <w:rPr>
                <w:rFonts w:eastAsia="Times New Roman"/>
                <w:color w:val="000000"/>
                <w:sz w:val="18"/>
                <w:szCs w:val="18"/>
                <w:lang w:val="en-IE" w:eastAsia="en-IE"/>
              </w:rPr>
              <w:t>Commitments</w:t>
            </w:r>
          </w:p>
        </w:tc>
        <w:tc>
          <w:tcPr>
            <w:tcW w:w="1110" w:type="dxa"/>
            <w:tcBorders>
              <w:top w:val="single" w:sz="8" w:space="0" w:color="auto"/>
              <w:left w:val="nil"/>
              <w:bottom w:val="nil"/>
              <w:right w:val="single" w:sz="8" w:space="0" w:color="000000" w:themeColor="text1"/>
            </w:tcBorders>
            <w:shd w:val="clear" w:color="auto" w:fill="auto"/>
            <w:vAlign w:val="center"/>
            <w:hideMark/>
          </w:tcPr>
          <w:p w14:paraId="39B59ADB" w14:textId="77777777" w:rsidR="00D37F2D" w:rsidRPr="000F4945" w:rsidRDefault="00D37F2D">
            <w:pPr>
              <w:spacing w:before="0" w:after="0"/>
              <w:jc w:val="center"/>
              <w:rPr>
                <w:rFonts w:eastAsia="Times New Roman"/>
                <w:color w:val="000000"/>
                <w:sz w:val="14"/>
                <w:szCs w:val="14"/>
                <w:lang w:val="en-IE" w:eastAsia="en-IE"/>
              </w:rPr>
            </w:pPr>
            <w:r w:rsidRPr="000F4945">
              <w:rPr>
                <w:rFonts w:eastAsia="Times New Roman"/>
                <w:color w:val="000000"/>
                <w:sz w:val="14"/>
                <w:szCs w:val="14"/>
                <w:lang w:val="en-IE" w:eastAsia="en-IE"/>
              </w:rPr>
              <w:t>=4+6</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07028460"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069D0EED"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5252487A"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41,056</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39B35ADE"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41,971</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30B1DBBA"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83,027</w:t>
            </w:r>
          </w:p>
        </w:tc>
      </w:tr>
      <w:tr w:rsidR="00D37F2D" w:rsidRPr="000F4945" w14:paraId="31F2FC35" w14:textId="77777777">
        <w:trPr>
          <w:trHeight w:val="589"/>
        </w:trPr>
        <w:tc>
          <w:tcPr>
            <w:tcW w:w="3195" w:type="dxa"/>
            <w:tcBorders>
              <w:top w:val="nil"/>
              <w:left w:val="single" w:sz="8" w:space="0" w:color="auto"/>
              <w:bottom w:val="single" w:sz="8" w:space="0" w:color="auto"/>
              <w:right w:val="single" w:sz="8" w:space="0" w:color="auto"/>
            </w:tcBorders>
            <w:shd w:val="clear" w:color="auto" w:fill="F1F1F1"/>
            <w:vAlign w:val="center"/>
            <w:hideMark/>
          </w:tcPr>
          <w:p w14:paraId="73E2939D" w14:textId="77777777" w:rsidR="00D37F2D" w:rsidRPr="000F4945" w:rsidRDefault="00D37F2D">
            <w:pPr>
              <w:spacing w:before="0" w:after="0"/>
              <w:jc w:val="center"/>
              <w:rPr>
                <w:rFonts w:eastAsia="Times New Roman"/>
                <w:color w:val="000000"/>
                <w:sz w:val="20"/>
                <w:szCs w:val="20"/>
                <w:lang w:val="en-IE" w:eastAsia="en-IE"/>
              </w:rPr>
            </w:pPr>
            <w:r w:rsidRPr="000F4945">
              <w:rPr>
                <w:rFonts w:eastAsia="Times New Roman"/>
                <w:color w:val="000000"/>
                <w:sz w:val="20"/>
                <w:szCs w:val="20"/>
                <w:lang w:val="en-IE" w:eastAsia="en-IE"/>
              </w:rPr>
              <w:t>of the multiannual financial framework</w:t>
            </w:r>
            <w:r w:rsidRPr="000F4945">
              <w:rPr>
                <w:rFonts w:eastAsia="Times New Roman"/>
                <w:color w:val="000000"/>
                <w:sz w:val="20"/>
                <w:szCs w:val="20"/>
                <w:lang w:val="en-IE" w:eastAsia="en-IE"/>
              </w:rPr>
              <w:br/>
              <w:t>(Reference amount)</w:t>
            </w:r>
          </w:p>
        </w:tc>
        <w:tc>
          <w:tcPr>
            <w:tcW w:w="1237" w:type="dxa"/>
            <w:tcBorders>
              <w:top w:val="nil"/>
              <w:left w:val="nil"/>
              <w:bottom w:val="single" w:sz="8" w:space="0" w:color="auto"/>
              <w:right w:val="single" w:sz="8" w:space="0" w:color="auto"/>
            </w:tcBorders>
            <w:shd w:val="clear" w:color="auto" w:fill="auto"/>
            <w:vAlign w:val="center"/>
            <w:hideMark/>
          </w:tcPr>
          <w:p w14:paraId="5645F475" w14:textId="77777777" w:rsidR="00D37F2D" w:rsidRPr="000F4945" w:rsidRDefault="00D37F2D">
            <w:pPr>
              <w:spacing w:before="0" w:after="0"/>
              <w:rPr>
                <w:rFonts w:eastAsia="Times New Roman"/>
                <w:color w:val="000000"/>
                <w:sz w:val="18"/>
                <w:szCs w:val="18"/>
                <w:lang w:val="en-IE" w:eastAsia="en-IE"/>
              </w:rPr>
            </w:pPr>
            <w:r w:rsidRPr="000F4945">
              <w:rPr>
                <w:rFonts w:eastAsia="Times New Roman"/>
                <w:color w:val="000000"/>
                <w:sz w:val="18"/>
                <w:szCs w:val="18"/>
                <w:lang w:val="en-IE" w:eastAsia="en-IE"/>
              </w:rPr>
              <w:t>Payments</w:t>
            </w:r>
          </w:p>
        </w:tc>
        <w:tc>
          <w:tcPr>
            <w:tcW w:w="1110" w:type="dxa"/>
            <w:tcBorders>
              <w:top w:val="single" w:sz="8" w:space="0" w:color="auto"/>
              <w:left w:val="nil"/>
              <w:bottom w:val="single" w:sz="8" w:space="0" w:color="auto"/>
              <w:right w:val="single" w:sz="8" w:space="0" w:color="000000" w:themeColor="text1"/>
            </w:tcBorders>
            <w:shd w:val="clear" w:color="auto" w:fill="auto"/>
            <w:vAlign w:val="center"/>
            <w:hideMark/>
          </w:tcPr>
          <w:p w14:paraId="54C0013F" w14:textId="77777777" w:rsidR="00D37F2D" w:rsidRPr="000F4945" w:rsidRDefault="00D37F2D">
            <w:pPr>
              <w:spacing w:before="0" w:after="0"/>
              <w:jc w:val="center"/>
              <w:rPr>
                <w:rFonts w:eastAsia="Times New Roman"/>
                <w:color w:val="000000"/>
                <w:sz w:val="14"/>
                <w:szCs w:val="14"/>
                <w:lang w:val="en-IE" w:eastAsia="en-IE"/>
              </w:rPr>
            </w:pPr>
            <w:r w:rsidRPr="000F4945">
              <w:rPr>
                <w:rFonts w:eastAsia="Times New Roman"/>
                <w:color w:val="000000"/>
                <w:sz w:val="14"/>
                <w:szCs w:val="14"/>
                <w:lang w:val="en-IE" w:eastAsia="en-IE"/>
              </w:rPr>
              <w:t>=5+6</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64FCB86F"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auto" w:fill="D9D9D9" w:themeFill="background1" w:themeFillShade="D9"/>
            <w:vAlign w:val="center"/>
            <w:hideMark/>
          </w:tcPr>
          <w:p w14:paraId="4E3C5F67"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0,000</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7D24CD87"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28,934</w:t>
            </w:r>
          </w:p>
        </w:tc>
        <w:tc>
          <w:tcPr>
            <w:tcW w:w="1115" w:type="dxa"/>
            <w:tcBorders>
              <w:top w:val="nil"/>
              <w:left w:val="nil"/>
              <w:bottom w:val="single" w:sz="8" w:space="0" w:color="auto"/>
              <w:right w:val="single" w:sz="8" w:space="0" w:color="auto"/>
            </w:tcBorders>
            <w:shd w:val="clear" w:color="auto" w:fill="D9D9D9" w:themeFill="background1" w:themeFillShade="D9"/>
            <w:vAlign w:val="center"/>
            <w:hideMark/>
          </w:tcPr>
          <w:p w14:paraId="07EDAF74"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41,729</w:t>
            </w:r>
          </w:p>
        </w:tc>
        <w:tc>
          <w:tcPr>
            <w:tcW w:w="1353" w:type="dxa"/>
            <w:tcBorders>
              <w:top w:val="nil"/>
              <w:left w:val="nil"/>
              <w:bottom w:val="single" w:sz="8" w:space="0" w:color="auto"/>
              <w:right w:val="single" w:sz="8" w:space="0" w:color="auto"/>
            </w:tcBorders>
            <w:shd w:val="clear" w:color="auto" w:fill="D9D9D9" w:themeFill="background1" w:themeFillShade="D9"/>
            <w:vAlign w:val="center"/>
            <w:hideMark/>
          </w:tcPr>
          <w:p w14:paraId="4470AEE9" w14:textId="77777777" w:rsidR="00D37F2D" w:rsidRPr="000F4945" w:rsidRDefault="00D37F2D">
            <w:pPr>
              <w:spacing w:before="0" w:after="0"/>
              <w:jc w:val="right"/>
              <w:rPr>
                <w:rFonts w:eastAsia="Times New Roman"/>
                <w:b/>
                <w:bCs/>
                <w:color w:val="000000"/>
                <w:sz w:val="20"/>
                <w:szCs w:val="20"/>
                <w:lang w:val="en-IE" w:eastAsia="en-IE"/>
              </w:rPr>
            </w:pPr>
            <w:r w:rsidRPr="000F4945">
              <w:rPr>
                <w:rFonts w:eastAsia="Times New Roman"/>
                <w:b/>
                <w:bCs/>
                <w:color w:val="000000"/>
                <w:sz w:val="20"/>
                <w:szCs w:val="20"/>
                <w:lang w:val="en-IE" w:eastAsia="en-IE"/>
              </w:rPr>
              <w:t>70,663</w:t>
            </w:r>
          </w:p>
        </w:tc>
      </w:tr>
    </w:tbl>
    <w:p w14:paraId="51C255BE" w14:textId="77777777" w:rsidR="00D37F2D" w:rsidRDefault="00D37F2D" w:rsidP="00D37F2D">
      <w:pPr>
        <w:rPr>
          <w:noProof/>
          <w:sz w:val="16"/>
        </w:rPr>
      </w:pPr>
    </w:p>
    <w:p w14:paraId="276047B8" w14:textId="77777777" w:rsidR="00D37F2D" w:rsidRDefault="00D37F2D" w:rsidP="00D37F2D">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D37F2D" w14:paraId="795B81FB" w14:textId="77777777">
        <w:trPr>
          <w:jc w:val="center"/>
        </w:trPr>
        <w:tc>
          <w:tcPr>
            <w:tcW w:w="1739" w:type="pct"/>
            <w:shd w:val="thinDiagStripe" w:color="C0C0C0" w:fill="auto"/>
            <w:vAlign w:val="center"/>
          </w:tcPr>
          <w:p w14:paraId="33AC34B0" w14:textId="77777777" w:rsidR="00D37F2D" w:rsidRPr="003A769F" w:rsidRDefault="00D37F2D">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w:t>
            </w:r>
            <w:r>
              <w:rPr>
                <w:b/>
                <w:noProof/>
                <w:sz w:val="22"/>
                <w:lang w:val="en-IE"/>
              </w:rPr>
              <w:t xml:space="preserve"> </w:t>
            </w:r>
            <w:r w:rsidRPr="003A769F">
              <w:rPr>
                <w:b/>
                <w:noProof/>
                <w:sz w:val="22"/>
                <w:lang w:val="en-IE"/>
              </w:rPr>
              <w:t xml:space="preserve">framework </w:t>
            </w:r>
          </w:p>
        </w:tc>
        <w:tc>
          <w:tcPr>
            <w:tcW w:w="396" w:type="pct"/>
            <w:shd w:val="thinDiagStripe" w:color="C0C0C0" w:fill="auto"/>
            <w:vAlign w:val="center"/>
          </w:tcPr>
          <w:p w14:paraId="706E0B6B" w14:textId="77777777" w:rsidR="00D37F2D" w:rsidRDefault="00D37F2D">
            <w:pPr>
              <w:spacing w:before="60" w:after="60"/>
              <w:jc w:val="center"/>
              <w:rPr>
                <w:noProof/>
              </w:rPr>
            </w:pPr>
            <w:r>
              <w:rPr>
                <w:b/>
                <w:noProof/>
                <w:sz w:val="22"/>
              </w:rPr>
              <w:t>7</w:t>
            </w:r>
          </w:p>
        </w:tc>
        <w:tc>
          <w:tcPr>
            <w:tcW w:w="2865" w:type="pct"/>
            <w:vAlign w:val="center"/>
          </w:tcPr>
          <w:p w14:paraId="48B8ECA6" w14:textId="77777777" w:rsidR="00D37F2D" w:rsidRDefault="00D37F2D">
            <w:pPr>
              <w:spacing w:before="60" w:after="60"/>
              <w:rPr>
                <w:noProof/>
              </w:rPr>
            </w:pPr>
            <w:r>
              <w:rPr>
                <w:noProof/>
                <w:sz w:val="22"/>
              </w:rPr>
              <w:t>‘Administrative expenditure’</w:t>
            </w:r>
            <w:r>
              <w:rPr>
                <w:rStyle w:val="FootnoteReference"/>
                <w:noProof/>
                <w:sz w:val="22"/>
              </w:rPr>
              <w:footnoteReference w:id="102"/>
            </w:r>
          </w:p>
        </w:tc>
      </w:tr>
    </w:tbl>
    <w:p w14:paraId="469666AE" w14:textId="77777777" w:rsidR="00D37F2D" w:rsidRDefault="00D37F2D" w:rsidP="00D37F2D">
      <w:pPr>
        <w:jc w:val="left"/>
        <w:rPr>
          <w:noProof/>
          <w:sz w:val="18"/>
          <w:szCs w:val="18"/>
        </w:rPr>
      </w:pPr>
      <w:r w:rsidRPr="2B71CD12">
        <w:rPr>
          <w:noProof/>
          <w:sz w:val="18"/>
          <w:szCs w:val="18"/>
        </w:rPr>
        <w:t>EUR million (to three decimal places)</w:t>
      </w:r>
    </w:p>
    <w:tbl>
      <w:tblPr>
        <w:tblW w:w="11793" w:type="dxa"/>
        <w:tblInd w:w="118" w:type="dxa"/>
        <w:tblLook w:val="04A0" w:firstRow="1" w:lastRow="0" w:firstColumn="1" w:lastColumn="0" w:noHBand="0" w:noVBand="1"/>
      </w:tblPr>
      <w:tblGrid>
        <w:gridCol w:w="3431"/>
        <w:gridCol w:w="2009"/>
        <w:gridCol w:w="598"/>
        <w:gridCol w:w="598"/>
        <w:gridCol w:w="983"/>
        <w:gridCol w:w="983"/>
        <w:gridCol w:w="983"/>
        <w:gridCol w:w="983"/>
        <w:gridCol w:w="1225"/>
      </w:tblGrid>
      <w:tr w:rsidR="00D37F2D" w:rsidRPr="001F1780" w14:paraId="03721DC1" w14:textId="77777777">
        <w:trPr>
          <w:trHeight w:val="289"/>
        </w:trPr>
        <w:tc>
          <w:tcPr>
            <w:tcW w:w="6636"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12EDFBA7" w14:textId="77777777" w:rsidR="00D37F2D" w:rsidRPr="001F1780" w:rsidRDefault="00D37F2D">
            <w:pPr>
              <w:spacing w:before="0" w:after="0"/>
              <w:jc w:val="center"/>
              <w:rPr>
                <w:rFonts w:eastAsia="Times New Roman"/>
                <w:color w:val="000000"/>
                <w:lang w:val="en-IE" w:eastAsia="en-IE"/>
              </w:rPr>
            </w:pPr>
          </w:p>
        </w:tc>
        <w:tc>
          <w:tcPr>
            <w:tcW w:w="983" w:type="dxa"/>
            <w:tcBorders>
              <w:top w:val="single" w:sz="8" w:space="0" w:color="auto"/>
              <w:left w:val="nil"/>
              <w:bottom w:val="nil"/>
              <w:right w:val="single" w:sz="8" w:space="0" w:color="auto"/>
            </w:tcBorders>
            <w:shd w:val="clear" w:color="auto" w:fill="auto"/>
            <w:vAlign w:val="center"/>
            <w:hideMark/>
          </w:tcPr>
          <w:p w14:paraId="4EDBF25C" w14:textId="77777777" w:rsidR="00D37F2D" w:rsidRPr="001F1780" w:rsidRDefault="00D37F2D">
            <w:pPr>
              <w:spacing w:before="0" w:after="0"/>
              <w:jc w:val="center"/>
              <w:rPr>
                <w:rFonts w:eastAsia="Times New Roman"/>
                <w:color w:val="000000"/>
                <w:sz w:val="20"/>
                <w:szCs w:val="20"/>
                <w:lang w:val="en-IE" w:eastAsia="en-IE"/>
              </w:rPr>
            </w:pPr>
            <w:r w:rsidRPr="001F1780">
              <w:rPr>
                <w:rFonts w:eastAsia="Times New Roman"/>
                <w:color w:val="000000"/>
                <w:sz w:val="20"/>
                <w:szCs w:val="20"/>
                <w:lang w:val="en-IE" w:eastAsia="en-IE"/>
              </w:rPr>
              <w:t>Year</w:t>
            </w:r>
          </w:p>
        </w:tc>
        <w:tc>
          <w:tcPr>
            <w:tcW w:w="983" w:type="dxa"/>
            <w:tcBorders>
              <w:top w:val="single" w:sz="8" w:space="0" w:color="auto"/>
              <w:left w:val="nil"/>
              <w:bottom w:val="nil"/>
              <w:right w:val="single" w:sz="8" w:space="0" w:color="auto"/>
            </w:tcBorders>
            <w:shd w:val="clear" w:color="auto" w:fill="auto"/>
            <w:vAlign w:val="center"/>
            <w:hideMark/>
          </w:tcPr>
          <w:p w14:paraId="66ED9234" w14:textId="77777777" w:rsidR="00D37F2D" w:rsidRPr="001F1780" w:rsidRDefault="00D37F2D">
            <w:pPr>
              <w:spacing w:before="0" w:after="0"/>
              <w:jc w:val="center"/>
              <w:rPr>
                <w:rFonts w:eastAsia="Times New Roman"/>
                <w:color w:val="000000"/>
                <w:sz w:val="20"/>
                <w:szCs w:val="20"/>
                <w:lang w:val="en-IE" w:eastAsia="en-IE"/>
              </w:rPr>
            </w:pPr>
            <w:r w:rsidRPr="001F1780">
              <w:rPr>
                <w:rFonts w:eastAsia="Times New Roman"/>
                <w:color w:val="000000"/>
                <w:sz w:val="20"/>
                <w:szCs w:val="20"/>
                <w:lang w:val="en-IE" w:eastAsia="en-IE"/>
              </w:rPr>
              <w:t>Year</w:t>
            </w:r>
          </w:p>
        </w:tc>
        <w:tc>
          <w:tcPr>
            <w:tcW w:w="983" w:type="dxa"/>
            <w:tcBorders>
              <w:top w:val="single" w:sz="8" w:space="0" w:color="auto"/>
              <w:left w:val="nil"/>
              <w:bottom w:val="nil"/>
              <w:right w:val="single" w:sz="8" w:space="0" w:color="auto"/>
            </w:tcBorders>
            <w:shd w:val="clear" w:color="auto" w:fill="auto"/>
            <w:vAlign w:val="center"/>
            <w:hideMark/>
          </w:tcPr>
          <w:p w14:paraId="430ECC7A" w14:textId="77777777" w:rsidR="00D37F2D" w:rsidRPr="001F1780" w:rsidRDefault="00D37F2D">
            <w:pPr>
              <w:spacing w:before="0" w:after="0"/>
              <w:jc w:val="center"/>
              <w:rPr>
                <w:rFonts w:eastAsia="Times New Roman"/>
                <w:color w:val="000000"/>
                <w:sz w:val="20"/>
                <w:szCs w:val="20"/>
                <w:lang w:val="en-IE" w:eastAsia="en-IE"/>
              </w:rPr>
            </w:pPr>
            <w:r w:rsidRPr="001F1780">
              <w:rPr>
                <w:rFonts w:eastAsia="Times New Roman"/>
                <w:color w:val="000000"/>
                <w:sz w:val="20"/>
                <w:szCs w:val="20"/>
                <w:lang w:val="en-IE" w:eastAsia="en-IE"/>
              </w:rPr>
              <w:t>Year</w:t>
            </w:r>
          </w:p>
        </w:tc>
        <w:tc>
          <w:tcPr>
            <w:tcW w:w="983" w:type="dxa"/>
            <w:tcBorders>
              <w:top w:val="single" w:sz="8" w:space="0" w:color="auto"/>
              <w:left w:val="nil"/>
              <w:bottom w:val="nil"/>
              <w:right w:val="single" w:sz="8" w:space="0" w:color="auto"/>
            </w:tcBorders>
            <w:shd w:val="clear" w:color="auto" w:fill="auto"/>
            <w:vAlign w:val="center"/>
            <w:hideMark/>
          </w:tcPr>
          <w:p w14:paraId="29C73A44" w14:textId="77777777" w:rsidR="00D37F2D" w:rsidRPr="001F1780" w:rsidRDefault="00D37F2D">
            <w:pPr>
              <w:spacing w:before="0" w:after="0"/>
              <w:jc w:val="center"/>
              <w:rPr>
                <w:rFonts w:eastAsia="Times New Roman"/>
                <w:color w:val="000000"/>
                <w:sz w:val="20"/>
                <w:szCs w:val="20"/>
                <w:lang w:val="en-IE" w:eastAsia="en-IE"/>
              </w:rPr>
            </w:pPr>
            <w:r w:rsidRPr="001F1780">
              <w:rPr>
                <w:rFonts w:eastAsia="Times New Roman"/>
                <w:color w:val="000000"/>
                <w:sz w:val="20"/>
                <w:szCs w:val="20"/>
                <w:lang w:val="en-IE" w:eastAsia="en-IE"/>
              </w:rPr>
              <w:t>Year</w:t>
            </w:r>
          </w:p>
        </w:tc>
        <w:tc>
          <w:tcPr>
            <w:tcW w:w="1225" w:type="dxa"/>
            <w:vMerge w:val="restart"/>
            <w:tcBorders>
              <w:top w:val="single" w:sz="8" w:space="0" w:color="auto"/>
              <w:left w:val="single" w:sz="8" w:space="0" w:color="auto"/>
              <w:bottom w:val="single" w:sz="8" w:space="0" w:color="000000" w:themeColor="text1"/>
              <w:right w:val="single" w:sz="8" w:space="0" w:color="auto"/>
            </w:tcBorders>
            <w:shd w:val="clear" w:color="auto" w:fill="auto"/>
            <w:vAlign w:val="center"/>
            <w:hideMark/>
          </w:tcPr>
          <w:p w14:paraId="5B13034A" w14:textId="77777777" w:rsidR="00D37F2D" w:rsidRPr="001F1780" w:rsidRDefault="00D37F2D">
            <w:pPr>
              <w:spacing w:before="0" w:after="0"/>
              <w:jc w:val="center"/>
              <w:rPr>
                <w:rFonts w:eastAsia="Times New Roman"/>
                <w:b/>
                <w:bCs/>
                <w:color w:val="000000"/>
                <w:sz w:val="20"/>
                <w:szCs w:val="20"/>
                <w:lang w:val="en-IE" w:eastAsia="en-IE"/>
              </w:rPr>
            </w:pPr>
            <w:r w:rsidRPr="001F1780">
              <w:rPr>
                <w:rFonts w:eastAsia="Times New Roman"/>
                <w:b/>
                <w:bCs/>
                <w:color w:val="000000"/>
                <w:sz w:val="20"/>
                <w:szCs w:val="20"/>
                <w:lang w:val="en-IE" w:eastAsia="en-IE"/>
              </w:rPr>
              <w:t>TOTAL MFF</w:t>
            </w:r>
            <w:r w:rsidRPr="001F1780">
              <w:rPr>
                <w:rFonts w:eastAsia="Times New Roman"/>
                <w:b/>
                <w:bCs/>
                <w:color w:val="000000"/>
                <w:sz w:val="20"/>
                <w:szCs w:val="20"/>
                <w:lang w:val="en-IE" w:eastAsia="en-IE"/>
              </w:rPr>
              <w:br/>
              <w:t>2021-2027</w:t>
            </w:r>
          </w:p>
        </w:tc>
      </w:tr>
      <w:tr w:rsidR="00D37F2D" w:rsidRPr="001F1780" w14:paraId="042D7DFA" w14:textId="77777777">
        <w:trPr>
          <w:trHeight w:val="300"/>
        </w:trPr>
        <w:tc>
          <w:tcPr>
            <w:tcW w:w="6636" w:type="dxa"/>
            <w:gridSpan w:val="4"/>
            <w:vMerge/>
            <w:vAlign w:val="center"/>
            <w:hideMark/>
          </w:tcPr>
          <w:p w14:paraId="4BEC2FDB" w14:textId="77777777" w:rsidR="00D37F2D" w:rsidRPr="001F1780" w:rsidRDefault="00D37F2D">
            <w:pPr>
              <w:spacing w:before="0" w:after="0"/>
              <w:jc w:val="left"/>
              <w:rPr>
                <w:rFonts w:eastAsia="Times New Roman"/>
                <w:color w:val="000000"/>
                <w:szCs w:val="24"/>
                <w:lang w:val="en-IE" w:eastAsia="en-IE"/>
              </w:rPr>
            </w:pPr>
          </w:p>
        </w:tc>
        <w:tc>
          <w:tcPr>
            <w:tcW w:w="983" w:type="dxa"/>
            <w:tcBorders>
              <w:top w:val="nil"/>
              <w:left w:val="nil"/>
              <w:bottom w:val="single" w:sz="8" w:space="0" w:color="auto"/>
              <w:right w:val="single" w:sz="8" w:space="0" w:color="auto"/>
            </w:tcBorders>
            <w:shd w:val="clear" w:color="auto" w:fill="auto"/>
            <w:vAlign w:val="center"/>
            <w:hideMark/>
          </w:tcPr>
          <w:p w14:paraId="3EF4CDFC" w14:textId="77777777" w:rsidR="00D37F2D" w:rsidRPr="001F1780" w:rsidRDefault="00D37F2D">
            <w:pPr>
              <w:spacing w:before="0" w:after="0"/>
              <w:jc w:val="center"/>
              <w:rPr>
                <w:rFonts w:eastAsia="Times New Roman"/>
                <w:b/>
                <w:bCs/>
                <w:color w:val="000000"/>
                <w:sz w:val="20"/>
                <w:szCs w:val="20"/>
                <w:lang w:val="en-IE" w:eastAsia="en-IE"/>
              </w:rPr>
            </w:pPr>
            <w:r w:rsidRPr="001F1780">
              <w:rPr>
                <w:rFonts w:eastAsia="Times New Roman"/>
                <w:b/>
                <w:bCs/>
                <w:color w:val="000000"/>
                <w:sz w:val="20"/>
                <w:szCs w:val="20"/>
                <w:lang w:val="en-IE" w:eastAsia="en-IE"/>
              </w:rPr>
              <w:t>2024</w:t>
            </w:r>
          </w:p>
        </w:tc>
        <w:tc>
          <w:tcPr>
            <w:tcW w:w="983" w:type="dxa"/>
            <w:tcBorders>
              <w:top w:val="nil"/>
              <w:left w:val="nil"/>
              <w:bottom w:val="single" w:sz="8" w:space="0" w:color="auto"/>
              <w:right w:val="single" w:sz="8" w:space="0" w:color="auto"/>
            </w:tcBorders>
            <w:shd w:val="clear" w:color="auto" w:fill="auto"/>
            <w:vAlign w:val="center"/>
            <w:hideMark/>
          </w:tcPr>
          <w:p w14:paraId="508F05D3" w14:textId="77777777" w:rsidR="00D37F2D" w:rsidRPr="001F1780" w:rsidRDefault="00D37F2D">
            <w:pPr>
              <w:spacing w:before="0" w:after="0"/>
              <w:jc w:val="center"/>
              <w:rPr>
                <w:rFonts w:eastAsia="Times New Roman"/>
                <w:b/>
                <w:bCs/>
                <w:color w:val="000000"/>
                <w:sz w:val="20"/>
                <w:szCs w:val="20"/>
                <w:lang w:val="en-IE" w:eastAsia="en-IE"/>
              </w:rPr>
            </w:pPr>
            <w:r w:rsidRPr="001F1780">
              <w:rPr>
                <w:rFonts w:eastAsia="Times New Roman"/>
                <w:b/>
                <w:bCs/>
                <w:color w:val="000000"/>
                <w:sz w:val="20"/>
                <w:szCs w:val="20"/>
                <w:lang w:val="en-IE" w:eastAsia="en-IE"/>
              </w:rPr>
              <w:t>2025</w:t>
            </w:r>
          </w:p>
        </w:tc>
        <w:tc>
          <w:tcPr>
            <w:tcW w:w="983" w:type="dxa"/>
            <w:tcBorders>
              <w:top w:val="nil"/>
              <w:left w:val="nil"/>
              <w:bottom w:val="single" w:sz="8" w:space="0" w:color="auto"/>
              <w:right w:val="single" w:sz="8" w:space="0" w:color="auto"/>
            </w:tcBorders>
            <w:shd w:val="clear" w:color="auto" w:fill="auto"/>
            <w:vAlign w:val="center"/>
            <w:hideMark/>
          </w:tcPr>
          <w:p w14:paraId="19DF6238" w14:textId="77777777" w:rsidR="00D37F2D" w:rsidRPr="001F1780" w:rsidRDefault="00D37F2D">
            <w:pPr>
              <w:spacing w:before="0" w:after="0"/>
              <w:jc w:val="center"/>
              <w:rPr>
                <w:rFonts w:eastAsia="Times New Roman"/>
                <w:b/>
                <w:bCs/>
                <w:color w:val="000000"/>
                <w:sz w:val="20"/>
                <w:szCs w:val="20"/>
                <w:lang w:val="en-IE" w:eastAsia="en-IE"/>
              </w:rPr>
            </w:pPr>
            <w:r w:rsidRPr="001F1780">
              <w:rPr>
                <w:rFonts w:eastAsia="Times New Roman"/>
                <w:b/>
                <w:bCs/>
                <w:color w:val="000000"/>
                <w:sz w:val="20"/>
                <w:szCs w:val="20"/>
                <w:lang w:val="en-IE" w:eastAsia="en-IE"/>
              </w:rPr>
              <w:t>2026</w:t>
            </w:r>
          </w:p>
        </w:tc>
        <w:tc>
          <w:tcPr>
            <w:tcW w:w="983" w:type="dxa"/>
            <w:tcBorders>
              <w:top w:val="nil"/>
              <w:left w:val="nil"/>
              <w:bottom w:val="single" w:sz="8" w:space="0" w:color="auto"/>
              <w:right w:val="single" w:sz="8" w:space="0" w:color="auto"/>
            </w:tcBorders>
            <w:shd w:val="clear" w:color="auto" w:fill="auto"/>
            <w:vAlign w:val="center"/>
            <w:hideMark/>
          </w:tcPr>
          <w:p w14:paraId="29C7CDC5" w14:textId="77777777" w:rsidR="00D37F2D" w:rsidRPr="001F1780" w:rsidRDefault="00D37F2D">
            <w:pPr>
              <w:spacing w:before="0" w:after="0"/>
              <w:jc w:val="center"/>
              <w:rPr>
                <w:rFonts w:eastAsia="Times New Roman"/>
                <w:b/>
                <w:bCs/>
                <w:color w:val="000000"/>
                <w:sz w:val="20"/>
                <w:szCs w:val="20"/>
                <w:lang w:val="en-IE" w:eastAsia="en-IE"/>
              </w:rPr>
            </w:pPr>
            <w:r w:rsidRPr="001F1780">
              <w:rPr>
                <w:rFonts w:eastAsia="Times New Roman"/>
                <w:b/>
                <w:bCs/>
                <w:color w:val="000000"/>
                <w:sz w:val="20"/>
                <w:szCs w:val="20"/>
                <w:lang w:val="en-IE" w:eastAsia="en-IE"/>
              </w:rPr>
              <w:t>2027</w:t>
            </w:r>
          </w:p>
        </w:tc>
        <w:tc>
          <w:tcPr>
            <w:tcW w:w="1225" w:type="dxa"/>
            <w:vMerge/>
            <w:vAlign w:val="center"/>
            <w:hideMark/>
          </w:tcPr>
          <w:p w14:paraId="712DC6B8" w14:textId="77777777" w:rsidR="00D37F2D" w:rsidRPr="001F1780" w:rsidRDefault="00D37F2D">
            <w:pPr>
              <w:spacing w:before="0" w:after="0"/>
              <w:jc w:val="left"/>
              <w:rPr>
                <w:rFonts w:eastAsia="Times New Roman"/>
                <w:b/>
                <w:bCs/>
                <w:color w:val="000000"/>
                <w:sz w:val="20"/>
                <w:szCs w:val="20"/>
                <w:lang w:val="en-IE" w:eastAsia="en-IE"/>
              </w:rPr>
            </w:pPr>
          </w:p>
        </w:tc>
      </w:tr>
      <w:tr w:rsidR="00D37F2D" w:rsidRPr="001F1780" w14:paraId="1F2545DB" w14:textId="77777777">
        <w:trPr>
          <w:trHeight w:val="315"/>
        </w:trPr>
        <w:tc>
          <w:tcPr>
            <w:tcW w:w="6636"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14:paraId="6046A07B" w14:textId="77777777" w:rsidR="00D37F2D" w:rsidRPr="001F1780" w:rsidRDefault="00D37F2D">
            <w:pPr>
              <w:spacing w:before="0" w:after="0"/>
              <w:jc w:val="left"/>
              <w:rPr>
                <w:rFonts w:eastAsia="Times New Roman"/>
                <w:color w:val="000000"/>
                <w:sz w:val="22"/>
                <w:lang w:val="en-IE" w:eastAsia="en-IE"/>
              </w:rPr>
            </w:pPr>
            <w:r w:rsidRPr="001F1780">
              <w:rPr>
                <w:rFonts w:eastAsia="Times New Roman"/>
                <w:color w:val="000000"/>
                <w:sz w:val="22"/>
                <w:lang w:val="en-IE" w:eastAsia="en-IE"/>
              </w:rPr>
              <w:t xml:space="preserve">Ÿ Human resources </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10878586" w14:textId="77777777" w:rsidR="00D37F2D" w:rsidRPr="001F1780" w:rsidRDefault="00D37F2D">
            <w:pPr>
              <w:spacing w:before="0" w:after="0"/>
              <w:jc w:val="right"/>
              <w:rPr>
                <w:rFonts w:eastAsia="Times New Roman"/>
                <w:color w:val="000000"/>
                <w:sz w:val="20"/>
                <w:szCs w:val="20"/>
                <w:lang w:val="en-IE" w:eastAsia="en-IE"/>
              </w:rPr>
            </w:pPr>
            <w:r w:rsidRPr="001F1780">
              <w:rPr>
                <w:rFonts w:eastAsia="Times New Roman"/>
                <w:color w:val="000000"/>
                <w:sz w:val="20"/>
                <w:szCs w:val="20"/>
                <w:lang w:val="en-IE" w:eastAsia="en-IE"/>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3A1A1C4E" w14:textId="77777777" w:rsidR="00D37F2D" w:rsidRPr="001F1780" w:rsidRDefault="00D37F2D">
            <w:pPr>
              <w:spacing w:before="0" w:after="0"/>
              <w:jc w:val="right"/>
              <w:rPr>
                <w:rFonts w:eastAsia="Times New Roman"/>
                <w:color w:val="000000"/>
                <w:sz w:val="20"/>
                <w:szCs w:val="20"/>
                <w:lang w:val="en-IE" w:eastAsia="en-IE"/>
              </w:rPr>
            </w:pPr>
            <w:r w:rsidRPr="001F1780">
              <w:rPr>
                <w:rFonts w:eastAsia="Times New Roman"/>
                <w:color w:val="000000"/>
                <w:sz w:val="20"/>
                <w:szCs w:val="20"/>
                <w:lang w:val="en-IE" w:eastAsia="en-IE"/>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16BC9FC6" w14:textId="77777777" w:rsidR="00D37F2D" w:rsidRPr="001F1780" w:rsidRDefault="00D37F2D">
            <w:pPr>
              <w:spacing w:before="0" w:after="0"/>
              <w:jc w:val="right"/>
              <w:rPr>
                <w:rFonts w:eastAsia="Times New Roman"/>
                <w:color w:val="000000"/>
                <w:sz w:val="20"/>
                <w:szCs w:val="20"/>
                <w:lang w:val="en-IE" w:eastAsia="en-IE"/>
              </w:rPr>
            </w:pPr>
            <w:r w:rsidRPr="001F1780">
              <w:rPr>
                <w:rFonts w:eastAsia="Times New Roman"/>
                <w:color w:val="000000"/>
                <w:sz w:val="20"/>
                <w:szCs w:val="20"/>
                <w:lang w:val="en-IE" w:eastAsia="en-IE"/>
              </w:rPr>
              <w:t>1,793</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5D4A34B0" w14:textId="77777777" w:rsidR="00D37F2D" w:rsidRPr="001F1780" w:rsidRDefault="00D37F2D">
            <w:pPr>
              <w:spacing w:before="0" w:after="0"/>
              <w:jc w:val="right"/>
              <w:rPr>
                <w:rFonts w:eastAsia="Times New Roman"/>
                <w:color w:val="000000"/>
                <w:sz w:val="20"/>
                <w:szCs w:val="20"/>
                <w:lang w:val="en-IE" w:eastAsia="en-IE"/>
              </w:rPr>
            </w:pPr>
            <w:r w:rsidRPr="001F1780">
              <w:rPr>
                <w:rFonts w:eastAsia="Times New Roman"/>
                <w:color w:val="000000"/>
                <w:sz w:val="20"/>
                <w:szCs w:val="20"/>
                <w:lang w:val="en-IE" w:eastAsia="en-IE"/>
              </w:rPr>
              <w:t>3,586</w:t>
            </w:r>
          </w:p>
        </w:tc>
        <w:tc>
          <w:tcPr>
            <w:tcW w:w="1225" w:type="dxa"/>
            <w:tcBorders>
              <w:top w:val="nil"/>
              <w:left w:val="nil"/>
              <w:bottom w:val="single" w:sz="8" w:space="0" w:color="auto"/>
              <w:right w:val="single" w:sz="8" w:space="0" w:color="auto"/>
            </w:tcBorders>
            <w:shd w:val="clear" w:color="auto" w:fill="D9D9D9" w:themeFill="background1" w:themeFillShade="D9"/>
            <w:vAlign w:val="center"/>
            <w:hideMark/>
          </w:tcPr>
          <w:p w14:paraId="02D421E7"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5,379</w:t>
            </w:r>
          </w:p>
        </w:tc>
      </w:tr>
      <w:tr w:rsidR="00D37F2D" w:rsidRPr="001F1780" w14:paraId="1A268442" w14:textId="77777777">
        <w:trPr>
          <w:trHeight w:val="315"/>
        </w:trPr>
        <w:tc>
          <w:tcPr>
            <w:tcW w:w="6636"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14:paraId="73F5991B" w14:textId="77777777" w:rsidR="00D37F2D" w:rsidRPr="001F1780" w:rsidRDefault="00D37F2D">
            <w:pPr>
              <w:spacing w:before="0" w:after="0"/>
              <w:jc w:val="left"/>
              <w:rPr>
                <w:rFonts w:eastAsia="Times New Roman"/>
                <w:color w:val="000000"/>
                <w:sz w:val="22"/>
                <w:lang w:val="en-IE" w:eastAsia="en-IE"/>
              </w:rPr>
            </w:pPr>
            <w:r w:rsidRPr="001F1780">
              <w:rPr>
                <w:rFonts w:eastAsia="Times New Roman"/>
                <w:color w:val="000000"/>
                <w:sz w:val="22"/>
                <w:lang w:val="en-IE" w:eastAsia="en-IE"/>
              </w:rPr>
              <w:t xml:space="preserve">Ÿ Other administrative expenditure </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2FFF9AA5" w14:textId="77777777" w:rsidR="00D37F2D" w:rsidRPr="001F1780" w:rsidRDefault="00D37F2D">
            <w:pPr>
              <w:spacing w:before="0" w:after="0"/>
              <w:jc w:val="right"/>
              <w:rPr>
                <w:rFonts w:eastAsia="Times New Roman"/>
                <w:color w:val="000000"/>
                <w:sz w:val="20"/>
                <w:szCs w:val="20"/>
                <w:lang w:val="en-IE" w:eastAsia="en-IE"/>
              </w:rPr>
            </w:pPr>
            <w:r w:rsidRPr="001F1780">
              <w:rPr>
                <w:rFonts w:eastAsia="Times New Roman"/>
                <w:color w:val="000000"/>
                <w:sz w:val="20"/>
                <w:szCs w:val="20"/>
                <w:lang w:val="en-IE" w:eastAsia="en-IE"/>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7BDC6CE7" w14:textId="77777777" w:rsidR="00D37F2D" w:rsidRPr="001F1780" w:rsidRDefault="00D37F2D">
            <w:pPr>
              <w:spacing w:before="0" w:after="0"/>
              <w:jc w:val="right"/>
              <w:rPr>
                <w:rFonts w:eastAsia="Times New Roman"/>
                <w:color w:val="000000"/>
                <w:sz w:val="20"/>
                <w:szCs w:val="20"/>
                <w:lang w:val="en-IE" w:eastAsia="en-IE"/>
              </w:rPr>
            </w:pPr>
            <w:r w:rsidRPr="001F1780">
              <w:rPr>
                <w:rFonts w:eastAsia="Times New Roman"/>
                <w:color w:val="000000"/>
                <w:sz w:val="20"/>
                <w:szCs w:val="20"/>
                <w:lang w:val="en-IE" w:eastAsia="en-IE"/>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524AC643" w14:textId="77777777" w:rsidR="00D37F2D" w:rsidRPr="001F1780" w:rsidRDefault="00D37F2D">
            <w:pPr>
              <w:spacing w:before="0" w:after="0"/>
              <w:jc w:val="right"/>
              <w:rPr>
                <w:rFonts w:eastAsia="Times New Roman"/>
                <w:color w:val="000000"/>
                <w:sz w:val="20"/>
                <w:szCs w:val="20"/>
                <w:lang w:val="en-IE" w:eastAsia="en-IE"/>
              </w:rPr>
            </w:pPr>
            <w:r w:rsidRPr="001F1780">
              <w:rPr>
                <w:rFonts w:eastAsia="Times New Roman"/>
                <w:color w:val="000000"/>
                <w:sz w:val="20"/>
                <w:szCs w:val="20"/>
                <w:lang w:val="en-IE" w:eastAsia="en-IE"/>
              </w:rPr>
              <w:t>0,035</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19A4EB5C" w14:textId="77777777" w:rsidR="00D37F2D" w:rsidRPr="001F1780" w:rsidRDefault="00D37F2D">
            <w:pPr>
              <w:spacing w:before="0" w:after="0"/>
              <w:jc w:val="right"/>
              <w:rPr>
                <w:rFonts w:eastAsia="Times New Roman"/>
                <w:color w:val="000000"/>
                <w:sz w:val="20"/>
                <w:szCs w:val="20"/>
                <w:lang w:val="en-IE" w:eastAsia="en-IE"/>
              </w:rPr>
            </w:pPr>
            <w:r w:rsidRPr="001F1780">
              <w:rPr>
                <w:rFonts w:eastAsia="Times New Roman"/>
                <w:color w:val="000000"/>
                <w:sz w:val="20"/>
                <w:szCs w:val="20"/>
                <w:lang w:val="en-IE" w:eastAsia="en-IE"/>
              </w:rPr>
              <w:t>0,070</w:t>
            </w:r>
          </w:p>
        </w:tc>
        <w:tc>
          <w:tcPr>
            <w:tcW w:w="1225" w:type="dxa"/>
            <w:tcBorders>
              <w:top w:val="nil"/>
              <w:left w:val="nil"/>
              <w:bottom w:val="single" w:sz="8" w:space="0" w:color="auto"/>
              <w:right w:val="single" w:sz="8" w:space="0" w:color="auto"/>
            </w:tcBorders>
            <w:shd w:val="clear" w:color="auto" w:fill="D9D9D9" w:themeFill="background1" w:themeFillShade="D9"/>
            <w:vAlign w:val="center"/>
            <w:hideMark/>
          </w:tcPr>
          <w:p w14:paraId="66E5D4ED"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0,105</w:t>
            </w:r>
          </w:p>
        </w:tc>
      </w:tr>
      <w:tr w:rsidR="00D37F2D" w:rsidRPr="001F1780" w14:paraId="7573FBC4" w14:textId="77777777">
        <w:trPr>
          <w:trHeight w:val="315"/>
        </w:trPr>
        <w:tc>
          <w:tcPr>
            <w:tcW w:w="3431" w:type="dxa"/>
            <w:tcBorders>
              <w:top w:val="nil"/>
              <w:left w:val="single" w:sz="8" w:space="0" w:color="auto"/>
              <w:bottom w:val="single" w:sz="8" w:space="0" w:color="auto"/>
              <w:right w:val="single" w:sz="8" w:space="0" w:color="auto"/>
            </w:tcBorders>
            <w:shd w:val="clear" w:color="auto" w:fill="auto"/>
            <w:vAlign w:val="center"/>
            <w:hideMark/>
          </w:tcPr>
          <w:p w14:paraId="52AC8AA1" w14:textId="77777777" w:rsidR="00D37F2D" w:rsidRPr="001F1780" w:rsidRDefault="00D37F2D">
            <w:pPr>
              <w:spacing w:before="0" w:after="0"/>
              <w:jc w:val="center"/>
              <w:rPr>
                <w:rFonts w:eastAsia="Times New Roman"/>
                <w:color w:val="000000"/>
                <w:sz w:val="22"/>
                <w:lang w:val="en-IE" w:eastAsia="en-IE"/>
              </w:rPr>
            </w:pPr>
            <w:r>
              <w:rPr>
                <w:rFonts w:eastAsia="Times New Roman"/>
                <w:color w:val="000000"/>
                <w:sz w:val="22"/>
                <w:lang w:val="en-IE" w:eastAsia="en-IE"/>
              </w:rPr>
              <w:t>Total</w:t>
            </w:r>
          </w:p>
        </w:tc>
        <w:tc>
          <w:tcPr>
            <w:tcW w:w="3205" w:type="dxa"/>
            <w:gridSpan w:val="3"/>
            <w:tcBorders>
              <w:top w:val="single" w:sz="8" w:space="0" w:color="auto"/>
              <w:left w:val="nil"/>
              <w:bottom w:val="single" w:sz="8" w:space="0" w:color="auto"/>
              <w:right w:val="single" w:sz="8" w:space="0" w:color="auto"/>
            </w:tcBorders>
            <w:shd w:val="clear" w:color="auto" w:fill="auto"/>
            <w:vAlign w:val="center"/>
            <w:hideMark/>
          </w:tcPr>
          <w:p w14:paraId="404F143C" w14:textId="77777777" w:rsidR="00D37F2D" w:rsidRPr="001F1780" w:rsidRDefault="00D37F2D">
            <w:pPr>
              <w:spacing w:before="0" w:after="0"/>
              <w:jc w:val="left"/>
              <w:rPr>
                <w:rFonts w:eastAsia="Times New Roman"/>
                <w:color w:val="000000"/>
                <w:sz w:val="18"/>
                <w:szCs w:val="18"/>
                <w:lang w:val="en-IE" w:eastAsia="en-IE"/>
              </w:rPr>
            </w:pPr>
            <w:r w:rsidRPr="001F1780">
              <w:rPr>
                <w:rFonts w:eastAsia="Times New Roman"/>
                <w:color w:val="000000"/>
                <w:sz w:val="18"/>
                <w:szCs w:val="18"/>
                <w:lang w:val="en-IE" w:eastAsia="en-IE"/>
              </w:rPr>
              <w:t xml:space="preserve">Appropriations </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34C82228"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7CD322A2"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0,000</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4AE49357"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1,828</w:t>
            </w:r>
          </w:p>
        </w:tc>
        <w:tc>
          <w:tcPr>
            <w:tcW w:w="983" w:type="dxa"/>
            <w:tcBorders>
              <w:top w:val="nil"/>
              <w:left w:val="nil"/>
              <w:bottom w:val="single" w:sz="8" w:space="0" w:color="auto"/>
              <w:right w:val="single" w:sz="8" w:space="0" w:color="auto"/>
            </w:tcBorders>
            <w:shd w:val="clear" w:color="auto" w:fill="D9D9D9" w:themeFill="background1" w:themeFillShade="D9"/>
            <w:vAlign w:val="center"/>
            <w:hideMark/>
          </w:tcPr>
          <w:p w14:paraId="3DF55F6D"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3,656</w:t>
            </w:r>
          </w:p>
        </w:tc>
        <w:tc>
          <w:tcPr>
            <w:tcW w:w="1225" w:type="dxa"/>
            <w:tcBorders>
              <w:top w:val="nil"/>
              <w:left w:val="nil"/>
              <w:bottom w:val="single" w:sz="8" w:space="0" w:color="auto"/>
              <w:right w:val="single" w:sz="8" w:space="0" w:color="auto"/>
            </w:tcBorders>
            <w:shd w:val="clear" w:color="auto" w:fill="D9D9D9" w:themeFill="background1" w:themeFillShade="D9"/>
            <w:vAlign w:val="center"/>
            <w:hideMark/>
          </w:tcPr>
          <w:p w14:paraId="095AA4E1"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5,484</w:t>
            </w:r>
          </w:p>
        </w:tc>
      </w:tr>
      <w:tr w:rsidR="00D37F2D" w:rsidRPr="001F1780" w14:paraId="3DF5DC1C" w14:textId="77777777">
        <w:trPr>
          <w:trHeight w:val="300"/>
        </w:trPr>
        <w:tc>
          <w:tcPr>
            <w:tcW w:w="3431" w:type="dxa"/>
            <w:tcBorders>
              <w:top w:val="nil"/>
              <w:left w:val="nil"/>
              <w:bottom w:val="nil"/>
              <w:right w:val="nil"/>
            </w:tcBorders>
            <w:shd w:val="clear" w:color="auto" w:fill="auto"/>
            <w:noWrap/>
            <w:vAlign w:val="bottom"/>
            <w:hideMark/>
          </w:tcPr>
          <w:p w14:paraId="7D8E7899" w14:textId="77777777" w:rsidR="00D37F2D" w:rsidRPr="001F1780" w:rsidRDefault="00D37F2D">
            <w:pPr>
              <w:spacing w:before="0" w:after="0"/>
              <w:jc w:val="right"/>
              <w:rPr>
                <w:rFonts w:eastAsia="Times New Roman"/>
                <w:b/>
                <w:bCs/>
                <w:color w:val="000000"/>
                <w:sz w:val="20"/>
                <w:szCs w:val="20"/>
                <w:lang w:val="en-IE" w:eastAsia="en-IE"/>
              </w:rPr>
            </w:pPr>
          </w:p>
        </w:tc>
        <w:tc>
          <w:tcPr>
            <w:tcW w:w="2009" w:type="dxa"/>
            <w:tcBorders>
              <w:top w:val="nil"/>
              <w:left w:val="nil"/>
              <w:bottom w:val="nil"/>
              <w:right w:val="nil"/>
            </w:tcBorders>
            <w:shd w:val="clear" w:color="auto" w:fill="auto"/>
            <w:noWrap/>
            <w:vAlign w:val="bottom"/>
            <w:hideMark/>
          </w:tcPr>
          <w:p w14:paraId="5DB58316" w14:textId="77777777" w:rsidR="00D37F2D" w:rsidRPr="001F1780" w:rsidRDefault="00D37F2D">
            <w:pPr>
              <w:spacing w:before="0" w:after="0"/>
              <w:jc w:val="left"/>
              <w:rPr>
                <w:rFonts w:eastAsia="Times New Roman"/>
                <w:sz w:val="20"/>
                <w:szCs w:val="20"/>
                <w:lang w:val="en-IE" w:eastAsia="en-IE"/>
              </w:rPr>
            </w:pPr>
          </w:p>
        </w:tc>
        <w:tc>
          <w:tcPr>
            <w:tcW w:w="598" w:type="dxa"/>
            <w:tcBorders>
              <w:top w:val="nil"/>
              <w:left w:val="nil"/>
              <w:bottom w:val="nil"/>
              <w:right w:val="nil"/>
            </w:tcBorders>
            <w:shd w:val="clear" w:color="auto" w:fill="auto"/>
            <w:noWrap/>
            <w:vAlign w:val="bottom"/>
            <w:hideMark/>
          </w:tcPr>
          <w:p w14:paraId="1772C66D" w14:textId="77777777" w:rsidR="00D37F2D" w:rsidRPr="001F1780" w:rsidRDefault="00D37F2D">
            <w:pPr>
              <w:spacing w:before="0" w:after="0"/>
              <w:jc w:val="left"/>
              <w:rPr>
                <w:rFonts w:eastAsia="Times New Roman"/>
                <w:sz w:val="20"/>
                <w:szCs w:val="20"/>
                <w:lang w:val="en-IE" w:eastAsia="en-IE"/>
              </w:rPr>
            </w:pPr>
          </w:p>
        </w:tc>
        <w:tc>
          <w:tcPr>
            <w:tcW w:w="598" w:type="dxa"/>
            <w:tcBorders>
              <w:top w:val="nil"/>
              <w:left w:val="nil"/>
              <w:bottom w:val="nil"/>
              <w:right w:val="nil"/>
            </w:tcBorders>
            <w:shd w:val="clear" w:color="auto" w:fill="auto"/>
            <w:noWrap/>
            <w:vAlign w:val="bottom"/>
            <w:hideMark/>
          </w:tcPr>
          <w:p w14:paraId="2932F880" w14:textId="77777777" w:rsidR="00D37F2D" w:rsidRPr="001F1780" w:rsidRDefault="00D37F2D">
            <w:pPr>
              <w:spacing w:before="0" w:after="0"/>
              <w:jc w:val="left"/>
              <w:rPr>
                <w:rFonts w:eastAsia="Times New Roman"/>
                <w:sz w:val="20"/>
                <w:szCs w:val="20"/>
                <w:lang w:val="en-IE" w:eastAsia="en-IE"/>
              </w:rPr>
            </w:pPr>
          </w:p>
        </w:tc>
        <w:tc>
          <w:tcPr>
            <w:tcW w:w="983" w:type="dxa"/>
            <w:tcBorders>
              <w:top w:val="nil"/>
              <w:left w:val="nil"/>
              <w:bottom w:val="nil"/>
              <w:right w:val="nil"/>
            </w:tcBorders>
            <w:shd w:val="clear" w:color="auto" w:fill="auto"/>
            <w:noWrap/>
            <w:vAlign w:val="bottom"/>
            <w:hideMark/>
          </w:tcPr>
          <w:p w14:paraId="2374031E" w14:textId="77777777" w:rsidR="00D37F2D" w:rsidRPr="001F1780" w:rsidRDefault="00D37F2D">
            <w:pPr>
              <w:spacing w:before="0" w:after="0"/>
              <w:jc w:val="left"/>
              <w:rPr>
                <w:rFonts w:eastAsia="Times New Roman"/>
                <w:sz w:val="20"/>
                <w:szCs w:val="20"/>
                <w:lang w:val="en-IE" w:eastAsia="en-IE"/>
              </w:rPr>
            </w:pPr>
          </w:p>
        </w:tc>
        <w:tc>
          <w:tcPr>
            <w:tcW w:w="983" w:type="dxa"/>
            <w:tcBorders>
              <w:top w:val="nil"/>
              <w:left w:val="nil"/>
              <w:bottom w:val="nil"/>
              <w:right w:val="nil"/>
            </w:tcBorders>
            <w:shd w:val="clear" w:color="auto" w:fill="auto"/>
            <w:noWrap/>
            <w:vAlign w:val="bottom"/>
            <w:hideMark/>
          </w:tcPr>
          <w:p w14:paraId="34A86DB7" w14:textId="77777777" w:rsidR="00D37F2D" w:rsidRPr="001F1780" w:rsidRDefault="00D37F2D">
            <w:pPr>
              <w:spacing w:before="0" w:after="0"/>
              <w:jc w:val="left"/>
              <w:rPr>
                <w:rFonts w:eastAsia="Times New Roman"/>
                <w:sz w:val="20"/>
                <w:szCs w:val="20"/>
                <w:lang w:val="en-IE" w:eastAsia="en-IE"/>
              </w:rPr>
            </w:pPr>
          </w:p>
        </w:tc>
        <w:tc>
          <w:tcPr>
            <w:tcW w:w="983" w:type="dxa"/>
            <w:tcBorders>
              <w:top w:val="nil"/>
              <w:left w:val="nil"/>
              <w:bottom w:val="nil"/>
              <w:right w:val="nil"/>
            </w:tcBorders>
            <w:shd w:val="clear" w:color="auto" w:fill="auto"/>
            <w:noWrap/>
            <w:vAlign w:val="bottom"/>
            <w:hideMark/>
          </w:tcPr>
          <w:p w14:paraId="3C85DAD3" w14:textId="77777777" w:rsidR="00D37F2D" w:rsidRPr="001F1780" w:rsidRDefault="00D37F2D">
            <w:pPr>
              <w:spacing w:before="0" w:after="0"/>
              <w:jc w:val="left"/>
              <w:rPr>
                <w:rFonts w:eastAsia="Times New Roman"/>
                <w:sz w:val="20"/>
                <w:szCs w:val="20"/>
                <w:lang w:val="en-IE" w:eastAsia="en-IE"/>
              </w:rPr>
            </w:pPr>
          </w:p>
        </w:tc>
        <w:tc>
          <w:tcPr>
            <w:tcW w:w="983" w:type="dxa"/>
            <w:tcBorders>
              <w:top w:val="nil"/>
              <w:left w:val="nil"/>
              <w:bottom w:val="nil"/>
              <w:right w:val="nil"/>
            </w:tcBorders>
            <w:shd w:val="clear" w:color="auto" w:fill="auto"/>
            <w:noWrap/>
            <w:vAlign w:val="bottom"/>
            <w:hideMark/>
          </w:tcPr>
          <w:p w14:paraId="7628A638" w14:textId="77777777" w:rsidR="00D37F2D" w:rsidRPr="001F1780" w:rsidRDefault="00D37F2D">
            <w:pPr>
              <w:spacing w:before="0" w:after="0"/>
              <w:jc w:val="left"/>
              <w:rPr>
                <w:rFonts w:eastAsia="Times New Roman"/>
                <w:sz w:val="20"/>
                <w:szCs w:val="20"/>
                <w:lang w:val="en-IE" w:eastAsia="en-IE"/>
              </w:rPr>
            </w:pPr>
          </w:p>
        </w:tc>
        <w:tc>
          <w:tcPr>
            <w:tcW w:w="1225" w:type="dxa"/>
            <w:tcBorders>
              <w:top w:val="nil"/>
              <w:left w:val="nil"/>
              <w:bottom w:val="nil"/>
              <w:right w:val="nil"/>
            </w:tcBorders>
            <w:shd w:val="clear" w:color="auto" w:fill="auto"/>
            <w:noWrap/>
            <w:vAlign w:val="bottom"/>
            <w:hideMark/>
          </w:tcPr>
          <w:p w14:paraId="107D9CD2" w14:textId="77777777" w:rsidR="00D37F2D" w:rsidRPr="001F1780" w:rsidRDefault="00D37F2D">
            <w:pPr>
              <w:spacing w:before="0" w:after="0"/>
              <w:jc w:val="left"/>
              <w:rPr>
                <w:rFonts w:eastAsia="Times New Roman"/>
                <w:sz w:val="20"/>
                <w:szCs w:val="20"/>
                <w:lang w:val="en-IE" w:eastAsia="en-IE"/>
              </w:rPr>
            </w:pPr>
          </w:p>
        </w:tc>
      </w:tr>
      <w:tr w:rsidR="00D37F2D" w:rsidRPr="001F1780" w14:paraId="3C4A0095" w14:textId="77777777">
        <w:trPr>
          <w:trHeight w:val="315"/>
        </w:trPr>
        <w:tc>
          <w:tcPr>
            <w:tcW w:w="3431" w:type="dxa"/>
            <w:tcBorders>
              <w:top w:val="nil"/>
              <w:left w:val="nil"/>
              <w:bottom w:val="nil"/>
              <w:right w:val="nil"/>
            </w:tcBorders>
            <w:shd w:val="clear" w:color="auto" w:fill="auto"/>
            <w:noWrap/>
            <w:vAlign w:val="bottom"/>
            <w:hideMark/>
          </w:tcPr>
          <w:p w14:paraId="1C0A0460" w14:textId="77777777" w:rsidR="00D37F2D" w:rsidRPr="001F1780" w:rsidRDefault="00D37F2D">
            <w:pPr>
              <w:spacing w:before="0" w:after="0"/>
              <w:jc w:val="left"/>
              <w:rPr>
                <w:rFonts w:eastAsia="Times New Roman"/>
                <w:sz w:val="20"/>
                <w:szCs w:val="20"/>
                <w:lang w:val="en-IE" w:eastAsia="en-IE"/>
              </w:rPr>
            </w:pPr>
          </w:p>
        </w:tc>
        <w:tc>
          <w:tcPr>
            <w:tcW w:w="2009" w:type="dxa"/>
            <w:tcBorders>
              <w:top w:val="nil"/>
              <w:left w:val="nil"/>
              <w:bottom w:val="nil"/>
              <w:right w:val="nil"/>
            </w:tcBorders>
            <w:shd w:val="clear" w:color="auto" w:fill="auto"/>
            <w:noWrap/>
            <w:vAlign w:val="bottom"/>
            <w:hideMark/>
          </w:tcPr>
          <w:p w14:paraId="4756A76C" w14:textId="77777777" w:rsidR="00D37F2D" w:rsidRPr="001F1780" w:rsidRDefault="00D37F2D">
            <w:pPr>
              <w:spacing w:before="0" w:after="0"/>
              <w:jc w:val="left"/>
              <w:rPr>
                <w:rFonts w:eastAsia="Times New Roman"/>
                <w:sz w:val="20"/>
                <w:szCs w:val="20"/>
                <w:lang w:val="en-IE" w:eastAsia="en-IE"/>
              </w:rPr>
            </w:pPr>
          </w:p>
        </w:tc>
        <w:tc>
          <w:tcPr>
            <w:tcW w:w="598" w:type="dxa"/>
            <w:tcBorders>
              <w:top w:val="nil"/>
              <w:left w:val="nil"/>
              <w:bottom w:val="nil"/>
              <w:right w:val="nil"/>
            </w:tcBorders>
            <w:shd w:val="clear" w:color="auto" w:fill="auto"/>
            <w:noWrap/>
            <w:vAlign w:val="bottom"/>
            <w:hideMark/>
          </w:tcPr>
          <w:p w14:paraId="6261BE30" w14:textId="77777777" w:rsidR="00D37F2D" w:rsidRPr="001F1780" w:rsidRDefault="00D37F2D">
            <w:pPr>
              <w:spacing w:before="0" w:after="0"/>
              <w:jc w:val="left"/>
              <w:rPr>
                <w:rFonts w:eastAsia="Times New Roman"/>
                <w:sz w:val="20"/>
                <w:szCs w:val="20"/>
                <w:lang w:val="en-IE" w:eastAsia="en-IE"/>
              </w:rPr>
            </w:pPr>
          </w:p>
        </w:tc>
        <w:tc>
          <w:tcPr>
            <w:tcW w:w="598" w:type="dxa"/>
            <w:tcBorders>
              <w:top w:val="nil"/>
              <w:left w:val="nil"/>
              <w:bottom w:val="nil"/>
              <w:right w:val="nil"/>
            </w:tcBorders>
            <w:shd w:val="clear" w:color="auto" w:fill="auto"/>
            <w:noWrap/>
            <w:vAlign w:val="bottom"/>
            <w:hideMark/>
          </w:tcPr>
          <w:p w14:paraId="5ACA1D1D" w14:textId="77777777" w:rsidR="00D37F2D" w:rsidRPr="001F1780" w:rsidRDefault="00D37F2D">
            <w:pPr>
              <w:spacing w:before="0" w:after="0"/>
              <w:jc w:val="left"/>
              <w:rPr>
                <w:rFonts w:eastAsia="Times New Roman"/>
                <w:sz w:val="20"/>
                <w:szCs w:val="20"/>
                <w:lang w:val="en-IE" w:eastAsia="en-IE"/>
              </w:rPr>
            </w:pPr>
          </w:p>
        </w:tc>
        <w:tc>
          <w:tcPr>
            <w:tcW w:w="983" w:type="dxa"/>
            <w:tcBorders>
              <w:top w:val="nil"/>
              <w:left w:val="nil"/>
              <w:bottom w:val="nil"/>
              <w:right w:val="nil"/>
            </w:tcBorders>
            <w:shd w:val="clear" w:color="auto" w:fill="auto"/>
            <w:noWrap/>
            <w:vAlign w:val="bottom"/>
            <w:hideMark/>
          </w:tcPr>
          <w:p w14:paraId="16CBCE09" w14:textId="77777777" w:rsidR="00D37F2D" w:rsidRPr="001F1780" w:rsidRDefault="00D37F2D">
            <w:pPr>
              <w:spacing w:before="0" w:after="0"/>
              <w:jc w:val="left"/>
              <w:rPr>
                <w:rFonts w:eastAsia="Times New Roman"/>
                <w:sz w:val="20"/>
                <w:szCs w:val="20"/>
                <w:lang w:val="en-IE" w:eastAsia="en-IE"/>
              </w:rPr>
            </w:pPr>
          </w:p>
        </w:tc>
        <w:tc>
          <w:tcPr>
            <w:tcW w:w="983" w:type="dxa"/>
            <w:tcBorders>
              <w:top w:val="nil"/>
              <w:left w:val="nil"/>
              <w:bottom w:val="nil"/>
              <w:right w:val="nil"/>
            </w:tcBorders>
            <w:shd w:val="clear" w:color="auto" w:fill="auto"/>
            <w:noWrap/>
            <w:vAlign w:val="bottom"/>
            <w:hideMark/>
          </w:tcPr>
          <w:p w14:paraId="23ABE359" w14:textId="77777777" w:rsidR="00D37F2D" w:rsidRPr="001F1780" w:rsidRDefault="00D37F2D">
            <w:pPr>
              <w:spacing w:before="0" w:after="0"/>
              <w:jc w:val="left"/>
              <w:rPr>
                <w:rFonts w:eastAsia="Times New Roman"/>
                <w:sz w:val="20"/>
                <w:szCs w:val="20"/>
                <w:lang w:val="en-IE" w:eastAsia="en-IE"/>
              </w:rPr>
            </w:pPr>
          </w:p>
        </w:tc>
        <w:tc>
          <w:tcPr>
            <w:tcW w:w="983" w:type="dxa"/>
            <w:tcBorders>
              <w:top w:val="nil"/>
              <w:left w:val="nil"/>
              <w:bottom w:val="nil"/>
              <w:right w:val="nil"/>
            </w:tcBorders>
            <w:shd w:val="clear" w:color="auto" w:fill="auto"/>
            <w:noWrap/>
            <w:vAlign w:val="bottom"/>
            <w:hideMark/>
          </w:tcPr>
          <w:p w14:paraId="143D8A07" w14:textId="77777777" w:rsidR="00D37F2D" w:rsidRPr="001F1780" w:rsidRDefault="00D37F2D">
            <w:pPr>
              <w:spacing w:before="0" w:after="0"/>
              <w:jc w:val="left"/>
              <w:rPr>
                <w:rFonts w:eastAsia="Times New Roman"/>
                <w:sz w:val="20"/>
                <w:szCs w:val="20"/>
                <w:lang w:val="en-IE" w:eastAsia="en-IE"/>
              </w:rPr>
            </w:pPr>
          </w:p>
        </w:tc>
        <w:tc>
          <w:tcPr>
            <w:tcW w:w="983" w:type="dxa"/>
            <w:tcBorders>
              <w:top w:val="nil"/>
              <w:left w:val="nil"/>
              <w:bottom w:val="nil"/>
              <w:right w:val="nil"/>
            </w:tcBorders>
            <w:shd w:val="clear" w:color="auto" w:fill="auto"/>
            <w:noWrap/>
            <w:vAlign w:val="bottom"/>
            <w:hideMark/>
          </w:tcPr>
          <w:p w14:paraId="17E4E6F7" w14:textId="77777777" w:rsidR="00D37F2D" w:rsidRPr="001F1780" w:rsidRDefault="00D37F2D">
            <w:pPr>
              <w:spacing w:before="0" w:after="0"/>
              <w:jc w:val="left"/>
              <w:rPr>
                <w:rFonts w:eastAsia="Times New Roman"/>
                <w:sz w:val="20"/>
                <w:szCs w:val="20"/>
                <w:lang w:val="en-IE" w:eastAsia="en-IE"/>
              </w:rPr>
            </w:pPr>
          </w:p>
        </w:tc>
        <w:tc>
          <w:tcPr>
            <w:tcW w:w="1225" w:type="dxa"/>
            <w:tcBorders>
              <w:top w:val="nil"/>
              <w:left w:val="nil"/>
              <w:bottom w:val="nil"/>
              <w:right w:val="nil"/>
            </w:tcBorders>
            <w:shd w:val="clear" w:color="auto" w:fill="auto"/>
            <w:noWrap/>
            <w:vAlign w:val="bottom"/>
            <w:hideMark/>
          </w:tcPr>
          <w:p w14:paraId="437D62F4" w14:textId="77777777" w:rsidR="00D37F2D" w:rsidRPr="001F1780" w:rsidRDefault="00D37F2D">
            <w:pPr>
              <w:spacing w:before="0" w:after="0"/>
              <w:jc w:val="left"/>
              <w:rPr>
                <w:rFonts w:eastAsia="Times New Roman"/>
                <w:sz w:val="20"/>
                <w:szCs w:val="20"/>
                <w:lang w:val="en-IE" w:eastAsia="en-IE"/>
              </w:rPr>
            </w:pPr>
          </w:p>
        </w:tc>
      </w:tr>
      <w:tr w:rsidR="00D37F2D" w:rsidRPr="001F1780" w14:paraId="15A9F334" w14:textId="77777777">
        <w:trPr>
          <w:trHeight w:val="900"/>
        </w:trPr>
        <w:tc>
          <w:tcPr>
            <w:tcW w:w="5440" w:type="dxa"/>
            <w:gridSpan w:val="2"/>
            <w:tcBorders>
              <w:top w:val="single" w:sz="8" w:space="0" w:color="auto"/>
              <w:left w:val="single" w:sz="8" w:space="0" w:color="auto"/>
              <w:bottom w:val="single" w:sz="8" w:space="0" w:color="auto"/>
              <w:right w:val="single" w:sz="8" w:space="0" w:color="auto"/>
            </w:tcBorders>
            <w:shd w:val="clear" w:color="auto" w:fill="F1F1F1"/>
            <w:vAlign w:val="center"/>
            <w:hideMark/>
          </w:tcPr>
          <w:p w14:paraId="7E053B14" w14:textId="77777777" w:rsidR="00D37F2D" w:rsidRPr="001F1780" w:rsidRDefault="00D37F2D">
            <w:pPr>
              <w:spacing w:before="0" w:after="0"/>
              <w:jc w:val="center"/>
              <w:rPr>
                <w:rFonts w:eastAsia="Times New Roman"/>
                <w:b/>
                <w:bCs/>
                <w:color w:val="000000"/>
                <w:sz w:val="22"/>
                <w:lang w:val="en-IE" w:eastAsia="en-IE"/>
              </w:rPr>
            </w:pPr>
            <w:r w:rsidRPr="001F1780">
              <w:rPr>
                <w:rFonts w:eastAsia="Times New Roman"/>
                <w:b/>
                <w:bCs/>
                <w:color w:val="000000"/>
                <w:sz w:val="22"/>
                <w:lang w:val="en-IE" w:eastAsia="en-IE"/>
              </w:rPr>
              <w:t>TOTAL appropriations</w:t>
            </w:r>
            <w:r w:rsidRPr="001F1780">
              <w:rPr>
                <w:rFonts w:eastAsia="Times New Roman"/>
                <w:b/>
                <w:bCs/>
                <w:color w:val="000000"/>
                <w:sz w:val="22"/>
                <w:lang w:val="en-IE" w:eastAsia="en-IE"/>
              </w:rPr>
              <w:br/>
              <w:t>under HEADING 7</w:t>
            </w:r>
            <w:r w:rsidRPr="001F1780">
              <w:rPr>
                <w:rFonts w:eastAsia="Times New Roman"/>
                <w:b/>
                <w:bCs/>
                <w:color w:val="000000"/>
                <w:sz w:val="22"/>
                <w:lang w:val="en-IE" w:eastAsia="en-IE"/>
              </w:rPr>
              <w:br/>
              <w:t xml:space="preserve">of the multiannual financial framework </w:t>
            </w:r>
          </w:p>
        </w:tc>
        <w:tc>
          <w:tcPr>
            <w:tcW w:w="1196" w:type="dxa"/>
            <w:gridSpan w:val="2"/>
            <w:tcBorders>
              <w:top w:val="single" w:sz="8" w:space="0" w:color="auto"/>
              <w:left w:val="nil"/>
              <w:bottom w:val="single" w:sz="8" w:space="0" w:color="auto"/>
              <w:right w:val="single" w:sz="8" w:space="0" w:color="auto"/>
            </w:tcBorders>
            <w:shd w:val="clear" w:color="auto" w:fill="auto"/>
            <w:vAlign w:val="center"/>
            <w:hideMark/>
          </w:tcPr>
          <w:p w14:paraId="29B85E23" w14:textId="77777777" w:rsidR="00D37F2D" w:rsidRPr="001F1780" w:rsidRDefault="00D37F2D">
            <w:pPr>
              <w:spacing w:before="0" w:after="0"/>
              <w:jc w:val="center"/>
              <w:rPr>
                <w:rFonts w:eastAsia="Times New Roman"/>
                <w:color w:val="000000"/>
                <w:sz w:val="18"/>
                <w:szCs w:val="18"/>
                <w:lang w:val="en-IE" w:eastAsia="en-IE"/>
              </w:rPr>
            </w:pPr>
            <w:r w:rsidRPr="001F1780">
              <w:rPr>
                <w:rFonts w:eastAsia="Times New Roman"/>
                <w:color w:val="000000"/>
                <w:sz w:val="18"/>
                <w:szCs w:val="18"/>
                <w:lang w:val="en-IE" w:eastAsia="en-IE"/>
              </w:rPr>
              <w:t>(Total commitments = Total payments)</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1001F89"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0,000</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CC694CD"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0,000</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94741A3"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1,828</w:t>
            </w:r>
          </w:p>
        </w:tc>
        <w:tc>
          <w:tcPr>
            <w:tcW w:w="98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DADB06F"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3,656</w:t>
            </w:r>
          </w:p>
        </w:tc>
        <w:tc>
          <w:tcPr>
            <w:tcW w:w="122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B5637DD" w14:textId="77777777" w:rsidR="00D37F2D" w:rsidRPr="001F1780" w:rsidRDefault="00D37F2D">
            <w:pPr>
              <w:spacing w:before="0" w:after="0"/>
              <w:jc w:val="right"/>
              <w:rPr>
                <w:rFonts w:eastAsia="Times New Roman"/>
                <w:b/>
                <w:bCs/>
                <w:color w:val="000000"/>
                <w:sz w:val="20"/>
                <w:szCs w:val="20"/>
                <w:lang w:val="en-IE" w:eastAsia="en-IE"/>
              </w:rPr>
            </w:pPr>
            <w:r w:rsidRPr="001F1780">
              <w:rPr>
                <w:rFonts w:eastAsia="Times New Roman"/>
                <w:b/>
                <w:bCs/>
                <w:color w:val="000000"/>
                <w:sz w:val="20"/>
                <w:szCs w:val="20"/>
                <w:lang w:val="en-IE" w:eastAsia="en-IE"/>
              </w:rPr>
              <w:t>5,484</w:t>
            </w:r>
          </w:p>
        </w:tc>
      </w:tr>
    </w:tbl>
    <w:p w14:paraId="33E3C42B" w14:textId="77777777" w:rsidR="00D37F2D" w:rsidRPr="001D7C2D" w:rsidRDefault="00D37F2D" w:rsidP="00D37F2D">
      <w:pPr>
        <w:jc w:val="left"/>
      </w:pPr>
    </w:p>
    <w:p w14:paraId="43E97AE4" w14:textId="77777777" w:rsidR="00D37F2D" w:rsidRDefault="00D37F2D" w:rsidP="00D37F2D">
      <w:pPr>
        <w:jc w:val="right"/>
        <w:rPr>
          <w:noProof/>
          <w:sz w:val="18"/>
          <w:szCs w:val="18"/>
          <w:lang w:val="en-IE"/>
        </w:rPr>
      </w:pPr>
      <w:r w:rsidRPr="003A769F">
        <w:rPr>
          <w:noProof/>
          <w:sz w:val="18"/>
          <w:szCs w:val="18"/>
          <w:lang w:val="en-IE"/>
        </w:rPr>
        <w:t>EUR million (to three decimal places)</w:t>
      </w:r>
    </w:p>
    <w:tbl>
      <w:tblPr>
        <w:tblW w:w="11356" w:type="dxa"/>
        <w:tblInd w:w="118" w:type="dxa"/>
        <w:tblLook w:val="04A0" w:firstRow="1" w:lastRow="0" w:firstColumn="1" w:lastColumn="0" w:noHBand="0" w:noVBand="1"/>
      </w:tblPr>
      <w:tblGrid>
        <w:gridCol w:w="4322"/>
        <w:gridCol w:w="1237"/>
        <w:gridCol w:w="1110"/>
        <w:gridCol w:w="1110"/>
        <w:gridCol w:w="1113"/>
        <w:gridCol w:w="1113"/>
        <w:gridCol w:w="1351"/>
      </w:tblGrid>
      <w:tr w:rsidR="00D37F2D" w:rsidRPr="004C543C" w14:paraId="38B0D7C7" w14:textId="77777777">
        <w:trPr>
          <w:trHeight w:val="289"/>
        </w:trPr>
        <w:tc>
          <w:tcPr>
            <w:tcW w:w="5559"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6F1C4B6D" w14:textId="77777777" w:rsidR="00D37F2D" w:rsidRPr="004C543C" w:rsidRDefault="00D37F2D">
            <w:pPr>
              <w:spacing w:before="0" w:after="0"/>
              <w:jc w:val="center"/>
              <w:rPr>
                <w:rFonts w:eastAsia="Times New Roman"/>
                <w:color w:val="000000"/>
                <w:szCs w:val="24"/>
                <w:lang w:val="en-IE" w:eastAsia="en-IE"/>
              </w:rPr>
            </w:pPr>
            <w:r w:rsidRPr="004C543C">
              <w:rPr>
                <w:rFonts w:eastAsia="Times New Roman"/>
                <w:color w:val="000000"/>
                <w:szCs w:val="24"/>
                <w:lang w:val="en-IE" w:eastAsia="en-IE"/>
              </w:rPr>
              <w:t> </w:t>
            </w:r>
          </w:p>
        </w:tc>
        <w:tc>
          <w:tcPr>
            <w:tcW w:w="1110" w:type="dxa"/>
            <w:tcBorders>
              <w:top w:val="single" w:sz="8" w:space="0" w:color="auto"/>
              <w:left w:val="nil"/>
              <w:bottom w:val="nil"/>
              <w:right w:val="single" w:sz="8" w:space="0" w:color="auto"/>
            </w:tcBorders>
            <w:shd w:val="clear" w:color="auto" w:fill="auto"/>
            <w:vAlign w:val="center"/>
            <w:hideMark/>
          </w:tcPr>
          <w:p w14:paraId="2B868332" w14:textId="77777777" w:rsidR="00D37F2D" w:rsidRPr="004C543C" w:rsidRDefault="00D37F2D">
            <w:pPr>
              <w:spacing w:before="0" w:after="0"/>
              <w:jc w:val="center"/>
              <w:rPr>
                <w:rFonts w:eastAsia="Times New Roman"/>
                <w:color w:val="000000"/>
                <w:sz w:val="20"/>
                <w:szCs w:val="20"/>
                <w:lang w:val="en-IE" w:eastAsia="en-IE"/>
              </w:rPr>
            </w:pPr>
            <w:r w:rsidRPr="004C543C">
              <w:rPr>
                <w:rFonts w:eastAsia="Times New Roman"/>
                <w:color w:val="000000"/>
                <w:sz w:val="20"/>
                <w:szCs w:val="20"/>
                <w:lang w:val="en-IE" w:eastAsia="en-IE"/>
              </w:rPr>
              <w:t>Year</w:t>
            </w:r>
          </w:p>
        </w:tc>
        <w:tc>
          <w:tcPr>
            <w:tcW w:w="1110" w:type="dxa"/>
            <w:tcBorders>
              <w:top w:val="single" w:sz="8" w:space="0" w:color="auto"/>
              <w:left w:val="nil"/>
              <w:bottom w:val="nil"/>
              <w:right w:val="single" w:sz="8" w:space="0" w:color="auto"/>
            </w:tcBorders>
            <w:shd w:val="clear" w:color="auto" w:fill="auto"/>
            <w:vAlign w:val="center"/>
            <w:hideMark/>
          </w:tcPr>
          <w:p w14:paraId="6263CC89" w14:textId="77777777" w:rsidR="00D37F2D" w:rsidRPr="004C543C" w:rsidRDefault="00D37F2D">
            <w:pPr>
              <w:spacing w:before="0" w:after="0"/>
              <w:jc w:val="center"/>
              <w:rPr>
                <w:rFonts w:eastAsia="Times New Roman"/>
                <w:color w:val="000000"/>
                <w:sz w:val="20"/>
                <w:szCs w:val="20"/>
                <w:lang w:val="en-IE" w:eastAsia="en-IE"/>
              </w:rPr>
            </w:pPr>
            <w:r w:rsidRPr="004C543C">
              <w:rPr>
                <w:rFonts w:eastAsia="Times New Roman"/>
                <w:color w:val="000000"/>
                <w:sz w:val="20"/>
                <w:szCs w:val="20"/>
                <w:lang w:val="en-IE" w:eastAsia="en-IE"/>
              </w:rPr>
              <w:t>Year</w:t>
            </w:r>
          </w:p>
        </w:tc>
        <w:tc>
          <w:tcPr>
            <w:tcW w:w="1113" w:type="dxa"/>
            <w:tcBorders>
              <w:top w:val="single" w:sz="8" w:space="0" w:color="auto"/>
              <w:left w:val="nil"/>
              <w:bottom w:val="nil"/>
              <w:right w:val="single" w:sz="8" w:space="0" w:color="auto"/>
            </w:tcBorders>
            <w:shd w:val="clear" w:color="auto" w:fill="auto"/>
            <w:vAlign w:val="center"/>
            <w:hideMark/>
          </w:tcPr>
          <w:p w14:paraId="29AA8687" w14:textId="77777777" w:rsidR="00D37F2D" w:rsidRPr="004C543C" w:rsidRDefault="00D37F2D">
            <w:pPr>
              <w:spacing w:before="0" w:after="0"/>
              <w:jc w:val="center"/>
              <w:rPr>
                <w:rFonts w:eastAsia="Times New Roman"/>
                <w:color w:val="000000"/>
                <w:sz w:val="20"/>
                <w:szCs w:val="20"/>
                <w:lang w:val="en-IE" w:eastAsia="en-IE"/>
              </w:rPr>
            </w:pPr>
            <w:r w:rsidRPr="004C543C">
              <w:rPr>
                <w:rFonts w:eastAsia="Times New Roman"/>
                <w:color w:val="000000"/>
                <w:sz w:val="20"/>
                <w:szCs w:val="20"/>
                <w:lang w:val="en-IE" w:eastAsia="en-IE"/>
              </w:rPr>
              <w:t>Year</w:t>
            </w:r>
          </w:p>
        </w:tc>
        <w:tc>
          <w:tcPr>
            <w:tcW w:w="1113" w:type="dxa"/>
            <w:tcBorders>
              <w:top w:val="single" w:sz="8" w:space="0" w:color="auto"/>
              <w:left w:val="nil"/>
              <w:bottom w:val="nil"/>
              <w:right w:val="single" w:sz="8" w:space="0" w:color="auto"/>
            </w:tcBorders>
            <w:shd w:val="clear" w:color="auto" w:fill="auto"/>
            <w:vAlign w:val="center"/>
            <w:hideMark/>
          </w:tcPr>
          <w:p w14:paraId="0DF7ABF5" w14:textId="77777777" w:rsidR="00D37F2D" w:rsidRPr="004C543C" w:rsidRDefault="00D37F2D">
            <w:pPr>
              <w:spacing w:before="0" w:after="0"/>
              <w:jc w:val="center"/>
              <w:rPr>
                <w:rFonts w:eastAsia="Times New Roman"/>
                <w:color w:val="000000"/>
                <w:sz w:val="20"/>
                <w:szCs w:val="20"/>
                <w:lang w:val="en-IE" w:eastAsia="en-IE"/>
              </w:rPr>
            </w:pPr>
            <w:r w:rsidRPr="004C543C">
              <w:rPr>
                <w:rFonts w:eastAsia="Times New Roman"/>
                <w:color w:val="000000"/>
                <w:sz w:val="20"/>
                <w:szCs w:val="20"/>
                <w:lang w:val="en-IE" w:eastAsia="en-IE"/>
              </w:rPr>
              <w:t>Year</w:t>
            </w:r>
          </w:p>
        </w:tc>
        <w:tc>
          <w:tcPr>
            <w:tcW w:w="13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18C9158" w14:textId="77777777" w:rsidR="00D37F2D" w:rsidRPr="004C543C" w:rsidRDefault="00D37F2D">
            <w:pPr>
              <w:spacing w:before="0" w:after="0"/>
              <w:jc w:val="center"/>
              <w:rPr>
                <w:rFonts w:eastAsia="Times New Roman"/>
                <w:b/>
                <w:bCs/>
                <w:color w:val="000000"/>
                <w:sz w:val="20"/>
                <w:szCs w:val="20"/>
                <w:lang w:val="en-IE" w:eastAsia="en-IE"/>
              </w:rPr>
            </w:pPr>
            <w:r w:rsidRPr="004C543C">
              <w:rPr>
                <w:rFonts w:eastAsia="Times New Roman"/>
                <w:b/>
                <w:bCs/>
                <w:color w:val="000000"/>
                <w:sz w:val="20"/>
                <w:szCs w:val="20"/>
                <w:lang w:val="en-IE" w:eastAsia="en-IE"/>
              </w:rPr>
              <w:t>TOTAL MFF</w:t>
            </w:r>
            <w:r w:rsidRPr="004C543C">
              <w:rPr>
                <w:rFonts w:eastAsia="Times New Roman"/>
                <w:b/>
                <w:bCs/>
                <w:color w:val="000000"/>
                <w:sz w:val="20"/>
                <w:szCs w:val="20"/>
                <w:lang w:val="en-IE" w:eastAsia="en-IE"/>
              </w:rPr>
              <w:br/>
              <w:t>2021-2027</w:t>
            </w:r>
          </w:p>
        </w:tc>
      </w:tr>
      <w:tr w:rsidR="00D37F2D" w:rsidRPr="004C543C" w14:paraId="7F2D8639" w14:textId="77777777">
        <w:trPr>
          <w:trHeight w:val="300"/>
        </w:trPr>
        <w:tc>
          <w:tcPr>
            <w:tcW w:w="5559" w:type="dxa"/>
            <w:gridSpan w:val="2"/>
            <w:vMerge/>
            <w:tcBorders>
              <w:top w:val="single" w:sz="8" w:space="0" w:color="auto"/>
              <w:left w:val="single" w:sz="8" w:space="0" w:color="auto"/>
              <w:bottom w:val="single" w:sz="8" w:space="0" w:color="auto"/>
              <w:right w:val="single" w:sz="8" w:space="0" w:color="auto"/>
            </w:tcBorders>
            <w:vAlign w:val="center"/>
            <w:hideMark/>
          </w:tcPr>
          <w:p w14:paraId="7352BC0A" w14:textId="77777777" w:rsidR="00D37F2D" w:rsidRPr="004C543C" w:rsidRDefault="00D37F2D">
            <w:pPr>
              <w:spacing w:before="0" w:after="0"/>
              <w:jc w:val="left"/>
              <w:rPr>
                <w:rFonts w:eastAsia="Times New Roman"/>
                <w:color w:val="000000"/>
                <w:szCs w:val="24"/>
                <w:lang w:val="en-IE" w:eastAsia="en-IE"/>
              </w:rPr>
            </w:pPr>
          </w:p>
        </w:tc>
        <w:tc>
          <w:tcPr>
            <w:tcW w:w="1110" w:type="dxa"/>
            <w:tcBorders>
              <w:top w:val="nil"/>
              <w:left w:val="nil"/>
              <w:bottom w:val="single" w:sz="8" w:space="0" w:color="auto"/>
              <w:right w:val="single" w:sz="8" w:space="0" w:color="auto"/>
            </w:tcBorders>
            <w:shd w:val="clear" w:color="auto" w:fill="auto"/>
            <w:vAlign w:val="center"/>
            <w:hideMark/>
          </w:tcPr>
          <w:p w14:paraId="4804C82A" w14:textId="77777777" w:rsidR="00D37F2D" w:rsidRPr="004C543C" w:rsidRDefault="00D37F2D">
            <w:pPr>
              <w:spacing w:before="0" w:after="0"/>
              <w:jc w:val="center"/>
              <w:rPr>
                <w:rFonts w:eastAsia="Times New Roman"/>
                <w:b/>
                <w:bCs/>
                <w:color w:val="000000"/>
                <w:sz w:val="20"/>
                <w:szCs w:val="20"/>
                <w:lang w:val="en-IE" w:eastAsia="en-IE"/>
              </w:rPr>
            </w:pPr>
            <w:r w:rsidRPr="004C543C">
              <w:rPr>
                <w:rFonts w:eastAsia="Times New Roman"/>
                <w:b/>
                <w:bCs/>
                <w:color w:val="000000"/>
                <w:sz w:val="20"/>
                <w:szCs w:val="20"/>
                <w:lang w:val="en-IE" w:eastAsia="en-IE"/>
              </w:rPr>
              <w:t>2024</w:t>
            </w:r>
          </w:p>
        </w:tc>
        <w:tc>
          <w:tcPr>
            <w:tcW w:w="1110" w:type="dxa"/>
            <w:tcBorders>
              <w:top w:val="nil"/>
              <w:left w:val="nil"/>
              <w:bottom w:val="single" w:sz="8" w:space="0" w:color="auto"/>
              <w:right w:val="single" w:sz="8" w:space="0" w:color="auto"/>
            </w:tcBorders>
            <w:shd w:val="clear" w:color="auto" w:fill="auto"/>
            <w:vAlign w:val="center"/>
            <w:hideMark/>
          </w:tcPr>
          <w:p w14:paraId="7A7FC8E6" w14:textId="77777777" w:rsidR="00D37F2D" w:rsidRPr="004C543C" w:rsidRDefault="00D37F2D">
            <w:pPr>
              <w:spacing w:before="0" w:after="0"/>
              <w:jc w:val="center"/>
              <w:rPr>
                <w:rFonts w:eastAsia="Times New Roman"/>
                <w:b/>
                <w:bCs/>
                <w:color w:val="000000"/>
                <w:sz w:val="20"/>
                <w:szCs w:val="20"/>
                <w:lang w:val="en-IE" w:eastAsia="en-IE"/>
              </w:rPr>
            </w:pPr>
            <w:r w:rsidRPr="004C543C">
              <w:rPr>
                <w:rFonts w:eastAsia="Times New Roman"/>
                <w:b/>
                <w:bCs/>
                <w:color w:val="000000"/>
                <w:sz w:val="20"/>
                <w:szCs w:val="20"/>
                <w:lang w:val="en-IE" w:eastAsia="en-IE"/>
              </w:rPr>
              <w:t>2025</w:t>
            </w:r>
          </w:p>
        </w:tc>
        <w:tc>
          <w:tcPr>
            <w:tcW w:w="1113" w:type="dxa"/>
            <w:tcBorders>
              <w:top w:val="nil"/>
              <w:left w:val="nil"/>
              <w:bottom w:val="single" w:sz="8" w:space="0" w:color="auto"/>
              <w:right w:val="single" w:sz="8" w:space="0" w:color="auto"/>
            </w:tcBorders>
            <w:shd w:val="clear" w:color="auto" w:fill="auto"/>
            <w:vAlign w:val="center"/>
            <w:hideMark/>
          </w:tcPr>
          <w:p w14:paraId="134B1100" w14:textId="77777777" w:rsidR="00D37F2D" w:rsidRPr="004C543C" w:rsidRDefault="00D37F2D">
            <w:pPr>
              <w:spacing w:before="0" w:after="0"/>
              <w:jc w:val="center"/>
              <w:rPr>
                <w:rFonts w:eastAsia="Times New Roman"/>
                <w:b/>
                <w:bCs/>
                <w:color w:val="000000"/>
                <w:sz w:val="20"/>
                <w:szCs w:val="20"/>
                <w:lang w:val="en-IE" w:eastAsia="en-IE"/>
              </w:rPr>
            </w:pPr>
            <w:r w:rsidRPr="004C543C">
              <w:rPr>
                <w:rFonts w:eastAsia="Times New Roman"/>
                <w:b/>
                <w:bCs/>
                <w:color w:val="000000"/>
                <w:sz w:val="20"/>
                <w:szCs w:val="20"/>
                <w:lang w:val="en-IE" w:eastAsia="en-IE"/>
              </w:rPr>
              <w:t>2026</w:t>
            </w:r>
          </w:p>
        </w:tc>
        <w:tc>
          <w:tcPr>
            <w:tcW w:w="1113" w:type="dxa"/>
            <w:tcBorders>
              <w:top w:val="nil"/>
              <w:left w:val="nil"/>
              <w:bottom w:val="single" w:sz="8" w:space="0" w:color="auto"/>
              <w:right w:val="single" w:sz="8" w:space="0" w:color="auto"/>
            </w:tcBorders>
            <w:shd w:val="clear" w:color="auto" w:fill="auto"/>
            <w:vAlign w:val="center"/>
            <w:hideMark/>
          </w:tcPr>
          <w:p w14:paraId="41D7E0C7" w14:textId="77777777" w:rsidR="00D37F2D" w:rsidRPr="004C543C" w:rsidRDefault="00D37F2D">
            <w:pPr>
              <w:spacing w:before="0" w:after="0"/>
              <w:jc w:val="center"/>
              <w:rPr>
                <w:rFonts w:eastAsia="Times New Roman"/>
                <w:b/>
                <w:bCs/>
                <w:color w:val="000000"/>
                <w:sz w:val="20"/>
                <w:szCs w:val="20"/>
                <w:lang w:val="en-IE" w:eastAsia="en-IE"/>
              </w:rPr>
            </w:pPr>
            <w:r w:rsidRPr="004C543C">
              <w:rPr>
                <w:rFonts w:eastAsia="Times New Roman"/>
                <w:b/>
                <w:bCs/>
                <w:color w:val="000000"/>
                <w:sz w:val="20"/>
                <w:szCs w:val="20"/>
                <w:lang w:val="en-IE" w:eastAsia="en-IE"/>
              </w:rPr>
              <w:t>2027</w:t>
            </w:r>
          </w:p>
        </w:tc>
        <w:tc>
          <w:tcPr>
            <w:tcW w:w="1351" w:type="dxa"/>
            <w:vMerge/>
            <w:tcBorders>
              <w:top w:val="single" w:sz="8" w:space="0" w:color="auto"/>
              <w:left w:val="single" w:sz="8" w:space="0" w:color="auto"/>
              <w:bottom w:val="single" w:sz="8" w:space="0" w:color="000000"/>
              <w:right w:val="single" w:sz="8" w:space="0" w:color="auto"/>
            </w:tcBorders>
            <w:vAlign w:val="center"/>
            <w:hideMark/>
          </w:tcPr>
          <w:p w14:paraId="11D6F97A" w14:textId="77777777" w:rsidR="00D37F2D" w:rsidRPr="004C543C" w:rsidRDefault="00D37F2D">
            <w:pPr>
              <w:spacing w:before="0" w:after="0"/>
              <w:jc w:val="left"/>
              <w:rPr>
                <w:rFonts w:eastAsia="Times New Roman"/>
                <w:b/>
                <w:bCs/>
                <w:color w:val="000000"/>
                <w:sz w:val="20"/>
                <w:szCs w:val="20"/>
                <w:lang w:val="en-IE" w:eastAsia="en-IE"/>
              </w:rPr>
            </w:pPr>
          </w:p>
        </w:tc>
      </w:tr>
      <w:tr w:rsidR="00D37F2D" w:rsidRPr="004C543C" w14:paraId="637F8EE6" w14:textId="77777777">
        <w:trPr>
          <w:trHeight w:val="563"/>
        </w:trPr>
        <w:tc>
          <w:tcPr>
            <w:tcW w:w="4322"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10832ECC" w14:textId="77777777" w:rsidR="00D37F2D" w:rsidRPr="004C543C" w:rsidRDefault="00D37F2D">
            <w:pPr>
              <w:spacing w:before="0" w:after="0"/>
              <w:jc w:val="center"/>
              <w:rPr>
                <w:rFonts w:eastAsia="Times New Roman"/>
                <w:b/>
                <w:bCs/>
                <w:color w:val="000000"/>
                <w:sz w:val="22"/>
                <w:lang w:val="en-IE" w:eastAsia="en-IE"/>
              </w:rPr>
            </w:pPr>
            <w:r w:rsidRPr="004C543C">
              <w:rPr>
                <w:rFonts w:eastAsia="Times New Roman"/>
                <w:b/>
                <w:bCs/>
                <w:color w:val="000000"/>
                <w:sz w:val="22"/>
                <w:lang w:val="en-IE" w:eastAsia="en-IE"/>
              </w:rPr>
              <w:t>TOTAL appropriations</w:t>
            </w:r>
            <w:r w:rsidRPr="004C543C">
              <w:rPr>
                <w:rFonts w:eastAsia="Times New Roman"/>
                <w:b/>
                <w:bCs/>
                <w:color w:val="000000"/>
                <w:sz w:val="22"/>
                <w:lang w:val="en-IE" w:eastAsia="en-IE"/>
              </w:rPr>
              <w:br/>
              <w:t>under HEADINGS 1 to 7</w:t>
            </w:r>
          </w:p>
        </w:tc>
        <w:tc>
          <w:tcPr>
            <w:tcW w:w="1237" w:type="dxa"/>
            <w:tcBorders>
              <w:top w:val="single" w:sz="8" w:space="0" w:color="auto"/>
              <w:left w:val="nil"/>
              <w:bottom w:val="single" w:sz="8" w:space="0" w:color="auto"/>
              <w:right w:val="single" w:sz="8" w:space="0" w:color="auto"/>
            </w:tcBorders>
            <w:shd w:val="clear" w:color="auto" w:fill="auto"/>
            <w:vAlign w:val="center"/>
            <w:hideMark/>
          </w:tcPr>
          <w:p w14:paraId="13A705C7" w14:textId="77777777" w:rsidR="00D37F2D" w:rsidRPr="004C543C" w:rsidRDefault="00D37F2D">
            <w:pPr>
              <w:spacing w:before="0" w:after="0"/>
              <w:rPr>
                <w:rFonts w:eastAsia="Times New Roman"/>
                <w:color w:val="000000"/>
                <w:sz w:val="18"/>
                <w:szCs w:val="18"/>
                <w:lang w:val="en-IE" w:eastAsia="en-IE"/>
              </w:rPr>
            </w:pPr>
            <w:r w:rsidRPr="004C543C">
              <w:rPr>
                <w:rFonts w:eastAsia="Times New Roman"/>
                <w:color w:val="000000"/>
                <w:sz w:val="18"/>
                <w:szCs w:val="18"/>
                <w:lang w:val="en-IE" w:eastAsia="en-IE"/>
              </w:rPr>
              <w:t>Commitments</w:t>
            </w:r>
          </w:p>
        </w:tc>
        <w:tc>
          <w:tcPr>
            <w:tcW w:w="1110" w:type="dxa"/>
            <w:tcBorders>
              <w:top w:val="nil"/>
              <w:left w:val="nil"/>
              <w:bottom w:val="single" w:sz="8" w:space="0" w:color="auto"/>
              <w:right w:val="single" w:sz="8" w:space="0" w:color="auto"/>
            </w:tcBorders>
            <w:shd w:val="clear" w:color="000000" w:fill="D9D9D9"/>
            <w:vAlign w:val="center"/>
            <w:hideMark/>
          </w:tcPr>
          <w:p w14:paraId="09956994" w14:textId="77777777" w:rsidR="00D37F2D" w:rsidRPr="00303070" w:rsidRDefault="00D37F2D">
            <w:pPr>
              <w:spacing w:before="0" w:after="0"/>
              <w:jc w:val="right"/>
              <w:rPr>
                <w:rFonts w:eastAsia="Times New Roman"/>
                <w:b/>
                <w:bCs/>
                <w:color w:val="000000"/>
                <w:sz w:val="20"/>
                <w:szCs w:val="20"/>
                <w:lang w:val="en-IE" w:eastAsia="en-IE"/>
              </w:rPr>
            </w:pPr>
            <w:r w:rsidRPr="00303070">
              <w:rPr>
                <w:rFonts w:eastAsia="Times New Roman"/>
                <w:b/>
                <w:bCs/>
                <w:color w:val="000000"/>
                <w:sz w:val="20"/>
                <w:szCs w:val="20"/>
                <w:lang w:val="en-IE" w:eastAsia="en-IE"/>
              </w:rPr>
              <w:t>0,000</w:t>
            </w:r>
          </w:p>
        </w:tc>
        <w:tc>
          <w:tcPr>
            <w:tcW w:w="1110" w:type="dxa"/>
            <w:tcBorders>
              <w:top w:val="nil"/>
              <w:left w:val="nil"/>
              <w:bottom w:val="single" w:sz="8" w:space="0" w:color="auto"/>
              <w:right w:val="single" w:sz="8" w:space="0" w:color="auto"/>
            </w:tcBorders>
            <w:shd w:val="clear" w:color="000000" w:fill="D9D9D9"/>
            <w:vAlign w:val="center"/>
            <w:hideMark/>
          </w:tcPr>
          <w:p w14:paraId="440014C7" w14:textId="77777777" w:rsidR="00D37F2D" w:rsidRPr="00303070" w:rsidRDefault="00D37F2D">
            <w:pPr>
              <w:spacing w:before="0" w:after="0"/>
              <w:jc w:val="right"/>
              <w:rPr>
                <w:rFonts w:eastAsia="Times New Roman"/>
                <w:b/>
                <w:bCs/>
                <w:color w:val="000000"/>
                <w:sz w:val="20"/>
                <w:szCs w:val="20"/>
                <w:lang w:val="en-IE" w:eastAsia="en-IE"/>
              </w:rPr>
            </w:pPr>
            <w:r w:rsidRPr="00303070">
              <w:rPr>
                <w:rFonts w:eastAsia="Times New Roman"/>
                <w:b/>
                <w:bCs/>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000000" w:fill="D9D9D9"/>
            <w:vAlign w:val="center"/>
            <w:hideMark/>
          </w:tcPr>
          <w:p w14:paraId="5229F11B" w14:textId="77777777" w:rsidR="00D37F2D" w:rsidRPr="00303070" w:rsidRDefault="00D37F2D">
            <w:pPr>
              <w:spacing w:before="0" w:after="0"/>
              <w:jc w:val="right"/>
              <w:rPr>
                <w:rFonts w:eastAsia="Times New Roman"/>
                <w:b/>
                <w:bCs/>
                <w:color w:val="000000"/>
                <w:sz w:val="20"/>
                <w:szCs w:val="20"/>
                <w:lang w:val="en-IE" w:eastAsia="en-IE"/>
              </w:rPr>
            </w:pPr>
            <w:r w:rsidRPr="00303070">
              <w:rPr>
                <w:rFonts w:eastAsia="Times New Roman"/>
                <w:b/>
                <w:bCs/>
                <w:color w:val="000000"/>
                <w:sz w:val="20"/>
                <w:szCs w:val="20"/>
                <w:lang w:val="en-IE" w:eastAsia="en-IE"/>
              </w:rPr>
              <w:t>42,884</w:t>
            </w:r>
          </w:p>
        </w:tc>
        <w:tc>
          <w:tcPr>
            <w:tcW w:w="1113" w:type="dxa"/>
            <w:tcBorders>
              <w:top w:val="nil"/>
              <w:left w:val="nil"/>
              <w:bottom w:val="single" w:sz="8" w:space="0" w:color="auto"/>
              <w:right w:val="single" w:sz="8" w:space="0" w:color="auto"/>
            </w:tcBorders>
            <w:shd w:val="clear" w:color="000000" w:fill="D9D9D9"/>
            <w:vAlign w:val="center"/>
            <w:hideMark/>
          </w:tcPr>
          <w:p w14:paraId="2E137858" w14:textId="77777777" w:rsidR="00D37F2D" w:rsidRPr="00303070" w:rsidRDefault="00D37F2D">
            <w:pPr>
              <w:spacing w:before="0" w:after="0"/>
              <w:jc w:val="right"/>
              <w:rPr>
                <w:rFonts w:eastAsia="Times New Roman"/>
                <w:b/>
                <w:bCs/>
                <w:color w:val="000000"/>
                <w:sz w:val="20"/>
                <w:szCs w:val="20"/>
                <w:lang w:val="en-IE" w:eastAsia="en-IE"/>
              </w:rPr>
            </w:pPr>
            <w:r w:rsidRPr="00303070">
              <w:rPr>
                <w:rFonts w:eastAsia="Times New Roman"/>
                <w:b/>
                <w:bCs/>
                <w:color w:val="000000"/>
                <w:sz w:val="20"/>
                <w:szCs w:val="20"/>
                <w:lang w:val="en-IE" w:eastAsia="en-IE"/>
              </w:rPr>
              <w:t>45,627</w:t>
            </w:r>
          </w:p>
        </w:tc>
        <w:tc>
          <w:tcPr>
            <w:tcW w:w="1351" w:type="dxa"/>
            <w:tcBorders>
              <w:top w:val="nil"/>
              <w:left w:val="nil"/>
              <w:bottom w:val="single" w:sz="8" w:space="0" w:color="auto"/>
              <w:right w:val="single" w:sz="8" w:space="0" w:color="auto"/>
            </w:tcBorders>
            <w:shd w:val="clear" w:color="000000" w:fill="D9D9D9"/>
            <w:vAlign w:val="center"/>
            <w:hideMark/>
          </w:tcPr>
          <w:p w14:paraId="3BFC9226" w14:textId="77777777" w:rsidR="00D37F2D" w:rsidRPr="00303070" w:rsidRDefault="00D37F2D">
            <w:pPr>
              <w:spacing w:before="0" w:after="0"/>
              <w:jc w:val="right"/>
              <w:rPr>
                <w:rFonts w:eastAsia="Times New Roman"/>
                <w:b/>
                <w:bCs/>
                <w:color w:val="000000"/>
                <w:sz w:val="20"/>
                <w:szCs w:val="20"/>
                <w:lang w:val="en-IE" w:eastAsia="en-IE"/>
              </w:rPr>
            </w:pPr>
            <w:r w:rsidRPr="00303070">
              <w:rPr>
                <w:rFonts w:eastAsia="Times New Roman"/>
                <w:b/>
                <w:bCs/>
                <w:color w:val="000000"/>
                <w:sz w:val="20"/>
                <w:szCs w:val="20"/>
                <w:lang w:val="en-IE" w:eastAsia="en-IE"/>
              </w:rPr>
              <w:t>88,511</w:t>
            </w:r>
          </w:p>
        </w:tc>
      </w:tr>
      <w:tr w:rsidR="00D37F2D" w:rsidRPr="004C543C" w14:paraId="183F4F65" w14:textId="77777777">
        <w:trPr>
          <w:trHeight w:val="540"/>
        </w:trPr>
        <w:tc>
          <w:tcPr>
            <w:tcW w:w="4322"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2F99F841" w14:textId="77777777" w:rsidR="00D37F2D" w:rsidRPr="004C543C" w:rsidRDefault="00D37F2D">
            <w:pPr>
              <w:spacing w:before="0" w:after="0"/>
              <w:jc w:val="center"/>
              <w:rPr>
                <w:rFonts w:eastAsia="Times New Roman"/>
                <w:color w:val="000000"/>
                <w:sz w:val="22"/>
                <w:lang w:val="en-IE" w:eastAsia="en-IE"/>
              </w:rPr>
            </w:pPr>
            <w:r w:rsidRPr="004C543C">
              <w:rPr>
                <w:rFonts w:eastAsia="Times New Roman"/>
                <w:color w:val="000000"/>
                <w:sz w:val="22"/>
                <w:lang w:val="en-IE" w:eastAsia="en-IE"/>
              </w:rPr>
              <w:t>of the multiannual financial framework</w:t>
            </w:r>
            <w:r w:rsidRPr="004C543C">
              <w:rPr>
                <w:rFonts w:eastAsia="Times New Roman"/>
                <w:b/>
                <w:bCs/>
                <w:color w:val="000000"/>
                <w:sz w:val="22"/>
                <w:lang w:val="en-IE" w:eastAsia="en-IE"/>
              </w:rPr>
              <w:t xml:space="preserve"> </w:t>
            </w:r>
          </w:p>
        </w:tc>
        <w:tc>
          <w:tcPr>
            <w:tcW w:w="1237" w:type="dxa"/>
            <w:tcBorders>
              <w:top w:val="single" w:sz="8" w:space="0" w:color="auto"/>
              <w:left w:val="nil"/>
              <w:bottom w:val="single" w:sz="8" w:space="0" w:color="auto"/>
              <w:right w:val="single" w:sz="8" w:space="0" w:color="auto"/>
            </w:tcBorders>
            <w:shd w:val="clear" w:color="auto" w:fill="auto"/>
            <w:vAlign w:val="center"/>
            <w:hideMark/>
          </w:tcPr>
          <w:p w14:paraId="40D5A244" w14:textId="77777777" w:rsidR="00D37F2D" w:rsidRPr="004C543C" w:rsidRDefault="00D37F2D">
            <w:pPr>
              <w:spacing w:before="0" w:after="0"/>
              <w:rPr>
                <w:rFonts w:eastAsia="Times New Roman"/>
                <w:color w:val="000000"/>
                <w:sz w:val="18"/>
                <w:szCs w:val="18"/>
                <w:lang w:val="en-IE" w:eastAsia="en-IE"/>
              </w:rPr>
            </w:pPr>
            <w:r w:rsidRPr="004C543C">
              <w:rPr>
                <w:rFonts w:eastAsia="Times New Roman"/>
                <w:color w:val="000000"/>
                <w:sz w:val="18"/>
                <w:szCs w:val="18"/>
                <w:lang w:val="en-IE" w:eastAsia="en-IE"/>
              </w:rPr>
              <w:t>Payments</w:t>
            </w:r>
          </w:p>
        </w:tc>
        <w:tc>
          <w:tcPr>
            <w:tcW w:w="1110" w:type="dxa"/>
            <w:tcBorders>
              <w:top w:val="nil"/>
              <w:left w:val="nil"/>
              <w:bottom w:val="single" w:sz="8" w:space="0" w:color="auto"/>
              <w:right w:val="single" w:sz="8" w:space="0" w:color="auto"/>
            </w:tcBorders>
            <w:shd w:val="clear" w:color="000000" w:fill="D9D9D9"/>
            <w:vAlign w:val="center"/>
            <w:hideMark/>
          </w:tcPr>
          <w:p w14:paraId="5EBEDD93" w14:textId="77777777" w:rsidR="00D37F2D" w:rsidRPr="00303070" w:rsidRDefault="00D37F2D">
            <w:pPr>
              <w:spacing w:before="0" w:after="0"/>
              <w:jc w:val="right"/>
              <w:rPr>
                <w:rFonts w:eastAsia="Times New Roman"/>
                <w:b/>
                <w:bCs/>
                <w:color w:val="000000"/>
                <w:sz w:val="20"/>
                <w:szCs w:val="20"/>
                <w:lang w:val="en-IE" w:eastAsia="en-IE"/>
              </w:rPr>
            </w:pPr>
            <w:r w:rsidRPr="00303070">
              <w:rPr>
                <w:rFonts w:eastAsia="Times New Roman"/>
                <w:b/>
                <w:bCs/>
                <w:color w:val="000000"/>
                <w:sz w:val="20"/>
                <w:szCs w:val="20"/>
                <w:lang w:val="en-IE" w:eastAsia="en-IE"/>
              </w:rPr>
              <w:t>0,000</w:t>
            </w:r>
          </w:p>
        </w:tc>
        <w:tc>
          <w:tcPr>
            <w:tcW w:w="1110" w:type="dxa"/>
            <w:tcBorders>
              <w:top w:val="nil"/>
              <w:left w:val="nil"/>
              <w:bottom w:val="single" w:sz="8" w:space="0" w:color="auto"/>
              <w:right w:val="single" w:sz="8" w:space="0" w:color="auto"/>
            </w:tcBorders>
            <w:shd w:val="clear" w:color="000000" w:fill="D9D9D9"/>
            <w:vAlign w:val="center"/>
            <w:hideMark/>
          </w:tcPr>
          <w:p w14:paraId="5B472632" w14:textId="77777777" w:rsidR="00D37F2D" w:rsidRPr="00303070" w:rsidRDefault="00D37F2D">
            <w:pPr>
              <w:spacing w:before="0" w:after="0"/>
              <w:jc w:val="right"/>
              <w:rPr>
                <w:rFonts w:eastAsia="Times New Roman"/>
                <w:b/>
                <w:bCs/>
                <w:color w:val="000000"/>
                <w:sz w:val="20"/>
                <w:szCs w:val="20"/>
                <w:lang w:val="en-IE" w:eastAsia="en-IE"/>
              </w:rPr>
            </w:pPr>
            <w:r w:rsidRPr="00303070">
              <w:rPr>
                <w:rFonts w:eastAsia="Times New Roman"/>
                <w:b/>
                <w:bCs/>
                <w:color w:val="000000"/>
                <w:sz w:val="20"/>
                <w:szCs w:val="20"/>
                <w:lang w:val="en-IE" w:eastAsia="en-IE"/>
              </w:rPr>
              <w:t>0,000</w:t>
            </w:r>
          </w:p>
        </w:tc>
        <w:tc>
          <w:tcPr>
            <w:tcW w:w="1113" w:type="dxa"/>
            <w:tcBorders>
              <w:top w:val="nil"/>
              <w:left w:val="nil"/>
              <w:bottom w:val="single" w:sz="8" w:space="0" w:color="auto"/>
              <w:right w:val="single" w:sz="8" w:space="0" w:color="auto"/>
            </w:tcBorders>
            <w:shd w:val="clear" w:color="000000" w:fill="D9D9D9"/>
            <w:vAlign w:val="center"/>
            <w:hideMark/>
          </w:tcPr>
          <w:p w14:paraId="5391252E" w14:textId="77777777" w:rsidR="00D37F2D" w:rsidRPr="00303070" w:rsidRDefault="00D37F2D">
            <w:pPr>
              <w:spacing w:before="0" w:after="0"/>
              <w:jc w:val="right"/>
              <w:rPr>
                <w:rFonts w:eastAsia="Times New Roman"/>
                <w:b/>
                <w:bCs/>
                <w:color w:val="000000"/>
                <w:sz w:val="20"/>
                <w:szCs w:val="20"/>
                <w:lang w:val="en-IE" w:eastAsia="en-IE"/>
              </w:rPr>
            </w:pPr>
            <w:r w:rsidRPr="00303070">
              <w:rPr>
                <w:rFonts w:eastAsia="Times New Roman"/>
                <w:b/>
                <w:bCs/>
                <w:color w:val="000000"/>
                <w:sz w:val="20"/>
                <w:szCs w:val="20"/>
                <w:lang w:val="en-IE" w:eastAsia="en-IE"/>
              </w:rPr>
              <w:t>30,762</w:t>
            </w:r>
          </w:p>
        </w:tc>
        <w:tc>
          <w:tcPr>
            <w:tcW w:w="1113" w:type="dxa"/>
            <w:tcBorders>
              <w:top w:val="nil"/>
              <w:left w:val="nil"/>
              <w:bottom w:val="single" w:sz="8" w:space="0" w:color="auto"/>
              <w:right w:val="single" w:sz="8" w:space="0" w:color="auto"/>
            </w:tcBorders>
            <w:shd w:val="clear" w:color="000000" w:fill="D9D9D9"/>
            <w:vAlign w:val="center"/>
            <w:hideMark/>
          </w:tcPr>
          <w:p w14:paraId="024C2776" w14:textId="77777777" w:rsidR="00D37F2D" w:rsidRPr="00303070" w:rsidRDefault="00D37F2D">
            <w:pPr>
              <w:spacing w:before="0" w:after="0"/>
              <w:jc w:val="right"/>
              <w:rPr>
                <w:rFonts w:eastAsia="Times New Roman"/>
                <w:b/>
                <w:bCs/>
                <w:color w:val="000000"/>
                <w:sz w:val="20"/>
                <w:szCs w:val="20"/>
                <w:lang w:val="en-IE" w:eastAsia="en-IE"/>
              </w:rPr>
            </w:pPr>
            <w:r w:rsidRPr="00303070">
              <w:rPr>
                <w:rFonts w:eastAsia="Times New Roman"/>
                <w:b/>
                <w:bCs/>
                <w:color w:val="000000"/>
                <w:sz w:val="20"/>
                <w:szCs w:val="20"/>
                <w:lang w:val="en-IE" w:eastAsia="en-IE"/>
              </w:rPr>
              <w:t>45,385</w:t>
            </w:r>
          </w:p>
        </w:tc>
        <w:tc>
          <w:tcPr>
            <w:tcW w:w="1351" w:type="dxa"/>
            <w:tcBorders>
              <w:top w:val="nil"/>
              <w:left w:val="nil"/>
              <w:bottom w:val="single" w:sz="8" w:space="0" w:color="auto"/>
              <w:right w:val="single" w:sz="8" w:space="0" w:color="auto"/>
            </w:tcBorders>
            <w:shd w:val="clear" w:color="000000" w:fill="D9D9D9"/>
            <w:vAlign w:val="center"/>
            <w:hideMark/>
          </w:tcPr>
          <w:p w14:paraId="3E9293DD" w14:textId="77777777" w:rsidR="00D37F2D" w:rsidRPr="00303070" w:rsidRDefault="00D37F2D">
            <w:pPr>
              <w:spacing w:before="0" w:after="0"/>
              <w:jc w:val="right"/>
              <w:rPr>
                <w:rFonts w:eastAsia="Times New Roman"/>
                <w:b/>
                <w:bCs/>
                <w:color w:val="000000"/>
                <w:sz w:val="20"/>
                <w:szCs w:val="20"/>
                <w:lang w:val="en-IE" w:eastAsia="en-IE"/>
              </w:rPr>
            </w:pPr>
            <w:r w:rsidRPr="00303070">
              <w:rPr>
                <w:rFonts w:eastAsia="Times New Roman"/>
                <w:b/>
                <w:bCs/>
                <w:color w:val="000000"/>
                <w:sz w:val="20"/>
                <w:szCs w:val="20"/>
                <w:lang w:val="en-IE" w:eastAsia="en-IE"/>
              </w:rPr>
              <w:t>76,147</w:t>
            </w:r>
          </w:p>
        </w:tc>
      </w:tr>
    </w:tbl>
    <w:p w14:paraId="4FD59275" w14:textId="77777777" w:rsidR="00D37F2D" w:rsidRPr="001D7C2D" w:rsidRDefault="00D37F2D" w:rsidP="00D37F2D">
      <w:pPr>
        <w:jc w:val="left"/>
      </w:pPr>
    </w:p>
    <w:p w14:paraId="42F24914" w14:textId="77777777" w:rsidR="00D37F2D" w:rsidRDefault="00D37F2D" w:rsidP="00D37F2D">
      <w:pPr>
        <w:pStyle w:val="ManualHeading3"/>
      </w:pPr>
      <w:bookmarkStart w:id="149" w:name="_Toc160804596"/>
      <w:bookmarkStart w:id="150" w:name="_Toc167220288"/>
      <w:bookmarkStart w:id="151" w:name="_Toc177549021"/>
      <w:bookmarkStart w:id="152" w:name="_Hlk189401494"/>
      <w:r>
        <w:t>3.2.1.2.</w:t>
      </w:r>
      <w:r>
        <w:tab/>
        <w:t>Appropriations from external assigned revenues</w:t>
      </w:r>
      <w:bookmarkEnd w:id="149"/>
      <w:bookmarkEnd w:id="150"/>
      <w:bookmarkEnd w:id="151"/>
    </w:p>
    <w:bookmarkEnd w:id="152"/>
    <w:p w14:paraId="63EA5A95" w14:textId="77777777" w:rsidR="00D37F2D" w:rsidRPr="00560656" w:rsidRDefault="00D37F2D" w:rsidP="00D37F2D">
      <w:pPr>
        <w:pStyle w:val="Text1"/>
      </w:pPr>
      <w:r>
        <w:t>N/A</w:t>
      </w:r>
    </w:p>
    <w:p w14:paraId="4E89EE36" w14:textId="77777777" w:rsidR="00D37F2D" w:rsidRPr="00211754" w:rsidRDefault="00D37F2D" w:rsidP="00D37F2D">
      <w:pPr>
        <w:pStyle w:val="ManualHeading3"/>
        <w:rPr>
          <w:noProof/>
        </w:rPr>
      </w:pPr>
      <w:bookmarkStart w:id="153" w:name="_Toc514938054"/>
      <w:bookmarkStart w:id="154" w:name="_Toc520485053"/>
      <w:bookmarkStart w:id="155" w:name="_Toc160804597"/>
      <w:bookmarkStart w:id="156" w:name="_Toc167220289"/>
      <w:bookmarkStart w:id="157" w:name="_Toc177549022"/>
      <w:r>
        <w:rPr>
          <w:noProof/>
        </w:rPr>
        <w:t>3.2.2.</w:t>
      </w:r>
      <w:r>
        <w:rPr>
          <w:noProof/>
        </w:rPr>
        <w:tab/>
        <w:t xml:space="preserve">Estimated output funded from operational </w:t>
      </w:r>
      <w:r w:rsidRPr="009C39E5">
        <w:rPr>
          <w:noProof/>
        </w:rPr>
        <w:t>appropriations</w:t>
      </w:r>
      <w:bookmarkEnd w:id="153"/>
      <w:bookmarkEnd w:id="154"/>
      <w:r w:rsidRPr="009C39E5">
        <w:rPr>
          <w:noProof/>
        </w:rPr>
        <w:t xml:space="preserve"> (not to be completed for decentralised agencies)</w:t>
      </w:r>
      <w:bookmarkEnd w:id="155"/>
      <w:bookmarkEnd w:id="156"/>
      <w:bookmarkEnd w:id="157"/>
    </w:p>
    <w:tbl>
      <w:tblPr>
        <w:tblW w:w="12187" w:type="dxa"/>
        <w:tblInd w:w="-548" w:type="dxa"/>
        <w:tblLook w:val="04A0" w:firstRow="1" w:lastRow="0" w:firstColumn="1" w:lastColumn="0" w:noHBand="0" w:noVBand="1"/>
      </w:tblPr>
      <w:tblGrid>
        <w:gridCol w:w="2492"/>
        <w:gridCol w:w="3205"/>
        <w:gridCol w:w="927"/>
        <w:gridCol w:w="597"/>
        <w:gridCol w:w="1257"/>
        <w:gridCol w:w="597"/>
        <w:gridCol w:w="1257"/>
        <w:gridCol w:w="597"/>
        <w:gridCol w:w="1258"/>
      </w:tblGrid>
      <w:tr w:rsidR="00D37F2D" w14:paraId="2E3601B4" w14:textId="77777777">
        <w:trPr>
          <w:trHeight w:val="295"/>
        </w:trPr>
        <w:tc>
          <w:tcPr>
            <w:tcW w:w="2492" w:type="dxa"/>
            <w:tcBorders>
              <w:top w:val="single" w:sz="8" w:space="0" w:color="000000"/>
              <w:left w:val="single" w:sz="8" w:space="0" w:color="000000"/>
              <w:bottom w:val="single" w:sz="4" w:space="0" w:color="000000"/>
              <w:right w:val="single" w:sz="4" w:space="0" w:color="000000"/>
            </w:tcBorders>
            <w:shd w:val="clear" w:color="auto" w:fill="auto"/>
            <w:vAlign w:val="bottom"/>
            <w:hideMark/>
          </w:tcPr>
          <w:p w14:paraId="1C84709A" w14:textId="77777777" w:rsidR="00D37F2D" w:rsidRPr="0075666C" w:rsidRDefault="00D37F2D">
            <w:pPr>
              <w:spacing w:before="0" w:after="0"/>
              <w:jc w:val="left"/>
              <w:rPr>
                <w:rFonts w:eastAsia="Times New Roman"/>
                <w:b/>
                <w:bCs/>
                <w:color w:val="000000"/>
                <w:sz w:val="18"/>
                <w:szCs w:val="18"/>
                <w:lang w:val="en-IE" w:eastAsia="en-IE"/>
              </w:rPr>
            </w:pPr>
            <w:r>
              <w:t xml:space="preserve">                                                                                                                     </w:t>
            </w:r>
            <w:r w:rsidRPr="0075666C">
              <w:rPr>
                <w:rFonts w:eastAsia="Times New Roman"/>
                <w:b/>
                <w:bCs/>
                <w:color w:val="000000"/>
                <w:sz w:val="18"/>
                <w:szCs w:val="18"/>
                <w:lang w:val="en-IE" w:eastAsia="en-IE"/>
              </w:rPr>
              <w:t>Indicate objectives and outputs</w:t>
            </w:r>
          </w:p>
        </w:tc>
        <w:tc>
          <w:tcPr>
            <w:tcW w:w="3205" w:type="dxa"/>
            <w:tcBorders>
              <w:top w:val="single" w:sz="8" w:space="0" w:color="000000"/>
              <w:left w:val="nil"/>
              <w:bottom w:val="single" w:sz="4" w:space="0" w:color="000000"/>
              <w:right w:val="single" w:sz="4" w:space="0" w:color="000000"/>
            </w:tcBorders>
            <w:shd w:val="clear" w:color="auto" w:fill="auto"/>
            <w:noWrap/>
            <w:vAlign w:val="bottom"/>
            <w:hideMark/>
          </w:tcPr>
          <w:p w14:paraId="1FE07566"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927" w:type="dxa"/>
            <w:tcBorders>
              <w:top w:val="single" w:sz="8" w:space="0" w:color="000000"/>
              <w:left w:val="nil"/>
              <w:bottom w:val="single" w:sz="4" w:space="0" w:color="000000"/>
              <w:right w:val="single" w:sz="4" w:space="0" w:color="000000"/>
            </w:tcBorders>
            <w:shd w:val="clear" w:color="auto" w:fill="auto"/>
            <w:noWrap/>
            <w:vAlign w:val="bottom"/>
            <w:hideMark/>
          </w:tcPr>
          <w:p w14:paraId="01049F67"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854" w:type="dxa"/>
            <w:gridSpan w:val="2"/>
            <w:tcBorders>
              <w:top w:val="single" w:sz="8" w:space="0" w:color="000000"/>
              <w:left w:val="nil"/>
              <w:bottom w:val="single" w:sz="4" w:space="0" w:color="000000"/>
              <w:right w:val="single" w:sz="4" w:space="0" w:color="000000"/>
            </w:tcBorders>
            <w:shd w:val="clear" w:color="auto" w:fill="auto"/>
            <w:vAlign w:val="center"/>
            <w:hideMark/>
          </w:tcPr>
          <w:p w14:paraId="2963E1A0" w14:textId="77777777" w:rsidR="00D37F2D" w:rsidRPr="0075666C" w:rsidRDefault="00D37F2D">
            <w:pPr>
              <w:spacing w:before="0" w:after="0"/>
              <w:jc w:val="center"/>
              <w:rPr>
                <w:rFonts w:eastAsia="Times New Roman"/>
                <w:b/>
                <w:bCs/>
                <w:color w:val="000000"/>
                <w:sz w:val="20"/>
                <w:szCs w:val="20"/>
                <w:lang w:val="en-IE" w:eastAsia="en-IE"/>
              </w:rPr>
            </w:pPr>
            <w:r w:rsidRPr="0075666C">
              <w:rPr>
                <w:rFonts w:eastAsia="Times New Roman"/>
                <w:b/>
                <w:bCs/>
                <w:color w:val="000000"/>
                <w:sz w:val="20"/>
                <w:szCs w:val="20"/>
                <w:lang w:val="en-IE" w:eastAsia="en-IE"/>
              </w:rPr>
              <w:t>Year</w:t>
            </w:r>
          </w:p>
        </w:tc>
        <w:tc>
          <w:tcPr>
            <w:tcW w:w="1854" w:type="dxa"/>
            <w:gridSpan w:val="2"/>
            <w:tcBorders>
              <w:top w:val="single" w:sz="8" w:space="0" w:color="000000"/>
              <w:left w:val="nil"/>
              <w:bottom w:val="single" w:sz="4" w:space="0" w:color="000000"/>
              <w:right w:val="single" w:sz="4" w:space="0" w:color="000000"/>
            </w:tcBorders>
            <w:shd w:val="clear" w:color="auto" w:fill="auto"/>
            <w:vAlign w:val="center"/>
            <w:hideMark/>
          </w:tcPr>
          <w:p w14:paraId="77D37B3C" w14:textId="77777777" w:rsidR="00D37F2D" w:rsidRPr="0075666C" w:rsidRDefault="00D37F2D">
            <w:pPr>
              <w:spacing w:before="0" w:after="0"/>
              <w:jc w:val="center"/>
              <w:rPr>
                <w:rFonts w:eastAsia="Times New Roman"/>
                <w:b/>
                <w:bCs/>
                <w:color w:val="000000"/>
                <w:sz w:val="20"/>
                <w:szCs w:val="20"/>
                <w:lang w:val="en-IE" w:eastAsia="en-IE"/>
              </w:rPr>
            </w:pPr>
            <w:r w:rsidRPr="0075666C">
              <w:rPr>
                <w:rFonts w:eastAsia="Times New Roman"/>
                <w:b/>
                <w:bCs/>
                <w:color w:val="000000"/>
                <w:sz w:val="20"/>
                <w:szCs w:val="20"/>
                <w:lang w:val="en-IE" w:eastAsia="en-IE"/>
              </w:rPr>
              <w:t>Year</w:t>
            </w:r>
          </w:p>
        </w:tc>
        <w:tc>
          <w:tcPr>
            <w:tcW w:w="1855" w:type="dxa"/>
            <w:gridSpan w:val="2"/>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072B9669" w14:textId="77777777" w:rsidR="00D37F2D" w:rsidRPr="0075666C" w:rsidRDefault="00D37F2D">
            <w:pPr>
              <w:spacing w:before="0" w:after="0"/>
              <w:jc w:val="center"/>
              <w:rPr>
                <w:rFonts w:eastAsia="Times New Roman"/>
                <w:b/>
                <w:bCs/>
                <w:color w:val="000000"/>
                <w:sz w:val="18"/>
                <w:szCs w:val="18"/>
                <w:lang w:val="en-IE" w:eastAsia="en-IE"/>
              </w:rPr>
            </w:pPr>
            <w:r w:rsidRPr="0075666C">
              <w:rPr>
                <w:rFonts w:eastAsia="Times New Roman"/>
                <w:b/>
                <w:bCs/>
                <w:color w:val="000000"/>
                <w:sz w:val="18"/>
                <w:szCs w:val="18"/>
                <w:lang w:val="en-IE" w:eastAsia="en-IE"/>
              </w:rPr>
              <w:t>TOTAL</w:t>
            </w:r>
            <w:r w:rsidRPr="0075666C">
              <w:rPr>
                <w:rFonts w:eastAsia="Times New Roman"/>
                <w:b/>
                <w:bCs/>
                <w:color w:val="000000"/>
                <w:sz w:val="18"/>
                <w:szCs w:val="18"/>
                <w:lang w:val="en-IE" w:eastAsia="en-IE"/>
              </w:rPr>
              <w:br/>
              <w:t>2021-2027</w:t>
            </w:r>
          </w:p>
        </w:tc>
      </w:tr>
      <w:tr w:rsidR="00D37F2D" w14:paraId="2399C3EB" w14:textId="77777777">
        <w:trPr>
          <w:trHeight w:val="295"/>
        </w:trPr>
        <w:tc>
          <w:tcPr>
            <w:tcW w:w="2492" w:type="dxa"/>
            <w:tcBorders>
              <w:top w:val="nil"/>
              <w:left w:val="single" w:sz="8" w:space="0" w:color="000000"/>
              <w:bottom w:val="single" w:sz="4" w:space="0" w:color="000000"/>
              <w:right w:val="single" w:sz="4" w:space="0" w:color="000000"/>
            </w:tcBorders>
            <w:shd w:val="clear" w:color="auto" w:fill="auto"/>
            <w:noWrap/>
            <w:vAlign w:val="bottom"/>
            <w:hideMark/>
          </w:tcPr>
          <w:p w14:paraId="68EC1BC6" w14:textId="77777777" w:rsidR="00D37F2D" w:rsidRPr="0075666C" w:rsidRDefault="00D37F2D">
            <w:pPr>
              <w:spacing w:before="0" w:after="0"/>
              <w:jc w:val="center"/>
              <w:rPr>
                <w:rFonts w:ascii="Wingdings" w:eastAsia="Times New Roman" w:hAnsi="Wingdings" w:cs="Calibri"/>
                <w:color w:val="000000"/>
                <w:sz w:val="18"/>
                <w:szCs w:val="18"/>
                <w:lang w:val="en-IE" w:eastAsia="en-IE"/>
              </w:rPr>
            </w:pPr>
            <w:r w:rsidRPr="0075666C">
              <w:rPr>
                <w:rFonts w:ascii="Wingdings" w:eastAsia="Times New Roman" w:hAnsi="Wingdings" w:cs="Calibri"/>
                <w:color w:val="000000"/>
                <w:sz w:val="18"/>
                <w:szCs w:val="18"/>
                <w:lang w:val="en-IE" w:eastAsia="en-IE"/>
              </w:rPr>
              <w:t>ò</w:t>
            </w:r>
          </w:p>
        </w:tc>
        <w:tc>
          <w:tcPr>
            <w:tcW w:w="3205" w:type="dxa"/>
            <w:tcBorders>
              <w:top w:val="nil"/>
              <w:left w:val="nil"/>
              <w:bottom w:val="single" w:sz="4" w:space="0" w:color="000000"/>
              <w:right w:val="single" w:sz="4" w:space="0" w:color="000000"/>
            </w:tcBorders>
            <w:shd w:val="clear" w:color="auto" w:fill="auto"/>
            <w:noWrap/>
            <w:vAlign w:val="bottom"/>
            <w:hideMark/>
          </w:tcPr>
          <w:p w14:paraId="44F25C69" w14:textId="77777777" w:rsidR="00D37F2D" w:rsidRPr="0075666C" w:rsidRDefault="00D37F2D">
            <w:pPr>
              <w:spacing w:before="0" w:after="0"/>
              <w:jc w:val="left"/>
              <w:rPr>
                <w:rFonts w:ascii="Calibri" w:eastAsia="Times New Roman" w:hAnsi="Calibri" w:cs="Calibri"/>
                <w:color w:val="000000"/>
                <w:sz w:val="22"/>
                <w:lang w:val="en-IE" w:eastAsia="en-IE"/>
              </w:rPr>
            </w:pPr>
            <w:r w:rsidRPr="0075666C">
              <w:rPr>
                <w:rFonts w:ascii="Calibri" w:eastAsia="Times New Roman" w:hAnsi="Calibri" w:cs="Calibri"/>
                <w:color w:val="000000"/>
                <w:sz w:val="22"/>
                <w:lang w:val="en-IE" w:eastAsia="en-IE"/>
              </w:rPr>
              <w:t> </w:t>
            </w:r>
          </w:p>
        </w:tc>
        <w:tc>
          <w:tcPr>
            <w:tcW w:w="927" w:type="dxa"/>
            <w:tcBorders>
              <w:top w:val="nil"/>
              <w:left w:val="nil"/>
              <w:bottom w:val="single" w:sz="4" w:space="0" w:color="000000"/>
              <w:right w:val="single" w:sz="4" w:space="0" w:color="000000"/>
            </w:tcBorders>
            <w:shd w:val="clear" w:color="auto" w:fill="auto"/>
            <w:noWrap/>
            <w:vAlign w:val="bottom"/>
            <w:hideMark/>
          </w:tcPr>
          <w:p w14:paraId="20D00E0D" w14:textId="77777777" w:rsidR="00D37F2D" w:rsidRPr="0075666C" w:rsidRDefault="00D37F2D">
            <w:pPr>
              <w:spacing w:before="0" w:after="0"/>
              <w:jc w:val="left"/>
              <w:rPr>
                <w:rFonts w:ascii="Calibri" w:eastAsia="Times New Roman" w:hAnsi="Calibri" w:cs="Calibri"/>
                <w:color w:val="000000"/>
                <w:sz w:val="22"/>
                <w:lang w:val="en-IE" w:eastAsia="en-IE"/>
              </w:rPr>
            </w:pPr>
            <w:r w:rsidRPr="0075666C">
              <w:rPr>
                <w:rFonts w:ascii="Calibri" w:eastAsia="Times New Roman" w:hAnsi="Calibri" w:cs="Calibri"/>
                <w:color w:val="000000"/>
                <w:sz w:val="22"/>
                <w:lang w:val="en-IE" w:eastAsia="en-IE"/>
              </w:rPr>
              <w:t> </w:t>
            </w:r>
          </w:p>
        </w:tc>
        <w:tc>
          <w:tcPr>
            <w:tcW w:w="1854" w:type="dxa"/>
            <w:gridSpan w:val="2"/>
            <w:tcBorders>
              <w:top w:val="single" w:sz="4" w:space="0" w:color="000000"/>
              <w:left w:val="nil"/>
              <w:bottom w:val="single" w:sz="4" w:space="0" w:color="000000"/>
              <w:right w:val="single" w:sz="4" w:space="0" w:color="000000"/>
            </w:tcBorders>
            <w:shd w:val="clear" w:color="auto" w:fill="auto"/>
            <w:vAlign w:val="center"/>
            <w:hideMark/>
          </w:tcPr>
          <w:p w14:paraId="68B7BD65" w14:textId="77777777" w:rsidR="00D37F2D" w:rsidRPr="0075666C" w:rsidRDefault="00D37F2D">
            <w:pPr>
              <w:spacing w:before="0" w:after="0"/>
              <w:jc w:val="center"/>
              <w:rPr>
                <w:rFonts w:eastAsia="Times New Roman"/>
                <w:b/>
                <w:bCs/>
                <w:color w:val="000000"/>
                <w:sz w:val="20"/>
                <w:szCs w:val="20"/>
                <w:lang w:val="en-IE" w:eastAsia="en-IE"/>
              </w:rPr>
            </w:pPr>
            <w:r w:rsidRPr="0075666C">
              <w:rPr>
                <w:rFonts w:eastAsia="Times New Roman"/>
                <w:b/>
                <w:bCs/>
                <w:color w:val="000000"/>
                <w:sz w:val="20"/>
                <w:szCs w:val="20"/>
                <w:lang w:val="en-IE" w:eastAsia="en-IE"/>
              </w:rPr>
              <w:t>2026</w:t>
            </w:r>
          </w:p>
        </w:tc>
        <w:tc>
          <w:tcPr>
            <w:tcW w:w="1854" w:type="dxa"/>
            <w:gridSpan w:val="2"/>
            <w:tcBorders>
              <w:top w:val="single" w:sz="4" w:space="0" w:color="000000"/>
              <w:left w:val="nil"/>
              <w:bottom w:val="single" w:sz="4" w:space="0" w:color="000000"/>
              <w:right w:val="single" w:sz="4" w:space="0" w:color="000000"/>
            </w:tcBorders>
            <w:shd w:val="clear" w:color="auto" w:fill="auto"/>
            <w:vAlign w:val="center"/>
            <w:hideMark/>
          </w:tcPr>
          <w:p w14:paraId="6BE9C021" w14:textId="77777777" w:rsidR="00D37F2D" w:rsidRPr="0075666C" w:rsidRDefault="00D37F2D">
            <w:pPr>
              <w:spacing w:before="0" w:after="0"/>
              <w:jc w:val="center"/>
              <w:rPr>
                <w:rFonts w:eastAsia="Times New Roman"/>
                <w:b/>
                <w:bCs/>
                <w:color w:val="000000"/>
                <w:sz w:val="20"/>
                <w:szCs w:val="20"/>
                <w:lang w:val="en-IE" w:eastAsia="en-IE"/>
              </w:rPr>
            </w:pPr>
            <w:r w:rsidRPr="0075666C">
              <w:rPr>
                <w:rFonts w:eastAsia="Times New Roman"/>
                <w:b/>
                <w:bCs/>
                <w:color w:val="000000"/>
                <w:sz w:val="20"/>
                <w:szCs w:val="20"/>
                <w:lang w:val="en-IE" w:eastAsia="en-IE"/>
              </w:rPr>
              <w:t>2027</w:t>
            </w:r>
          </w:p>
        </w:tc>
        <w:tc>
          <w:tcPr>
            <w:tcW w:w="1855" w:type="dxa"/>
            <w:gridSpan w:val="2"/>
            <w:vMerge/>
            <w:tcBorders>
              <w:top w:val="single" w:sz="8" w:space="0" w:color="000000"/>
              <w:left w:val="single" w:sz="4" w:space="0" w:color="000000"/>
              <w:bottom w:val="single" w:sz="4" w:space="0" w:color="000000"/>
              <w:right w:val="single" w:sz="4" w:space="0" w:color="000000"/>
            </w:tcBorders>
            <w:vAlign w:val="center"/>
            <w:hideMark/>
          </w:tcPr>
          <w:p w14:paraId="017C962C" w14:textId="77777777" w:rsidR="00D37F2D" w:rsidRPr="0075666C" w:rsidRDefault="00D37F2D">
            <w:pPr>
              <w:spacing w:before="0" w:after="0"/>
              <w:jc w:val="left"/>
              <w:rPr>
                <w:rFonts w:eastAsia="Times New Roman"/>
                <w:b/>
                <w:bCs/>
                <w:color w:val="000000"/>
                <w:sz w:val="18"/>
                <w:szCs w:val="18"/>
                <w:lang w:val="en-IE" w:eastAsia="en-IE"/>
              </w:rPr>
            </w:pPr>
          </w:p>
        </w:tc>
      </w:tr>
      <w:tr w:rsidR="00D37F2D" w14:paraId="4F7E6816" w14:textId="77777777">
        <w:trPr>
          <w:trHeight w:val="591"/>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5CFDCF1C" w14:textId="77777777" w:rsidR="00D37F2D" w:rsidRPr="0075666C" w:rsidRDefault="00D37F2D">
            <w:pPr>
              <w:spacing w:before="0" w:after="0"/>
              <w:jc w:val="left"/>
              <w:rPr>
                <w:rFonts w:ascii="Calibri" w:eastAsia="Times New Roman" w:hAnsi="Calibri" w:cs="Calibri"/>
                <w:color w:val="000000"/>
                <w:sz w:val="22"/>
                <w:lang w:val="en-IE" w:eastAsia="en-IE"/>
              </w:rPr>
            </w:pPr>
            <w:r w:rsidRPr="0075666C">
              <w:rPr>
                <w:rFonts w:ascii="Calibri" w:eastAsia="Times New Roman" w:hAnsi="Calibri" w:cs="Calibri"/>
                <w:color w:val="000000"/>
                <w:sz w:val="22"/>
                <w:lang w:val="en-IE" w:eastAsia="en-IE"/>
              </w:rPr>
              <w:t>06 06 01 - EU4Health Programme</w:t>
            </w:r>
          </w:p>
        </w:tc>
        <w:tc>
          <w:tcPr>
            <w:tcW w:w="9695" w:type="dxa"/>
            <w:gridSpan w:val="8"/>
            <w:tcBorders>
              <w:top w:val="single" w:sz="4" w:space="0" w:color="000000"/>
              <w:left w:val="nil"/>
              <w:bottom w:val="single" w:sz="4" w:space="0" w:color="000000"/>
              <w:right w:val="single" w:sz="4" w:space="0" w:color="000000"/>
            </w:tcBorders>
            <w:shd w:val="clear" w:color="auto" w:fill="auto"/>
            <w:noWrap/>
            <w:vAlign w:val="bottom"/>
            <w:hideMark/>
          </w:tcPr>
          <w:p w14:paraId="0FFF481E" w14:textId="77777777" w:rsidR="00D37F2D" w:rsidRPr="0075666C" w:rsidRDefault="00D37F2D">
            <w:pPr>
              <w:spacing w:before="0" w:after="0"/>
              <w:jc w:val="left"/>
              <w:rPr>
                <w:rFonts w:eastAsia="Times New Roman"/>
                <w:b/>
                <w:bCs/>
                <w:color w:val="000000"/>
                <w:sz w:val="18"/>
                <w:szCs w:val="18"/>
                <w:lang w:val="en-IE" w:eastAsia="en-IE"/>
              </w:rPr>
            </w:pPr>
            <w:r w:rsidRPr="0075666C">
              <w:rPr>
                <w:rFonts w:eastAsia="Times New Roman"/>
                <w:b/>
                <w:bCs/>
                <w:color w:val="000000"/>
                <w:sz w:val="18"/>
                <w:szCs w:val="18"/>
                <w:lang w:val="en-IE" w:eastAsia="en-IE"/>
              </w:rPr>
              <w:t>OUTPUTS</w:t>
            </w:r>
          </w:p>
        </w:tc>
      </w:tr>
      <w:tr w:rsidR="00D37F2D" w14:paraId="46C0A226" w14:textId="77777777">
        <w:trPr>
          <w:trHeight w:val="473"/>
        </w:trPr>
        <w:tc>
          <w:tcPr>
            <w:tcW w:w="2492" w:type="dxa"/>
            <w:tcBorders>
              <w:top w:val="nil"/>
              <w:left w:val="single" w:sz="8" w:space="0" w:color="000000"/>
              <w:bottom w:val="nil"/>
              <w:right w:val="single" w:sz="4" w:space="0" w:color="000000"/>
            </w:tcBorders>
            <w:shd w:val="clear" w:color="auto" w:fill="auto"/>
            <w:noWrap/>
            <w:vAlign w:val="bottom"/>
            <w:hideMark/>
          </w:tcPr>
          <w:p w14:paraId="3F6BEEE1" w14:textId="77777777" w:rsidR="00D37F2D" w:rsidRPr="0075666C" w:rsidRDefault="00D37F2D">
            <w:pPr>
              <w:spacing w:before="0" w:after="0"/>
              <w:jc w:val="left"/>
              <w:rPr>
                <w:rFonts w:ascii="Calibri" w:eastAsia="Times New Roman" w:hAnsi="Calibri" w:cs="Calibri"/>
                <w:color w:val="000000"/>
                <w:sz w:val="22"/>
                <w:lang w:val="en-IE" w:eastAsia="en-IE"/>
              </w:rPr>
            </w:pPr>
            <w:r w:rsidRPr="0075666C">
              <w:rPr>
                <w:rFonts w:ascii="Calibri" w:eastAsia="Times New Roman" w:hAnsi="Calibri" w:cs="Calibri"/>
                <w:color w:val="000000"/>
                <w:sz w:val="22"/>
                <w:lang w:val="en-IE" w:eastAsia="en-IE"/>
              </w:rPr>
              <w:t> </w:t>
            </w:r>
          </w:p>
        </w:tc>
        <w:tc>
          <w:tcPr>
            <w:tcW w:w="3205" w:type="dxa"/>
            <w:tcBorders>
              <w:top w:val="nil"/>
              <w:left w:val="nil"/>
              <w:bottom w:val="nil"/>
              <w:right w:val="single" w:sz="4" w:space="0" w:color="000000"/>
            </w:tcBorders>
            <w:shd w:val="clear" w:color="auto" w:fill="auto"/>
            <w:noWrap/>
            <w:vAlign w:val="center"/>
            <w:hideMark/>
          </w:tcPr>
          <w:p w14:paraId="2AB8143E" w14:textId="77777777" w:rsidR="00D37F2D" w:rsidRPr="0075666C" w:rsidRDefault="00D37F2D">
            <w:pPr>
              <w:spacing w:before="0" w:after="0"/>
              <w:jc w:val="center"/>
              <w:rPr>
                <w:rFonts w:eastAsia="Times New Roman"/>
                <w:color w:val="000000"/>
                <w:sz w:val="18"/>
                <w:szCs w:val="18"/>
                <w:lang w:val="en-IE" w:eastAsia="en-IE"/>
              </w:rPr>
            </w:pPr>
            <w:bookmarkStart w:id="158" w:name="RANGE!C5"/>
            <w:r w:rsidRPr="0075666C">
              <w:rPr>
                <w:rFonts w:eastAsia="Times New Roman"/>
                <w:color w:val="000000"/>
                <w:sz w:val="18"/>
                <w:szCs w:val="18"/>
                <w:lang w:val="en-IE" w:eastAsia="en-IE"/>
              </w:rPr>
              <w:t>Type</w:t>
            </w:r>
            <w:bookmarkEnd w:id="158"/>
          </w:p>
        </w:tc>
        <w:tc>
          <w:tcPr>
            <w:tcW w:w="927" w:type="dxa"/>
            <w:tcBorders>
              <w:top w:val="nil"/>
              <w:left w:val="nil"/>
              <w:bottom w:val="nil"/>
              <w:right w:val="single" w:sz="4" w:space="0" w:color="000000"/>
            </w:tcBorders>
            <w:shd w:val="clear" w:color="auto" w:fill="auto"/>
            <w:vAlign w:val="center"/>
            <w:hideMark/>
          </w:tcPr>
          <w:p w14:paraId="72ED5494" w14:textId="77777777" w:rsidR="00D37F2D" w:rsidRPr="0075666C" w:rsidRDefault="00D37F2D">
            <w:pPr>
              <w:spacing w:before="0" w:after="0"/>
              <w:jc w:val="center"/>
              <w:rPr>
                <w:rFonts w:eastAsia="Times New Roman"/>
                <w:color w:val="000000"/>
                <w:sz w:val="18"/>
                <w:szCs w:val="18"/>
                <w:lang w:val="en-IE" w:eastAsia="en-IE"/>
              </w:rPr>
            </w:pPr>
            <w:r w:rsidRPr="0075666C">
              <w:rPr>
                <w:rFonts w:eastAsia="Times New Roman"/>
                <w:color w:val="000000"/>
                <w:sz w:val="18"/>
                <w:szCs w:val="18"/>
                <w:lang w:val="en-IE" w:eastAsia="en-IE"/>
              </w:rPr>
              <w:t>Average</w:t>
            </w:r>
            <w:r w:rsidRPr="0075666C">
              <w:rPr>
                <w:rFonts w:eastAsia="Times New Roman"/>
                <w:color w:val="000000"/>
                <w:sz w:val="18"/>
                <w:szCs w:val="18"/>
                <w:lang w:val="en-IE" w:eastAsia="en-IE"/>
              </w:rPr>
              <w:br/>
              <w:t>cost</w:t>
            </w:r>
          </w:p>
        </w:tc>
        <w:tc>
          <w:tcPr>
            <w:tcW w:w="597" w:type="dxa"/>
            <w:tcBorders>
              <w:top w:val="nil"/>
              <w:left w:val="nil"/>
              <w:bottom w:val="nil"/>
              <w:right w:val="single" w:sz="4" w:space="0" w:color="000000"/>
            </w:tcBorders>
            <w:shd w:val="clear" w:color="auto" w:fill="auto"/>
            <w:noWrap/>
            <w:vAlign w:val="center"/>
            <w:hideMark/>
          </w:tcPr>
          <w:p w14:paraId="15D2AB9A" w14:textId="77777777" w:rsidR="00D37F2D" w:rsidRPr="0075666C" w:rsidRDefault="00D37F2D">
            <w:pPr>
              <w:spacing w:before="0" w:after="0"/>
              <w:jc w:val="center"/>
              <w:rPr>
                <w:rFonts w:eastAsia="Times New Roman"/>
                <w:color w:val="000000"/>
                <w:sz w:val="18"/>
                <w:szCs w:val="18"/>
                <w:lang w:val="en-IE" w:eastAsia="en-IE"/>
              </w:rPr>
            </w:pPr>
            <w:r w:rsidRPr="0075666C">
              <w:rPr>
                <w:rFonts w:eastAsia="Times New Roman"/>
                <w:color w:val="000000"/>
                <w:sz w:val="18"/>
                <w:szCs w:val="18"/>
                <w:lang w:val="en-IE" w:eastAsia="en-IE"/>
              </w:rPr>
              <w:t>No</w:t>
            </w:r>
          </w:p>
        </w:tc>
        <w:tc>
          <w:tcPr>
            <w:tcW w:w="1257" w:type="dxa"/>
            <w:tcBorders>
              <w:top w:val="nil"/>
              <w:left w:val="nil"/>
              <w:bottom w:val="nil"/>
              <w:right w:val="single" w:sz="4" w:space="0" w:color="000000"/>
            </w:tcBorders>
            <w:shd w:val="clear" w:color="auto" w:fill="auto"/>
            <w:noWrap/>
            <w:vAlign w:val="center"/>
            <w:hideMark/>
          </w:tcPr>
          <w:p w14:paraId="4E0DF3E8" w14:textId="77777777" w:rsidR="00D37F2D" w:rsidRPr="0075666C" w:rsidRDefault="00D37F2D">
            <w:pPr>
              <w:spacing w:before="0" w:after="0"/>
              <w:jc w:val="center"/>
              <w:rPr>
                <w:rFonts w:eastAsia="Times New Roman"/>
                <w:color w:val="000000"/>
                <w:sz w:val="18"/>
                <w:szCs w:val="18"/>
                <w:lang w:val="en-IE" w:eastAsia="en-IE"/>
              </w:rPr>
            </w:pPr>
            <w:r w:rsidRPr="0075666C">
              <w:rPr>
                <w:rFonts w:eastAsia="Times New Roman"/>
                <w:color w:val="000000"/>
                <w:sz w:val="18"/>
                <w:szCs w:val="18"/>
                <w:lang w:val="en-IE" w:eastAsia="en-IE"/>
              </w:rPr>
              <w:t>Cost</w:t>
            </w:r>
          </w:p>
        </w:tc>
        <w:tc>
          <w:tcPr>
            <w:tcW w:w="597" w:type="dxa"/>
            <w:tcBorders>
              <w:top w:val="nil"/>
              <w:left w:val="nil"/>
              <w:bottom w:val="nil"/>
              <w:right w:val="single" w:sz="4" w:space="0" w:color="000000"/>
            </w:tcBorders>
            <w:shd w:val="clear" w:color="auto" w:fill="auto"/>
            <w:noWrap/>
            <w:vAlign w:val="center"/>
            <w:hideMark/>
          </w:tcPr>
          <w:p w14:paraId="0852F7A2" w14:textId="77777777" w:rsidR="00D37F2D" w:rsidRPr="0075666C" w:rsidRDefault="00D37F2D">
            <w:pPr>
              <w:spacing w:before="0" w:after="0"/>
              <w:jc w:val="center"/>
              <w:rPr>
                <w:rFonts w:eastAsia="Times New Roman"/>
                <w:color w:val="000000"/>
                <w:sz w:val="18"/>
                <w:szCs w:val="18"/>
                <w:lang w:val="en-IE" w:eastAsia="en-IE"/>
              </w:rPr>
            </w:pPr>
            <w:r w:rsidRPr="0075666C">
              <w:rPr>
                <w:rFonts w:eastAsia="Times New Roman"/>
                <w:color w:val="000000"/>
                <w:sz w:val="18"/>
                <w:szCs w:val="18"/>
                <w:lang w:val="en-IE" w:eastAsia="en-IE"/>
              </w:rPr>
              <w:t>No</w:t>
            </w:r>
          </w:p>
        </w:tc>
        <w:tc>
          <w:tcPr>
            <w:tcW w:w="1257" w:type="dxa"/>
            <w:tcBorders>
              <w:top w:val="nil"/>
              <w:left w:val="nil"/>
              <w:bottom w:val="nil"/>
              <w:right w:val="single" w:sz="4" w:space="0" w:color="000000"/>
            </w:tcBorders>
            <w:shd w:val="clear" w:color="auto" w:fill="auto"/>
            <w:noWrap/>
            <w:vAlign w:val="center"/>
            <w:hideMark/>
          </w:tcPr>
          <w:p w14:paraId="71F2A7FD" w14:textId="77777777" w:rsidR="00D37F2D" w:rsidRPr="0075666C" w:rsidRDefault="00D37F2D">
            <w:pPr>
              <w:spacing w:before="0" w:after="0"/>
              <w:jc w:val="center"/>
              <w:rPr>
                <w:rFonts w:eastAsia="Times New Roman"/>
                <w:color w:val="000000"/>
                <w:sz w:val="18"/>
                <w:szCs w:val="18"/>
                <w:lang w:val="en-IE" w:eastAsia="en-IE"/>
              </w:rPr>
            </w:pPr>
            <w:r w:rsidRPr="0075666C">
              <w:rPr>
                <w:rFonts w:eastAsia="Times New Roman"/>
                <w:color w:val="000000"/>
                <w:sz w:val="18"/>
                <w:szCs w:val="18"/>
                <w:lang w:val="en-IE" w:eastAsia="en-IE"/>
              </w:rPr>
              <w:t>Cost</w:t>
            </w:r>
          </w:p>
        </w:tc>
        <w:tc>
          <w:tcPr>
            <w:tcW w:w="597" w:type="dxa"/>
            <w:tcBorders>
              <w:top w:val="nil"/>
              <w:left w:val="nil"/>
              <w:bottom w:val="nil"/>
              <w:right w:val="single" w:sz="4" w:space="0" w:color="000000"/>
            </w:tcBorders>
            <w:shd w:val="clear" w:color="auto" w:fill="auto"/>
            <w:noWrap/>
            <w:vAlign w:val="center"/>
            <w:hideMark/>
          </w:tcPr>
          <w:p w14:paraId="05238036" w14:textId="77777777" w:rsidR="00D37F2D" w:rsidRPr="0075666C" w:rsidRDefault="00D37F2D">
            <w:pPr>
              <w:spacing w:before="0" w:after="0"/>
              <w:jc w:val="center"/>
              <w:rPr>
                <w:rFonts w:eastAsia="Times New Roman"/>
                <w:color w:val="000000"/>
                <w:sz w:val="18"/>
                <w:szCs w:val="18"/>
                <w:lang w:val="en-IE" w:eastAsia="en-IE"/>
              </w:rPr>
            </w:pPr>
            <w:r w:rsidRPr="0075666C">
              <w:rPr>
                <w:rFonts w:eastAsia="Times New Roman"/>
                <w:color w:val="000000"/>
                <w:sz w:val="18"/>
                <w:szCs w:val="18"/>
                <w:lang w:val="en-IE" w:eastAsia="en-IE"/>
              </w:rPr>
              <w:t>No</w:t>
            </w:r>
          </w:p>
        </w:tc>
        <w:tc>
          <w:tcPr>
            <w:tcW w:w="1258" w:type="dxa"/>
            <w:tcBorders>
              <w:top w:val="nil"/>
              <w:left w:val="nil"/>
              <w:bottom w:val="nil"/>
              <w:right w:val="single" w:sz="4" w:space="0" w:color="000000"/>
            </w:tcBorders>
            <w:shd w:val="clear" w:color="auto" w:fill="auto"/>
            <w:noWrap/>
            <w:vAlign w:val="center"/>
            <w:hideMark/>
          </w:tcPr>
          <w:p w14:paraId="3DFA4F4A" w14:textId="77777777" w:rsidR="00D37F2D" w:rsidRPr="0075666C" w:rsidRDefault="00D37F2D">
            <w:pPr>
              <w:spacing w:before="0" w:after="0"/>
              <w:jc w:val="center"/>
              <w:rPr>
                <w:rFonts w:eastAsia="Times New Roman"/>
                <w:color w:val="000000"/>
                <w:sz w:val="18"/>
                <w:szCs w:val="18"/>
                <w:lang w:val="en-IE" w:eastAsia="en-IE"/>
              </w:rPr>
            </w:pPr>
            <w:r w:rsidRPr="0075666C">
              <w:rPr>
                <w:rFonts w:eastAsia="Times New Roman"/>
                <w:color w:val="000000"/>
                <w:sz w:val="18"/>
                <w:szCs w:val="18"/>
                <w:lang w:val="en-IE" w:eastAsia="en-IE"/>
              </w:rPr>
              <w:t>Cost</w:t>
            </w:r>
          </w:p>
        </w:tc>
      </w:tr>
      <w:tr w:rsidR="00D37F2D" w14:paraId="5434FE6C" w14:textId="77777777">
        <w:trPr>
          <w:trHeight w:val="266"/>
        </w:trPr>
        <w:tc>
          <w:tcPr>
            <w:tcW w:w="12187" w:type="dxa"/>
            <w:gridSpan w:val="9"/>
            <w:tcBorders>
              <w:top w:val="single" w:sz="4" w:space="0" w:color="000000"/>
              <w:left w:val="single" w:sz="8" w:space="0" w:color="000000"/>
              <w:bottom w:val="single" w:sz="4" w:space="0" w:color="000000"/>
              <w:right w:val="nil"/>
            </w:tcBorders>
            <w:shd w:val="clear" w:color="auto" w:fill="auto"/>
            <w:noWrap/>
            <w:vAlign w:val="bottom"/>
            <w:hideMark/>
          </w:tcPr>
          <w:p w14:paraId="67196498" w14:textId="15A9417A" w:rsidR="00D37F2D" w:rsidRPr="0075666C" w:rsidRDefault="00D37F2D">
            <w:pPr>
              <w:spacing w:before="0" w:after="0"/>
              <w:jc w:val="left"/>
              <w:rPr>
                <w:rFonts w:eastAsia="Times New Roman"/>
                <w:color w:val="000000"/>
                <w:sz w:val="18"/>
                <w:szCs w:val="18"/>
                <w:lang w:val="en-IE" w:eastAsia="en-IE"/>
              </w:rPr>
            </w:pPr>
            <w:bookmarkStart w:id="159" w:name="RANGE!B6"/>
            <w:r w:rsidRPr="0075666C">
              <w:rPr>
                <w:rFonts w:eastAsia="Times New Roman"/>
                <w:color w:val="000000"/>
                <w:sz w:val="18"/>
                <w:szCs w:val="18"/>
                <w:lang w:val="en-IE" w:eastAsia="en-IE"/>
              </w:rPr>
              <w:t>OBJECTIVE No 1: Security of supply and the availability of critical medicinal products</w:t>
            </w:r>
            <w:bookmarkEnd w:id="159"/>
          </w:p>
        </w:tc>
      </w:tr>
      <w:tr w:rsidR="00D37F2D" w14:paraId="12E0A855" w14:textId="77777777">
        <w:trPr>
          <w:trHeight w:val="754"/>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101161F5"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xml:space="preserve">A. facilitate investments in manufacturing capacities </w:t>
            </w:r>
          </w:p>
        </w:tc>
        <w:tc>
          <w:tcPr>
            <w:tcW w:w="3205" w:type="dxa"/>
            <w:tcBorders>
              <w:top w:val="nil"/>
              <w:left w:val="nil"/>
              <w:bottom w:val="single" w:sz="4" w:space="0" w:color="000000"/>
              <w:right w:val="single" w:sz="4" w:space="0" w:color="000000"/>
            </w:tcBorders>
            <w:shd w:val="clear" w:color="auto" w:fill="auto"/>
            <w:noWrap/>
            <w:vAlign w:val="bottom"/>
            <w:hideMark/>
          </w:tcPr>
          <w:p w14:paraId="05E7BCFD" w14:textId="77777777" w:rsidR="00D37F2D" w:rsidRPr="0075666C" w:rsidRDefault="00D37F2D">
            <w:pPr>
              <w:spacing w:before="0" w:after="0"/>
              <w:jc w:val="left"/>
              <w:rPr>
                <w:rFonts w:eastAsia="Times New Roman"/>
                <w:color w:val="000000"/>
                <w:sz w:val="18"/>
                <w:szCs w:val="18"/>
                <w:lang w:val="en-IE" w:eastAsia="en-IE"/>
              </w:rPr>
            </w:pPr>
            <w:r w:rsidRPr="00E64840">
              <w:rPr>
                <w:rFonts w:eastAsia="Times New Roman"/>
                <w:color w:val="000000"/>
                <w:sz w:val="18"/>
                <w:szCs w:val="18"/>
                <w:lang w:val="en-IE" w:eastAsia="en-IE"/>
              </w:rPr>
              <w:t>Grants</w:t>
            </w:r>
            <w:r w:rsidRPr="0075666C">
              <w:rPr>
                <w:rFonts w:eastAsia="Times New Roman"/>
                <w:color w:val="000000"/>
                <w:sz w:val="18"/>
                <w:szCs w:val="18"/>
                <w:lang w:val="en-IE" w:eastAsia="en-IE"/>
              </w:rPr>
              <w:t xml:space="preserve"> </w:t>
            </w:r>
          </w:p>
        </w:tc>
        <w:tc>
          <w:tcPr>
            <w:tcW w:w="927" w:type="dxa"/>
            <w:tcBorders>
              <w:top w:val="nil"/>
              <w:left w:val="nil"/>
              <w:bottom w:val="single" w:sz="4" w:space="0" w:color="000000"/>
              <w:right w:val="single" w:sz="4" w:space="0" w:color="000000"/>
            </w:tcBorders>
            <w:shd w:val="clear" w:color="auto" w:fill="auto"/>
            <w:noWrap/>
            <w:vAlign w:val="bottom"/>
            <w:hideMark/>
          </w:tcPr>
          <w:p w14:paraId="2649E63E"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7C129211"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6F7A8332"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40,000</w:t>
            </w:r>
          </w:p>
        </w:tc>
        <w:tc>
          <w:tcPr>
            <w:tcW w:w="597" w:type="dxa"/>
            <w:tcBorders>
              <w:top w:val="nil"/>
              <w:left w:val="nil"/>
              <w:bottom w:val="single" w:sz="4" w:space="0" w:color="000000"/>
              <w:right w:val="single" w:sz="4" w:space="0" w:color="000000"/>
            </w:tcBorders>
            <w:shd w:val="clear" w:color="auto" w:fill="auto"/>
            <w:noWrap/>
            <w:vAlign w:val="bottom"/>
            <w:hideMark/>
          </w:tcPr>
          <w:p w14:paraId="4A07FA18"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2F1237F9"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40,800</w:t>
            </w:r>
          </w:p>
        </w:tc>
        <w:tc>
          <w:tcPr>
            <w:tcW w:w="597" w:type="dxa"/>
            <w:tcBorders>
              <w:top w:val="nil"/>
              <w:left w:val="nil"/>
              <w:bottom w:val="single" w:sz="4" w:space="0" w:color="000000"/>
              <w:right w:val="single" w:sz="4" w:space="0" w:color="000000"/>
            </w:tcBorders>
            <w:shd w:val="clear" w:color="000000" w:fill="F2F2F2"/>
            <w:noWrap/>
            <w:vAlign w:val="bottom"/>
            <w:hideMark/>
          </w:tcPr>
          <w:p w14:paraId="68FA0958"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5B457685"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80,800</w:t>
            </w:r>
          </w:p>
        </w:tc>
      </w:tr>
      <w:tr w:rsidR="00D37F2D" w14:paraId="09107E6D" w14:textId="77777777">
        <w:trPr>
          <w:trHeight w:val="754"/>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4FA67A74"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xml:space="preserve">A. facilitate investments in manufacturing capacities </w:t>
            </w:r>
          </w:p>
        </w:tc>
        <w:tc>
          <w:tcPr>
            <w:tcW w:w="3205" w:type="dxa"/>
            <w:tcBorders>
              <w:top w:val="nil"/>
              <w:left w:val="nil"/>
              <w:bottom w:val="single" w:sz="4" w:space="0" w:color="000000"/>
              <w:right w:val="single" w:sz="4" w:space="0" w:color="000000"/>
            </w:tcBorders>
            <w:shd w:val="clear" w:color="auto" w:fill="auto"/>
            <w:noWrap/>
            <w:vAlign w:val="bottom"/>
            <w:hideMark/>
          </w:tcPr>
          <w:p w14:paraId="40B4891C"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Meetings</w:t>
            </w:r>
          </w:p>
        </w:tc>
        <w:tc>
          <w:tcPr>
            <w:tcW w:w="927" w:type="dxa"/>
            <w:tcBorders>
              <w:top w:val="nil"/>
              <w:left w:val="nil"/>
              <w:bottom w:val="single" w:sz="4" w:space="0" w:color="000000"/>
              <w:right w:val="single" w:sz="4" w:space="0" w:color="000000"/>
            </w:tcBorders>
            <w:shd w:val="clear" w:color="auto" w:fill="auto"/>
            <w:noWrap/>
            <w:vAlign w:val="bottom"/>
            <w:hideMark/>
          </w:tcPr>
          <w:p w14:paraId="68FCD042"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45CE730E"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1C20BC53"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2EE586A2"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366ABD75"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37F30BB8"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02156000"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0,055</w:t>
            </w:r>
          </w:p>
        </w:tc>
      </w:tr>
      <w:tr w:rsidR="00D37F2D" w14:paraId="37B5F983" w14:textId="77777777">
        <w:trPr>
          <w:trHeight w:val="591"/>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58CEC555" w14:textId="77777777" w:rsidR="00D37F2D" w:rsidRPr="005831DA" w:rsidRDefault="00D37F2D">
            <w:pPr>
              <w:spacing w:before="0" w:after="0"/>
              <w:jc w:val="left"/>
              <w:rPr>
                <w:rFonts w:eastAsia="Times New Roman"/>
                <w:color w:val="000000"/>
                <w:sz w:val="18"/>
                <w:szCs w:val="18"/>
                <w:lang w:val="fr-BE" w:eastAsia="en-IE"/>
              </w:rPr>
            </w:pPr>
            <w:r w:rsidRPr="005831DA">
              <w:rPr>
                <w:rFonts w:eastAsia="Times New Roman"/>
                <w:color w:val="000000"/>
                <w:sz w:val="18"/>
                <w:szCs w:val="18"/>
                <w:lang w:val="fr-BE" w:eastAsia="en-IE"/>
              </w:rPr>
              <w:t>B.  National public procurement criteria</w:t>
            </w:r>
          </w:p>
        </w:tc>
        <w:tc>
          <w:tcPr>
            <w:tcW w:w="3205" w:type="dxa"/>
            <w:tcBorders>
              <w:top w:val="nil"/>
              <w:left w:val="nil"/>
              <w:bottom w:val="single" w:sz="4" w:space="0" w:color="000000"/>
              <w:right w:val="single" w:sz="4" w:space="0" w:color="000000"/>
            </w:tcBorders>
            <w:shd w:val="clear" w:color="auto" w:fill="auto"/>
            <w:noWrap/>
            <w:vAlign w:val="bottom"/>
            <w:hideMark/>
          </w:tcPr>
          <w:p w14:paraId="0F754562"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Meetings</w:t>
            </w:r>
          </w:p>
        </w:tc>
        <w:tc>
          <w:tcPr>
            <w:tcW w:w="927" w:type="dxa"/>
            <w:tcBorders>
              <w:top w:val="nil"/>
              <w:left w:val="nil"/>
              <w:bottom w:val="single" w:sz="4" w:space="0" w:color="000000"/>
              <w:right w:val="single" w:sz="4" w:space="0" w:color="000000"/>
            </w:tcBorders>
            <w:shd w:val="clear" w:color="auto" w:fill="auto"/>
            <w:noWrap/>
            <w:vAlign w:val="bottom"/>
            <w:hideMark/>
          </w:tcPr>
          <w:p w14:paraId="20F3804B"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388D7FDC"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276EE0C2"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63B1310A"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1FB3402D"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3AB1B545"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4E83F760"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0,055</w:t>
            </w:r>
          </w:p>
        </w:tc>
      </w:tr>
      <w:tr w:rsidR="00D37F2D" w14:paraId="1022A0C9" w14:textId="77777777">
        <w:trPr>
          <w:trHeight w:val="887"/>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5B31F60C"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C.  collaborative procurement procedures</w:t>
            </w:r>
          </w:p>
        </w:tc>
        <w:tc>
          <w:tcPr>
            <w:tcW w:w="3205" w:type="dxa"/>
            <w:tcBorders>
              <w:top w:val="nil"/>
              <w:left w:val="nil"/>
              <w:bottom w:val="single" w:sz="4" w:space="0" w:color="000000"/>
              <w:right w:val="single" w:sz="4" w:space="0" w:color="000000"/>
            </w:tcBorders>
            <w:shd w:val="clear" w:color="auto" w:fill="auto"/>
            <w:noWrap/>
            <w:vAlign w:val="bottom"/>
            <w:hideMark/>
          </w:tcPr>
          <w:p w14:paraId="26B913EF"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Meetings</w:t>
            </w:r>
          </w:p>
        </w:tc>
        <w:tc>
          <w:tcPr>
            <w:tcW w:w="927" w:type="dxa"/>
            <w:tcBorders>
              <w:top w:val="nil"/>
              <w:left w:val="nil"/>
              <w:bottom w:val="single" w:sz="4" w:space="0" w:color="000000"/>
              <w:right w:val="single" w:sz="4" w:space="0" w:color="000000"/>
            </w:tcBorders>
            <w:shd w:val="clear" w:color="auto" w:fill="auto"/>
            <w:noWrap/>
            <w:vAlign w:val="bottom"/>
            <w:hideMark/>
          </w:tcPr>
          <w:p w14:paraId="253E8F0B"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6C025CF4"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31B4F32E"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05E1ECFA"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474CEE50"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6D5F5571"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7D5DBCD8"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0,055</w:t>
            </w:r>
          </w:p>
        </w:tc>
      </w:tr>
      <w:tr w:rsidR="00D37F2D" w14:paraId="15733735" w14:textId="77777777">
        <w:trPr>
          <w:trHeight w:val="591"/>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1B7EEB4E"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D. International Cooperation</w:t>
            </w:r>
          </w:p>
        </w:tc>
        <w:tc>
          <w:tcPr>
            <w:tcW w:w="3205" w:type="dxa"/>
            <w:tcBorders>
              <w:top w:val="nil"/>
              <w:left w:val="nil"/>
              <w:bottom w:val="single" w:sz="4" w:space="0" w:color="000000"/>
              <w:right w:val="single" w:sz="4" w:space="0" w:color="000000"/>
            </w:tcBorders>
            <w:shd w:val="clear" w:color="auto" w:fill="auto"/>
            <w:noWrap/>
            <w:vAlign w:val="bottom"/>
            <w:hideMark/>
          </w:tcPr>
          <w:p w14:paraId="6F15D039"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Meetings</w:t>
            </w:r>
          </w:p>
        </w:tc>
        <w:tc>
          <w:tcPr>
            <w:tcW w:w="927" w:type="dxa"/>
            <w:tcBorders>
              <w:top w:val="nil"/>
              <w:left w:val="nil"/>
              <w:bottom w:val="single" w:sz="4" w:space="0" w:color="000000"/>
              <w:right w:val="single" w:sz="4" w:space="0" w:color="000000"/>
            </w:tcBorders>
            <w:shd w:val="clear" w:color="auto" w:fill="auto"/>
            <w:noWrap/>
            <w:vAlign w:val="bottom"/>
            <w:hideMark/>
          </w:tcPr>
          <w:p w14:paraId="32E20016"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232A1CB1"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219B7DD5"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65370B73"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0BBF2807"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3F6F4193" w14:textId="77777777" w:rsidR="00D37F2D" w:rsidRPr="0075666C" w:rsidRDefault="00D37F2D">
            <w:pPr>
              <w:spacing w:before="0" w:after="0"/>
              <w:jc w:val="left"/>
              <w:rPr>
                <w:rFonts w:eastAsia="Times New Roman"/>
                <w:b/>
                <w:bCs/>
                <w:color w:val="000000"/>
                <w:sz w:val="18"/>
                <w:szCs w:val="18"/>
                <w:lang w:val="en-IE" w:eastAsia="en-IE"/>
              </w:rPr>
            </w:pPr>
            <w:r w:rsidRPr="0075666C">
              <w:rPr>
                <w:rFonts w:eastAsia="Times New Roman"/>
                <w:b/>
                <w:bCs/>
                <w:color w:val="000000"/>
                <w:sz w:val="18"/>
                <w:szCs w:val="18"/>
                <w:lang w:val="en-IE" w:eastAsia="en-IE"/>
              </w:rPr>
              <w:t> </w:t>
            </w:r>
          </w:p>
        </w:tc>
        <w:tc>
          <w:tcPr>
            <w:tcW w:w="1258" w:type="dxa"/>
            <w:tcBorders>
              <w:top w:val="nil"/>
              <w:left w:val="nil"/>
              <w:bottom w:val="single" w:sz="4" w:space="0" w:color="000000"/>
              <w:right w:val="single" w:sz="4" w:space="0" w:color="000000"/>
            </w:tcBorders>
            <w:shd w:val="clear" w:color="000000" w:fill="F2F2F2"/>
            <w:noWrap/>
            <w:vAlign w:val="bottom"/>
            <w:hideMark/>
          </w:tcPr>
          <w:p w14:paraId="2A33849D"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0,055</w:t>
            </w:r>
          </w:p>
        </w:tc>
      </w:tr>
      <w:tr w:rsidR="00D37F2D" w14:paraId="70FA5933" w14:textId="77777777">
        <w:trPr>
          <w:trHeight w:val="295"/>
        </w:trPr>
        <w:tc>
          <w:tcPr>
            <w:tcW w:w="6624"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00199A44" w14:textId="6F21E922"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Subtotal for objective No 1</w:t>
            </w:r>
          </w:p>
        </w:tc>
        <w:tc>
          <w:tcPr>
            <w:tcW w:w="597" w:type="dxa"/>
            <w:tcBorders>
              <w:top w:val="nil"/>
              <w:left w:val="nil"/>
              <w:bottom w:val="single" w:sz="4" w:space="0" w:color="000000"/>
              <w:right w:val="single" w:sz="4" w:space="0" w:color="000000"/>
            </w:tcBorders>
            <w:shd w:val="clear" w:color="000000" w:fill="F2F2F2"/>
            <w:noWrap/>
            <w:vAlign w:val="bottom"/>
            <w:hideMark/>
          </w:tcPr>
          <w:p w14:paraId="713FC40B"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3650D3AF"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40,108</w:t>
            </w:r>
          </w:p>
        </w:tc>
        <w:tc>
          <w:tcPr>
            <w:tcW w:w="597" w:type="dxa"/>
            <w:tcBorders>
              <w:top w:val="nil"/>
              <w:left w:val="nil"/>
              <w:bottom w:val="single" w:sz="4" w:space="0" w:color="000000"/>
              <w:right w:val="single" w:sz="4" w:space="0" w:color="000000"/>
            </w:tcBorders>
            <w:shd w:val="clear" w:color="000000" w:fill="F2F2F2"/>
            <w:noWrap/>
            <w:vAlign w:val="bottom"/>
            <w:hideMark/>
          </w:tcPr>
          <w:p w14:paraId="55D5A13D"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7F9771A1"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40,910</w:t>
            </w:r>
          </w:p>
        </w:tc>
        <w:tc>
          <w:tcPr>
            <w:tcW w:w="597" w:type="dxa"/>
            <w:tcBorders>
              <w:top w:val="nil"/>
              <w:left w:val="nil"/>
              <w:bottom w:val="single" w:sz="4" w:space="0" w:color="000000"/>
              <w:right w:val="single" w:sz="4" w:space="0" w:color="000000"/>
            </w:tcBorders>
            <w:shd w:val="clear" w:color="000000" w:fill="F2F2F2"/>
            <w:noWrap/>
            <w:vAlign w:val="bottom"/>
            <w:hideMark/>
          </w:tcPr>
          <w:p w14:paraId="6FEF30D6"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46316B9E"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81,018</w:t>
            </w:r>
          </w:p>
        </w:tc>
      </w:tr>
      <w:tr w:rsidR="00D37F2D" w14:paraId="6C90E2CA" w14:textId="77777777">
        <w:trPr>
          <w:trHeight w:val="295"/>
        </w:trPr>
        <w:tc>
          <w:tcPr>
            <w:tcW w:w="12187" w:type="dxa"/>
            <w:gridSpan w:val="9"/>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4F3CDA56" w14:textId="02F9A92D"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OBJECTIVE  2: Availability and accessibility of certain other medicinal products</w:t>
            </w:r>
          </w:p>
        </w:tc>
      </w:tr>
      <w:tr w:rsidR="00D37F2D" w14:paraId="0253100B" w14:textId="77777777">
        <w:trPr>
          <w:trHeight w:val="488"/>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0D595F83" w14:textId="77777777" w:rsidR="00D37F2D" w:rsidRPr="005831DA" w:rsidRDefault="00D37F2D">
            <w:pPr>
              <w:spacing w:before="0" w:after="0"/>
              <w:jc w:val="left"/>
              <w:rPr>
                <w:rFonts w:eastAsia="Times New Roman"/>
                <w:color w:val="000000"/>
                <w:sz w:val="18"/>
                <w:szCs w:val="18"/>
                <w:lang w:val="fr-BE" w:eastAsia="en-IE"/>
              </w:rPr>
            </w:pPr>
            <w:r w:rsidRPr="005831DA">
              <w:rPr>
                <w:rFonts w:eastAsia="Times New Roman"/>
                <w:color w:val="000000"/>
                <w:sz w:val="18"/>
                <w:szCs w:val="18"/>
                <w:lang w:val="fr-BE" w:eastAsia="en-IE"/>
              </w:rPr>
              <w:t>B.  National public procurement criteria</w:t>
            </w:r>
          </w:p>
        </w:tc>
        <w:tc>
          <w:tcPr>
            <w:tcW w:w="3205" w:type="dxa"/>
            <w:tcBorders>
              <w:top w:val="nil"/>
              <w:left w:val="nil"/>
              <w:bottom w:val="single" w:sz="4" w:space="0" w:color="000000"/>
              <w:right w:val="single" w:sz="4" w:space="0" w:color="000000"/>
            </w:tcBorders>
            <w:shd w:val="clear" w:color="auto" w:fill="auto"/>
            <w:noWrap/>
            <w:vAlign w:val="bottom"/>
            <w:hideMark/>
          </w:tcPr>
          <w:p w14:paraId="38B1EF72" w14:textId="77777777" w:rsidR="00D37F2D" w:rsidRPr="0075666C" w:rsidRDefault="00D37F2D">
            <w:pPr>
              <w:spacing w:before="0" w:after="0"/>
              <w:jc w:val="left"/>
              <w:rPr>
                <w:rFonts w:eastAsia="Times New Roman"/>
                <w:color w:val="000000"/>
                <w:sz w:val="18"/>
                <w:szCs w:val="18"/>
                <w:lang w:val="en-IE" w:eastAsia="en-IE"/>
              </w:rPr>
            </w:pPr>
            <w:r w:rsidRPr="005831DA">
              <w:rPr>
                <w:rFonts w:eastAsia="Times New Roman"/>
                <w:color w:val="000000"/>
                <w:sz w:val="18"/>
                <w:szCs w:val="18"/>
                <w:lang w:val="fr-BE" w:eastAsia="en-IE"/>
              </w:rPr>
              <w:t> </w:t>
            </w:r>
            <w:r w:rsidRPr="0075666C">
              <w:rPr>
                <w:rFonts w:eastAsia="Times New Roman"/>
                <w:color w:val="000000"/>
                <w:sz w:val="18"/>
                <w:szCs w:val="18"/>
                <w:lang w:val="en-IE" w:eastAsia="en-IE"/>
              </w:rPr>
              <w:t>Meetings</w:t>
            </w:r>
          </w:p>
        </w:tc>
        <w:tc>
          <w:tcPr>
            <w:tcW w:w="927" w:type="dxa"/>
            <w:tcBorders>
              <w:top w:val="nil"/>
              <w:left w:val="nil"/>
              <w:bottom w:val="single" w:sz="4" w:space="0" w:color="000000"/>
              <w:right w:val="single" w:sz="4" w:space="0" w:color="000000"/>
            </w:tcBorders>
            <w:shd w:val="clear" w:color="auto" w:fill="auto"/>
            <w:noWrap/>
            <w:vAlign w:val="bottom"/>
            <w:hideMark/>
          </w:tcPr>
          <w:p w14:paraId="1D3BAD80"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157BCD1C"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49787B32"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0,027</w:t>
            </w:r>
          </w:p>
        </w:tc>
        <w:tc>
          <w:tcPr>
            <w:tcW w:w="597" w:type="dxa"/>
            <w:tcBorders>
              <w:top w:val="nil"/>
              <w:left w:val="nil"/>
              <w:bottom w:val="single" w:sz="4" w:space="0" w:color="000000"/>
              <w:right w:val="single" w:sz="4" w:space="0" w:color="000000"/>
            </w:tcBorders>
            <w:shd w:val="clear" w:color="auto" w:fill="auto"/>
            <w:noWrap/>
            <w:vAlign w:val="bottom"/>
            <w:hideMark/>
          </w:tcPr>
          <w:p w14:paraId="2E1B06B4"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5DDD038D"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0,028</w:t>
            </w:r>
          </w:p>
        </w:tc>
        <w:tc>
          <w:tcPr>
            <w:tcW w:w="597" w:type="dxa"/>
            <w:tcBorders>
              <w:top w:val="nil"/>
              <w:left w:val="nil"/>
              <w:bottom w:val="single" w:sz="4" w:space="0" w:color="000000"/>
              <w:right w:val="single" w:sz="4" w:space="0" w:color="000000"/>
            </w:tcBorders>
            <w:shd w:val="clear" w:color="000000" w:fill="F2F2F2"/>
            <w:noWrap/>
            <w:vAlign w:val="bottom"/>
            <w:hideMark/>
          </w:tcPr>
          <w:p w14:paraId="02DE221A"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1ECEE5D0"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0,055</w:t>
            </w:r>
          </w:p>
        </w:tc>
      </w:tr>
      <w:tr w:rsidR="00D37F2D" w14:paraId="35CDC610" w14:textId="77777777">
        <w:trPr>
          <w:trHeight w:val="488"/>
        </w:trPr>
        <w:tc>
          <w:tcPr>
            <w:tcW w:w="2492" w:type="dxa"/>
            <w:tcBorders>
              <w:top w:val="nil"/>
              <w:left w:val="single" w:sz="8" w:space="0" w:color="000000"/>
              <w:bottom w:val="single" w:sz="4" w:space="0" w:color="000000"/>
              <w:right w:val="single" w:sz="4" w:space="0" w:color="000000"/>
            </w:tcBorders>
            <w:shd w:val="clear" w:color="auto" w:fill="auto"/>
            <w:vAlign w:val="bottom"/>
            <w:hideMark/>
          </w:tcPr>
          <w:p w14:paraId="479B384F"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C.  collaborative procurement procedures</w:t>
            </w:r>
          </w:p>
        </w:tc>
        <w:tc>
          <w:tcPr>
            <w:tcW w:w="3205" w:type="dxa"/>
            <w:tcBorders>
              <w:top w:val="nil"/>
              <w:left w:val="nil"/>
              <w:bottom w:val="single" w:sz="4" w:space="0" w:color="000000"/>
              <w:right w:val="single" w:sz="4" w:space="0" w:color="000000"/>
            </w:tcBorders>
            <w:shd w:val="clear" w:color="auto" w:fill="auto"/>
            <w:noWrap/>
            <w:vAlign w:val="bottom"/>
            <w:hideMark/>
          </w:tcPr>
          <w:p w14:paraId="28CBFF07"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Meetings</w:t>
            </w:r>
          </w:p>
        </w:tc>
        <w:tc>
          <w:tcPr>
            <w:tcW w:w="927" w:type="dxa"/>
            <w:tcBorders>
              <w:top w:val="nil"/>
              <w:left w:val="nil"/>
              <w:bottom w:val="single" w:sz="4" w:space="0" w:color="000000"/>
              <w:right w:val="single" w:sz="4" w:space="0" w:color="000000"/>
            </w:tcBorders>
            <w:shd w:val="clear" w:color="auto" w:fill="auto"/>
            <w:noWrap/>
            <w:vAlign w:val="bottom"/>
            <w:hideMark/>
          </w:tcPr>
          <w:p w14:paraId="35036F3C"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597" w:type="dxa"/>
            <w:tcBorders>
              <w:top w:val="nil"/>
              <w:left w:val="nil"/>
              <w:bottom w:val="single" w:sz="4" w:space="0" w:color="000000"/>
              <w:right w:val="single" w:sz="4" w:space="0" w:color="000000"/>
            </w:tcBorders>
            <w:shd w:val="clear" w:color="auto" w:fill="auto"/>
            <w:noWrap/>
            <w:vAlign w:val="bottom"/>
            <w:hideMark/>
          </w:tcPr>
          <w:p w14:paraId="5FCF1368"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262868FB"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0,270</w:t>
            </w:r>
          </w:p>
        </w:tc>
        <w:tc>
          <w:tcPr>
            <w:tcW w:w="597" w:type="dxa"/>
            <w:tcBorders>
              <w:top w:val="nil"/>
              <w:left w:val="nil"/>
              <w:bottom w:val="single" w:sz="4" w:space="0" w:color="000000"/>
              <w:right w:val="single" w:sz="4" w:space="0" w:color="000000"/>
            </w:tcBorders>
            <w:shd w:val="clear" w:color="auto" w:fill="auto"/>
            <w:noWrap/>
            <w:vAlign w:val="bottom"/>
            <w:hideMark/>
          </w:tcPr>
          <w:p w14:paraId="775023BF" w14:textId="77777777"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 </w:t>
            </w:r>
          </w:p>
        </w:tc>
        <w:tc>
          <w:tcPr>
            <w:tcW w:w="1257" w:type="dxa"/>
            <w:tcBorders>
              <w:top w:val="nil"/>
              <w:left w:val="nil"/>
              <w:bottom w:val="single" w:sz="4" w:space="0" w:color="000000"/>
              <w:right w:val="single" w:sz="4" w:space="0" w:color="000000"/>
            </w:tcBorders>
            <w:shd w:val="clear" w:color="auto" w:fill="auto"/>
            <w:noWrap/>
            <w:vAlign w:val="bottom"/>
            <w:hideMark/>
          </w:tcPr>
          <w:p w14:paraId="587849ED" w14:textId="77777777" w:rsidR="00D37F2D" w:rsidRPr="0075666C" w:rsidRDefault="00D37F2D">
            <w:pPr>
              <w:spacing w:before="0" w:after="0"/>
              <w:jc w:val="right"/>
              <w:rPr>
                <w:rFonts w:eastAsia="Times New Roman"/>
                <w:color w:val="000000"/>
                <w:sz w:val="18"/>
                <w:szCs w:val="18"/>
                <w:lang w:val="en-IE" w:eastAsia="en-IE"/>
              </w:rPr>
            </w:pPr>
            <w:r w:rsidRPr="0075666C">
              <w:rPr>
                <w:rFonts w:eastAsia="Times New Roman"/>
                <w:color w:val="000000"/>
                <w:sz w:val="18"/>
                <w:szCs w:val="18"/>
                <w:lang w:val="en-IE" w:eastAsia="en-IE"/>
              </w:rPr>
              <w:t>0,275</w:t>
            </w:r>
          </w:p>
        </w:tc>
        <w:tc>
          <w:tcPr>
            <w:tcW w:w="597" w:type="dxa"/>
            <w:tcBorders>
              <w:top w:val="nil"/>
              <w:left w:val="nil"/>
              <w:bottom w:val="single" w:sz="4" w:space="0" w:color="000000"/>
              <w:right w:val="single" w:sz="4" w:space="0" w:color="000000"/>
            </w:tcBorders>
            <w:shd w:val="clear" w:color="000000" w:fill="F2F2F2"/>
            <w:noWrap/>
            <w:vAlign w:val="bottom"/>
            <w:hideMark/>
          </w:tcPr>
          <w:p w14:paraId="19B8E689"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6570DCA6"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0,545</w:t>
            </w:r>
          </w:p>
        </w:tc>
      </w:tr>
      <w:tr w:rsidR="00D37F2D" w14:paraId="1105BF71" w14:textId="77777777">
        <w:trPr>
          <w:trHeight w:val="295"/>
        </w:trPr>
        <w:tc>
          <w:tcPr>
            <w:tcW w:w="6624"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32343406" w14:textId="3EDBE582" w:rsidR="00D37F2D" w:rsidRPr="0075666C" w:rsidRDefault="00D37F2D">
            <w:pPr>
              <w:spacing w:before="0" w:after="0"/>
              <w:jc w:val="left"/>
              <w:rPr>
                <w:rFonts w:eastAsia="Times New Roman"/>
                <w:color w:val="000000"/>
                <w:sz w:val="18"/>
                <w:szCs w:val="18"/>
                <w:lang w:val="en-IE" w:eastAsia="en-IE"/>
              </w:rPr>
            </w:pPr>
            <w:r w:rsidRPr="0075666C">
              <w:rPr>
                <w:rFonts w:eastAsia="Times New Roman"/>
                <w:color w:val="000000"/>
                <w:sz w:val="18"/>
                <w:szCs w:val="18"/>
                <w:lang w:val="en-IE" w:eastAsia="en-IE"/>
              </w:rPr>
              <w:t>Subtotal for objective No 2</w:t>
            </w:r>
          </w:p>
        </w:tc>
        <w:tc>
          <w:tcPr>
            <w:tcW w:w="597" w:type="dxa"/>
            <w:tcBorders>
              <w:top w:val="nil"/>
              <w:left w:val="nil"/>
              <w:bottom w:val="single" w:sz="4" w:space="0" w:color="000000"/>
              <w:right w:val="single" w:sz="4" w:space="0" w:color="000000"/>
            </w:tcBorders>
            <w:shd w:val="clear" w:color="000000" w:fill="F2F2F2"/>
            <w:noWrap/>
            <w:vAlign w:val="bottom"/>
            <w:hideMark/>
          </w:tcPr>
          <w:p w14:paraId="17BC865A"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367AD8B4"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0,297</w:t>
            </w:r>
          </w:p>
        </w:tc>
        <w:tc>
          <w:tcPr>
            <w:tcW w:w="597" w:type="dxa"/>
            <w:tcBorders>
              <w:top w:val="nil"/>
              <w:left w:val="nil"/>
              <w:bottom w:val="single" w:sz="4" w:space="0" w:color="000000"/>
              <w:right w:val="single" w:sz="4" w:space="0" w:color="000000"/>
            </w:tcBorders>
            <w:shd w:val="clear" w:color="000000" w:fill="F2F2F2"/>
            <w:noWrap/>
            <w:vAlign w:val="bottom"/>
            <w:hideMark/>
          </w:tcPr>
          <w:p w14:paraId="21D83919"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7" w:type="dxa"/>
            <w:tcBorders>
              <w:top w:val="nil"/>
              <w:left w:val="nil"/>
              <w:bottom w:val="single" w:sz="4" w:space="0" w:color="000000"/>
              <w:right w:val="single" w:sz="4" w:space="0" w:color="000000"/>
            </w:tcBorders>
            <w:shd w:val="clear" w:color="000000" w:fill="F2F2F2"/>
            <w:noWrap/>
            <w:vAlign w:val="bottom"/>
            <w:hideMark/>
          </w:tcPr>
          <w:p w14:paraId="7F134766"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0,303</w:t>
            </w:r>
          </w:p>
        </w:tc>
        <w:tc>
          <w:tcPr>
            <w:tcW w:w="597" w:type="dxa"/>
            <w:tcBorders>
              <w:top w:val="nil"/>
              <w:left w:val="nil"/>
              <w:bottom w:val="single" w:sz="4" w:space="0" w:color="000000"/>
              <w:right w:val="single" w:sz="4" w:space="0" w:color="000000"/>
            </w:tcBorders>
            <w:shd w:val="clear" w:color="000000" w:fill="F2F2F2"/>
            <w:noWrap/>
            <w:vAlign w:val="bottom"/>
            <w:hideMark/>
          </w:tcPr>
          <w:p w14:paraId="21A713A9"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8" w:type="dxa"/>
            <w:tcBorders>
              <w:top w:val="nil"/>
              <w:left w:val="nil"/>
              <w:bottom w:val="single" w:sz="4" w:space="0" w:color="000000"/>
              <w:right w:val="single" w:sz="4" w:space="0" w:color="000000"/>
            </w:tcBorders>
            <w:shd w:val="clear" w:color="000000" w:fill="F2F2F2"/>
            <w:noWrap/>
            <w:vAlign w:val="bottom"/>
            <w:hideMark/>
          </w:tcPr>
          <w:p w14:paraId="21A9FAC3"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0,600</w:t>
            </w:r>
          </w:p>
        </w:tc>
      </w:tr>
      <w:tr w:rsidR="00D37F2D" w14:paraId="26E823A4" w14:textId="77777777">
        <w:trPr>
          <w:trHeight w:val="310"/>
        </w:trPr>
        <w:tc>
          <w:tcPr>
            <w:tcW w:w="6624" w:type="dxa"/>
            <w:gridSpan w:val="3"/>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14:paraId="248E1929" w14:textId="77777777" w:rsidR="00D37F2D" w:rsidRPr="0075666C" w:rsidRDefault="00D37F2D">
            <w:pPr>
              <w:spacing w:before="0" w:after="0"/>
              <w:jc w:val="left"/>
              <w:rPr>
                <w:rFonts w:eastAsia="Times New Roman"/>
                <w:b/>
                <w:bCs/>
                <w:color w:val="000000"/>
                <w:sz w:val="18"/>
                <w:szCs w:val="18"/>
                <w:lang w:val="en-IE" w:eastAsia="en-IE"/>
              </w:rPr>
            </w:pPr>
            <w:r w:rsidRPr="0075666C">
              <w:rPr>
                <w:rFonts w:eastAsia="Times New Roman"/>
                <w:b/>
                <w:bCs/>
                <w:color w:val="000000"/>
                <w:sz w:val="18"/>
                <w:szCs w:val="18"/>
                <w:lang w:val="en-IE" w:eastAsia="en-IE"/>
              </w:rPr>
              <w:t>TOTALS</w:t>
            </w:r>
          </w:p>
        </w:tc>
        <w:tc>
          <w:tcPr>
            <w:tcW w:w="597" w:type="dxa"/>
            <w:tcBorders>
              <w:top w:val="nil"/>
              <w:left w:val="nil"/>
              <w:bottom w:val="single" w:sz="8" w:space="0" w:color="000000"/>
              <w:right w:val="single" w:sz="4" w:space="0" w:color="000000"/>
            </w:tcBorders>
            <w:shd w:val="clear" w:color="000000" w:fill="F2F2F2"/>
            <w:noWrap/>
            <w:vAlign w:val="bottom"/>
            <w:hideMark/>
          </w:tcPr>
          <w:p w14:paraId="7A67FBD4"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7" w:type="dxa"/>
            <w:tcBorders>
              <w:top w:val="nil"/>
              <w:left w:val="nil"/>
              <w:bottom w:val="single" w:sz="8" w:space="0" w:color="000000"/>
              <w:right w:val="single" w:sz="4" w:space="0" w:color="000000"/>
            </w:tcBorders>
            <w:shd w:val="clear" w:color="000000" w:fill="F2F2F2"/>
            <w:noWrap/>
            <w:vAlign w:val="bottom"/>
            <w:hideMark/>
          </w:tcPr>
          <w:p w14:paraId="0234EE3A"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40,405</w:t>
            </w:r>
          </w:p>
        </w:tc>
        <w:tc>
          <w:tcPr>
            <w:tcW w:w="597" w:type="dxa"/>
            <w:tcBorders>
              <w:top w:val="nil"/>
              <w:left w:val="nil"/>
              <w:bottom w:val="single" w:sz="8" w:space="0" w:color="000000"/>
              <w:right w:val="single" w:sz="4" w:space="0" w:color="000000"/>
            </w:tcBorders>
            <w:shd w:val="clear" w:color="000000" w:fill="F2F2F2"/>
            <w:noWrap/>
            <w:vAlign w:val="bottom"/>
            <w:hideMark/>
          </w:tcPr>
          <w:p w14:paraId="43A3E470"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7" w:type="dxa"/>
            <w:tcBorders>
              <w:top w:val="nil"/>
              <w:left w:val="nil"/>
              <w:bottom w:val="single" w:sz="8" w:space="0" w:color="000000"/>
              <w:right w:val="single" w:sz="4" w:space="0" w:color="000000"/>
            </w:tcBorders>
            <w:shd w:val="clear" w:color="000000" w:fill="F2F2F2"/>
            <w:noWrap/>
            <w:vAlign w:val="bottom"/>
            <w:hideMark/>
          </w:tcPr>
          <w:p w14:paraId="017F6D77"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41,213</w:t>
            </w:r>
          </w:p>
        </w:tc>
        <w:tc>
          <w:tcPr>
            <w:tcW w:w="597" w:type="dxa"/>
            <w:tcBorders>
              <w:top w:val="nil"/>
              <w:left w:val="nil"/>
              <w:bottom w:val="single" w:sz="8" w:space="0" w:color="000000"/>
              <w:right w:val="single" w:sz="4" w:space="0" w:color="000000"/>
            </w:tcBorders>
            <w:shd w:val="clear" w:color="000000" w:fill="F2F2F2"/>
            <w:noWrap/>
            <w:vAlign w:val="bottom"/>
            <w:hideMark/>
          </w:tcPr>
          <w:p w14:paraId="1097315F"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0</w:t>
            </w:r>
          </w:p>
        </w:tc>
        <w:tc>
          <w:tcPr>
            <w:tcW w:w="1258" w:type="dxa"/>
            <w:tcBorders>
              <w:top w:val="nil"/>
              <w:left w:val="nil"/>
              <w:bottom w:val="single" w:sz="8" w:space="0" w:color="000000"/>
              <w:right w:val="single" w:sz="4" w:space="0" w:color="000000"/>
            </w:tcBorders>
            <w:shd w:val="clear" w:color="000000" w:fill="F2F2F2"/>
            <w:noWrap/>
            <w:vAlign w:val="bottom"/>
            <w:hideMark/>
          </w:tcPr>
          <w:p w14:paraId="134DB367" w14:textId="77777777" w:rsidR="00D37F2D" w:rsidRPr="0075666C" w:rsidRDefault="00D37F2D">
            <w:pPr>
              <w:spacing w:before="0" w:after="0"/>
              <w:jc w:val="right"/>
              <w:rPr>
                <w:rFonts w:eastAsia="Times New Roman"/>
                <w:b/>
                <w:bCs/>
                <w:color w:val="000000"/>
                <w:sz w:val="18"/>
                <w:szCs w:val="18"/>
                <w:lang w:val="en-IE" w:eastAsia="en-IE"/>
              </w:rPr>
            </w:pPr>
            <w:r w:rsidRPr="0075666C">
              <w:rPr>
                <w:rFonts w:eastAsia="Times New Roman"/>
                <w:b/>
                <w:bCs/>
                <w:color w:val="000000"/>
                <w:sz w:val="18"/>
                <w:szCs w:val="18"/>
                <w:lang w:val="en-IE" w:eastAsia="en-IE"/>
              </w:rPr>
              <w:t>81,618</w:t>
            </w:r>
          </w:p>
        </w:tc>
      </w:tr>
    </w:tbl>
    <w:p w14:paraId="32AC02AA" w14:textId="77777777" w:rsidR="00D37F2D" w:rsidRDefault="00D37F2D" w:rsidP="00D37F2D">
      <w:pPr>
        <w:pStyle w:val="Text1"/>
        <w:ind w:left="0"/>
      </w:pPr>
    </w:p>
    <w:p w14:paraId="0BEEF8CF" w14:textId="77777777" w:rsidR="00D37F2D" w:rsidRDefault="00D37F2D" w:rsidP="00D37F2D">
      <w:pPr>
        <w:jc w:val="right"/>
        <w:rPr>
          <w:noProof/>
          <w:sz w:val="18"/>
          <w:szCs w:val="18"/>
          <w:lang w:val="en-IE"/>
        </w:rPr>
      </w:pPr>
      <w:r w:rsidRPr="003A769F">
        <w:rPr>
          <w:noProof/>
          <w:sz w:val="18"/>
          <w:szCs w:val="18"/>
          <w:lang w:val="en-IE"/>
        </w:rPr>
        <w:t>EUR million (to three decimal places)</w:t>
      </w:r>
    </w:p>
    <w:tbl>
      <w:tblPr>
        <w:tblW w:w="12059" w:type="dxa"/>
        <w:tblInd w:w="118" w:type="dxa"/>
        <w:tblLook w:val="04A0" w:firstRow="1" w:lastRow="0" w:firstColumn="1" w:lastColumn="0" w:noHBand="0" w:noVBand="1"/>
      </w:tblPr>
      <w:tblGrid>
        <w:gridCol w:w="2997"/>
        <w:gridCol w:w="1254"/>
        <w:gridCol w:w="1116"/>
        <w:gridCol w:w="795"/>
        <w:gridCol w:w="1435"/>
        <w:gridCol w:w="795"/>
        <w:gridCol w:w="1435"/>
        <w:gridCol w:w="795"/>
        <w:gridCol w:w="1437"/>
      </w:tblGrid>
      <w:tr w:rsidR="00D37F2D" w:rsidRPr="00362F87" w14:paraId="4670241C" w14:textId="77777777">
        <w:trPr>
          <w:trHeight w:val="331"/>
        </w:trPr>
        <w:tc>
          <w:tcPr>
            <w:tcW w:w="2997" w:type="dxa"/>
            <w:tcBorders>
              <w:top w:val="single" w:sz="8" w:space="0" w:color="000000"/>
              <w:left w:val="single" w:sz="8" w:space="0" w:color="000000"/>
              <w:bottom w:val="single" w:sz="4" w:space="0" w:color="000000"/>
              <w:right w:val="single" w:sz="4" w:space="0" w:color="000000"/>
            </w:tcBorders>
            <w:shd w:val="clear" w:color="auto" w:fill="auto"/>
            <w:vAlign w:val="bottom"/>
            <w:hideMark/>
          </w:tcPr>
          <w:p w14:paraId="69CBCC24" w14:textId="77777777" w:rsidR="00D37F2D" w:rsidRPr="00362F87" w:rsidRDefault="00D37F2D">
            <w:pPr>
              <w:spacing w:before="0" w:after="0"/>
              <w:jc w:val="left"/>
              <w:rPr>
                <w:rFonts w:eastAsia="Times New Roman"/>
                <w:b/>
                <w:bCs/>
                <w:color w:val="000000"/>
                <w:sz w:val="18"/>
                <w:szCs w:val="18"/>
                <w:lang w:val="en-IE" w:eastAsia="en-IE"/>
              </w:rPr>
            </w:pPr>
            <w:r w:rsidRPr="00362F87">
              <w:rPr>
                <w:rFonts w:eastAsia="Times New Roman"/>
                <w:b/>
                <w:bCs/>
                <w:color w:val="000000"/>
                <w:sz w:val="18"/>
                <w:szCs w:val="18"/>
                <w:lang w:val="en-IE" w:eastAsia="en-IE"/>
              </w:rPr>
              <w:t>Indicate objectives and outputs</w:t>
            </w:r>
          </w:p>
        </w:tc>
        <w:tc>
          <w:tcPr>
            <w:tcW w:w="1254" w:type="dxa"/>
            <w:tcBorders>
              <w:top w:val="single" w:sz="8" w:space="0" w:color="000000"/>
              <w:left w:val="nil"/>
              <w:bottom w:val="single" w:sz="4" w:space="0" w:color="000000"/>
              <w:right w:val="single" w:sz="4" w:space="0" w:color="000000"/>
            </w:tcBorders>
            <w:shd w:val="clear" w:color="auto" w:fill="auto"/>
            <w:noWrap/>
            <w:vAlign w:val="bottom"/>
            <w:hideMark/>
          </w:tcPr>
          <w:p w14:paraId="4A636658"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1115" w:type="dxa"/>
            <w:tcBorders>
              <w:top w:val="single" w:sz="8" w:space="0" w:color="000000"/>
              <w:left w:val="nil"/>
              <w:bottom w:val="single" w:sz="4" w:space="0" w:color="000000"/>
              <w:right w:val="single" w:sz="4" w:space="0" w:color="000000"/>
            </w:tcBorders>
            <w:shd w:val="clear" w:color="auto" w:fill="auto"/>
            <w:noWrap/>
            <w:vAlign w:val="bottom"/>
            <w:hideMark/>
          </w:tcPr>
          <w:p w14:paraId="625A1748"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2230" w:type="dxa"/>
            <w:gridSpan w:val="2"/>
            <w:tcBorders>
              <w:top w:val="single" w:sz="8" w:space="0" w:color="000000"/>
              <w:left w:val="nil"/>
              <w:bottom w:val="single" w:sz="4" w:space="0" w:color="000000"/>
              <w:right w:val="single" w:sz="4" w:space="0" w:color="000000"/>
            </w:tcBorders>
            <w:shd w:val="clear" w:color="auto" w:fill="auto"/>
            <w:vAlign w:val="center"/>
            <w:hideMark/>
          </w:tcPr>
          <w:p w14:paraId="353C12C7" w14:textId="77777777" w:rsidR="00D37F2D" w:rsidRPr="00362F87" w:rsidRDefault="00D37F2D">
            <w:pPr>
              <w:spacing w:before="0" w:after="0"/>
              <w:jc w:val="center"/>
              <w:rPr>
                <w:rFonts w:eastAsia="Times New Roman"/>
                <w:b/>
                <w:bCs/>
                <w:color w:val="000000"/>
                <w:sz w:val="20"/>
                <w:szCs w:val="20"/>
                <w:lang w:val="en-IE" w:eastAsia="en-IE"/>
              </w:rPr>
            </w:pPr>
            <w:r w:rsidRPr="00362F87">
              <w:rPr>
                <w:rFonts w:eastAsia="Times New Roman"/>
                <w:b/>
                <w:bCs/>
                <w:color w:val="000000"/>
                <w:sz w:val="20"/>
                <w:szCs w:val="20"/>
                <w:lang w:val="en-IE" w:eastAsia="en-IE"/>
              </w:rPr>
              <w:t>Year</w:t>
            </w:r>
          </w:p>
        </w:tc>
        <w:tc>
          <w:tcPr>
            <w:tcW w:w="2230" w:type="dxa"/>
            <w:gridSpan w:val="2"/>
            <w:tcBorders>
              <w:top w:val="single" w:sz="8" w:space="0" w:color="000000"/>
              <w:left w:val="nil"/>
              <w:bottom w:val="single" w:sz="4" w:space="0" w:color="000000"/>
              <w:right w:val="single" w:sz="4" w:space="0" w:color="000000"/>
            </w:tcBorders>
            <w:shd w:val="clear" w:color="auto" w:fill="auto"/>
            <w:vAlign w:val="center"/>
            <w:hideMark/>
          </w:tcPr>
          <w:p w14:paraId="5CA92C2A" w14:textId="77777777" w:rsidR="00D37F2D" w:rsidRPr="00362F87" w:rsidRDefault="00D37F2D">
            <w:pPr>
              <w:spacing w:before="0" w:after="0"/>
              <w:jc w:val="center"/>
              <w:rPr>
                <w:rFonts w:eastAsia="Times New Roman"/>
                <w:b/>
                <w:bCs/>
                <w:color w:val="000000"/>
                <w:sz w:val="20"/>
                <w:szCs w:val="20"/>
                <w:lang w:val="en-IE" w:eastAsia="en-IE"/>
              </w:rPr>
            </w:pPr>
            <w:r w:rsidRPr="00362F87">
              <w:rPr>
                <w:rFonts w:eastAsia="Times New Roman"/>
                <w:b/>
                <w:bCs/>
                <w:color w:val="000000"/>
                <w:sz w:val="20"/>
                <w:szCs w:val="20"/>
                <w:lang w:val="en-IE" w:eastAsia="en-IE"/>
              </w:rPr>
              <w:t>Year</w:t>
            </w:r>
          </w:p>
        </w:tc>
        <w:tc>
          <w:tcPr>
            <w:tcW w:w="2230" w:type="dxa"/>
            <w:gridSpan w:val="2"/>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61103939" w14:textId="77777777" w:rsidR="00D37F2D" w:rsidRPr="00362F87" w:rsidRDefault="00D37F2D">
            <w:pPr>
              <w:spacing w:before="0" w:after="0"/>
              <w:jc w:val="center"/>
              <w:rPr>
                <w:rFonts w:eastAsia="Times New Roman"/>
                <w:b/>
                <w:bCs/>
                <w:color w:val="000000"/>
                <w:sz w:val="18"/>
                <w:szCs w:val="18"/>
                <w:lang w:val="en-IE" w:eastAsia="en-IE"/>
              </w:rPr>
            </w:pPr>
            <w:r w:rsidRPr="00362F87">
              <w:rPr>
                <w:rFonts w:eastAsia="Times New Roman"/>
                <w:b/>
                <w:bCs/>
                <w:color w:val="000000"/>
                <w:sz w:val="18"/>
                <w:szCs w:val="18"/>
                <w:lang w:val="en-IE" w:eastAsia="en-IE"/>
              </w:rPr>
              <w:t>TOTAL</w:t>
            </w:r>
            <w:r w:rsidRPr="00362F87">
              <w:rPr>
                <w:rFonts w:eastAsia="Times New Roman"/>
                <w:b/>
                <w:bCs/>
                <w:color w:val="000000"/>
                <w:sz w:val="18"/>
                <w:szCs w:val="18"/>
                <w:lang w:val="en-IE" w:eastAsia="en-IE"/>
              </w:rPr>
              <w:br/>
              <w:t>2021-2027</w:t>
            </w:r>
          </w:p>
        </w:tc>
      </w:tr>
      <w:tr w:rsidR="00D37F2D" w:rsidRPr="00362F87" w14:paraId="45F30840" w14:textId="77777777">
        <w:trPr>
          <w:trHeight w:val="331"/>
        </w:trPr>
        <w:tc>
          <w:tcPr>
            <w:tcW w:w="2997" w:type="dxa"/>
            <w:tcBorders>
              <w:top w:val="nil"/>
              <w:left w:val="single" w:sz="8" w:space="0" w:color="000000"/>
              <w:bottom w:val="single" w:sz="4" w:space="0" w:color="000000"/>
              <w:right w:val="single" w:sz="4" w:space="0" w:color="000000"/>
            </w:tcBorders>
            <w:shd w:val="clear" w:color="auto" w:fill="auto"/>
            <w:noWrap/>
            <w:vAlign w:val="bottom"/>
            <w:hideMark/>
          </w:tcPr>
          <w:p w14:paraId="57262F4C" w14:textId="77777777" w:rsidR="00D37F2D" w:rsidRPr="00362F87" w:rsidRDefault="00D37F2D">
            <w:pPr>
              <w:spacing w:before="0" w:after="0"/>
              <w:jc w:val="center"/>
              <w:rPr>
                <w:rFonts w:ascii="Wingdings" w:eastAsia="Times New Roman" w:hAnsi="Wingdings" w:cs="Calibri"/>
                <w:color w:val="000000"/>
                <w:sz w:val="18"/>
                <w:szCs w:val="18"/>
                <w:lang w:val="en-IE" w:eastAsia="en-IE"/>
              </w:rPr>
            </w:pPr>
            <w:r w:rsidRPr="00362F87">
              <w:rPr>
                <w:rFonts w:ascii="Wingdings" w:eastAsia="Times New Roman" w:hAnsi="Wingdings" w:cs="Calibri"/>
                <w:color w:val="000000"/>
                <w:sz w:val="18"/>
                <w:szCs w:val="18"/>
                <w:lang w:val="en-IE" w:eastAsia="en-IE"/>
              </w:rPr>
              <w:t>ò</w:t>
            </w:r>
          </w:p>
        </w:tc>
        <w:tc>
          <w:tcPr>
            <w:tcW w:w="1254" w:type="dxa"/>
            <w:tcBorders>
              <w:top w:val="nil"/>
              <w:left w:val="nil"/>
              <w:bottom w:val="single" w:sz="4" w:space="0" w:color="000000"/>
              <w:right w:val="single" w:sz="4" w:space="0" w:color="000000"/>
            </w:tcBorders>
            <w:shd w:val="clear" w:color="auto" w:fill="auto"/>
            <w:noWrap/>
            <w:vAlign w:val="bottom"/>
            <w:hideMark/>
          </w:tcPr>
          <w:p w14:paraId="6EF14A60" w14:textId="77777777" w:rsidR="00D37F2D" w:rsidRPr="00362F87" w:rsidRDefault="00D37F2D">
            <w:pPr>
              <w:spacing w:before="0" w:after="0"/>
              <w:jc w:val="left"/>
              <w:rPr>
                <w:rFonts w:ascii="Calibri" w:eastAsia="Times New Roman" w:hAnsi="Calibri" w:cs="Calibri"/>
                <w:color w:val="000000"/>
                <w:sz w:val="22"/>
                <w:lang w:val="en-IE" w:eastAsia="en-IE"/>
              </w:rPr>
            </w:pPr>
            <w:r w:rsidRPr="00362F87">
              <w:rPr>
                <w:rFonts w:ascii="Calibri" w:eastAsia="Times New Roman" w:hAnsi="Calibri" w:cs="Calibri"/>
                <w:color w:val="000000"/>
                <w:sz w:val="22"/>
                <w:lang w:val="en-IE" w:eastAsia="en-IE"/>
              </w:rPr>
              <w:t> </w:t>
            </w:r>
          </w:p>
        </w:tc>
        <w:tc>
          <w:tcPr>
            <w:tcW w:w="1115" w:type="dxa"/>
            <w:tcBorders>
              <w:top w:val="nil"/>
              <w:left w:val="nil"/>
              <w:bottom w:val="single" w:sz="4" w:space="0" w:color="000000"/>
              <w:right w:val="single" w:sz="4" w:space="0" w:color="000000"/>
            </w:tcBorders>
            <w:shd w:val="clear" w:color="auto" w:fill="auto"/>
            <w:noWrap/>
            <w:vAlign w:val="bottom"/>
            <w:hideMark/>
          </w:tcPr>
          <w:p w14:paraId="39BF47ED" w14:textId="77777777" w:rsidR="00D37F2D" w:rsidRPr="00362F87" w:rsidRDefault="00D37F2D">
            <w:pPr>
              <w:spacing w:before="0" w:after="0"/>
              <w:jc w:val="left"/>
              <w:rPr>
                <w:rFonts w:ascii="Calibri" w:eastAsia="Times New Roman" w:hAnsi="Calibri" w:cs="Calibri"/>
                <w:color w:val="000000"/>
                <w:sz w:val="22"/>
                <w:lang w:val="en-IE" w:eastAsia="en-IE"/>
              </w:rPr>
            </w:pPr>
            <w:r w:rsidRPr="00362F87">
              <w:rPr>
                <w:rFonts w:ascii="Calibri" w:eastAsia="Times New Roman" w:hAnsi="Calibri" w:cs="Calibri"/>
                <w:color w:val="000000"/>
                <w:sz w:val="22"/>
                <w:lang w:val="en-IE" w:eastAsia="en-IE"/>
              </w:rPr>
              <w:t> </w:t>
            </w:r>
          </w:p>
        </w:tc>
        <w:tc>
          <w:tcPr>
            <w:tcW w:w="2230" w:type="dxa"/>
            <w:gridSpan w:val="2"/>
            <w:tcBorders>
              <w:top w:val="single" w:sz="4" w:space="0" w:color="000000"/>
              <w:left w:val="nil"/>
              <w:bottom w:val="single" w:sz="4" w:space="0" w:color="000000"/>
              <w:right w:val="single" w:sz="4" w:space="0" w:color="000000"/>
            </w:tcBorders>
            <w:shd w:val="clear" w:color="auto" w:fill="auto"/>
            <w:vAlign w:val="center"/>
            <w:hideMark/>
          </w:tcPr>
          <w:p w14:paraId="7A371D18" w14:textId="77777777" w:rsidR="00D37F2D" w:rsidRPr="00362F87" w:rsidRDefault="00D37F2D">
            <w:pPr>
              <w:spacing w:before="0" w:after="0"/>
              <w:jc w:val="center"/>
              <w:rPr>
                <w:rFonts w:eastAsia="Times New Roman"/>
                <w:b/>
                <w:bCs/>
                <w:color w:val="000000"/>
                <w:sz w:val="20"/>
                <w:szCs w:val="20"/>
                <w:lang w:val="en-IE" w:eastAsia="en-IE"/>
              </w:rPr>
            </w:pPr>
            <w:r w:rsidRPr="00362F87">
              <w:rPr>
                <w:rFonts w:eastAsia="Times New Roman"/>
                <w:b/>
                <w:bCs/>
                <w:color w:val="000000"/>
                <w:sz w:val="20"/>
                <w:szCs w:val="20"/>
                <w:lang w:val="en-IE" w:eastAsia="en-IE"/>
              </w:rPr>
              <w:t>2026</w:t>
            </w:r>
          </w:p>
        </w:tc>
        <w:tc>
          <w:tcPr>
            <w:tcW w:w="2230" w:type="dxa"/>
            <w:gridSpan w:val="2"/>
            <w:tcBorders>
              <w:top w:val="single" w:sz="4" w:space="0" w:color="000000"/>
              <w:left w:val="nil"/>
              <w:bottom w:val="single" w:sz="4" w:space="0" w:color="000000"/>
              <w:right w:val="single" w:sz="4" w:space="0" w:color="000000"/>
            </w:tcBorders>
            <w:shd w:val="clear" w:color="auto" w:fill="auto"/>
            <w:vAlign w:val="center"/>
            <w:hideMark/>
          </w:tcPr>
          <w:p w14:paraId="2F64254B" w14:textId="77777777" w:rsidR="00D37F2D" w:rsidRPr="00362F87" w:rsidRDefault="00D37F2D">
            <w:pPr>
              <w:spacing w:before="0" w:after="0"/>
              <w:jc w:val="center"/>
              <w:rPr>
                <w:rFonts w:eastAsia="Times New Roman"/>
                <w:b/>
                <w:bCs/>
                <w:color w:val="000000"/>
                <w:sz w:val="20"/>
                <w:szCs w:val="20"/>
                <w:lang w:val="en-IE" w:eastAsia="en-IE"/>
              </w:rPr>
            </w:pPr>
            <w:r w:rsidRPr="00362F87">
              <w:rPr>
                <w:rFonts w:eastAsia="Times New Roman"/>
                <w:b/>
                <w:bCs/>
                <w:color w:val="000000"/>
                <w:sz w:val="20"/>
                <w:szCs w:val="20"/>
                <w:lang w:val="en-IE" w:eastAsia="en-IE"/>
              </w:rPr>
              <w:t>2027</w:t>
            </w:r>
          </w:p>
        </w:tc>
        <w:tc>
          <w:tcPr>
            <w:tcW w:w="2230" w:type="dxa"/>
            <w:gridSpan w:val="2"/>
            <w:vMerge/>
            <w:tcBorders>
              <w:top w:val="single" w:sz="8" w:space="0" w:color="000000"/>
              <w:left w:val="single" w:sz="4" w:space="0" w:color="000000"/>
              <w:bottom w:val="single" w:sz="4" w:space="0" w:color="000000"/>
              <w:right w:val="single" w:sz="4" w:space="0" w:color="000000"/>
            </w:tcBorders>
            <w:vAlign w:val="center"/>
            <w:hideMark/>
          </w:tcPr>
          <w:p w14:paraId="2FF78696" w14:textId="77777777" w:rsidR="00D37F2D" w:rsidRPr="00362F87" w:rsidRDefault="00D37F2D">
            <w:pPr>
              <w:spacing w:before="0" w:after="0"/>
              <w:jc w:val="left"/>
              <w:rPr>
                <w:rFonts w:eastAsia="Times New Roman"/>
                <w:b/>
                <w:bCs/>
                <w:color w:val="000000"/>
                <w:sz w:val="18"/>
                <w:szCs w:val="18"/>
                <w:lang w:val="en-IE" w:eastAsia="en-IE"/>
              </w:rPr>
            </w:pPr>
          </w:p>
        </w:tc>
      </w:tr>
      <w:tr w:rsidR="00D37F2D" w:rsidRPr="00362F87" w14:paraId="7A5A6F47" w14:textId="77777777">
        <w:trPr>
          <w:trHeight w:val="1324"/>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17905E56" w14:textId="77777777" w:rsidR="00D37F2D" w:rsidRPr="00362F87" w:rsidRDefault="00D37F2D">
            <w:pPr>
              <w:spacing w:before="0" w:after="0"/>
              <w:jc w:val="left"/>
              <w:rPr>
                <w:rFonts w:ascii="Calibri" w:eastAsia="Times New Roman" w:hAnsi="Calibri" w:cs="Calibri"/>
                <w:color w:val="000000"/>
                <w:sz w:val="22"/>
                <w:lang w:val="en-IE" w:eastAsia="en-IE"/>
              </w:rPr>
            </w:pPr>
            <w:r w:rsidRPr="00362F87">
              <w:rPr>
                <w:rFonts w:ascii="Calibri" w:eastAsia="Times New Roman" w:hAnsi="Calibri" w:cs="Calibri"/>
                <w:color w:val="000000"/>
                <w:sz w:val="22"/>
                <w:lang w:val="en-IE" w:eastAsia="en-IE"/>
              </w:rPr>
              <w:t>06 10 03 Union contribution to the European Medicines Agency</w:t>
            </w:r>
          </w:p>
        </w:tc>
        <w:tc>
          <w:tcPr>
            <w:tcW w:w="9062" w:type="dxa"/>
            <w:gridSpan w:val="8"/>
            <w:tcBorders>
              <w:top w:val="single" w:sz="4" w:space="0" w:color="000000"/>
              <w:left w:val="nil"/>
              <w:bottom w:val="single" w:sz="4" w:space="0" w:color="000000"/>
              <w:right w:val="single" w:sz="4" w:space="0" w:color="000000"/>
            </w:tcBorders>
            <w:shd w:val="clear" w:color="auto" w:fill="auto"/>
            <w:noWrap/>
            <w:vAlign w:val="bottom"/>
            <w:hideMark/>
          </w:tcPr>
          <w:p w14:paraId="187FCFFA" w14:textId="77777777" w:rsidR="00D37F2D" w:rsidRPr="00362F87" w:rsidRDefault="00D37F2D">
            <w:pPr>
              <w:spacing w:before="0" w:after="0"/>
              <w:jc w:val="left"/>
              <w:rPr>
                <w:rFonts w:eastAsia="Times New Roman"/>
                <w:b/>
                <w:bCs/>
                <w:color w:val="000000"/>
                <w:sz w:val="18"/>
                <w:szCs w:val="18"/>
                <w:lang w:val="en-IE" w:eastAsia="en-IE"/>
              </w:rPr>
            </w:pPr>
            <w:r w:rsidRPr="00362F87">
              <w:rPr>
                <w:rFonts w:eastAsia="Times New Roman"/>
                <w:b/>
                <w:bCs/>
                <w:color w:val="000000"/>
                <w:sz w:val="18"/>
                <w:szCs w:val="18"/>
                <w:lang w:val="en-IE" w:eastAsia="en-IE"/>
              </w:rPr>
              <w:t>OUTPUTS</w:t>
            </w:r>
          </w:p>
        </w:tc>
      </w:tr>
      <w:tr w:rsidR="00D37F2D" w:rsidRPr="00362F87" w14:paraId="474F9D00" w14:textId="77777777">
        <w:trPr>
          <w:trHeight w:val="529"/>
        </w:trPr>
        <w:tc>
          <w:tcPr>
            <w:tcW w:w="2997" w:type="dxa"/>
            <w:tcBorders>
              <w:top w:val="nil"/>
              <w:left w:val="single" w:sz="8" w:space="0" w:color="000000"/>
              <w:bottom w:val="nil"/>
              <w:right w:val="single" w:sz="4" w:space="0" w:color="000000"/>
            </w:tcBorders>
            <w:shd w:val="clear" w:color="auto" w:fill="auto"/>
            <w:noWrap/>
            <w:vAlign w:val="bottom"/>
            <w:hideMark/>
          </w:tcPr>
          <w:p w14:paraId="7A6BDF3D" w14:textId="77777777" w:rsidR="00D37F2D" w:rsidRPr="00362F87" w:rsidRDefault="00D37F2D">
            <w:pPr>
              <w:spacing w:before="0" w:after="0"/>
              <w:jc w:val="left"/>
              <w:rPr>
                <w:rFonts w:ascii="Calibri" w:eastAsia="Times New Roman" w:hAnsi="Calibri" w:cs="Calibri"/>
                <w:color w:val="000000"/>
                <w:sz w:val="22"/>
                <w:lang w:val="en-IE" w:eastAsia="en-IE"/>
              </w:rPr>
            </w:pPr>
            <w:r w:rsidRPr="00362F87">
              <w:rPr>
                <w:rFonts w:ascii="Calibri" w:eastAsia="Times New Roman" w:hAnsi="Calibri" w:cs="Calibri"/>
                <w:color w:val="000000"/>
                <w:sz w:val="22"/>
                <w:lang w:val="en-IE" w:eastAsia="en-IE"/>
              </w:rPr>
              <w:t> </w:t>
            </w:r>
          </w:p>
        </w:tc>
        <w:tc>
          <w:tcPr>
            <w:tcW w:w="1254" w:type="dxa"/>
            <w:tcBorders>
              <w:top w:val="nil"/>
              <w:left w:val="nil"/>
              <w:bottom w:val="nil"/>
              <w:right w:val="single" w:sz="4" w:space="0" w:color="000000"/>
            </w:tcBorders>
            <w:shd w:val="clear" w:color="auto" w:fill="auto"/>
            <w:noWrap/>
            <w:vAlign w:val="center"/>
            <w:hideMark/>
          </w:tcPr>
          <w:p w14:paraId="17602F75" w14:textId="77777777" w:rsidR="00D37F2D" w:rsidRPr="00362F87" w:rsidRDefault="00D37F2D">
            <w:pPr>
              <w:spacing w:before="0" w:after="0"/>
              <w:jc w:val="center"/>
              <w:rPr>
                <w:rFonts w:eastAsia="Times New Roman"/>
                <w:color w:val="000000"/>
                <w:sz w:val="18"/>
                <w:szCs w:val="18"/>
                <w:lang w:val="en-IE" w:eastAsia="en-IE"/>
              </w:rPr>
            </w:pPr>
            <w:r w:rsidRPr="00362F87">
              <w:rPr>
                <w:rFonts w:eastAsia="Times New Roman"/>
                <w:color w:val="000000"/>
                <w:sz w:val="18"/>
                <w:szCs w:val="18"/>
                <w:lang w:val="en-IE" w:eastAsia="en-IE"/>
              </w:rPr>
              <w:t>Type</w:t>
            </w:r>
          </w:p>
        </w:tc>
        <w:tc>
          <w:tcPr>
            <w:tcW w:w="1115" w:type="dxa"/>
            <w:tcBorders>
              <w:top w:val="nil"/>
              <w:left w:val="nil"/>
              <w:bottom w:val="nil"/>
              <w:right w:val="single" w:sz="4" w:space="0" w:color="000000"/>
            </w:tcBorders>
            <w:shd w:val="clear" w:color="auto" w:fill="auto"/>
            <w:vAlign w:val="center"/>
            <w:hideMark/>
          </w:tcPr>
          <w:p w14:paraId="60095E90" w14:textId="77777777" w:rsidR="00D37F2D" w:rsidRPr="00362F87" w:rsidRDefault="00D37F2D">
            <w:pPr>
              <w:spacing w:before="0" w:after="0"/>
              <w:jc w:val="center"/>
              <w:rPr>
                <w:rFonts w:eastAsia="Times New Roman"/>
                <w:color w:val="000000"/>
                <w:sz w:val="18"/>
                <w:szCs w:val="18"/>
                <w:lang w:val="en-IE" w:eastAsia="en-IE"/>
              </w:rPr>
            </w:pPr>
            <w:r w:rsidRPr="00362F87">
              <w:rPr>
                <w:rFonts w:eastAsia="Times New Roman"/>
                <w:color w:val="000000"/>
                <w:sz w:val="18"/>
                <w:szCs w:val="18"/>
                <w:lang w:val="en-IE" w:eastAsia="en-IE"/>
              </w:rPr>
              <w:t>Average</w:t>
            </w:r>
            <w:r w:rsidRPr="00362F87">
              <w:rPr>
                <w:rFonts w:eastAsia="Times New Roman"/>
                <w:color w:val="000000"/>
                <w:sz w:val="18"/>
                <w:szCs w:val="18"/>
                <w:lang w:val="en-IE" w:eastAsia="en-IE"/>
              </w:rPr>
              <w:br/>
              <w:t>cost</w:t>
            </w:r>
          </w:p>
        </w:tc>
        <w:tc>
          <w:tcPr>
            <w:tcW w:w="795" w:type="dxa"/>
            <w:tcBorders>
              <w:top w:val="nil"/>
              <w:left w:val="nil"/>
              <w:bottom w:val="nil"/>
              <w:right w:val="single" w:sz="4" w:space="0" w:color="000000"/>
            </w:tcBorders>
            <w:shd w:val="clear" w:color="auto" w:fill="auto"/>
            <w:noWrap/>
            <w:vAlign w:val="center"/>
            <w:hideMark/>
          </w:tcPr>
          <w:p w14:paraId="627DA9F4" w14:textId="77777777" w:rsidR="00D37F2D" w:rsidRPr="00362F87" w:rsidRDefault="00D37F2D">
            <w:pPr>
              <w:spacing w:before="0" w:after="0"/>
              <w:jc w:val="center"/>
              <w:rPr>
                <w:rFonts w:eastAsia="Times New Roman"/>
                <w:color w:val="000000"/>
                <w:sz w:val="18"/>
                <w:szCs w:val="18"/>
                <w:lang w:val="en-IE" w:eastAsia="en-IE"/>
              </w:rPr>
            </w:pPr>
            <w:r w:rsidRPr="00362F87">
              <w:rPr>
                <w:rFonts w:eastAsia="Times New Roman"/>
                <w:color w:val="000000"/>
                <w:sz w:val="18"/>
                <w:szCs w:val="18"/>
                <w:lang w:val="en-IE" w:eastAsia="en-IE"/>
              </w:rPr>
              <w:t>No</w:t>
            </w:r>
          </w:p>
        </w:tc>
        <w:tc>
          <w:tcPr>
            <w:tcW w:w="1434" w:type="dxa"/>
            <w:tcBorders>
              <w:top w:val="nil"/>
              <w:left w:val="nil"/>
              <w:bottom w:val="nil"/>
              <w:right w:val="single" w:sz="4" w:space="0" w:color="000000"/>
            </w:tcBorders>
            <w:shd w:val="clear" w:color="auto" w:fill="auto"/>
            <w:noWrap/>
            <w:vAlign w:val="center"/>
            <w:hideMark/>
          </w:tcPr>
          <w:p w14:paraId="09EDE836" w14:textId="77777777" w:rsidR="00D37F2D" w:rsidRPr="00362F87" w:rsidRDefault="00D37F2D">
            <w:pPr>
              <w:spacing w:before="0" w:after="0"/>
              <w:jc w:val="center"/>
              <w:rPr>
                <w:rFonts w:eastAsia="Times New Roman"/>
                <w:color w:val="000000"/>
                <w:sz w:val="18"/>
                <w:szCs w:val="18"/>
                <w:lang w:val="en-IE" w:eastAsia="en-IE"/>
              </w:rPr>
            </w:pPr>
            <w:r w:rsidRPr="00362F87">
              <w:rPr>
                <w:rFonts w:eastAsia="Times New Roman"/>
                <w:color w:val="000000"/>
                <w:sz w:val="18"/>
                <w:szCs w:val="18"/>
                <w:lang w:val="en-IE" w:eastAsia="en-IE"/>
              </w:rPr>
              <w:t>Cost</w:t>
            </w:r>
          </w:p>
        </w:tc>
        <w:tc>
          <w:tcPr>
            <w:tcW w:w="795" w:type="dxa"/>
            <w:tcBorders>
              <w:top w:val="nil"/>
              <w:left w:val="nil"/>
              <w:bottom w:val="nil"/>
              <w:right w:val="single" w:sz="4" w:space="0" w:color="000000"/>
            </w:tcBorders>
            <w:shd w:val="clear" w:color="auto" w:fill="auto"/>
            <w:noWrap/>
            <w:vAlign w:val="center"/>
            <w:hideMark/>
          </w:tcPr>
          <w:p w14:paraId="06F208AF" w14:textId="77777777" w:rsidR="00D37F2D" w:rsidRPr="00362F87" w:rsidRDefault="00D37F2D">
            <w:pPr>
              <w:spacing w:before="0" w:after="0"/>
              <w:jc w:val="center"/>
              <w:rPr>
                <w:rFonts w:eastAsia="Times New Roman"/>
                <w:color w:val="000000"/>
                <w:sz w:val="18"/>
                <w:szCs w:val="18"/>
                <w:lang w:val="en-IE" w:eastAsia="en-IE"/>
              </w:rPr>
            </w:pPr>
            <w:r w:rsidRPr="00362F87">
              <w:rPr>
                <w:rFonts w:eastAsia="Times New Roman"/>
                <w:color w:val="000000"/>
                <w:sz w:val="18"/>
                <w:szCs w:val="18"/>
                <w:lang w:val="en-IE" w:eastAsia="en-IE"/>
              </w:rPr>
              <w:t>No</w:t>
            </w:r>
          </w:p>
        </w:tc>
        <w:tc>
          <w:tcPr>
            <w:tcW w:w="1434" w:type="dxa"/>
            <w:tcBorders>
              <w:top w:val="nil"/>
              <w:left w:val="nil"/>
              <w:bottom w:val="nil"/>
              <w:right w:val="single" w:sz="4" w:space="0" w:color="000000"/>
            </w:tcBorders>
            <w:shd w:val="clear" w:color="auto" w:fill="auto"/>
            <w:noWrap/>
            <w:vAlign w:val="center"/>
            <w:hideMark/>
          </w:tcPr>
          <w:p w14:paraId="0E43C35F" w14:textId="77777777" w:rsidR="00D37F2D" w:rsidRPr="00362F87" w:rsidRDefault="00D37F2D">
            <w:pPr>
              <w:spacing w:before="0" w:after="0"/>
              <w:jc w:val="center"/>
              <w:rPr>
                <w:rFonts w:eastAsia="Times New Roman"/>
                <w:color w:val="000000"/>
                <w:sz w:val="18"/>
                <w:szCs w:val="18"/>
                <w:lang w:val="en-IE" w:eastAsia="en-IE"/>
              </w:rPr>
            </w:pPr>
            <w:r w:rsidRPr="00362F87">
              <w:rPr>
                <w:rFonts w:eastAsia="Times New Roman"/>
                <w:color w:val="000000"/>
                <w:sz w:val="18"/>
                <w:szCs w:val="18"/>
                <w:lang w:val="en-IE" w:eastAsia="en-IE"/>
              </w:rPr>
              <w:t>Cost</w:t>
            </w:r>
          </w:p>
        </w:tc>
        <w:tc>
          <w:tcPr>
            <w:tcW w:w="795" w:type="dxa"/>
            <w:tcBorders>
              <w:top w:val="nil"/>
              <w:left w:val="nil"/>
              <w:bottom w:val="nil"/>
              <w:right w:val="single" w:sz="4" w:space="0" w:color="000000"/>
            </w:tcBorders>
            <w:shd w:val="clear" w:color="auto" w:fill="auto"/>
            <w:noWrap/>
            <w:vAlign w:val="center"/>
            <w:hideMark/>
          </w:tcPr>
          <w:p w14:paraId="58AAC3EA" w14:textId="77777777" w:rsidR="00D37F2D" w:rsidRPr="00362F87" w:rsidRDefault="00D37F2D">
            <w:pPr>
              <w:spacing w:before="0" w:after="0"/>
              <w:jc w:val="center"/>
              <w:rPr>
                <w:rFonts w:eastAsia="Times New Roman"/>
                <w:color w:val="000000"/>
                <w:sz w:val="18"/>
                <w:szCs w:val="18"/>
                <w:lang w:val="en-IE" w:eastAsia="en-IE"/>
              </w:rPr>
            </w:pPr>
            <w:r w:rsidRPr="00362F87">
              <w:rPr>
                <w:rFonts w:eastAsia="Times New Roman"/>
                <w:color w:val="000000"/>
                <w:sz w:val="18"/>
                <w:szCs w:val="18"/>
                <w:lang w:val="en-IE" w:eastAsia="en-IE"/>
              </w:rPr>
              <w:t>No</w:t>
            </w:r>
          </w:p>
        </w:tc>
        <w:tc>
          <w:tcPr>
            <w:tcW w:w="1434" w:type="dxa"/>
            <w:tcBorders>
              <w:top w:val="nil"/>
              <w:left w:val="nil"/>
              <w:bottom w:val="nil"/>
              <w:right w:val="single" w:sz="4" w:space="0" w:color="000000"/>
            </w:tcBorders>
            <w:shd w:val="clear" w:color="auto" w:fill="auto"/>
            <w:noWrap/>
            <w:vAlign w:val="center"/>
            <w:hideMark/>
          </w:tcPr>
          <w:p w14:paraId="2A2ACEE3" w14:textId="77777777" w:rsidR="00D37F2D" w:rsidRPr="00362F87" w:rsidRDefault="00D37F2D">
            <w:pPr>
              <w:spacing w:before="0" w:after="0"/>
              <w:jc w:val="center"/>
              <w:rPr>
                <w:rFonts w:eastAsia="Times New Roman"/>
                <w:color w:val="000000"/>
                <w:sz w:val="18"/>
                <w:szCs w:val="18"/>
                <w:lang w:val="en-IE" w:eastAsia="en-IE"/>
              </w:rPr>
            </w:pPr>
            <w:r w:rsidRPr="00362F87">
              <w:rPr>
                <w:rFonts w:eastAsia="Times New Roman"/>
                <w:color w:val="000000"/>
                <w:sz w:val="18"/>
                <w:szCs w:val="18"/>
                <w:lang w:val="en-IE" w:eastAsia="en-IE"/>
              </w:rPr>
              <w:t>Cost</w:t>
            </w:r>
          </w:p>
        </w:tc>
      </w:tr>
      <w:tr w:rsidR="00D37F2D" w:rsidRPr="00362F87" w14:paraId="402E101F" w14:textId="77777777">
        <w:trPr>
          <w:trHeight w:val="331"/>
        </w:trPr>
        <w:tc>
          <w:tcPr>
            <w:tcW w:w="12059" w:type="dxa"/>
            <w:gridSpan w:val="9"/>
            <w:tcBorders>
              <w:top w:val="single" w:sz="4" w:space="0" w:color="000000"/>
              <w:left w:val="single" w:sz="8" w:space="0" w:color="000000"/>
              <w:bottom w:val="single" w:sz="4" w:space="0" w:color="000000"/>
              <w:right w:val="nil"/>
            </w:tcBorders>
            <w:shd w:val="clear" w:color="auto" w:fill="auto"/>
            <w:noWrap/>
            <w:vAlign w:val="bottom"/>
            <w:hideMark/>
          </w:tcPr>
          <w:p w14:paraId="5446EE3A" w14:textId="150094FB"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OBJECTIVE No 1: Security of supply and the availability of critical medicinal products</w:t>
            </w:r>
          </w:p>
        </w:tc>
      </w:tr>
      <w:tr w:rsidR="00D37F2D" w:rsidRPr="00362F87" w14:paraId="096E69BA" w14:textId="77777777">
        <w:trPr>
          <w:trHeight w:val="546"/>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422D4210"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xml:space="preserve">A. facilitate investments in manufacturing capacities - </w:t>
            </w:r>
          </w:p>
        </w:tc>
        <w:tc>
          <w:tcPr>
            <w:tcW w:w="1254" w:type="dxa"/>
            <w:tcBorders>
              <w:top w:val="nil"/>
              <w:left w:val="single" w:sz="8" w:space="0" w:color="000000"/>
              <w:bottom w:val="single" w:sz="4" w:space="0" w:color="000000"/>
              <w:right w:val="single" w:sz="4" w:space="0" w:color="000000"/>
            </w:tcBorders>
            <w:shd w:val="clear" w:color="auto" w:fill="auto"/>
            <w:vAlign w:val="bottom"/>
            <w:hideMark/>
          </w:tcPr>
          <w:p w14:paraId="5D4C409E"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EMA Staff costs</w:t>
            </w:r>
          </w:p>
        </w:tc>
        <w:tc>
          <w:tcPr>
            <w:tcW w:w="1115" w:type="dxa"/>
            <w:tcBorders>
              <w:top w:val="nil"/>
              <w:left w:val="nil"/>
              <w:bottom w:val="single" w:sz="4" w:space="0" w:color="000000"/>
              <w:right w:val="single" w:sz="4" w:space="0" w:color="000000"/>
            </w:tcBorders>
            <w:shd w:val="clear" w:color="auto" w:fill="auto"/>
            <w:noWrap/>
            <w:vAlign w:val="bottom"/>
            <w:hideMark/>
          </w:tcPr>
          <w:p w14:paraId="5157E150"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795" w:type="dxa"/>
            <w:tcBorders>
              <w:top w:val="nil"/>
              <w:left w:val="nil"/>
              <w:bottom w:val="single" w:sz="4" w:space="0" w:color="000000"/>
              <w:right w:val="single" w:sz="4" w:space="0" w:color="000000"/>
            </w:tcBorders>
            <w:shd w:val="clear" w:color="auto" w:fill="auto"/>
            <w:noWrap/>
            <w:vAlign w:val="bottom"/>
            <w:hideMark/>
          </w:tcPr>
          <w:p w14:paraId="336B93D4"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4112F6B8" w14:textId="77777777" w:rsidR="00D37F2D" w:rsidRPr="00362F87" w:rsidRDefault="00D37F2D">
            <w:pPr>
              <w:spacing w:before="0" w:after="0"/>
              <w:jc w:val="right"/>
              <w:rPr>
                <w:rFonts w:eastAsia="Times New Roman"/>
                <w:color w:val="000000"/>
                <w:sz w:val="18"/>
                <w:szCs w:val="18"/>
                <w:lang w:val="en-IE" w:eastAsia="en-IE"/>
              </w:rPr>
            </w:pPr>
            <w:r w:rsidRPr="00362F87">
              <w:rPr>
                <w:rFonts w:eastAsia="Times New Roman"/>
                <w:color w:val="000000"/>
                <w:sz w:val="18"/>
                <w:szCs w:val="18"/>
                <w:lang w:val="en-IE" w:eastAsia="en-IE"/>
              </w:rPr>
              <w:t>0,524</w:t>
            </w:r>
          </w:p>
        </w:tc>
        <w:tc>
          <w:tcPr>
            <w:tcW w:w="795" w:type="dxa"/>
            <w:tcBorders>
              <w:top w:val="nil"/>
              <w:left w:val="nil"/>
              <w:bottom w:val="single" w:sz="4" w:space="0" w:color="000000"/>
              <w:right w:val="single" w:sz="4" w:space="0" w:color="000000"/>
            </w:tcBorders>
            <w:shd w:val="clear" w:color="auto" w:fill="auto"/>
            <w:noWrap/>
            <w:vAlign w:val="bottom"/>
            <w:hideMark/>
          </w:tcPr>
          <w:p w14:paraId="0F8FCE5C"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1AEC46E9" w14:textId="77777777" w:rsidR="00D37F2D" w:rsidRPr="00362F87" w:rsidRDefault="00D37F2D">
            <w:pPr>
              <w:spacing w:before="0" w:after="0"/>
              <w:jc w:val="right"/>
              <w:rPr>
                <w:rFonts w:eastAsia="Times New Roman"/>
                <w:color w:val="000000"/>
                <w:sz w:val="18"/>
                <w:szCs w:val="18"/>
                <w:lang w:val="en-IE" w:eastAsia="en-IE"/>
              </w:rPr>
            </w:pPr>
            <w:r w:rsidRPr="00362F87">
              <w:rPr>
                <w:rFonts w:eastAsia="Times New Roman"/>
                <w:color w:val="000000"/>
                <w:sz w:val="18"/>
                <w:szCs w:val="18"/>
                <w:lang w:val="en-IE" w:eastAsia="en-IE"/>
              </w:rPr>
              <w:t>0,628</w:t>
            </w:r>
          </w:p>
        </w:tc>
        <w:tc>
          <w:tcPr>
            <w:tcW w:w="795" w:type="dxa"/>
            <w:tcBorders>
              <w:top w:val="nil"/>
              <w:left w:val="nil"/>
              <w:bottom w:val="single" w:sz="4" w:space="0" w:color="000000"/>
              <w:right w:val="single" w:sz="4" w:space="0" w:color="000000"/>
            </w:tcBorders>
            <w:shd w:val="clear" w:color="000000" w:fill="F2F2F2"/>
            <w:noWrap/>
            <w:vAlign w:val="bottom"/>
            <w:hideMark/>
          </w:tcPr>
          <w:p w14:paraId="756927EA"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5E2D42F4"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1,152</w:t>
            </w:r>
          </w:p>
        </w:tc>
      </w:tr>
      <w:tr w:rsidR="00D37F2D" w:rsidRPr="00362F87" w14:paraId="1D6D45A4" w14:textId="77777777">
        <w:trPr>
          <w:trHeight w:val="546"/>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6BDACB4D"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A. facilitate investments in manufacturing capacities</w:t>
            </w:r>
          </w:p>
        </w:tc>
        <w:tc>
          <w:tcPr>
            <w:tcW w:w="1254" w:type="dxa"/>
            <w:tcBorders>
              <w:top w:val="nil"/>
              <w:left w:val="nil"/>
              <w:bottom w:val="single" w:sz="4" w:space="0" w:color="000000"/>
              <w:right w:val="single" w:sz="4" w:space="0" w:color="000000"/>
            </w:tcBorders>
            <w:shd w:val="clear" w:color="auto" w:fill="auto"/>
            <w:noWrap/>
            <w:vAlign w:val="bottom"/>
            <w:hideMark/>
          </w:tcPr>
          <w:p w14:paraId="43B634CB"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IT</w:t>
            </w:r>
          </w:p>
        </w:tc>
        <w:tc>
          <w:tcPr>
            <w:tcW w:w="1115" w:type="dxa"/>
            <w:tcBorders>
              <w:top w:val="nil"/>
              <w:left w:val="nil"/>
              <w:bottom w:val="single" w:sz="4" w:space="0" w:color="000000"/>
              <w:right w:val="single" w:sz="4" w:space="0" w:color="000000"/>
            </w:tcBorders>
            <w:shd w:val="clear" w:color="auto" w:fill="auto"/>
            <w:noWrap/>
            <w:vAlign w:val="bottom"/>
            <w:hideMark/>
          </w:tcPr>
          <w:p w14:paraId="40143845"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795" w:type="dxa"/>
            <w:tcBorders>
              <w:top w:val="nil"/>
              <w:left w:val="nil"/>
              <w:bottom w:val="single" w:sz="4" w:space="0" w:color="000000"/>
              <w:right w:val="single" w:sz="4" w:space="0" w:color="000000"/>
            </w:tcBorders>
            <w:shd w:val="clear" w:color="auto" w:fill="auto"/>
            <w:noWrap/>
            <w:vAlign w:val="bottom"/>
            <w:hideMark/>
          </w:tcPr>
          <w:p w14:paraId="62BF97D0"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6B300437" w14:textId="77777777" w:rsidR="00D37F2D" w:rsidRPr="00362F87" w:rsidRDefault="00D37F2D">
            <w:pPr>
              <w:spacing w:before="0" w:after="0"/>
              <w:jc w:val="right"/>
              <w:rPr>
                <w:rFonts w:eastAsia="Times New Roman"/>
                <w:color w:val="000000"/>
                <w:sz w:val="18"/>
                <w:szCs w:val="18"/>
                <w:lang w:val="en-IE" w:eastAsia="en-IE"/>
              </w:rPr>
            </w:pPr>
            <w:r w:rsidRPr="00362F87">
              <w:rPr>
                <w:rFonts w:eastAsia="Times New Roman"/>
                <w:color w:val="000000"/>
                <w:sz w:val="18"/>
                <w:szCs w:val="18"/>
                <w:lang w:val="en-IE" w:eastAsia="en-IE"/>
              </w:rPr>
              <w:t>0,100</w:t>
            </w:r>
          </w:p>
        </w:tc>
        <w:tc>
          <w:tcPr>
            <w:tcW w:w="795" w:type="dxa"/>
            <w:tcBorders>
              <w:top w:val="nil"/>
              <w:left w:val="nil"/>
              <w:bottom w:val="single" w:sz="4" w:space="0" w:color="000000"/>
              <w:right w:val="single" w:sz="4" w:space="0" w:color="000000"/>
            </w:tcBorders>
            <w:shd w:val="clear" w:color="auto" w:fill="auto"/>
            <w:noWrap/>
            <w:vAlign w:val="bottom"/>
            <w:hideMark/>
          </w:tcPr>
          <w:p w14:paraId="2C1EA346"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2E6A807C" w14:textId="77777777" w:rsidR="00D37F2D" w:rsidRPr="00362F87" w:rsidRDefault="00D37F2D">
            <w:pPr>
              <w:spacing w:before="0" w:after="0"/>
              <w:jc w:val="right"/>
              <w:rPr>
                <w:rFonts w:eastAsia="Times New Roman"/>
                <w:color w:val="000000"/>
                <w:sz w:val="18"/>
                <w:szCs w:val="18"/>
                <w:lang w:val="en-IE" w:eastAsia="en-IE"/>
              </w:rPr>
            </w:pPr>
            <w:r w:rsidRPr="00362F87">
              <w:rPr>
                <w:rFonts w:eastAsia="Times New Roman"/>
                <w:color w:val="000000"/>
                <w:sz w:val="18"/>
                <w:szCs w:val="18"/>
                <w:lang w:val="en-IE" w:eastAsia="en-IE"/>
              </w:rPr>
              <w:t>0,102</w:t>
            </w:r>
          </w:p>
        </w:tc>
        <w:tc>
          <w:tcPr>
            <w:tcW w:w="795" w:type="dxa"/>
            <w:tcBorders>
              <w:top w:val="nil"/>
              <w:left w:val="nil"/>
              <w:bottom w:val="single" w:sz="4" w:space="0" w:color="000000"/>
              <w:right w:val="single" w:sz="4" w:space="0" w:color="000000"/>
            </w:tcBorders>
            <w:shd w:val="clear" w:color="000000" w:fill="F2F2F2"/>
            <w:noWrap/>
            <w:vAlign w:val="bottom"/>
            <w:hideMark/>
          </w:tcPr>
          <w:p w14:paraId="46CFD689"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2E66162B"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0,202</w:t>
            </w:r>
          </w:p>
        </w:tc>
      </w:tr>
      <w:tr w:rsidR="00D37F2D" w:rsidRPr="00362F87" w14:paraId="5406B2EC" w14:textId="77777777">
        <w:trPr>
          <w:trHeight w:val="546"/>
        </w:trPr>
        <w:tc>
          <w:tcPr>
            <w:tcW w:w="2997" w:type="dxa"/>
            <w:tcBorders>
              <w:top w:val="nil"/>
              <w:left w:val="single" w:sz="8" w:space="0" w:color="000000"/>
              <w:bottom w:val="single" w:sz="4" w:space="0" w:color="000000"/>
              <w:right w:val="single" w:sz="4" w:space="0" w:color="000000"/>
            </w:tcBorders>
            <w:shd w:val="clear" w:color="auto" w:fill="auto"/>
            <w:vAlign w:val="bottom"/>
            <w:hideMark/>
          </w:tcPr>
          <w:p w14:paraId="04156C23"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xml:space="preserve">A. facilitate investments in manufacturing capacities </w:t>
            </w:r>
          </w:p>
        </w:tc>
        <w:tc>
          <w:tcPr>
            <w:tcW w:w="1254" w:type="dxa"/>
            <w:tcBorders>
              <w:top w:val="nil"/>
              <w:left w:val="nil"/>
              <w:bottom w:val="single" w:sz="4" w:space="0" w:color="000000"/>
              <w:right w:val="single" w:sz="4" w:space="0" w:color="000000"/>
            </w:tcBorders>
            <w:shd w:val="clear" w:color="auto" w:fill="auto"/>
            <w:noWrap/>
            <w:vAlign w:val="bottom"/>
            <w:hideMark/>
          </w:tcPr>
          <w:p w14:paraId="44E24019"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Meetings</w:t>
            </w:r>
          </w:p>
        </w:tc>
        <w:tc>
          <w:tcPr>
            <w:tcW w:w="1115" w:type="dxa"/>
            <w:tcBorders>
              <w:top w:val="nil"/>
              <w:left w:val="nil"/>
              <w:bottom w:val="single" w:sz="4" w:space="0" w:color="000000"/>
              <w:right w:val="single" w:sz="4" w:space="0" w:color="000000"/>
            </w:tcBorders>
            <w:shd w:val="clear" w:color="auto" w:fill="auto"/>
            <w:noWrap/>
            <w:vAlign w:val="bottom"/>
            <w:hideMark/>
          </w:tcPr>
          <w:p w14:paraId="36C1E091"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795" w:type="dxa"/>
            <w:tcBorders>
              <w:top w:val="nil"/>
              <w:left w:val="nil"/>
              <w:bottom w:val="single" w:sz="4" w:space="0" w:color="000000"/>
              <w:right w:val="single" w:sz="4" w:space="0" w:color="000000"/>
            </w:tcBorders>
            <w:shd w:val="clear" w:color="auto" w:fill="auto"/>
            <w:noWrap/>
            <w:vAlign w:val="bottom"/>
            <w:hideMark/>
          </w:tcPr>
          <w:p w14:paraId="46D0DA37"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55504B04" w14:textId="77777777" w:rsidR="00D37F2D" w:rsidRPr="00362F87" w:rsidRDefault="00D37F2D">
            <w:pPr>
              <w:spacing w:before="0" w:after="0"/>
              <w:jc w:val="right"/>
              <w:rPr>
                <w:rFonts w:eastAsia="Times New Roman"/>
                <w:color w:val="000000"/>
                <w:sz w:val="18"/>
                <w:szCs w:val="18"/>
                <w:lang w:val="en-IE" w:eastAsia="en-IE"/>
              </w:rPr>
            </w:pPr>
            <w:r w:rsidRPr="00362F87">
              <w:rPr>
                <w:rFonts w:eastAsia="Times New Roman"/>
                <w:color w:val="000000"/>
                <w:sz w:val="18"/>
                <w:szCs w:val="18"/>
                <w:lang w:val="en-IE" w:eastAsia="en-IE"/>
              </w:rPr>
              <w:t>0,027</w:t>
            </w:r>
          </w:p>
        </w:tc>
        <w:tc>
          <w:tcPr>
            <w:tcW w:w="795" w:type="dxa"/>
            <w:tcBorders>
              <w:top w:val="nil"/>
              <w:left w:val="nil"/>
              <w:bottom w:val="single" w:sz="4" w:space="0" w:color="000000"/>
              <w:right w:val="single" w:sz="4" w:space="0" w:color="000000"/>
            </w:tcBorders>
            <w:shd w:val="clear" w:color="auto" w:fill="auto"/>
            <w:noWrap/>
            <w:vAlign w:val="bottom"/>
            <w:hideMark/>
          </w:tcPr>
          <w:p w14:paraId="045ACCE5" w14:textId="77777777"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 </w:t>
            </w:r>
          </w:p>
        </w:tc>
        <w:tc>
          <w:tcPr>
            <w:tcW w:w="1434" w:type="dxa"/>
            <w:tcBorders>
              <w:top w:val="nil"/>
              <w:left w:val="nil"/>
              <w:bottom w:val="single" w:sz="4" w:space="0" w:color="000000"/>
              <w:right w:val="single" w:sz="4" w:space="0" w:color="000000"/>
            </w:tcBorders>
            <w:shd w:val="clear" w:color="auto" w:fill="auto"/>
            <w:noWrap/>
            <w:vAlign w:val="bottom"/>
            <w:hideMark/>
          </w:tcPr>
          <w:p w14:paraId="2A732B02" w14:textId="77777777" w:rsidR="00D37F2D" w:rsidRPr="00362F87" w:rsidRDefault="00D37F2D">
            <w:pPr>
              <w:spacing w:before="0" w:after="0"/>
              <w:jc w:val="right"/>
              <w:rPr>
                <w:rFonts w:eastAsia="Times New Roman"/>
                <w:color w:val="000000"/>
                <w:sz w:val="18"/>
                <w:szCs w:val="18"/>
                <w:lang w:val="en-IE" w:eastAsia="en-IE"/>
              </w:rPr>
            </w:pPr>
            <w:r w:rsidRPr="00362F87">
              <w:rPr>
                <w:rFonts w:eastAsia="Times New Roman"/>
                <w:color w:val="000000"/>
                <w:sz w:val="18"/>
                <w:szCs w:val="18"/>
                <w:lang w:val="en-IE" w:eastAsia="en-IE"/>
              </w:rPr>
              <w:t>0,028</w:t>
            </w:r>
          </w:p>
        </w:tc>
        <w:tc>
          <w:tcPr>
            <w:tcW w:w="795" w:type="dxa"/>
            <w:tcBorders>
              <w:top w:val="nil"/>
              <w:left w:val="nil"/>
              <w:bottom w:val="single" w:sz="4" w:space="0" w:color="000000"/>
              <w:right w:val="single" w:sz="4" w:space="0" w:color="000000"/>
            </w:tcBorders>
            <w:shd w:val="clear" w:color="000000" w:fill="F2F2F2"/>
            <w:noWrap/>
            <w:vAlign w:val="bottom"/>
            <w:hideMark/>
          </w:tcPr>
          <w:p w14:paraId="1F45BFF3"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51E1870C"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0,055</w:t>
            </w:r>
          </w:p>
        </w:tc>
      </w:tr>
      <w:tr w:rsidR="00D37F2D" w:rsidRPr="00362F87" w14:paraId="6A7542FE" w14:textId="77777777">
        <w:trPr>
          <w:trHeight w:val="331"/>
        </w:trPr>
        <w:tc>
          <w:tcPr>
            <w:tcW w:w="5367" w:type="dxa"/>
            <w:gridSpan w:val="3"/>
            <w:tcBorders>
              <w:top w:val="single" w:sz="4" w:space="0" w:color="000000"/>
              <w:left w:val="single" w:sz="8" w:space="0" w:color="000000"/>
              <w:bottom w:val="single" w:sz="4" w:space="0" w:color="000000"/>
              <w:right w:val="single" w:sz="4" w:space="0" w:color="000000"/>
            </w:tcBorders>
            <w:shd w:val="clear" w:color="auto" w:fill="auto"/>
            <w:noWrap/>
            <w:vAlign w:val="bottom"/>
            <w:hideMark/>
          </w:tcPr>
          <w:p w14:paraId="200AE03A" w14:textId="5260291D" w:rsidR="00D37F2D" w:rsidRPr="00362F87" w:rsidRDefault="00D37F2D">
            <w:pPr>
              <w:spacing w:before="0" w:after="0"/>
              <w:jc w:val="left"/>
              <w:rPr>
                <w:rFonts w:eastAsia="Times New Roman"/>
                <w:color w:val="000000"/>
                <w:sz w:val="18"/>
                <w:szCs w:val="18"/>
                <w:lang w:val="en-IE" w:eastAsia="en-IE"/>
              </w:rPr>
            </w:pPr>
            <w:r w:rsidRPr="00362F87">
              <w:rPr>
                <w:rFonts w:eastAsia="Times New Roman"/>
                <w:color w:val="000000"/>
                <w:sz w:val="18"/>
                <w:szCs w:val="18"/>
                <w:lang w:val="en-IE" w:eastAsia="en-IE"/>
              </w:rPr>
              <w:t>Subtotal for objective No 1</w:t>
            </w:r>
          </w:p>
        </w:tc>
        <w:tc>
          <w:tcPr>
            <w:tcW w:w="795" w:type="dxa"/>
            <w:tcBorders>
              <w:top w:val="nil"/>
              <w:left w:val="nil"/>
              <w:bottom w:val="single" w:sz="4" w:space="0" w:color="000000"/>
              <w:right w:val="single" w:sz="4" w:space="0" w:color="000000"/>
            </w:tcBorders>
            <w:shd w:val="clear" w:color="000000" w:fill="F2F2F2"/>
            <w:noWrap/>
            <w:vAlign w:val="bottom"/>
            <w:hideMark/>
          </w:tcPr>
          <w:p w14:paraId="5C48D867"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71A2BE42"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0,651</w:t>
            </w:r>
          </w:p>
        </w:tc>
        <w:tc>
          <w:tcPr>
            <w:tcW w:w="795" w:type="dxa"/>
            <w:tcBorders>
              <w:top w:val="nil"/>
              <w:left w:val="nil"/>
              <w:bottom w:val="single" w:sz="4" w:space="0" w:color="000000"/>
              <w:right w:val="single" w:sz="4" w:space="0" w:color="000000"/>
            </w:tcBorders>
            <w:shd w:val="clear" w:color="000000" w:fill="F2F2F2"/>
            <w:noWrap/>
            <w:vAlign w:val="bottom"/>
            <w:hideMark/>
          </w:tcPr>
          <w:p w14:paraId="0B69D7D3"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76897837"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0,758</w:t>
            </w:r>
          </w:p>
        </w:tc>
        <w:tc>
          <w:tcPr>
            <w:tcW w:w="795" w:type="dxa"/>
            <w:tcBorders>
              <w:top w:val="nil"/>
              <w:left w:val="nil"/>
              <w:bottom w:val="single" w:sz="4" w:space="0" w:color="000000"/>
              <w:right w:val="single" w:sz="4" w:space="0" w:color="000000"/>
            </w:tcBorders>
            <w:shd w:val="clear" w:color="000000" w:fill="F2F2F2"/>
            <w:noWrap/>
            <w:vAlign w:val="bottom"/>
            <w:hideMark/>
          </w:tcPr>
          <w:p w14:paraId="12D5C986"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w:t>
            </w:r>
          </w:p>
        </w:tc>
        <w:tc>
          <w:tcPr>
            <w:tcW w:w="1434" w:type="dxa"/>
            <w:tcBorders>
              <w:top w:val="nil"/>
              <w:left w:val="nil"/>
              <w:bottom w:val="single" w:sz="4" w:space="0" w:color="000000"/>
              <w:right w:val="single" w:sz="4" w:space="0" w:color="000000"/>
            </w:tcBorders>
            <w:shd w:val="clear" w:color="000000" w:fill="F2F2F2"/>
            <w:noWrap/>
            <w:vAlign w:val="bottom"/>
            <w:hideMark/>
          </w:tcPr>
          <w:p w14:paraId="2EA0D0C1"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1,408</w:t>
            </w:r>
          </w:p>
        </w:tc>
      </w:tr>
      <w:tr w:rsidR="00D37F2D" w:rsidRPr="00362F87" w14:paraId="43016F65" w14:textId="77777777">
        <w:trPr>
          <w:trHeight w:val="347"/>
        </w:trPr>
        <w:tc>
          <w:tcPr>
            <w:tcW w:w="5367" w:type="dxa"/>
            <w:gridSpan w:val="3"/>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14:paraId="2F980409" w14:textId="77777777" w:rsidR="00D37F2D" w:rsidRPr="00362F87" w:rsidRDefault="00D37F2D">
            <w:pPr>
              <w:spacing w:before="0" w:after="0"/>
              <w:jc w:val="left"/>
              <w:rPr>
                <w:rFonts w:eastAsia="Times New Roman"/>
                <w:b/>
                <w:bCs/>
                <w:color w:val="000000"/>
                <w:sz w:val="18"/>
                <w:szCs w:val="18"/>
                <w:lang w:val="en-IE" w:eastAsia="en-IE"/>
              </w:rPr>
            </w:pPr>
            <w:r w:rsidRPr="00362F87">
              <w:rPr>
                <w:rFonts w:eastAsia="Times New Roman"/>
                <w:b/>
                <w:bCs/>
                <w:color w:val="000000"/>
                <w:sz w:val="18"/>
                <w:szCs w:val="18"/>
                <w:lang w:val="en-IE" w:eastAsia="en-IE"/>
              </w:rPr>
              <w:t>TOTALS</w:t>
            </w:r>
          </w:p>
        </w:tc>
        <w:tc>
          <w:tcPr>
            <w:tcW w:w="795" w:type="dxa"/>
            <w:tcBorders>
              <w:top w:val="nil"/>
              <w:left w:val="nil"/>
              <w:bottom w:val="single" w:sz="8" w:space="0" w:color="000000"/>
              <w:right w:val="single" w:sz="4" w:space="0" w:color="000000"/>
            </w:tcBorders>
            <w:shd w:val="clear" w:color="000000" w:fill="F2F2F2"/>
            <w:noWrap/>
            <w:vAlign w:val="bottom"/>
            <w:hideMark/>
          </w:tcPr>
          <w:p w14:paraId="75DF871C"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w:t>
            </w:r>
          </w:p>
        </w:tc>
        <w:tc>
          <w:tcPr>
            <w:tcW w:w="1434" w:type="dxa"/>
            <w:tcBorders>
              <w:top w:val="nil"/>
              <w:left w:val="nil"/>
              <w:bottom w:val="single" w:sz="8" w:space="0" w:color="000000"/>
              <w:right w:val="single" w:sz="4" w:space="0" w:color="000000"/>
            </w:tcBorders>
            <w:shd w:val="clear" w:color="000000" w:fill="F2F2F2"/>
            <w:noWrap/>
            <w:vAlign w:val="bottom"/>
            <w:hideMark/>
          </w:tcPr>
          <w:p w14:paraId="1B4F4612"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0,651</w:t>
            </w:r>
          </w:p>
        </w:tc>
        <w:tc>
          <w:tcPr>
            <w:tcW w:w="795" w:type="dxa"/>
            <w:tcBorders>
              <w:top w:val="nil"/>
              <w:left w:val="nil"/>
              <w:bottom w:val="single" w:sz="8" w:space="0" w:color="000000"/>
              <w:right w:val="single" w:sz="4" w:space="0" w:color="000000"/>
            </w:tcBorders>
            <w:shd w:val="clear" w:color="000000" w:fill="F2F2F2"/>
            <w:noWrap/>
            <w:vAlign w:val="bottom"/>
            <w:hideMark/>
          </w:tcPr>
          <w:p w14:paraId="4B3FCE9F"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w:t>
            </w:r>
          </w:p>
        </w:tc>
        <w:tc>
          <w:tcPr>
            <w:tcW w:w="1434" w:type="dxa"/>
            <w:tcBorders>
              <w:top w:val="nil"/>
              <w:left w:val="nil"/>
              <w:bottom w:val="single" w:sz="8" w:space="0" w:color="000000"/>
              <w:right w:val="single" w:sz="4" w:space="0" w:color="000000"/>
            </w:tcBorders>
            <w:shd w:val="clear" w:color="000000" w:fill="F2F2F2"/>
            <w:noWrap/>
            <w:vAlign w:val="bottom"/>
            <w:hideMark/>
          </w:tcPr>
          <w:p w14:paraId="69E6786F"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0,758</w:t>
            </w:r>
          </w:p>
        </w:tc>
        <w:tc>
          <w:tcPr>
            <w:tcW w:w="795" w:type="dxa"/>
            <w:tcBorders>
              <w:top w:val="nil"/>
              <w:left w:val="nil"/>
              <w:bottom w:val="single" w:sz="8" w:space="0" w:color="000000"/>
              <w:right w:val="single" w:sz="4" w:space="0" w:color="000000"/>
            </w:tcBorders>
            <w:shd w:val="clear" w:color="000000" w:fill="F2F2F2"/>
            <w:noWrap/>
            <w:vAlign w:val="bottom"/>
            <w:hideMark/>
          </w:tcPr>
          <w:p w14:paraId="49A72FE3"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0</w:t>
            </w:r>
          </w:p>
        </w:tc>
        <w:tc>
          <w:tcPr>
            <w:tcW w:w="1434" w:type="dxa"/>
            <w:tcBorders>
              <w:top w:val="nil"/>
              <w:left w:val="nil"/>
              <w:bottom w:val="single" w:sz="8" w:space="0" w:color="000000"/>
              <w:right w:val="single" w:sz="4" w:space="0" w:color="000000"/>
            </w:tcBorders>
            <w:shd w:val="clear" w:color="000000" w:fill="F2F2F2"/>
            <w:noWrap/>
            <w:vAlign w:val="bottom"/>
            <w:hideMark/>
          </w:tcPr>
          <w:p w14:paraId="2DE4F115" w14:textId="77777777" w:rsidR="00D37F2D" w:rsidRPr="00362F87" w:rsidRDefault="00D37F2D">
            <w:pPr>
              <w:spacing w:before="0" w:after="0"/>
              <w:jc w:val="right"/>
              <w:rPr>
                <w:rFonts w:eastAsia="Times New Roman"/>
                <w:b/>
                <w:bCs/>
                <w:color w:val="000000"/>
                <w:sz w:val="18"/>
                <w:szCs w:val="18"/>
                <w:lang w:val="en-IE" w:eastAsia="en-IE"/>
              </w:rPr>
            </w:pPr>
            <w:r w:rsidRPr="00362F87">
              <w:rPr>
                <w:rFonts w:eastAsia="Times New Roman"/>
                <w:b/>
                <w:bCs/>
                <w:color w:val="000000"/>
                <w:sz w:val="18"/>
                <w:szCs w:val="18"/>
                <w:lang w:val="en-IE" w:eastAsia="en-IE"/>
              </w:rPr>
              <w:t>1,408</w:t>
            </w:r>
          </w:p>
        </w:tc>
      </w:tr>
    </w:tbl>
    <w:p w14:paraId="291B5B72" w14:textId="77777777" w:rsidR="00D37F2D" w:rsidRDefault="00D37F2D" w:rsidP="00D37F2D">
      <w:pPr>
        <w:jc w:val="right"/>
        <w:rPr>
          <w:noProof/>
          <w:sz w:val="18"/>
          <w:szCs w:val="18"/>
          <w:lang w:val="en-IE"/>
        </w:rPr>
      </w:pPr>
    </w:p>
    <w:p w14:paraId="198FF185" w14:textId="77777777" w:rsidR="00D37F2D" w:rsidRPr="002A10AD" w:rsidRDefault="00D37F2D" w:rsidP="00D37F2D"/>
    <w:p w14:paraId="42312B45" w14:textId="77777777" w:rsidR="00D37F2D" w:rsidRPr="005831DA" w:rsidRDefault="00D37F2D" w:rsidP="00D37F2D">
      <w:pPr>
        <w:sectPr w:rsidR="00D37F2D" w:rsidRPr="005831DA" w:rsidSect="009A3128">
          <w:headerReference w:type="default" r:id="rId26"/>
          <w:footerReference w:type="default" r:id="rId27"/>
          <w:headerReference w:type="first" r:id="rId28"/>
          <w:footerReference w:type="first" r:id="rId29"/>
          <w:pgSz w:w="16840" w:h="11907" w:orient="landscape" w:code="9"/>
          <w:pgMar w:top="1134" w:right="1418" w:bottom="567" w:left="1418" w:header="709" w:footer="709" w:gutter="0"/>
          <w:cols w:space="708"/>
          <w:docGrid w:linePitch="360"/>
        </w:sectPr>
      </w:pPr>
    </w:p>
    <w:p w14:paraId="7355D97E" w14:textId="77777777" w:rsidR="00D37F2D" w:rsidRPr="00910A6B" w:rsidRDefault="00D37F2D" w:rsidP="00D37F2D">
      <w:pPr>
        <w:pStyle w:val="ManualHeading3"/>
        <w:rPr>
          <w:bCs/>
          <w:noProof/>
          <w:szCs w:val="24"/>
        </w:rPr>
      </w:pPr>
      <w:bookmarkStart w:id="160" w:name="_Toc514938055"/>
      <w:bookmarkStart w:id="161" w:name="_Toc520485054"/>
      <w:bookmarkStart w:id="162" w:name="_Toc160804598"/>
      <w:bookmarkStart w:id="163" w:name="_Toc167220290"/>
      <w:bookmarkStart w:id="164" w:name="_Toc177549023"/>
      <w:r w:rsidRPr="0021790A">
        <w:t>3.2.3.</w:t>
      </w:r>
      <w:r w:rsidRPr="0021790A">
        <w:tab/>
      </w:r>
      <w:r>
        <w:rPr>
          <w:noProof/>
        </w:rPr>
        <w:t>Summary of estimated impact on administrative appropriations</w:t>
      </w:r>
      <w:bookmarkEnd w:id="160"/>
      <w:bookmarkEnd w:id="161"/>
      <w:bookmarkEnd w:id="162"/>
      <w:bookmarkEnd w:id="163"/>
      <w:bookmarkEnd w:id="164"/>
      <w:r>
        <w:rPr>
          <w:noProof/>
        </w:rPr>
        <w:t xml:space="preserve"> </w:t>
      </w:r>
    </w:p>
    <w:p w14:paraId="3F85B866" w14:textId="77777777" w:rsidR="00D37F2D" w:rsidRDefault="00D37F2D" w:rsidP="00D37F2D">
      <w:pPr>
        <w:pStyle w:val="ListDash1"/>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14:paraId="08000430" w14:textId="77777777" w:rsidR="00D37F2D" w:rsidRDefault="00D37F2D" w:rsidP="00D37F2D">
      <w:pPr>
        <w:pStyle w:val="ListDash1"/>
        <w:rPr>
          <w:noProof/>
        </w:rPr>
      </w:pPr>
      <w:r>
        <w:rPr>
          <w:rFonts w:ascii="Wingdings" w:eastAsia="Wingdings" w:hAnsi="Wingdings" w:cs="Wingdings"/>
          <w:noProof/>
        </w:rPr>
        <w:t>x</w:t>
      </w:r>
      <w:r>
        <w:rPr>
          <w:noProof/>
        </w:rPr>
        <w:tab/>
        <w:t>The proposal/initiative requires the use of appropriations of an administrative nature, as explained below</w:t>
      </w:r>
    </w:p>
    <w:p w14:paraId="03AD64D5" w14:textId="77777777" w:rsidR="00D37F2D" w:rsidRDefault="00D37F2D" w:rsidP="00D37F2D">
      <w:pPr>
        <w:pStyle w:val="ManualHeading3"/>
      </w:pPr>
      <w:bookmarkStart w:id="165" w:name="_Toc167220291"/>
      <w:bookmarkStart w:id="166" w:name="_Toc177549024"/>
      <w:r w:rsidRPr="003268F2">
        <w:t>3.2.3.1</w:t>
      </w:r>
      <w:r>
        <w:t>.</w:t>
      </w:r>
      <w:r w:rsidRPr="003268F2">
        <w:t xml:space="preserve"> </w:t>
      </w:r>
      <w:r w:rsidRPr="003A7A3D">
        <w:t>Appropriations</w:t>
      </w:r>
      <w:r>
        <w:t xml:space="preserve"> </w:t>
      </w:r>
      <w:r>
        <w:rPr>
          <w:rFonts w:eastAsia="Calibri"/>
        </w:rPr>
        <w:t>from</w:t>
      </w:r>
      <w:r>
        <w:t xml:space="preserve"> voted budget</w:t>
      </w:r>
      <w:bookmarkEnd w:id="165"/>
      <w:bookmarkEnd w:id="166"/>
    </w:p>
    <w:p w14:paraId="2E01E61E" w14:textId="77777777" w:rsidR="00D37F2D" w:rsidRDefault="00D37F2D" w:rsidP="00D37F2D">
      <w:pPr>
        <w:jc w:val="right"/>
        <w:rPr>
          <w:noProof/>
          <w:sz w:val="18"/>
          <w:szCs w:val="18"/>
          <w:lang w:val="en-IE"/>
        </w:rPr>
      </w:pPr>
      <w:r w:rsidRPr="005831DA">
        <w:rPr>
          <w:noProof/>
          <w:sz w:val="18"/>
          <w:szCs w:val="18"/>
          <w:lang w:val="en-IE"/>
        </w:rPr>
        <w:t>EUR million (to three decimal places)</w:t>
      </w:r>
    </w:p>
    <w:tbl>
      <w:tblPr>
        <w:tblW w:w="7946" w:type="dxa"/>
        <w:tblInd w:w="118" w:type="dxa"/>
        <w:tblLook w:val="04A0" w:firstRow="1" w:lastRow="0" w:firstColumn="1" w:lastColumn="0" w:noHBand="0" w:noVBand="1"/>
      </w:tblPr>
      <w:tblGrid>
        <w:gridCol w:w="3405"/>
        <w:gridCol w:w="874"/>
        <w:gridCol w:w="893"/>
        <w:gridCol w:w="893"/>
        <w:gridCol w:w="893"/>
        <w:gridCol w:w="988"/>
      </w:tblGrid>
      <w:tr w:rsidR="00D37F2D" w:rsidRPr="002C4467" w14:paraId="50684355" w14:textId="77777777">
        <w:trPr>
          <w:trHeight w:val="300"/>
        </w:trPr>
        <w:tc>
          <w:tcPr>
            <w:tcW w:w="3405"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19E5E338" w14:textId="77777777" w:rsidR="00D37F2D" w:rsidRPr="002C4467" w:rsidRDefault="00D37F2D">
            <w:pPr>
              <w:spacing w:before="0" w:after="0"/>
              <w:jc w:val="center"/>
              <w:rPr>
                <w:rFonts w:eastAsia="Times New Roman"/>
                <w:b/>
                <w:bCs/>
                <w:color w:val="000000"/>
                <w:sz w:val="18"/>
                <w:szCs w:val="18"/>
                <w:lang w:val="en-IE" w:eastAsia="en-IE"/>
              </w:rPr>
            </w:pPr>
            <w:r w:rsidRPr="002C4467">
              <w:rPr>
                <w:rFonts w:eastAsia="Times New Roman"/>
                <w:b/>
                <w:bCs/>
                <w:color w:val="000000"/>
                <w:sz w:val="18"/>
                <w:szCs w:val="18"/>
                <w:lang w:val="en-IE" w:eastAsia="en-IE"/>
              </w:rPr>
              <w:t>VOTED APPROPRIATIONS</w:t>
            </w:r>
          </w:p>
        </w:tc>
        <w:tc>
          <w:tcPr>
            <w:tcW w:w="874" w:type="dxa"/>
            <w:tcBorders>
              <w:top w:val="single" w:sz="8" w:space="0" w:color="auto"/>
              <w:left w:val="nil"/>
              <w:bottom w:val="single" w:sz="8" w:space="0" w:color="auto"/>
              <w:right w:val="single" w:sz="8" w:space="0" w:color="auto"/>
            </w:tcBorders>
            <w:shd w:val="clear" w:color="auto" w:fill="auto"/>
            <w:vAlign w:val="center"/>
            <w:hideMark/>
          </w:tcPr>
          <w:p w14:paraId="234A986A" w14:textId="77777777" w:rsidR="00D37F2D" w:rsidRPr="002C4467" w:rsidRDefault="00D37F2D">
            <w:pPr>
              <w:spacing w:before="0" w:after="0"/>
              <w:jc w:val="center"/>
              <w:rPr>
                <w:rFonts w:eastAsia="Times New Roman"/>
                <w:color w:val="000000"/>
                <w:sz w:val="18"/>
                <w:szCs w:val="18"/>
                <w:lang w:val="en-IE" w:eastAsia="en-IE"/>
              </w:rPr>
            </w:pPr>
            <w:r w:rsidRPr="002C4467">
              <w:rPr>
                <w:rFonts w:eastAsia="Times New Roman"/>
                <w:color w:val="000000"/>
                <w:sz w:val="18"/>
                <w:szCs w:val="18"/>
                <w:lang w:val="en-IE" w:eastAsia="en-IE"/>
              </w:rPr>
              <w:t>Year</w:t>
            </w:r>
          </w:p>
        </w:tc>
        <w:tc>
          <w:tcPr>
            <w:tcW w:w="893" w:type="dxa"/>
            <w:tcBorders>
              <w:top w:val="single" w:sz="8" w:space="0" w:color="auto"/>
              <w:left w:val="nil"/>
              <w:bottom w:val="single" w:sz="8" w:space="0" w:color="auto"/>
              <w:right w:val="single" w:sz="8" w:space="0" w:color="auto"/>
            </w:tcBorders>
            <w:shd w:val="clear" w:color="auto" w:fill="auto"/>
            <w:vAlign w:val="center"/>
            <w:hideMark/>
          </w:tcPr>
          <w:p w14:paraId="7FC5CF67" w14:textId="77777777" w:rsidR="00D37F2D" w:rsidRPr="002C4467" w:rsidRDefault="00D37F2D">
            <w:pPr>
              <w:spacing w:before="0" w:after="0"/>
              <w:jc w:val="center"/>
              <w:rPr>
                <w:rFonts w:eastAsia="Times New Roman"/>
                <w:color w:val="000000"/>
                <w:sz w:val="18"/>
                <w:szCs w:val="18"/>
                <w:lang w:val="en-IE" w:eastAsia="en-IE"/>
              </w:rPr>
            </w:pPr>
            <w:r w:rsidRPr="002C4467">
              <w:rPr>
                <w:rFonts w:eastAsia="Times New Roman"/>
                <w:color w:val="000000"/>
                <w:sz w:val="18"/>
                <w:szCs w:val="18"/>
                <w:lang w:val="en-IE" w:eastAsia="en-IE"/>
              </w:rPr>
              <w:t>Year</w:t>
            </w:r>
          </w:p>
        </w:tc>
        <w:tc>
          <w:tcPr>
            <w:tcW w:w="893" w:type="dxa"/>
            <w:tcBorders>
              <w:top w:val="single" w:sz="8" w:space="0" w:color="auto"/>
              <w:left w:val="nil"/>
              <w:bottom w:val="single" w:sz="8" w:space="0" w:color="auto"/>
              <w:right w:val="single" w:sz="8" w:space="0" w:color="auto"/>
            </w:tcBorders>
            <w:shd w:val="clear" w:color="auto" w:fill="auto"/>
            <w:vAlign w:val="center"/>
            <w:hideMark/>
          </w:tcPr>
          <w:p w14:paraId="62B2ABC2" w14:textId="77777777" w:rsidR="00D37F2D" w:rsidRPr="002C4467" w:rsidRDefault="00D37F2D">
            <w:pPr>
              <w:spacing w:before="0" w:after="0"/>
              <w:jc w:val="center"/>
              <w:rPr>
                <w:rFonts w:eastAsia="Times New Roman"/>
                <w:color w:val="000000"/>
                <w:sz w:val="18"/>
                <w:szCs w:val="18"/>
                <w:lang w:val="en-IE" w:eastAsia="en-IE"/>
              </w:rPr>
            </w:pPr>
            <w:r w:rsidRPr="002C4467">
              <w:rPr>
                <w:rFonts w:eastAsia="Times New Roman"/>
                <w:color w:val="000000"/>
                <w:sz w:val="18"/>
                <w:szCs w:val="18"/>
                <w:lang w:val="en-IE" w:eastAsia="en-IE"/>
              </w:rPr>
              <w:t>Year</w:t>
            </w:r>
          </w:p>
        </w:tc>
        <w:tc>
          <w:tcPr>
            <w:tcW w:w="893" w:type="dxa"/>
            <w:tcBorders>
              <w:top w:val="single" w:sz="8" w:space="0" w:color="auto"/>
              <w:left w:val="nil"/>
              <w:bottom w:val="single" w:sz="8" w:space="0" w:color="auto"/>
              <w:right w:val="single" w:sz="8" w:space="0" w:color="auto"/>
            </w:tcBorders>
            <w:shd w:val="clear" w:color="auto" w:fill="auto"/>
            <w:vAlign w:val="center"/>
            <w:hideMark/>
          </w:tcPr>
          <w:p w14:paraId="7B742FBA" w14:textId="77777777" w:rsidR="00D37F2D" w:rsidRPr="002C4467" w:rsidRDefault="00D37F2D">
            <w:pPr>
              <w:spacing w:before="0" w:after="0"/>
              <w:jc w:val="center"/>
              <w:rPr>
                <w:rFonts w:eastAsia="Times New Roman"/>
                <w:color w:val="000000"/>
                <w:sz w:val="18"/>
                <w:szCs w:val="18"/>
                <w:lang w:val="en-IE" w:eastAsia="en-IE"/>
              </w:rPr>
            </w:pPr>
            <w:r w:rsidRPr="002C4467">
              <w:rPr>
                <w:rFonts w:eastAsia="Times New Roman"/>
                <w:color w:val="000000"/>
                <w:sz w:val="18"/>
                <w:szCs w:val="18"/>
                <w:lang w:val="en-IE" w:eastAsia="en-IE"/>
              </w:rPr>
              <w:t>Year</w:t>
            </w:r>
          </w:p>
        </w:tc>
        <w:tc>
          <w:tcPr>
            <w:tcW w:w="988"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357F53F" w14:textId="77777777" w:rsidR="00D37F2D" w:rsidRPr="002C4467" w:rsidRDefault="00D37F2D">
            <w:pPr>
              <w:spacing w:before="0" w:after="0"/>
              <w:jc w:val="center"/>
              <w:rPr>
                <w:rFonts w:eastAsia="Times New Roman"/>
                <w:b/>
                <w:bCs/>
                <w:color w:val="000000"/>
                <w:sz w:val="18"/>
                <w:szCs w:val="18"/>
                <w:lang w:val="en-IE" w:eastAsia="en-IE"/>
              </w:rPr>
            </w:pPr>
            <w:r w:rsidRPr="002C4467">
              <w:rPr>
                <w:rFonts w:eastAsia="Times New Roman"/>
                <w:b/>
                <w:bCs/>
                <w:color w:val="000000"/>
                <w:sz w:val="18"/>
                <w:szCs w:val="18"/>
                <w:lang w:val="en-IE" w:eastAsia="en-IE"/>
              </w:rPr>
              <w:t>TOTAL</w:t>
            </w:r>
            <w:r w:rsidRPr="002C4467">
              <w:rPr>
                <w:rFonts w:eastAsia="Times New Roman"/>
                <w:b/>
                <w:bCs/>
                <w:color w:val="000000"/>
                <w:sz w:val="18"/>
                <w:szCs w:val="18"/>
                <w:lang w:val="en-IE" w:eastAsia="en-IE"/>
              </w:rPr>
              <w:br/>
              <w:t>2021 - 2027</w:t>
            </w:r>
          </w:p>
        </w:tc>
      </w:tr>
      <w:tr w:rsidR="00D37F2D" w:rsidRPr="002C4467" w14:paraId="72012259" w14:textId="77777777">
        <w:trPr>
          <w:trHeight w:val="315"/>
        </w:trPr>
        <w:tc>
          <w:tcPr>
            <w:tcW w:w="3405" w:type="dxa"/>
            <w:vMerge/>
            <w:tcBorders>
              <w:top w:val="single" w:sz="8" w:space="0" w:color="auto"/>
              <w:left w:val="single" w:sz="8" w:space="0" w:color="auto"/>
              <w:bottom w:val="single" w:sz="8" w:space="0" w:color="auto"/>
              <w:right w:val="single" w:sz="8" w:space="0" w:color="auto"/>
            </w:tcBorders>
            <w:vAlign w:val="center"/>
            <w:hideMark/>
          </w:tcPr>
          <w:p w14:paraId="4AEBFEBA" w14:textId="77777777" w:rsidR="00D37F2D" w:rsidRPr="002C4467" w:rsidRDefault="00D37F2D">
            <w:pPr>
              <w:spacing w:before="0" w:after="0"/>
              <w:jc w:val="left"/>
              <w:rPr>
                <w:rFonts w:eastAsia="Times New Roman"/>
                <w:b/>
                <w:bCs/>
                <w:color w:val="000000"/>
                <w:sz w:val="18"/>
                <w:szCs w:val="18"/>
                <w:lang w:val="en-IE" w:eastAsia="en-IE"/>
              </w:rPr>
            </w:pPr>
          </w:p>
        </w:tc>
        <w:tc>
          <w:tcPr>
            <w:tcW w:w="874" w:type="dxa"/>
            <w:tcBorders>
              <w:top w:val="nil"/>
              <w:left w:val="nil"/>
              <w:bottom w:val="single" w:sz="8" w:space="0" w:color="auto"/>
              <w:right w:val="single" w:sz="8" w:space="0" w:color="auto"/>
            </w:tcBorders>
            <w:shd w:val="clear" w:color="auto" w:fill="auto"/>
            <w:vAlign w:val="center"/>
            <w:hideMark/>
          </w:tcPr>
          <w:p w14:paraId="5A980028" w14:textId="77777777" w:rsidR="00D37F2D" w:rsidRPr="002C4467" w:rsidRDefault="00D37F2D">
            <w:pPr>
              <w:spacing w:before="0" w:after="0"/>
              <w:jc w:val="center"/>
              <w:rPr>
                <w:rFonts w:eastAsia="Times New Roman"/>
                <w:b/>
                <w:bCs/>
                <w:color w:val="000000"/>
                <w:sz w:val="18"/>
                <w:szCs w:val="18"/>
                <w:lang w:val="en-IE" w:eastAsia="en-IE"/>
              </w:rPr>
            </w:pPr>
            <w:r w:rsidRPr="002C4467">
              <w:rPr>
                <w:rFonts w:eastAsia="Times New Roman"/>
                <w:b/>
                <w:bCs/>
                <w:color w:val="000000"/>
                <w:sz w:val="18"/>
                <w:szCs w:val="18"/>
                <w:lang w:val="en-IE" w:eastAsia="en-IE"/>
              </w:rPr>
              <w:t>2024</w:t>
            </w:r>
          </w:p>
        </w:tc>
        <w:tc>
          <w:tcPr>
            <w:tcW w:w="893" w:type="dxa"/>
            <w:tcBorders>
              <w:top w:val="nil"/>
              <w:left w:val="nil"/>
              <w:bottom w:val="single" w:sz="8" w:space="0" w:color="auto"/>
              <w:right w:val="single" w:sz="8" w:space="0" w:color="auto"/>
            </w:tcBorders>
            <w:shd w:val="clear" w:color="auto" w:fill="auto"/>
            <w:vAlign w:val="center"/>
            <w:hideMark/>
          </w:tcPr>
          <w:p w14:paraId="144AEF87" w14:textId="77777777" w:rsidR="00D37F2D" w:rsidRPr="002C4467" w:rsidRDefault="00D37F2D">
            <w:pPr>
              <w:spacing w:before="0" w:after="0"/>
              <w:jc w:val="center"/>
              <w:rPr>
                <w:rFonts w:eastAsia="Times New Roman"/>
                <w:b/>
                <w:bCs/>
                <w:color w:val="000000"/>
                <w:sz w:val="18"/>
                <w:szCs w:val="18"/>
                <w:lang w:val="en-IE" w:eastAsia="en-IE"/>
              </w:rPr>
            </w:pPr>
            <w:r w:rsidRPr="002C4467">
              <w:rPr>
                <w:rFonts w:eastAsia="Times New Roman"/>
                <w:b/>
                <w:bCs/>
                <w:color w:val="000000"/>
                <w:sz w:val="18"/>
                <w:szCs w:val="18"/>
                <w:lang w:val="en-IE" w:eastAsia="en-IE"/>
              </w:rPr>
              <w:t>2025</w:t>
            </w:r>
          </w:p>
        </w:tc>
        <w:tc>
          <w:tcPr>
            <w:tcW w:w="893" w:type="dxa"/>
            <w:tcBorders>
              <w:top w:val="nil"/>
              <w:left w:val="nil"/>
              <w:bottom w:val="single" w:sz="8" w:space="0" w:color="auto"/>
              <w:right w:val="single" w:sz="8" w:space="0" w:color="auto"/>
            </w:tcBorders>
            <w:shd w:val="clear" w:color="auto" w:fill="auto"/>
            <w:vAlign w:val="center"/>
            <w:hideMark/>
          </w:tcPr>
          <w:p w14:paraId="19D3BE39" w14:textId="77777777" w:rsidR="00D37F2D" w:rsidRPr="002C4467" w:rsidRDefault="00D37F2D">
            <w:pPr>
              <w:spacing w:before="0" w:after="0"/>
              <w:jc w:val="center"/>
              <w:rPr>
                <w:rFonts w:eastAsia="Times New Roman"/>
                <w:b/>
                <w:bCs/>
                <w:color w:val="000000"/>
                <w:sz w:val="18"/>
                <w:szCs w:val="18"/>
                <w:lang w:val="en-IE" w:eastAsia="en-IE"/>
              </w:rPr>
            </w:pPr>
            <w:r w:rsidRPr="002C4467">
              <w:rPr>
                <w:rFonts w:eastAsia="Times New Roman"/>
                <w:b/>
                <w:bCs/>
                <w:color w:val="000000"/>
                <w:sz w:val="18"/>
                <w:szCs w:val="18"/>
                <w:lang w:val="en-IE" w:eastAsia="en-IE"/>
              </w:rPr>
              <w:t>2026</w:t>
            </w:r>
          </w:p>
        </w:tc>
        <w:tc>
          <w:tcPr>
            <w:tcW w:w="893" w:type="dxa"/>
            <w:tcBorders>
              <w:top w:val="nil"/>
              <w:left w:val="nil"/>
              <w:bottom w:val="single" w:sz="8" w:space="0" w:color="auto"/>
              <w:right w:val="single" w:sz="8" w:space="0" w:color="auto"/>
            </w:tcBorders>
            <w:shd w:val="clear" w:color="auto" w:fill="auto"/>
            <w:vAlign w:val="center"/>
            <w:hideMark/>
          </w:tcPr>
          <w:p w14:paraId="6B3562AD" w14:textId="77777777" w:rsidR="00D37F2D" w:rsidRPr="002C4467" w:rsidRDefault="00D37F2D">
            <w:pPr>
              <w:spacing w:before="0" w:after="0"/>
              <w:jc w:val="center"/>
              <w:rPr>
                <w:rFonts w:eastAsia="Times New Roman"/>
                <w:b/>
                <w:bCs/>
                <w:color w:val="000000"/>
                <w:sz w:val="18"/>
                <w:szCs w:val="18"/>
                <w:lang w:val="en-IE" w:eastAsia="en-IE"/>
              </w:rPr>
            </w:pPr>
            <w:r w:rsidRPr="002C4467">
              <w:rPr>
                <w:rFonts w:eastAsia="Times New Roman"/>
                <w:b/>
                <w:bCs/>
                <w:color w:val="000000"/>
                <w:sz w:val="18"/>
                <w:szCs w:val="18"/>
                <w:lang w:val="en-IE" w:eastAsia="en-IE"/>
              </w:rPr>
              <w:t>2027</w:t>
            </w:r>
          </w:p>
        </w:tc>
        <w:tc>
          <w:tcPr>
            <w:tcW w:w="988" w:type="dxa"/>
            <w:vMerge/>
            <w:tcBorders>
              <w:top w:val="single" w:sz="8" w:space="0" w:color="auto"/>
              <w:left w:val="single" w:sz="8" w:space="0" w:color="auto"/>
              <w:bottom w:val="single" w:sz="8" w:space="0" w:color="auto"/>
              <w:right w:val="single" w:sz="8" w:space="0" w:color="auto"/>
            </w:tcBorders>
            <w:vAlign w:val="center"/>
            <w:hideMark/>
          </w:tcPr>
          <w:p w14:paraId="7A177C1B" w14:textId="77777777" w:rsidR="00D37F2D" w:rsidRPr="002C4467" w:rsidRDefault="00D37F2D">
            <w:pPr>
              <w:spacing w:before="0" w:after="0"/>
              <w:jc w:val="left"/>
              <w:rPr>
                <w:rFonts w:eastAsia="Times New Roman"/>
                <w:b/>
                <w:bCs/>
                <w:color w:val="000000"/>
                <w:sz w:val="18"/>
                <w:szCs w:val="18"/>
                <w:lang w:val="en-IE" w:eastAsia="en-IE"/>
              </w:rPr>
            </w:pPr>
          </w:p>
        </w:tc>
      </w:tr>
      <w:tr w:rsidR="00D37F2D" w:rsidRPr="002C4467" w14:paraId="129F9317" w14:textId="77777777">
        <w:trPr>
          <w:trHeight w:val="781"/>
        </w:trPr>
        <w:tc>
          <w:tcPr>
            <w:tcW w:w="7946" w:type="dxa"/>
            <w:gridSpan w:val="6"/>
            <w:tcBorders>
              <w:top w:val="single" w:sz="8" w:space="0" w:color="auto"/>
              <w:left w:val="single" w:sz="8" w:space="0" w:color="auto"/>
              <w:bottom w:val="single" w:sz="8" w:space="0" w:color="auto"/>
              <w:right w:val="nil"/>
            </w:tcBorders>
            <w:shd w:val="clear" w:color="auto" w:fill="auto"/>
            <w:vAlign w:val="center"/>
            <w:hideMark/>
          </w:tcPr>
          <w:p w14:paraId="308FAAFE" w14:textId="77777777" w:rsidR="00D37F2D" w:rsidRPr="002C4467" w:rsidRDefault="00D37F2D">
            <w:pPr>
              <w:spacing w:before="0" w:after="0"/>
              <w:jc w:val="left"/>
              <w:rPr>
                <w:rFonts w:eastAsia="Times New Roman"/>
                <w:b/>
                <w:bCs/>
                <w:sz w:val="16"/>
                <w:szCs w:val="16"/>
                <w:lang w:val="en-IE" w:eastAsia="en-IE"/>
              </w:rPr>
            </w:pPr>
            <w:r w:rsidRPr="002C4467">
              <w:rPr>
                <w:rFonts w:eastAsia="Times New Roman"/>
                <w:b/>
                <w:bCs/>
                <w:sz w:val="16"/>
                <w:szCs w:val="16"/>
                <w:lang w:val="en-IE" w:eastAsia="en-IE"/>
              </w:rPr>
              <w:t>HEADING 7</w:t>
            </w:r>
          </w:p>
        </w:tc>
      </w:tr>
      <w:tr w:rsidR="00D37F2D" w:rsidRPr="002C4467" w14:paraId="72CB42DF" w14:textId="77777777">
        <w:trPr>
          <w:trHeight w:val="315"/>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0EDA9168" w14:textId="77777777" w:rsidR="00D37F2D" w:rsidRPr="002C4467" w:rsidRDefault="00D37F2D">
            <w:pPr>
              <w:spacing w:before="0" w:after="0"/>
              <w:jc w:val="left"/>
              <w:rPr>
                <w:rFonts w:eastAsia="Times New Roman"/>
                <w:color w:val="000000"/>
                <w:sz w:val="16"/>
                <w:szCs w:val="16"/>
                <w:lang w:val="en-IE" w:eastAsia="en-IE"/>
              </w:rPr>
            </w:pPr>
            <w:r w:rsidRPr="002C4467">
              <w:rPr>
                <w:rFonts w:eastAsia="Times New Roman"/>
                <w:color w:val="000000"/>
                <w:sz w:val="16"/>
                <w:szCs w:val="16"/>
                <w:lang w:val="en-IE" w:eastAsia="en-IE"/>
              </w:rPr>
              <w:t xml:space="preserve">Human resources </w:t>
            </w:r>
          </w:p>
        </w:tc>
        <w:tc>
          <w:tcPr>
            <w:tcW w:w="874" w:type="dxa"/>
            <w:tcBorders>
              <w:top w:val="nil"/>
              <w:left w:val="nil"/>
              <w:bottom w:val="single" w:sz="8" w:space="0" w:color="auto"/>
              <w:right w:val="single" w:sz="8" w:space="0" w:color="auto"/>
            </w:tcBorders>
            <w:shd w:val="clear" w:color="000000" w:fill="D9D9D9"/>
            <w:vAlign w:val="center"/>
            <w:hideMark/>
          </w:tcPr>
          <w:p w14:paraId="7208F129"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5C189C71"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893"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7368048" w14:textId="77777777" w:rsidR="00D37F2D" w:rsidRPr="002C4467"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1,793</w:t>
            </w:r>
          </w:p>
        </w:tc>
        <w:tc>
          <w:tcPr>
            <w:tcW w:w="893" w:type="dxa"/>
            <w:tcBorders>
              <w:top w:val="single" w:sz="8" w:space="0" w:color="auto"/>
              <w:left w:val="nil"/>
              <w:bottom w:val="single" w:sz="8" w:space="0" w:color="auto"/>
              <w:right w:val="single" w:sz="8" w:space="0" w:color="auto"/>
            </w:tcBorders>
            <w:shd w:val="clear" w:color="000000" w:fill="D9D9D9"/>
            <w:vAlign w:val="center"/>
            <w:hideMark/>
          </w:tcPr>
          <w:p w14:paraId="40E40CD8" w14:textId="77777777" w:rsidR="00D37F2D" w:rsidRPr="002C4467"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3,586</w:t>
            </w:r>
          </w:p>
        </w:tc>
        <w:tc>
          <w:tcPr>
            <w:tcW w:w="988" w:type="dxa"/>
            <w:tcBorders>
              <w:top w:val="single" w:sz="8" w:space="0" w:color="auto"/>
              <w:left w:val="nil"/>
              <w:bottom w:val="single" w:sz="8" w:space="0" w:color="auto"/>
              <w:right w:val="single" w:sz="8" w:space="0" w:color="auto"/>
            </w:tcBorders>
            <w:shd w:val="clear" w:color="000000" w:fill="D9D9D9"/>
            <w:vAlign w:val="center"/>
            <w:hideMark/>
          </w:tcPr>
          <w:p w14:paraId="07CD8746"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5,379</w:t>
            </w:r>
          </w:p>
        </w:tc>
      </w:tr>
      <w:tr w:rsidR="00D37F2D" w:rsidRPr="002C4467" w14:paraId="2BD19B90" w14:textId="77777777">
        <w:trPr>
          <w:trHeight w:val="315"/>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7AD158EC" w14:textId="77777777" w:rsidR="00D37F2D" w:rsidRPr="002C4467" w:rsidRDefault="00D37F2D">
            <w:pPr>
              <w:spacing w:before="0" w:after="0"/>
              <w:jc w:val="left"/>
              <w:rPr>
                <w:rFonts w:eastAsia="Times New Roman"/>
                <w:color w:val="000000"/>
                <w:sz w:val="16"/>
                <w:szCs w:val="16"/>
                <w:lang w:val="en-IE" w:eastAsia="en-IE"/>
              </w:rPr>
            </w:pPr>
            <w:r w:rsidRPr="002C4467">
              <w:rPr>
                <w:rFonts w:eastAsia="Times New Roman"/>
                <w:color w:val="000000"/>
                <w:sz w:val="16"/>
                <w:szCs w:val="16"/>
                <w:lang w:val="en-IE" w:eastAsia="en-IE"/>
              </w:rPr>
              <w:t xml:space="preserve">Other administrative expenditure </w:t>
            </w:r>
          </w:p>
        </w:tc>
        <w:tc>
          <w:tcPr>
            <w:tcW w:w="874" w:type="dxa"/>
            <w:tcBorders>
              <w:top w:val="nil"/>
              <w:left w:val="nil"/>
              <w:bottom w:val="single" w:sz="8" w:space="0" w:color="auto"/>
              <w:right w:val="single" w:sz="8" w:space="0" w:color="auto"/>
            </w:tcBorders>
            <w:shd w:val="clear" w:color="000000" w:fill="D9D9D9"/>
            <w:vAlign w:val="center"/>
            <w:hideMark/>
          </w:tcPr>
          <w:p w14:paraId="4C4D55F0"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4DE6A9EF"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893" w:type="dxa"/>
            <w:tcBorders>
              <w:top w:val="nil"/>
              <w:left w:val="single" w:sz="8" w:space="0" w:color="auto"/>
              <w:bottom w:val="single" w:sz="8" w:space="0" w:color="auto"/>
              <w:right w:val="single" w:sz="8" w:space="0" w:color="auto"/>
            </w:tcBorders>
            <w:shd w:val="clear" w:color="000000" w:fill="D9D9D9"/>
            <w:vAlign w:val="center"/>
            <w:hideMark/>
          </w:tcPr>
          <w:p w14:paraId="2512162F" w14:textId="77777777" w:rsidR="00D37F2D" w:rsidRPr="002C4467"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0,035</w:t>
            </w:r>
          </w:p>
        </w:tc>
        <w:tc>
          <w:tcPr>
            <w:tcW w:w="893" w:type="dxa"/>
            <w:tcBorders>
              <w:top w:val="nil"/>
              <w:left w:val="nil"/>
              <w:bottom w:val="single" w:sz="8" w:space="0" w:color="auto"/>
              <w:right w:val="single" w:sz="8" w:space="0" w:color="auto"/>
            </w:tcBorders>
            <w:shd w:val="clear" w:color="000000" w:fill="D9D9D9"/>
            <w:vAlign w:val="center"/>
            <w:hideMark/>
          </w:tcPr>
          <w:p w14:paraId="41E9D32E" w14:textId="77777777" w:rsidR="00D37F2D" w:rsidRPr="002C4467"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0,070</w:t>
            </w:r>
          </w:p>
        </w:tc>
        <w:tc>
          <w:tcPr>
            <w:tcW w:w="988" w:type="dxa"/>
            <w:tcBorders>
              <w:top w:val="nil"/>
              <w:left w:val="nil"/>
              <w:bottom w:val="single" w:sz="8" w:space="0" w:color="auto"/>
              <w:right w:val="single" w:sz="8" w:space="0" w:color="auto"/>
            </w:tcBorders>
            <w:shd w:val="clear" w:color="000000" w:fill="D9D9D9"/>
            <w:vAlign w:val="center"/>
            <w:hideMark/>
          </w:tcPr>
          <w:p w14:paraId="425757D7"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0,105</w:t>
            </w:r>
          </w:p>
        </w:tc>
      </w:tr>
      <w:tr w:rsidR="00D37F2D" w:rsidRPr="002C4467" w14:paraId="5B4D5519" w14:textId="77777777">
        <w:trPr>
          <w:trHeight w:val="736"/>
        </w:trPr>
        <w:tc>
          <w:tcPr>
            <w:tcW w:w="3405" w:type="dxa"/>
            <w:tcBorders>
              <w:top w:val="nil"/>
              <w:left w:val="single" w:sz="8" w:space="0" w:color="auto"/>
              <w:bottom w:val="single" w:sz="8" w:space="0" w:color="auto"/>
              <w:right w:val="single" w:sz="8" w:space="0" w:color="auto"/>
            </w:tcBorders>
            <w:shd w:val="clear" w:color="000000" w:fill="CCCCCC"/>
            <w:vAlign w:val="center"/>
            <w:hideMark/>
          </w:tcPr>
          <w:p w14:paraId="2349AF97" w14:textId="77777777" w:rsidR="00D37F2D" w:rsidRPr="002C4467" w:rsidRDefault="00D37F2D">
            <w:pPr>
              <w:spacing w:before="0" w:after="0"/>
              <w:jc w:val="center"/>
              <w:rPr>
                <w:rFonts w:eastAsia="Times New Roman"/>
                <w:b/>
                <w:bCs/>
                <w:color w:val="000000"/>
                <w:sz w:val="16"/>
                <w:szCs w:val="16"/>
                <w:lang w:val="en-IE" w:eastAsia="en-IE"/>
              </w:rPr>
            </w:pPr>
            <w:r w:rsidRPr="002C4467">
              <w:rPr>
                <w:rFonts w:eastAsia="Times New Roman"/>
                <w:b/>
                <w:bCs/>
                <w:color w:val="000000"/>
                <w:sz w:val="16"/>
                <w:szCs w:val="16"/>
                <w:lang w:val="en-IE" w:eastAsia="en-IE"/>
              </w:rPr>
              <w:t>Subtotal HEADING 7</w:t>
            </w:r>
          </w:p>
        </w:tc>
        <w:tc>
          <w:tcPr>
            <w:tcW w:w="874" w:type="dxa"/>
            <w:tcBorders>
              <w:top w:val="nil"/>
              <w:left w:val="nil"/>
              <w:bottom w:val="single" w:sz="8" w:space="0" w:color="auto"/>
              <w:right w:val="single" w:sz="8" w:space="0" w:color="auto"/>
            </w:tcBorders>
            <w:shd w:val="clear" w:color="000000" w:fill="D9D9D9"/>
            <w:vAlign w:val="center"/>
            <w:hideMark/>
          </w:tcPr>
          <w:p w14:paraId="5CE20A3F"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66AFFD48"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0,000</w:t>
            </w:r>
          </w:p>
        </w:tc>
        <w:tc>
          <w:tcPr>
            <w:tcW w:w="893" w:type="dxa"/>
            <w:tcBorders>
              <w:top w:val="nil"/>
              <w:left w:val="single" w:sz="8" w:space="0" w:color="auto"/>
              <w:bottom w:val="single" w:sz="8" w:space="0" w:color="auto"/>
              <w:right w:val="single" w:sz="8" w:space="0" w:color="auto"/>
            </w:tcBorders>
            <w:shd w:val="clear" w:color="000000" w:fill="D9D9D9"/>
            <w:vAlign w:val="center"/>
            <w:hideMark/>
          </w:tcPr>
          <w:p w14:paraId="0894B0AA"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1,828</w:t>
            </w:r>
          </w:p>
        </w:tc>
        <w:tc>
          <w:tcPr>
            <w:tcW w:w="893" w:type="dxa"/>
            <w:tcBorders>
              <w:top w:val="nil"/>
              <w:left w:val="nil"/>
              <w:bottom w:val="single" w:sz="8" w:space="0" w:color="auto"/>
              <w:right w:val="single" w:sz="8" w:space="0" w:color="auto"/>
            </w:tcBorders>
            <w:shd w:val="clear" w:color="000000" w:fill="D9D9D9"/>
            <w:vAlign w:val="center"/>
            <w:hideMark/>
          </w:tcPr>
          <w:p w14:paraId="4B4A26C0"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3,656</w:t>
            </w:r>
          </w:p>
        </w:tc>
        <w:tc>
          <w:tcPr>
            <w:tcW w:w="988" w:type="dxa"/>
            <w:tcBorders>
              <w:top w:val="nil"/>
              <w:left w:val="nil"/>
              <w:bottom w:val="single" w:sz="8" w:space="0" w:color="auto"/>
              <w:right w:val="single" w:sz="8" w:space="0" w:color="auto"/>
            </w:tcBorders>
            <w:shd w:val="clear" w:color="000000" w:fill="D9D9D9"/>
            <w:vAlign w:val="center"/>
            <w:hideMark/>
          </w:tcPr>
          <w:p w14:paraId="76BD680B"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5,484</w:t>
            </w:r>
          </w:p>
        </w:tc>
      </w:tr>
      <w:tr w:rsidR="00D37F2D" w:rsidRPr="002C4467" w14:paraId="18E4288C" w14:textId="77777777">
        <w:trPr>
          <w:trHeight w:val="1037"/>
        </w:trPr>
        <w:tc>
          <w:tcPr>
            <w:tcW w:w="7946" w:type="dxa"/>
            <w:gridSpan w:val="6"/>
            <w:tcBorders>
              <w:top w:val="single" w:sz="8" w:space="0" w:color="auto"/>
              <w:left w:val="single" w:sz="8" w:space="0" w:color="auto"/>
              <w:bottom w:val="single" w:sz="8" w:space="0" w:color="auto"/>
              <w:right w:val="nil"/>
            </w:tcBorders>
            <w:shd w:val="clear" w:color="auto" w:fill="auto"/>
            <w:vAlign w:val="center"/>
            <w:hideMark/>
          </w:tcPr>
          <w:p w14:paraId="40C67786" w14:textId="77777777" w:rsidR="00D37F2D" w:rsidRPr="002C4467" w:rsidRDefault="00D37F2D">
            <w:pPr>
              <w:spacing w:before="0" w:after="0"/>
              <w:jc w:val="left"/>
              <w:rPr>
                <w:rFonts w:eastAsia="Times New Roman"/>
                <w:b/>
                <w:bCs/>
                <w:sz w:val="16"/>
                <w:szCs w:val="16"/>
                <w:lang w:val="en-IE" w:eastAsia="en-IE"/>
              </w:rPr>
            </w:pPr>
            <w:r w:rsidRPr="002C4467">
              <w:rPr>
                <w:rFonts w:eastAsia="Times New Roman"/>
                <w:b/>
                <w:bCs/>
                <w:sz w:val="16"/>
                <w:szCs w:val="16"/>
                <w:lang w:val="en-IE" w:eastAsia="en-IE"/>
              </w:rPr>
              <w:t>Outside HEADING 7</w:t>
            </w:r>
          </w:p>
        </w:tc>
      </w:tr>
      <w:tr w:rsidR="00D37F2D" w:rsidRPr="002C4467" w14:paraId="0D2BD852" w14:textId="77777777">
        <w:trPr>
          <w:trHeight w:val="526"/>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03F446AC" w14:textId="77777777" w:rsidR="00D37F2D" w:rsidRPr="002C4467" w:rsidRDefault="00D37F2D">
            <w:pPr>
              <w:spacing w:before="0" w:after="0"/>
              <w:jc w:val="left"/>
              <w:rPr>
                <w:rFonts w:eastAsia="Times New Roman"/>
                <w:color w:val="000000"/>
                <w:sz w:val="16"/>
                <w:szCs w:val="16"/>
                <w:lang w:val="en-IE" w:eastAsia="en-IE"/>
              </w:rPr>
            </w:pPr>
            <w:r w:rsidRPr="002C4467">
              <w:rPr>
                <w:rFonts w:eastAsia="Times New Roman"/>
                <w:color w:val="000000"/>
                <w:sz w:val="16"/>
                <w:szCs w:val="16"/>
                <w:lang w:val="en-IE" w:eastAsia="en-IE"/>
              </w:rPr>
              <w:t xml:space="preserve">Human resources </w:t>
            </w:r>
          </w:p>
        </w:tc>
        <w:tc>
          <w:tcPr>
            <w:tcW w:w="874" w:type="dxa"/>
            <w:tcBorders>
              <w:top w:val="nil"/>
              <w:left w:val="nil"/>
              <w:bottom w:val="single" w:sz="8" w:space="0" w:color="auto"/>
              <w:right w:val="single" w:sz="8" w:space="0" w:color="auto"/>
            </w:tcBorders>
            <w:shd w:val="clear" w:color="000000" w:fill="D9D9D9"/>
            <w:vAlign w:val="center"/>
            <w:hideMark/>
          </w:tcPr>
          <w:p w14:paraId="4D47F6B8"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5CD0E08F"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5443C77B"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4748AB5A"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988" w:type="dxa"/>
            <w:tcBorders>
              <w:top w:val="nil"/>
              <w:left w:val="nil"/>
              <w:bottom w:val="single" w:sz="8" w:space="0" w:color="auto"/>
              <w:right w:val="single" w:sz="8" w:space="0" w:color="auto"/>
            </w:tcBorders>
            <w:shd w:val="clear" w:color="000000" w:fill="D9D9D9"/>
            <w:vAlign w:val="center"/>
            <w:hideMark/>
          </w:tcPr>
          <w:p w14:paraId="49E2643A" w14:textId="77777777" w:rsidR="00D37F2D" w:rsidRPr="002C4467" w:rsidRDefault="00D37F2D">
            <w:pPr>
              <w:spacing w:before="0" w:after="0"/>
              <w:jc w:val="right"/>
              <w:rPr>
                <w:rFonts w:eastAsia="Times New Roman"/>
                <w:b/>
                <w:bCs/>
                <w:color w:val="000000"/>
                <w:sz w:val="16"/>
                <w:szCs w:val="16"/>
                <w:lang w:val="en-IE" w:eastAsia="en-IE"/>
              </w:rPr>
            </w:pPr>
            <w:r w:rsidRPr="002C4467">
              <w:rPr>
                <w:rFonts w:eastAsia="Times New Roman"/>
                <w:b/>
                <w:bCs/>
                <w:color w:val="000000"/>
                <w:sz w:val="16"/>
                <w:szCs w:val="16"/>
                <w:lang w:val="en-IE" w:eastAsia="en-IE"/>
              </w:rPr>
              <w:t>0,000</w:t>
            </w:r>
          </w:p>
        </w:tc>
      </w:tr>
      <w:tr w:rsidR="00D37F2D" w:rsidRPr="002C4467" w14:paraId="706FEC49" w14:textId="77777777">
        <w:trPr>
          <w:trHeight w:val="736"/>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66166DB2" w14:textId="77777777" w:rsidR="00D37F2D" w:rsidRPr="002C4467" w:rsidRDefault="00D37F2D">
            <w:pPr>
              <w:spacing w:before="0" w:after="0"/>
              <w:jc w:val="left"/>
              <w:rPr>
                <w:rFonts w:eastAsia="Times New Roman"/>
                <w:color w:val="000000"/>
                <w:sz w:val="16"/>
                <w:szCs w:val="16"/>
                <w:lang w:val="en-IE" w:eastAsia="en-IE"/>
              </w:rPr>
            </w:pPr>
            <w:r w:rsidRPr="002C4467">
              <w:rPr>
                <w:rFonts w:eastAsia="Times New Roman"/>
                <w:color w:val="000000"/>
                <w:sz w:val="16"/>
                <w:szCs w:val="16"/>
                <w:lang w:val="en-IE" w:eastAsia="en-IE"/>
              </w:rPr>
              <w:t>Other expenditure of an administrative nature</w:t>
            </w:r>
          </w:p>
        </w:tc>
        <w:tc>
          <w:tcPr>
            <w:tcW w:w="874" w:type="dxa"/>
            <w:tcBorders>
              <w:top w:val="nil"/>
              <w:left w:val="nil"/>
              <w:bottom w:val="single" w:sz="8" w:space="0" w:color="auto"/>
              <w:right w:val="single" w:sz="8" w:space="0" w:color="auto"/>
            </w:tcBorders>
            <w:shd w:val="clear" w:color="000000" w:fill="D9D9D9"/>
            <w:vAlign w:val="center"/>
            <w:hideMark/>
          </w:tcPr>
          <w:p w14:paraId="057B3071"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61FE0C4E"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6A2B0172"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0EE36EF3" w14:textId="77777777" w:rsidR="00D37F2D" w:rsidRPr="002C4467"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988" w:type="dxa"/>
            <w:tcBorders>
              <w:top w:val="nil"/>
              <w:left w:val="nil"/>
              <w:bottom w:val="single" w:sz="8" w:space="0" w:color="auto"/>
              <w:right w:val="single" w:sz="8" w:space="0" w:color="auto"/>
            </w:tcBorders>
            <w:shd w:val="clear" w:color="000000" w:fill="D9D9D9"/>
            <w:vAlign w:val="center"/>
            <w:hideMark/>
          </w:tcPr>
          <w:p w14:paraId="46240F68" w14:textId="77777777" w:rsidR="00D37F2D" w:rsidRPr="002C4467" w:rsidRDefault="00D37F2D">
            <w:pPr>
              <w:spacing w:before="0" w:after="0"/>
              <w:jc w:val="right"/>
              <w:rPr>
                <w:rFonts w:eastAsia="Times New Roman"/>
                <w:b/>
                <w:bCs/>
                <w:color w:val="000000"/>
                <w:sz w:val="16"/>
                <w:szCs w:val="16"/>
                <w:lang w:val="en-IE" w:eastAsia="en-IE"/>
              </w:rPr>
            </w:pPr>
            <w:r w:rsidRPr="002C4467">
              <w:rPr>
                <w:rFonts w:eastAsia="Times New Roman"/>
                <w:b/>
                <w:bCs/>
                <w:color w:val="000000"/>
                <w:sz w:val="16"/>
                <w:szCs w:val="16"/>
                <w:lang w:val="en-IE" w:eastAsia="en-IE"/>
              </w:rPr>
              <w:t>0,000</w:t>
            </w:r>
          </w:p>
        </w:tc>
      </w:tr>
      <w:tr w:rsidR="00D37F2D" w:rsidRPr="002C4467" w14:paraId="0271DBD8" w14:textId="77777777">
        <w:trPr>
          <w:trHeight w:val="315"/>
        </w:trPr>
        <w:tc>
          <w:tcPr>
            <w:tcW w:w="3405" w:type="dxa"/>
            <w:tcBorders>
              <w:top w:val="nil"/>
              <w:left w:val="single" w:sz="8" w:space="0" w:color="auto"/>
              <w:bottom w:val="single" w:sz="8" w:space="0" w:color="auto"/>
              <w:right w:val="single" w:sz="8" w:space="0" w:color="auto"/>
            </w:tcBorders>
            <w:shd w:val="clear" w:color="000000" w:fill="CCCCCC"/>
            <w:vAlign w:val="center"/>
            <w:hideMark/>
          </w:tcPr>
          <w:p w14:paraId="10C88EC1" w14:textId="77777777" w:rsidR="00D37F2D" w:rsidRPr="002C4467" w:rsidRDefault="00D37F2D">
            <w:pPr>
              <w:spacing w:before="0" w:after="0"/>
              <w:jc w:val="center"/>
              <w:rPr>
                <w:rFonts w:eastAsia="Times New Roman"/>
                <w:b/>
                <w:bCs/>
                <w:color w:val="000000"/>
                <w:sz w:val="16"/>
                <w:szCs w:val="16"/>
                <w:lang w:val="en-IE" w:eastAsia="en-IE"/>
              </w:rPr>
            </w:pPr>
            <w:r w:rsidRPr="002C4467">
              <w:rPr>
                <w:rFonts w:eastAsia="Times New Roman"/>
                <w:b/>
                <w:bCs/>
                <w:color w:val="000000"/>
                <w:sz w:val="16"/>
                <w:szCs w:val="16"/>
                <w:lang w:val="en-IE" w:eastAsia="en-IE"/>
              </w:rPr>
              <w:t>Subtotal outside HEADING 7</w:t>
            </w:r>
          </w:p>
        </w:tc>
        <w:tc>
          <w:tcPr>
            <w:tcW w:w="874" w:type="dxa"/>
            <w:tcBorders>
              <w:top w:val="nil"/>
              <w:left w:val="nil"/>
              <w:bottom w:val="single" w:sz="8" w:space="0" w:color="auto"/>
              <w:right w:val="single" w:sz="8" w:space="0" w:color="auto"/>
            </w:tcBorders>
            <w:shd w:val="clear" w:color="000000" w:fill="D9D9D9"/>
            <w:vAlign w:val="center"/>
            <w:hideMark/>
          </w:tcPr>
          <w:p w14:paraId="79193AAE" w14:textId="77777777" w:rsidR="00D37F2D" w:rsidRPr="002C4467" w:rsidRDefault="00D37F2D">
            <w:pPr>
              <w:spacing w:before="0" w:after="0"/>
              <w:jc w:val="right"/>
              <w:rPr>
                <w:rFonts w:eastAsia="Times New Roman"/>
                <w:b/>
                <w:bCs/>
                <w:color w:val="000000"/>
                <w:sz w:val="16"/>
                <w:szCs w:val="16"/>
                <w:lang w:val="en-IE" w:eastAsia="en-IE"/>
              </w:rPr>
            </w:pPr>
            <w:r w:rsidRPr="002C4467">
              <w:rPr>
                <w:rFonts w:eastAsia="Times New Roman"/>
                <w:b/>
                <w:bCs/>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57ED2ABB" w14:textId="77777777" w:rsidR="00D37F2D" w:rsidRPr="002C4467" w:rsidRDefault="00D37F2D">
            <w:pPr>
              <w:spacing w:before="0" w:after="0"/>
              <w:jc w:val="right"/>
              <w:rPr>
                <w:rFonts w:eastAsia="Times New Roman"/>
                <w:b/>
                <w:bCs/>
                <w:color w:val="000000"/>
                <w:sz w:val="16"/>
                <w:szCs w:val="16"/>
                <w:lang w:val="en-IE" w:eastAsia="en-IE"/>
              </w:rPr>
            </w:pPr>
            <w:r w:rsidRPr="002C4467">
              <w:rPr>
                <w:rFonts w:eastAsia="Times New Roman"/>
                <w:b/>
                <w:bCs/>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408D3C26" w14:textId="77777777" w:rsidR="00D37F2D" w:rsidRPr="002C4467" w:rsidRDefault="00D37F2D">
            <w:pPr>
              <w:spacing w:before="0" w:after="0"/>
              <w:jc w:val="right"/>
              <w:rPr>
                <w:rFonts w:eastAsia="Times New Roman"/>
                <w:b/>
                <w:bCs/>
                <w:color w:val="000000"/>
                <w:sz w:val="16"/>
                <w:szCs w:val="16"/>
                <w:lang w:val="en-IE" w:eastAsia="en-IE"/>
              </w:rPr>
            </w:pPr>
            <w:r w:rsidRPr="002C4467">
              <w:rPr>
                <w:rFonts w:eastAsia="Times New Roman"/>
                <w:b/>
                <w:bCs/>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vAlign w:val="center"/>
            <w:hideMark/>
          </w:tcPr>
          <w:p w14:paraId="05494D15" w14:textId="77777777" w:rsidR="00D37F2D" w:rsidRPr="002C4467" w:rsidRDefault="00D37F2D">
            <w:pPr>
              <w:spacing w:before="0" w:after="0"/>
              <w:jc w:val="right"/>
              <w:rPr>
                <w:rFonts w:eastAsia="Times New Roman"/>
                <w:b/>
                <w:bCs/>
                <w:color w:val="000000"/>
                <w:sz w:val="16"/>
                <w:szCs w:val="16"/>
                <w:lang w:val="en-IE" w:eastAsia="en-IE"/>
              </w:rPr>
            </w:pPr>
            <w:r w:rsidRPr="002C4467">
              <w:rPr>
                <w:rFonts w:eastAsia="Times New Roman"/>
                <w:b/>
                <w:bCs/>
                <w:color w:val="000000"/>
                <w:sz w:val="16"/>
                <w:szCs w:val="16"/>
                <w:lang w:val="en-IE" w:eastAsia="en-IE"/>
              </w:rPr>
              <w:t>0,000</w:t>
            </w:r>
          </w:p>
        </w:tc>
        <w:tc>
          <w:tcPr>
            <w:tcW w:w="988" w:type="dxa"/>
            <w:tcBorders>
              <w:top w:val="nil"/>
              <w:left w:val="nil"/>
              <w:bottom w:val="single" w:sz="8" w:space="0" w:color="auto"/>
              <w:right w:val="single" w:sz="8" w:space="0" w:color="auto"/>
            </w:tcBorders>
            <w:shd w:val="clear" w:color="000000" w:fill="D9D9D9"/>
            <w:vAlign w:val="center"/>
            <w:hideMark/>
          </w:tcPr>
          <w:p w14:paraId="681ED8D9" w14:textId="77777777" w:rsidR="00D37F2D" w:rsidRPr="002C4467" w:rsidRDefault="00D37F2D">
            <w:pPr>
              <w:spacing w:before="0" w:after="0"/>
              <w:jc w:val="right"/>
              <w:rPr>
                <w:rFonts w:eastAsia="Times New Roman"/>
                <w:b/>
                <w:bCs/>
                <w:color w:val="000000"/>
                <w:sz w:val="16"/>
                <w:szCs w:val="16"/>
                <w:lang w:val="en-IE" w:eastAsia="en-IE"/>
              </w:rPr>
            </w:pPr>
            <w:r w:rsidRPr="002C4467">
              <w:rPr>
                <w:rFonts w:eastAsia="Times New Roman"/>
                <w:b/>
                <w:bCs/>
                <w:color w:val="000000"/>
                <w:sz w:val="16"/>
                <w:szCs w:val="16"/>
                <w:lang w:val="en-IE" w:eastAsia="en-IE"/>
              </w:rPr>
              <w:t>0,000</w:t>
            </w:r>
          </w:p>
        </w:tc>
      </w:tr>
      <w:tr w:rsidR="00D37F2D" w:rsidRPr="002C4467" w14:paraId="0C01A062" w14:textId="77777777">
        <w:trPr>
          <w:trHeight w:val="315"/>
        </w:trPr>
        <w:tc>
          <w:tcPr>
            <w:tcW w:w="7946" w:type="dxa"/>
            <w:gridSpan w:val="6"/>
            <w:tcBorders>
              <w:top w:val="single" w:sz="8" w:space="0" w:color="auto"/>
              <w:left w:val="single" w:sz="8" w:space="0" w:color="auto"/>
              <w:bottom w:val="single" w:sz="8" w:space="0" w:color="auto"/>
              <w:right w:val="nil"/>
            </w:tcBorders>
            <w:shd w:val="clear" w:color="auto" w:fill="auto"/>
            <w:noWrap/>
            <w:vAlign w:val="center"/>
            <w:hideMark/>
          </w:tcPr>
          <w:p w14:paraId="650BAD3B" w14:textId="77777777" w:rsidR="00D37F2D" w:rsidRPr="002C4467" w:rsidRDefault="00D37F2D">
            <w:pPr>
              <w:spacing w:before="0" w:after="0"/>
              <w:jc w:val="center"/>
              <w:rPr>
                <w:rFonts w:eastAsia="Times New Roman"/>
                <w:color w:val="000000"/>
                <w:sz w:val="16"/>
                <w:szCs w:val="16"/>
                <w:lang w:val="en-IE" w:eastAsia="en-IE"/>
              </w:rPr>
            </w:pPr>
            <w:r w:rsidRPr="002C4467">
              <w:rPr>
                <w:rFonts w:eastAsia="Times New Roman"/>
                <w:color w:val="000000"/>
                <w:sz w:val="16"/>
                <w:szCs w:val="16"/>
                <w:lang w:val="en-IE" w:eastAsia="en-IE"/>
              </w:rPr>
              <w:t> </w:t>
            </w:r>
          </w:p>
        </w:tc>
      </w:tr>
      <w:tr w:rsidR="00D37F2D" w:rsidRPr="002C4467" w14:paraId="41AED2E2" w14:textId="77777777">
        <w:trPr>
          <w:trHeight w:val="315"/>
        </w:trPr>
        <w:tc>
          <w:tcPr>
            <w:tcW w:w="3405" w:type="dxa"/>
            <w:tcBorders>
              <w:top w:val="nil"/>
              <w:left w:val="single" w:sz="8" w:space="0" w:color="auto"/>
              <w:bottom w:val="single" w:sz="8" w:space="0" w:color="auto"/>
              <w:right w:val="single" w:sz="8" w:space="0" w:color="auto"/>
            </w:tcBorders>
            <w:shd w:val="clear" w:color="auto" w:fill="auto"/>
            <w:vAlign w:val="center"/>
            <w:hideMark/>
          </w:tcPr>
          <w:p w14:paraId="357281F4" w14:textId="77777777" w:rsidR="00D37F2D" w:rsidRPr="002C4467" w:rsidRDefault="00D37F2D">
            <w:pPr>
              <w:spacing w:before="0" w:after="0"/>
              <w:jc w:val="center"/>
              <w:rPr>
                <w:rFonts w:eastAsia="Times New Roman"/>
                <w:b/>
                <w:bCs/>
                <w:color w:val="000000"/>
                <w:sz w:val="16"/>
                <w:szCs w:val="16"/>
                <w:lang w:val="en-IE" w:eastAsia="en-IE"/>
              </w:rPr>
            </w:pPr>
            <w:r w:rsidRPr="002C4467">
              <w:rPr>
                <w:rFonts w:eastAsia="Times New Roman"/>
                <w:b/>
                <w:bCs/>
                <w:color w:val="000000"/>
                <w:sz w:val="16"/>
                <w:szCs w:val="16"/>
                <w:lang w:val="en-IE" w:eastAsia="en-IE"/>
              </w:rPr>
              <w:t>TOTAL</w:t>
            </w:r>
          </w:p>
        </w:tc>
        <w:tc>
          <w:tcPr>
            <w:tcW w:w="874" w:type="dxa"/>
            <w:tcBorders>
              <w:top w:val="nil"/>
              <w:left w:val="nil"/>
              <w:bottom w:val="single" w:sz="8" w:space="0" w:color="auto"/>
              <w:right w:val="single" w:sz="8" w:space="0" w:color="auto"/>
            </w:tcBorders>
            <w:shd w:val="clear" w:color="000000" w:fill="D9D9D9"/>
            <w:hideMark/>
          </w:tcPr>
          <w:p w14:paraId="04F049E2"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hideMark/>
          </w:tcPr>
          <w:p w14:paraId="114F0738"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0,000</w:t>
            </w:r>
          </w:p>
        </w:tc>
        <w:tc>
          <w:tcPr>
            <w:tcW w:w="893" w:type="dxa"/>
            <w:tcBorders>
              <w:top w:val="nil"/>
              <w:left w:val="nil"/>
              <w:bottom w:val="single" w:sz="8" w:space="0" w:color="auto"/>
              <w:right w:val="single" w:sz="8" w:space="0" w:color="auto"/>
            </w:tcBorders>
            <w:shd w:val="clear" w:color="000000" w:fill="D9D9D9"/>
            <w:hideMark/>
          </w:tcPr>
          <w:p w14:paraId="1FD4B7F4"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1,828</w:t>
            </w:r>
          </w:p>
        </w:tc>
        <w:tc>
          <w:tcPr>
            <w:tcW w:w="893" w:type="dxa"/>
            <w:tcBorders>
              <w:top w:val="nil"/>
              <w:left w:val="nil"/>
              <w:bottom w:val="single" w:sz="8" w:space="0" w:color="auto"/>
              <w:right w:val="single" w:sz="8" w:space="0" w:color="auto"/>
            </w:tcBorders>
            <w:shd w:val="clear" w:color="000000" w:fill="D9D9D9"/>
            <w:hideMark/>
          </w:tcPr>
          <w:p w14:paraId="3EA1BF7E"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3,656</w:t>
            </w:r>
          </w:p>
        </w:tc>
        <w:tc>
          <w:tcPr>
            <w:tcW w:w="988" w:type="dxa"/>
            <w:tcBorders>
              <w:top w:val="nil"/>
              <w:left w:val="nil"/>
              <w:bottom w:val="single" w:sz="8" w:space="0" w:color="auto"/>
              <w:right w:val="single" w:sz="8" w:space="0" w:color="auto"/>
            </w:tcBorders>
            <w:shd w:val="clear" w:color="000000" w:fill="D9D9D9"/>
            <w:hideMark/>
          </w:tcPr>
          <w:p w14:paraId="5E3C12EC" w14:textId="77777777" w:rsidR="00D37F2D" w:rsidRPr="00303070" w:rsidRDefault="00D37F2D">
            <w:pPr>
              <w:spacing w:before="0" w:after="0"/>
              <w:jc w:val="right"/>
              <w:rPr>
                <w:rFonts w:eastAsia="Times New Roman"/>
                <w:color w:val="000000"/>
                <w:sz w:val="16"/>
                <w:szCs w:val="16"/>
                <w:lang w:val="en-IE" w:eastAsia="en-IE"/>
              </w:rPr>
            </w:pPr>
            <w:r w:rsidRPr="00303070">
              <w:rPr>
                <w:rFonts w:eastAsia="Times New Roman"/>
                <w:color w:val="000000"/>
                <w:sz w:val="16"/>
                <w:szCs w:val="16"/>
                <w:lang w:val="en-IE" w:eastAsia="en-IE"/>
              </w:rPr>
              <w:t>5,484</w:t>
            </w:r>
          </w:p>
        </w:tc>
      </w:tr>
    </w:tbl>
    <w:p w14:paraId="6ADCF833" w14:textId="77777777" w:rsidR="00D37F2D" w:rsidRPr="00A81872" w:rsidRDefault="00D37F2D" w:rsidP="00D37F2D">
      <w:pPr>
        <w:pStyle w:val="Text1"/>
        <w:ind w:left="0"/>
      </w:pPr>
    </w:p>
    <w:p w14:paraId="0FD73A50" w14:textId="77777777" w:rsidR="00D37F2D" w:rsidRDefault="00D37F2D" w:rsidP="00D37F2D">
      <w:pPr>
        <w:pStyle w:val="ManualHeading3"/>
      </w:pPr>
      <w:bookmarkStart w:id="167" w:name="_Toc167220293"/>
      <w:bookmarkStart w:id="168" w:name="_Toc177549026"/>
      <w:r>
        <w:t>3.2.3.3.</w:t>
      </w:r>
      <w:r>
        <w:tab/>
        <w:t>Total appropriations</w:t>
      </w:r>
      <w:bookmarkEnd w:id="167"/>
      <w:bookmarkEnd w:id="168"/>
    </w:p>
    <w:tbl>
      <w:tblPr>
        <w:tblW w:w="8140" w:type="dxa"/>
        <w:tblInd w:w="118" w:type="dxa"/>
        <w:tblLook w:val="04A0" w:firstRow="1" w:lastRow="0" w:firstColumn="1" w:lastColumn="0" w:noHBand="0" w:noVBand="1"/>
      </w:tblPr>
      <w:tblGrid>
        <w:gridCol w:w="3488"/>
        <w:gridCol w:w="896"/>
        <w:gridCol w:w="915"/>
        <w:gridCol w:w="915"/>
        <w:gridCol w:w="915"/>
        <w:gridCol w:w="1011"/>
      </w:tblGrid>
      <w:tr w:rsidR="00D37F2D" w:rsidRPr="007D2540" w14:paraId="12AC898D" w14:textId="77777777">
        <w:trPr>
          <w:trHeight w:val="874"/>
        </w:trPr>
        <w:tc>
          <w:tcPr>
            <w:tcW w:w="348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EE4D2F2" w14:textId="77777777" w:rsidR="00D37F2D" w:rsidRPr="007D2540" w:rsidRDefault="00D37F2D">
            <w:pPr>
              <w:spacing w:before="0" w:after="0"/>
              <w:jc w:val="center"/>
              <w:rPr>
                <w:rFonts w:eastAsia="Times New Roman"/>
                <w:b/>
                <w:bCs/>
                <w:color w:val="000000"/>
                <w:sz w:val="18"/>
                <w:szCs w:val="18"/>
                <w:lang w:val="en-IE" w:eastAsia="en-IE"/>
              </w:rPr>
            </w:pPr>
            <w:r w:rsidRPr="007D2540">
              <w:rPr>
                <w:rFonts w:eastAsia="Times New Roman"/>
                <w:b/>
                <w:bCs/>
                <w:color w:val="000000"/>
                <w:sz w:val="18"/>
                <w:szCs w:val="18"/>
                <w:lang w:val="en-IE" w:eastAsia="en-IE"/>
              </w:rPr>
              <w:t>TOTAL</w:t>
            </w:r>
            <w:r w:rsidRPr="007D2540">
              <w:rPr>
                <w:rFonts w:eastAsia="Times New Roman"/>
                <w:b/>
                <w:bCs/>
                <w:color w:val="000000"/>
                <w:sz w:val="18"/>
                <w:szCs w:val="18"/>
                <w:lang w:val="en-IE" w:eastAsia="en-IE"/>
              </w:rPr>
              <w:br/>
              <w:t xml:space="preserve">VOTED APPROPRIATIONS </w:t>
            </w:r>
            <w:r w:rsidRPr="007D2540">
              <w:rPr>
                <w:rFonts w:eastAsia="Times New Roman"/>
                <w:b/>
                <w:bCs/>
                <w:color w:val="000000"/>
                <w:sz w:val="18"/>
                <w:szCs w:val="18"/>
                <w:lang w:val="en-IE" w:eastAsia="en-IE"/>
              </w:rPr>
              <w:br/>
              <w:t>+</w:t>
            </w:r>
            <w:r w:rsidRPr="007D2540">
              <w:rPr>
                <w:rFonts w:eastAsia="Times New Roman"/>
                <w:b/>
                <w:bCs/>
                <w:color w:val="000000"/>
                <w:sz w:val="18"/>
                <w:szCs w:val="18"/>
                <w:lang w:val="en-IE" w:eastAsia="en-IE"/>
              </w:rPr>
              <w:br/>
              <w:t>EXTERNAL ASSIGNED REVENUES</w:t>
            </w:r>
          </w:p>
        </w:tc>
        <w:tc>
          <w:tcPr>
            <w:tcW w:w="896" w:type="dxa"/>
            <w:tcBorders>
              <w:top w:val="single" w:sz="8" w:space="0" w:color="auto"/>
              <w:left w:val="nil"/>
              <w:bottom w:val="nil"/>
              <w:right w:val="single" w:sz="8" w:space="0" w:color="auto"/>
            </w:tcBorders>
            <w:shd w:val="clear" w:color="auto" w:fill="auto"/>
            <w:vAlign w:val="center"/>
            <w:hideMark/>
          </w:tcPr>
          <w:p w14:paraId="3B7D7D7C" w14:textId="77777777" w:rsidR="00D37F2D" w:rsidRPr="007D2540" w:rsidRDefault="00D37F2D">
            <w:pPr>
              <w:spacing w:before="0" w:after="0"/>
              <w:jc w:val="center"/>
              <w:rPr>
                <w:rFonts w:eastAsia="Times New Roman"/>
                <w:color w:val="000000"/>
                <w:sz w:val="18"/>
                <w:szCs w:val="18"/>
                <w:lang w:val="en-IE" w:eastAsia="en-IE"/>
              </w:rPr>
            </w:pPr>
            <w:r w:rsidRPr="007D2540">
              <w:rPr>
                <w:rFonts w:eastAsia="Times New Roman"/>
                <w:color w:val="000000"/>
                <w:sz w:val="18"/>
                <w:szCs w:val="18"/>
                <w:lang w:val="en-IE" w:eastAsia="en-IE"/>
              </w:rPr>
              <w:t>Year</w:t>
            </w:r>
          </w:p>
        </w:tc>
        <w:tc>
          <w:tcPr>
            <w:tcW w:w="915" w:type="dxa"/>
            <w:tcBorders>
              <w:top w:val="single" w:sz="8" w:space="0" w:color="auto"/>
              <w:left w:val="nil"/>
              <w:bottom w:val="nil"/>
              <w:right w:val="single" w:sz="8" w:space="0" w:color="auto"/>
            </w:tcBorders>
            <w:shd w:val="clear" w:color="auto" w:fill="auto"/>
            <w:vAlign w:val="center"/>
            <w:hideMark/>
          </w:tcPr>
          <w:p w14:paraId="5843C348" w14:textId="77777777" w:rsidR="00D37F2D" w:rsidRPr="007D2540" w:rsidRDefault="00D37F2D">
            <w:pPr>
              <w:spacing w:before="0" w:after="0"/>
              <w:jc w:val="center"/>
              <w:rPr>
                <w:rFonts w:eastAsia="Times New Roman"/>
                <w:color w:val="000000"/>
                <w:sz w:val="18"/>
                <w:szCs w:val="18"/>
                <w:lang w:val="en-IE" w:eastAsia="en-IE"/>
              </w:rPr>
            </w:pPr>
            <w:r w:rsidRPr="007D2540">
              <w:rPr>
                <w:rFonts w:eastAsia="Times New Roman"/>
                <w:color w:val="000000"/>
                <w:sz w:val="18"/>
                <w:szCs w:val="18"/>
                <w:lang w:val="en-IE" w:eastAsia="en-IE"/>
              </w:rPr>
              <w:t>Year</w:t>
            </w:r>
          </w:p>
        </w:tc>
        <w:tc>
          <w:tcPr>
            <w:tcW w:w="915" w:type="dxa"/>
            <w:tcBorders>
              <w:top w:val="single" w:sz="8" w:space="0" w:color="auto"/>
              <w:left w:val="nil"/>
              <w:bottom w:val="nil"/>
              <w:right w:val="single" w:sz="8" w:space="0" w:color="auto"/>
            </w:tcBorders>
            <w:shd w:val="clear" w:color="auto" w:fill="auto"/>
            <w:vAlign w:val="center"/>
            <w:hideMark/>
          </w:tcPr>
          <w:p w14:paraId="3AA774B4" w14:textId="77777777" w:rsidR="00D37F2D" w:rsidRPr="007D2540" w:rsidRDefault="00D37F2D">
            <w:pPr>
              <w:spacing w:before="0" w:after="0"/>
              <w:jc w:val="center"/>
              <w:rPr>
                <w:rFonts w:eastAsia="Times New Roman"/>
                <w:color w:val="000000"/>
                <w:sz w:val="18"/>
                <w:szCs w:val="18"/>
                <w:lang w:val="en-IE" w:eastAsia="en-IE"/>
              </w:rPr>
            </w:pPr>
            <w:r w:rsidRPr="007D2540">
              <w:rPr>
                <w:rFonts w:eastAsia="Times New Roman"/>
                <w:color w:val="000000"/>
                <w:sz w:val="18"/>
                <w:szCs w:val="18"/>
                <w:lang w:val="en-IE" w:eastAsia="en-IE"/>
              </w:rPr>
              <w:t>Year</w:t>
            </w:r>
          </w:p>
        </w:tc>
        <w:tc>
          <w:tcPr>
            <w:tcW w:w="915" w:type="dxa"/>
            <w:tcBorders>
              <w:top w:val="single" w:sz="8" w:space="0" w:color="auto"/>
              <w:left w:val="nil"/>
              <w:bottom w:val="nil"/>
              <w:right w:val="single" w:sz="8" w:space="0" w:color="auto"/>
            </w:tcBorders>
            <w:shd w:val="clear" w:color="auto" w:fill="auto"/>
            <w:vAlign w:val="center"/>
            <w:hideMark/>
          </w:tcPr>
          <w:p w14:paraId="4534E52C" w14:textId="77777777" w:rsidR="00D37F2D" w:rsidRPr="007D2540" w:rsidRDefault="00D37F2D">
            <w:pPr>
              <w:spacing w:before="0" w:after="0"/>
              <w:jc w:val="center"/>
              <w:rPr>
                <w:rFonts w:eastAsia="Times New Roman"/>
                <w:color w:val="000000"/>
                <w:sz w:val="18"/>
                <w:szCs w:val="18"/>
                <w:lang w:val="en-IE" w:eastAsia="en-IE"/>
              </w:rPr>
            </w:pPr>
            <w:r w:rsidRPr="007D2540">
              <w:rPr>
                <w:rFonts w:eastAsia="Times New Roman"/>
                <w:color w:val="000000"/>
                <w:sz w:val="18"/>
                <w:szCs w:val="18"/>
                <w:lang w:val="en-IE" w:eastAsia="en-IE"/>
              </w:rPr>
              <w:t>Year</w:t>
            </w:r>
          </w:p>
        </w:tc>
        <w:tc>
          <w:tcPr>
            <w:tcW w:w="101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48A347" w14:textId="77777777" w:rsidR="00D37F2D" w:rsidRPr="007D2540" w:rsidRDefault="00D37F2D">
            <w:pPr>
              <w:spacing w:before="0" w:after="0"/>
              <w:jc w:val="center"/>
              <w:rPr>
                <w:rFonts w:eastAsia="Times New Roman"/>
                <w:b/>
                <w:bCs/>
                <w:color w:val="000000"/>
                <w:sz w:val="18"/>
                <w:szCs w:val="18"/>
                <w:lang w:val="en-IE" w:eastAsia="en-IE"/>
              </w:rPr>
            </w:pPr>
            <w:r w:rsidRPr="007D2540">
              <w:rPr>
                <w:rFonts w:eastAsia="Times New Roman"/>
                <w:b/>
                <w:bCs/>
                <w:color w:val="000000"/>
                <w:sz w:val="18"/>
                <w:szCs w:val="18"/>
                <w:lang w:val="en-IE" w:eastAsia="en-IE"/>
              </w:rPr>
              <w:t>TOTAL</w:t>
            </w:r>
            <w:r w:rsidRPr="007D2540">
              <w:rPr>
                <w:rFonts w:eastAsia="Times New Roman"/>
                <w:b/>
                <w:bCs/>
                <w:color w:val="000000"/>
                <w:sz w:val="18"/>
                <w:szCs w:val="18"/>
                <w:lang w:val="en-IE" w:eastAsia="en-IE"/>
              </w:rPr>
              <w:br/>
              <w:t>2021 - 2027</w:t>
            </w:r>
          </w:p>
        </w:tc>
      </w:tr>
      <w:tr w:rsidR="00D37F2D" w:rsidRPr="007D2540" w14:paraId="51DFBCD7" w14:textId="77777777">
        <w:trPr>
          <w:trHeight w:val="874"/>
        </w:trPr>
        <w:tc>
          <w:tcPr>
            <w:tcW w:w="3488" w:type="dxa"/>
            <w:vMerge/>
            <w:tcBorders>
              <w:top w:val="single" w:sz="8" w:space="0" w:color="auto"/>
              <w:left w:val="single" w:sz="8" w:space="0" w:color="auto"/>
              <w:bottom w:val="single" w:sz="8" w:space="0" w:color="000000"/>
              <w:right w:val="single" w:sz="8" w:space="0" w:color="auto"/>
            </w:tcBorders>
            <w:vAlign w:val="center"/>
            <w:hideMark/>
          </w:tcPr>
          <w:p w14:paraId="0025A6E4" w14:textId="77777777" w:rsidR="00D37F2D" w:rsidRPr="007D2540" w:rsidRDefault="00D37F2D">
            <w:pPr>
              <w:spacing w:before="0" w:after="0"/>
              <w:jc w:val="left"/>
              <w:rPr>
                <w:rFonts w:eastAsia="Times New Roman"/>
                <w:b/>
                <w:bCs/>
                <w:color w:val="000000"/>
                <w:sz w:val="18"/>
                <w:szCs w:val="18"/>
                <w:lang w:val="en-IE" w:eastAsia="en-IE"/>
              </w:rPr>
            </w:pPr>
          </w:p>
        </w:tc>
        <w:tc>
          <w:tcPr>
            <w:tcW w:w="896" w:type="dxa"/>
            <w:tcBorders>
              <w:top w:val="nil"/>
              <w:left w:val="nil"/>
              <w:bottom w:val="single" w:sz="8" w:space="0" w:color="auto"/>
              <w:right w:val="single" w:sz="8" w:space="0" w:color="auto"/>
            </w:tcBorders>
            <w:shd w:val="clear" w:color="auto" w:fill="auto"/>
            <w:vAlign w:val="center"/>
            <w:hideMark/>
          </w:tcPr>
          <w:p w14:paraId="3F8022F0" w14:textId="77777777" w:rsidR="00D37F2D" w:rsidRPr="007D2540" w:rsidRDefault="00D37F2D">
            <w:pPr>
              <w:spacing w:before="0" w:after="0"/>
              <w:jc w:val="center"/>
              <w:rPr>
                <w:rFonts w:eastAsia="Times New Roman"/>
                <w:b/>
                <w:bCs/>
                <w:color w:val="000000"/>
                <w:sz w:val="18"/>
                <w:szCs w:val="18"/>
                <w:lang w:val="en-IE" w:eastAsia="en-IE"/>
              </w:rPr>
            </w:pPr>
            <w:r w:rsidRPr="007D2540">
              <w:rPr>
                <w:rFonts w:eastAsia="Times New Roman"/>
                <w:b/>
                <w:bCs/>
                <w:color w:val="000000"/>
                <w:sz w:val="18"/>
                <w:szCs w:val="18"/>
                <w:lang w:val="en-IE" w:eastAsia="en-IE"/>
              </w:rPr>
              <w:t>2024</w:t>
            </w:r>
          </w:p>
        </w:tc>
        <w:tc>
          <w:tcPr>
            <w:tcW w:w="915" w:type="dxa"/>
            <w:tcBorders>
              <w:top w:val="nil"/>
              <w:left w:val="nil"/>
              <w:bottom w:val="single" w:sz="8" w:space="0" w:color="auto"/>
              <w:right w:val="single" w:sz="8" w:space="0" w:color="auto"/>
            </w:tcBorders>
            <w:shd w:val="clear" w:color="auto" w:fill="auto"/>
            <w:vAlign w:val="center"/>
            <w:hideMark/>
          </w:tcPr>
          <w:p w14:paraId="31C92E2D" w14:textId="77777777" w:rsidR="00D37F2D" w:rsidRPr="007D2540" w:rsidRDefault="00D37F2D">
            <w:pPr>
              <w:spacing w:before="0" w:after="0"/>
              <w:jc w:val="center"/>
              <w:rPr>
                <w:rFonts w:eastAsia="Times New Roman"/>
                <w:b/>
                <w:bCs/>
                <w:color w:val="000000"/>
                <w:sz w:val="18"/>
                <w:szCs w:val="18"/>
                <w:lang w:val="en-IE" w:eastAsia="en-IE"/>
              </w:rPr>
            </w:pPr>
            <w:r w:rsidRPr="007D2540">
              <w:rPr>
                <w:rFonts w:eastAsia="Times New Roman"/>
                <w:b/>
                <w:bCs/>
                <w:color w:val="000000"/>
                <w:sz w:val="18"/>
                <w:szCs w:val="18"/>
                <w:lang w:val="en-IE" w:eastAsia="en-IE"/>
              </w:rPr>
              <w:t>2025</w:t>
            </w:r>
          </w:p>
        </w:tc>
        <w:tc>
          <w:tcPr>
            <w:tcW w:w="915" w:type="dxa"/>
            <w:tcBorders>
              <w:top w:val="nil"/>
              <w:left w:val="nil"/>
              <w:bottom w:val="single" w:sz="8" w:space="0" w:color="auto"/>
              <w:right w:val="single" w:sz="8" w:space="0" w:color="auto"/>
            </w:tcBorders>
            <w:shd w:val="clear" w:color="auto" w:fill="auto"/>
            <w:vAlign w:val="center"/>
            <w:hideMark/>
          </w:tcPr>
          <w:p w14:paraId="0DFD462C" w14:textId="77777777" w:rsidR="00D37F2D" w:rsidRPr="007D2540" w:rsidRDefault="00D37F2D">
            <w:pPr>
              <w:spacing w:before="0" w:after="0"/>
              <w:jc w:val="center"/>
              <w:rPr>
                <w:rFonts w:eastAsia="Times New Roman"/>
                <w:b/>
                <w:bCs/>
                <w:color w:val="000000"/>
                <w:sz w:val="18"/>
                <w:szCs w:val="18"/>
                <w:lang w:val="en-IE" w:eastAsia="en-IE"/>
              </w:rPr>
            </w:pPr>
            <w:r w:rsidRPr="007D2540">
              <w:rPr>
                <w:rFonts w:eastAsia="Times New Roman"/>
                <w:b/>
                <w:bCs/>
                <w:color w:val="000000"/>
                <w:sz w:val="18"/>
                <w:szCs w:val="18"/>
                <w:lang w:val="en-IE" w:eastAsia="en-IE"/>
              </w:rPr>
              <w:t>2026</w:t>
            </w:r>
          </w:p>
        </w:tc>
        <w:tc>
          <w:tcPr>
            <w:tcW w:w="915" w:type="dxa"/>
            <w:tcBorders>
              <w:top w:val="nil"/>
              <w:left w:val="nil"/>
              <w:bottom w:val="single" w:sz="8" w:space="0" w:color="auto"/>
              <w:right w:val="single" w:sz="8" w:space="0" w:color="auto"/>
            </w:tcBorders>
            <w:shd w:val="clear" w:color="auto" w:fill="auto"/>
            <w:vAlign w:val="center"/>
            <w:hideMark/>
          </w:tcPr>
          <w:p w14:paraId="4879C6F2" w14:textId="77777777" w:rsidR="00D37F2D" w:rsidRPr="007D2540" w:rsidRDefault="00D37F2D">
            <w:pPr>
              <w:spacing w:before="0" w:after="0"/>
              <w:jc w:val="center"/>
              <w:rPr>
                <w:rFonts w:eastAsia="Times New Roman"/>
                <w:b/>
                <w:bCs/>
                <w:color w:val="000000"/>
                <w:sz w:val="18"/>
                <w:szCs w:val="18"/>
                <w:lang w:val="en-IE" w:eastAsia="en-IE"/>
              </w:rPr>
            </w:pPr>
            <w:r w:rsidRPr="007D2540">
              <w:rPr>
                <w:rFonts w:eastAsia="Times New Roman"/>
                <w:b/>
                <w:bCs/>
                <w:color w:val="000000"/>
                <w:sz w:val="18"/>
                <w:szCs w:val="18"/>
                <w:lang w:val="en-IE" w:eastAsia="en-IE"/>
              </w:rPr>
              <w:t>2027</w:t>
            </w:r>
          </w:p>
        </w:tc>
        <w:tc>
          <w:tcPr>
            <w:tcW w:w="1011" w:type="dxa"/>
            <w:vMerge/>
            <w:tcBorders>
              <w:top w:val="single" w:sz="8" w:space="0" w:color="auto"/>
              <w:left w:val="single" w:sz="8" w:space="0" w:color="auto"/>
              <w:bottom w:val="single" w:sz="8" w:space="0" w:color="000000"/>
              <w:right w:val="single" w:sz="8" w:space="0" w:color="auto"/>
            </w:tcBorders>
            <w:vAlign w:val="center"/>
            <w:hideMark/>
          </w:tcPr>
          <w:p w14:paraId="02D21E44" w14:textId="77777777" w:rsidR="00D37F2D" w:rsidRPr="007D2540" w:rsidRDefault="00D37F2D">
            <w:pPr>
              <w:spacing w:before="0" w:after="0"/>
              <w:jc w:val="left"/>
              <w:rPr>
                <w:rFonts w:eastAsia="Times New Roman"/>
                <w:b/>
                <w:bCs/>
                <w:color w:val="000000"/>
                <w:sz w:val="18"/>
                <w:szCs w:val="18"/>
                <w:lang w:val="en-IE" w:eastAsia="en-IE"/>
              </w:rPr>
            </w:pPr>
          </w:p>
        </w:tc>
      </w:tr>
      <w:tr w:rsidR="00D37F2D" w:rsidRPr="007D2540" w14:paraId="682AB774" w14:textId="77777777">
        <w:trPr>
          <w:trHeight w:val="531"/>
        </w:trPr>
        <w:tc>
          <w:tcPr>
            <w:tcW w:w="8140" w:type="dxa"/>
            <w:gridSpan w:val="6"/>
            <w:tcBorders>
              <w:top w:val="single" w:sz="8" w:space="0" w:color="auto"/>
              <w:left w:val="single" w:sz="8" w:space="0" w:color="auto"/>
              <w:bottom w:val="single" w:sz="8" w:space="0" w:color="auto"/>
              <w:right w:val="nil"/>
            </w:tcBorders>
            <w:shd w:val="clear" w:color="auto" w:fill="auto"/>
            <w:vAlign w:val="center"/>
            <w:hideMark/>
          </w:tcPr>
          <w:p w14:paraId="0F5C6F69" w14:textId="77777777" w:rsidR="00D37F2D" w:rsidRPr="007D2540" w:rsidRDefault="00D37F2D">
            <w:pPr>
              <w:spacing w:before="0" w:after="0"/>
              <w:jc w:val="left"/>
              <w:rPr>
                <w:rFonts w:eastAsia="Times New Roman"/>
                <w:b/>
                <w:bCs/>
                <w:sz w:val="16"/>
                <w:szCs w:val="16"/>
                <w:lang w:val="en-IE" w:eastAsia="en-IE"/>
              </w:rPr>
            </w:pPr>
            <w:r w:rsidRPr="007D2540">
              <w:rPr>
                <w:rFonts w:eastAsia="Times New Roman"/>
                <w:b/>
                <w:bCs/>
                <w:sz w:val="16"/>
                <w:szCs w:val="16"/>
                <w:lang w:val="en-IE" w:eastAsia="en-IE"/>
              </w:rPr>
              <w:t>HEADING 7</w:t>
            </w:r>
          </w:p>
        </w:tc>
      </w:tr>
      <w:tr w:rsidR="00D37F2D" w:rsidRPr="007D2540" w14:paraId="2DE18FE8" w14:textId="77777777">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49CCD2B4" w14:textId="77777777" w:rsidR="00D37F2D" w:rsidRPr="007D2540" w:rsidRDefault="00D37F2D">
            <w:pPr>
              <w:spacing w:before="0" w:after="0"/>
              <w:jc w:val="left"/>
              <w:rPr>
                <w:rFonts w:eastAsia="Times New Roman"/>
                <w:color w:val="000000"/>
                <w:sz w:val="16"/>
                <w:szCs w:val="16"/>
                <w:lang w:val="en-IE" w:eastAsia="en-IE"/>
              </w:rPr>
            </w:pPr>
            <w:r w:rsidRPr="007D2540">
              <w:rPr>
                <w:rFonts w:eastAsia="Times New Roman"/>
                <w:color w:val="000000"/>
                <w:sz w:val="16"/>
                <w:szCs w:val="16"/>
                <w:lang w:val="en-IE" w:eastAsia="en-IE"/>
              </w:rPr>
              <w:t xml:space="preserve">Human resources </w:t>
            </w:r>
          </w:p>
        </w:tc>
        <w:tc>
          <w:tcPr>
            <w:tcW w:w="896" w:type="dxa"/>
            <w:tcBorders>
              <w:top w:val="nil"/>
              <w:left w:val="nil"/>
              <w:bottom w:val="single" w:sz="8" w:space="0" w:color="auto"/>
              <w:right w:val="single" w:sz="8" w:space="0" w:color="auto"/>
            </w:tcBorders>
            <w:shd w:val="clear" w:color="000000" w:fill="D9D9D9"/>
            <w:vAlign w:val="center"/>
            <w:hideMark/>
          </w:tcPr>
          <w:p w14:paraId="51BC1D01" w14:textId="77777777" w:rsidR="00D37F2D" w:rsidRPr="007D2540"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38B1927F" w14:textId="77777777" w:rsidR="00D37F2D" w:rsidRPr="007D2540"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915"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0F4DD188" w14:textId="77777777" w:rsidR="00D37F2D" w:rsidRPr="007D2540" w:rsidRDefault="00D37F2D">
            <w:pPr>
              <w:spacing w:before="0" w:after="0"/>
              <w:jc w:val="right"/>
              <w:rPr>
                <w:rFonts w:eastAsia="Times New Roman"/>
                <w:color w:val="000000"/>
                <w:sz w:val="16"/>
                <w:szCs w:val="16"/>
                <w:lang w:val="en-IE" w:eastAsia="en-IE"/>
              </w:rPr>
            </w:pPr>
            <w:r w:rsidRPr="006042E7">
              <w:rPr>
                <w:rFonts w:eastAsia="Times New Roman"/>
                <w:color w:val="000000"/>
                <w:sz w:val="16"/>
                <w:szCs w:val="16"/>
                <w:lang w:val="en-IE" w:eastAsia="en-IE"/>
              </w:rPr>
              <w:t>1,793</w:t>
            </w:r>
          </w:p>
        </w:tc>
        <w:tc>
          <w:tcPr>
            <w:tcW w:w="915" w:type="dxa"/>
            <w:tcBorders>
              <w:top w:val="single" w:sz="8" w:space="0" w:color="auto"/>
              <w:left w:val="nil"/>
              <w:bottom w:val="single" w:sz="8" w:space="0" w:color="auto"/>
              <w:right w:val="single" w:sz="8" w:space="0" w:color="auto"/>
            </w:tcBorders>
            <w:shd w:val="clear" w:color="000000" w:fill="D9D9D9"/>
            <w:vAlign w:val="center"/>
            <w:hideMark/>
          </w:tcPr>
          <w:p w14:paraId="376BF525" w14:textId="77777777" w:rsidR="00D37F2D" w:rsidRPr="007D2540" w:rsidRDefault="00D37F2D">
            <w:pPr>
              <w:spacing w:before="0" w:after="0"/>
              <w:jc w:val="right"/>
              <w:rPr>
                <w:rFonts w:eastAsia="Times New Roman"/>
                <w:color w:val="000000"/>
                <w:sz w:val="16"/>
                <w:szCs w:val="16"/>
                <w:lang w:val="en-IE" w:eastAsia="en-IE"/>
              </w:rPr>
            </w:pPr>
            <w:r w:rsidRPr="006042E7">
              <w:rPr>
                <w:rFonts w:eastAsia="Times New Roman"/>
                <w:color w:val="000000"/>
                <w:sz w:val="16"/>
                <w:szCs w:val="16"/>
                <w:lang w:val="en-IE" w:eastAsia="en-IE"/>
              </w:rPr>
              <w:t>3,586</w:t>
            </w:r>
          </w:p>
        </w:tc>
        <w:tc>
          <w:tcPr>
            <w:tcW w:w="1011" w:type="dxa"/>
            <w:tcBorders>
              <w:top w:val="single" w:sz="8" w:space="0" w:color="auto"/>
              <w:left w:val="nil"/>
              <w:bottom w:val="single" w:sz="8" w:space="0" w:color="auto"/>
              <w:right w:val="single" w:sz="8" w:space="0" w:color="auto"/>
            </w:tcBorders>
            <w:shd w:val="clear" w:color="000000" w:fill="D9D9D9"/>
            <w:vAlign w:val="center"/>
            <w:hideMark/>
          </w:tcPr>
          <w:p w14:paraId="43A862C2" w14:textId="77777777" w:rsidR="00D37F2D" w:rsidRPr="007D2540" w:rsidRDefault="00D37F2D">
            <w:pPr>
              <w:spacing w:before="0" w:after="0"/>
              <w:jc w:val="right"/>
              <w:rPr>
                <w:rFonts w:eastAsia="Times New Roman"/>
                <w:b/>
                <w:bCs/>
                <w:color w:val="000000"/>
                <w:sz w:val="16"/>
                <w:szCs w:val="16"/>
                <w:lang w:val="en-IE" w:eastAsia="en-IE"/>
              </w:rPr>
            </w:pPr>
            <w:r w:rsidRPr="006042E7">
              <w:rPr>
                <w:rFonts w:eastAsia="Times New Roman"/>
                <w:color w:val="000000"/>
                <w:sz w:val="16"/>
                <w:szCs w:val="16"/>
                <w:lang w:val="en-IE" w:eastAsia="en-IE"/>
              </w:rPr>
              <w:t>5,379</w:t>
            </w:r>
          </w:p>
        </w:tc>
      </w:tr>
      <w:tr w:rsidR="00D37F2D" w:rsidRPr="007D2540" w14:paraId="5F39A735" w14:textId="77777777">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415A928B" w14:textId="77777777" w:rsidR="00D37F2D" w:rsidRPr="007D2540" w:rsidRDefault="00D37F2D">
            <w:pPr>
              <w:spacing w:before="0" w:after="0"/>
              <w:jc w:val="left"/>
              <w:rPr>
                <w:rFonts w:eastAsia="Times New Roman"/>
                <w:color w:val="000000"/>
                <w:sz w:val="16"/>
                <w:szCs w:val="16"/>
                <w:lang w:val="en-IE" w:eastAsia="en-IE"/>
              </w:rPr>
            </w:pPr>
            <w:r w:rsidRPr="007D2540">
              <w:rPr>
                <w:rFonts w:eastAsia="Times New Roman"/>
                <w:color w:val="000000"/>
                <w:sz w:val="16"/>
                <w:szCs w:val="16"/>
                <w:lang w:val="en-IE" w:eastAsia="en-IE"/>
              </w:rPr>
              <w:t xml:space="preserve">Other administrative expenditure </w:t>
            </w:r>
          </w:p>
        </w:tc>
        <w:tc>
          <w:tcPr>
            <w:tcW w:w="896" w:type="dxa"/>
            <w:tcBorders>
              <w:top w:val="nil"/>
              <w:left w:val="nil"/>
              <w:bottom w:val="single" w:sz="8" w:space="0" w:color="auto"/>
              <w:right w:val="single" w:sz="8" w:space="0" w:color="auto"/>
            </w:tcBorders>
            <w:shd w:val="clear" w:color="000000" w:fill="D9D9D9"/>
            <w:vAlign w:val="center"/>
            <w:hideMark/>
          </w:tcPr>
          <w:p w14:paraId="4AB4C17A" w14:textId="77777777" w:rsidR="00D37F2D" w:rsidRPr="007D2540"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136F3D24" w14:textId="77777777" w:rsidR="00D37F2D" w:rsidRPr="007D2540" w:rsidRDefault="00D37F2D">
            <w:pPr>
              <w:spacing w:before="0" w:after="0"/>
              <w:jc w:val="right"/>
              <w:rPr>
                <w:rFonts w:eastAsia="Times New Roman"/>
                <w:color w:val="000000"/>
                <w:sz w:val="16"/>
                <w:szCs w:val="16"/>
                <w:lang w:val="en-IE" w:eastAsia="en-IE"/>
              </w:rPr>
            </w:pPr>
            <w:r w:rsidRPr="002C4467">
              <w:rPr>
                <w:rFonts w:eastAsia="Times New Roman"/>
                <w:color w:val="000000"/>
                <w:sz w:val="16"/>
                <w:szCs w:val="16"/>
                <w:lang w:val="en-IE" w:eastAsia="en-IE"/>
              </w:rPr>
              <w:t>0,000</w:t>
            </w:r>
          </w:p>
        </w:tc>
        <w:tc>
          <w:tcPr>
            <w:tcW w:w="915" w:type="dxa"/>
            <w:tcBorders>
              <w:top w:val="nil"/>
              <w:left w:val="single" w:sz="8" w:space="0" w:color="auto"/>
              <w:bottom w:val="single" w:sz="8" w:space="0" w:color="auto"/>
              <w:right w:val="single" w:sz="8" w:space="0" w:color="auto"/>
            </w:tcBorders>
            <w:shd w:val="clear" w:color="000000" w:fill="D9D9D9"/>
            <w:vAlign w:val="center"/>
            <w:hideMark/>
          </w:tcPr>
          <w:p w14:paraId="2D893D0F" w14:textId="77777777" w:rsidR="00D37F2D" w:rsidRPr="007D2540" w:rsidRDefault="00D37F2D">
            <w:pPr>
              <w:spacing w:before="0" w:after="0"/>
              <w:jc w:val="right"/>
              <w:rPr>
                <w:rFonts w:eastAsia="Times New Roman"/>
                <w:color w:val="000000"/>
                <w:sz w:val="16"/>
                <w:szCs w:val="16"/>
                <w:lang w:val="en-IE" w:eastAsia="en-IE"/>
              </w:rPr>
            </w:pPr>
            <w:r w:rsidRPr="006042E7">
              <w:rPr>
                <w:rFonts w:eastAsia="Times New Roman"/>
                <w:color w:val="000000"/>
                <w:sz w:val="16"/>
                <w:szCs w:val="16"/>
                <w:lang w:val="en-IE" w:eastAsia="en-IE"/>
              </w:rPr>
              <w:t>0,035</w:t>
            </w:r>
          </w:p>
        </w:tc>
        <w:tc>
          <w:tcPr>
            <w:tcW w:w="915" w:type="dxa"/>
            <w:tcBorders>
              <w:top w:val="nil"/>
              <w:left w:val="nil"/>
              <w:bottom w:val="single" w:sz="8" w:space="0" w:color="auto"/>
              <w:right w:val="single" w:sz="8" w:space="0" w:color="auto"/>
            </w:tcBorders>
            <w:shd w:val="clear" w:color="000000" w:fill="D9D9D9"/>
            <w:vAlign w:val="center"/>
            <w:hideMark/>
          </w:tcPr>
          <w:p w14:paraId="04F83E05" w14:textId="77777777" w:rsidR="00D37F2D" w:rsidRPr="007D2540" w:rsidRDefault="00D37F2D">
            <w:pPr>
              <w:spacing w:before="0" w:after="0"/>
              <w:jc w:val="right"/>
              <w:rPr>
                <w:rFonts w:eastAsia="Times New Roman"/>
                <w:color w:val="000000"/>
                <w:sz w:val="16"/>
                <w:szCs w:val="16"/>
                <w:lang w:val="en-IE" w:eastAsia="en-IE"/>
              </w:rPr>
            </w:pPr>
            <w:r w:rsidRPr="006042E7">
              <w:rPr>
                <w:rFonts w:eastAsia="Times New Roman"/>
                <w:color w:val="000000"/>
                <w:sz w:val="16"/>
                <w:szCs w:val="16"/>
                <w:lang w:val="en-IE" w:eastAsia="en-IE"/>
              </w:rPr>
              <w:t>0,070</w:t>
            </w:r>
          </w:p>
        </w:tc>
        <w:tc>
          <w:tcPr>
            <w:tcW w:w="1011" w:type="dxa"/>
            <w:tcBorders>
              <w:top w:val="nil"/>
              <w:left w:val="nil"/>
              <w:bottom w:val="single" w:sz="8" w:space="0" w:color="auto"/>
              <w:right w:val="single" w:sz="8" w:space="0" w:color="auto"/>
            </w:tcBorders>
            <w:shd w:val="clear" w:color="000000" w:fill="D9D9D9"/>
            <w:vAlign w:val="center"/>
            <w:hideMark/>
          </w:tcPr>
          <w:p w14:paraId="427009ED" w14:textId="77777777" w:rsidR="00D37F2D" w:rsidRPr="007D2540" w:rsidRDefault="00D37F2D">
            <w:pPr>
              <w:spacing w:before="0" w:after="0"/>
              <w:jc w:val="right"/>
              <w:rPr>
                <w:rFonts w:eastAsia="Times New Roman"/>
                <w:b/>
                <w:bCs/>
                <w:color w:val="000000"/>
                <w:sz w:val="16"/>
                <w:szCs w:val="16"/>
                <w:lang w:val="en-IE" w:eastAsia="en-IE"/>
              </w:rPr>
            </w:pPr>
            <w:r w:rsidRPr="006042E7">
              <w:rPr>
                <w:rFonts w:eastAsia="Times New Roman"/>
                <w:color w:val="000000"/>
                <w:sz w:val="16"/>
                <w:szCs w:val="16"/>
                <w:lang w:val="en-IE" w:eastAsia="en-IE"/>
              </w:rPr>
              <w:t>0,105</w:t>
            </w:r>
          </w:p>
        </w:tc>
      </w:tr>
      <w:tr w:rsidR="00D37F2D" w:rsidRPr="007D2540" w14:paraId="16743821" w14:textId="77777777">
        <w:trPr>
          <w:trHeight w:val="531"/>
        </w:trPr>
        <w:tc>
          <w:tcPr>
            <w:tcW w:w="3488" w:type="dxa"/>
            <w:tcBorders>
              <w:top w:val="nil"/>
              <w:left w:val="single" w:sz="8" w:space="0" w:color="auto"/>
              <w:bottom w:val="single" w:sz="8" w:space="0" w:color="auto"/>
              <w:right w:val="single" w:sz="8" w:space="0" w:color="auto"/>
            </w:tcBorders>
            <w:shd w:val="clear" w:color="000000" w:fill="CCCCCC"/>
            <w:vAlign w:val="center"/>
            <w:hideMark/>
          </w:tcPr>
          <w:p w14:paraId="41D07B7D" w14:textId="77777777" w:rsidR="00D37F2D" w:rsidRPr="007D2540" w:rsidRDefault="00D37F2D">
            <w:pPr>
              <w:spacing w:before="0" w:after="0"/>
              <w:jc w:val="center"/>
              <w:rPr>
                <w:rFonts w:eastAsia="Times New Roman"/>
                <w:b/>
                <w:bCs/>
                <w:color w:val="000000"/>
                <w:sz w:val="16"/>
                <w:szCs w:val="16"/>
                <w:lang w:val="en-IE" w:eastAsia="en-IE"/>
              </w:rPr>
            </w:pPr>
            <w:r w:rsidRPr="007D2540">
              <w:rPr>
                <w:rFonts w:eastAsia="Times New Roman"/>
                <w:b/>
                <w:bCs/>
                <w:color w:val="000000"/>
                <w:sz w:val="16"/>
                <w:szCs w:val="16"/>
                <w:lang w:val="en-IE" w:eastAsia="en-IE"/>
              </w:rPr>
              <w:t>Subtotal HEADING 7</w:t>
            </w:r>
          </w:p>
        </w:tc>
        <w:tc>
          <w:tcPr>
            <w:tcW w:w="896" w:type="dxa"/>
            <w:tcBorders>
              <w:top w:val="nil"/>
              <w:left w:val="nil"/>
              <w:bottom w:val="single" w:sz="8" w:space="0" w:color="auto"/>
              <w:right w:val="single" w:sz="8" w:space="0" w:color="auto"/>
            </w:tcBorders>
            <w:shd w:val="clear" w:color="000000" w:fill="D9D9D9"/>
            <w:vAlign w:val="center"/>
            <w:hideMark/>
          </w:tcPr>
          <w:p w14:paraId="761E3F13" w14:textId="77777777" w:rsidR="00D37F2D" w:rsidRPr="007D2540" w:rsidRDefault="00D37F2D">
            <w:pPr>
              <w:spacing w:before="0" w:after="0"/>
              <w:jc w:val="right"/>
              <w:rPr>
                <w:rFonts w:eastAsia="Times New Roman"/>
                <w:b/>
                <w:bCs/>
                <w:color w:val="000000"/>
                <w:sz w:val="16"/>
                <w:szCs w:val="16"/>
                <w:lang w:val="en-IE" w:eastAsia="en-IE"/>
              </w:rPr>
            </w:pPr>
            <w:r w:rsidRPr="006042E7">
              <w:rPr>
                <w:rFonts w:eastAsia="Times New Roman"/>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0166C5D9" w14:textId="77777777" w:rsidR="00D37F2D" w:rsidRPr="007D2540" w:rsidRDefault="00D37F2D">
            <w:pPr>
              <w:spacing w:before="0" w:after="0"/>
              <w:jc w:val="right"/>
              <w:rPr>
                <w:rFonts w:eastAsia="Times New Roman"/>
                <w:b/>
                <w:bCs/>
                <w:color w:val="000000"/>
                <w:sz w:val="16"/>
                <w:szCs w:val="16"/>
                <w:lang w:val="en-IE" w:eastAsia="en-IE"/>
              </w:rPr>
            </w:pPr>
            <w:r w:rsidRPr="006042E7">
              <w:rPr>
                <w:rFonts w:eastAsia="Times New Roman"/>
                <w:color w:val="000000"/>
                <w:sz w:val="16"/>
                <w:szCs w:val="16"/>
                <w:lang w:val="en-IE" w:eastAsia="en-IE"/>
              </w:rPr>
              <w:t>0,000</w:t>
            </w:r>
          </w:p>
        </w:tc>
        <w:tc>
          <w:tcPr>
            <w:tcW w:w="915" w:type="dxa"/>
            <w:tcBorders>
              <w:top w:val="nil"/>
              <w:left w:val="single" w:sz="8" w:space="0" w:color="auto"/>
              <w:bottom w:val="single" w:sz="8" w:space="0" w:color="auto"/>
              <w:right w:val="single" w:sz="8" w:space="0" w:color="auto"/>
            </w:tcBorders>
            <w:shd w:val="clear" w:color="000000" w:fill="D9D9D9"/>
            <w:vAlign w:val="center"/>
            <w:hideMark/>
          </w:tcPr>
          <w:p w14:paraId="5EC0D8BE" w14:textId="77777777" w:rsidR="00D37F2D" w:rsidRPr="007D2540" w:rsidRDefault="00D37F2D">
            <w:pPr>
              <w:spacing w:before="0" w:after="0"/>
              <w:jc w:val="right"/>
              <w:rPr>
                <w:rFonts w:eastAsia="Times New Roman"/>
                <w:b/>
                <w:bCs/>
                <w:color w:val="000000"/>
                <w:sz w:val="16"/>
                <w:szCs w:val="16"/>
                <w:lang w:val="en-IE" w:eastAsia="en-IE"/>
              </w:rPr>
            </w:pPr>
            <w:r w:rsidRPr="006042E7">
              <w:rPr>
                <w:rFonts w:eastAsia="Times New Roman"/>
                <w:color w:val="000000"/>
                <w:sz w:val="16"/>
                <w:szCs w:val="16"/>
                <w:lang w:val="en-IE" w:eastAsia="en-IE"/>
              </w:rPr>
              <w:t>1,828</w:t>
            </w:r>
          </w:p>
        </w:tc>
        <w:tc>
          <w:tcPr>
            <w:tcW w:w="915" w:type="dxa"/>
            <w:tcBorders>
              <w:top w:val="nil"/>
              <w:left w:val="nil"/>
              <w:bottom w:val="single" w:sz="8" w:space="0" w:color="auto"/>
              <w:right w:val="single" w:sz="8" w:space="0" w:color="auto"/>
            </w:tcBorders>
            <w:shd w:val="clear" w:color="000000" w:fill="D9D9D9"/>
            <w:vAlign w:val="center"/>
            <w:hideMark/>
          </w:tcPr>
          <w:p w14:paraId="2747D2BC" w14:textId="77777777" w:rsidR="00D37F2D" w:rsidRPr="007D2540" w:rsidRDefault="00D37F2D">
            <w:pPr>
              <w:spacing w:before="0" w:after="0"/>
              <w:jc w:val="right"/>
              <w:rPr>
                <w:rFonts w:eastAsia="Times New Roman"/>
                <w:b/>
                <w:bCs/>
                <w:color w:val="000000"/>
                <w:sz w:val="16"/>
                <w:szCs w:val="16"/>
                <w:lang w:val="en-IE" w:eastAsia="en-IE"/>
              </w:rPr>
            </w:pPr>
            <w:r w:rsidRPr="006042E7">
              <w:rPr>
                <w:rFonts w:eastAsia="Times New Roman"/>
                <w:color w:val="000000"/>
                <w:sz w:val="16"/>
                <w:szCs w:val="16"/>
                <w:lang w:val="en-IE" w:eastAsia="en-IE"/>
              </w:rPr>
              <w:t>3,656</w:t>
            </w:r>
          </w:p>
        </w:tc>
        <w:tc>
          <w:tcPr>
            <w:tcW w:w="1011" w:type="dxa"/>
            <w:tcBorders>
              <w:top w:val="nil"/>
              <w:left w:val="nil"/>
              <w:bottom w:val="single" w:sz="8" w:space="0" w:color="auto"/>
              <w:right w:val="single" w:sz="8" w:space="0" w:color="auto"/>
            </w:tcBorders>
            <w:shd w:val="clear" w:color="000000" w:fill="D9D9D9"/>
            <w:vAlign w:val="center"/>
            <w:hideMark/>
          </w:tcPr>
          <w:p w14:paraId="096C2FD8" w14:textId="77777777" w:rsidR="00D37F2D" w:rsidRPr="007D2540" w:rsidRDefault="00D37F2D">
            <w:pPr>
              <w:spacing w:before="0" w:after="0"/>
              <w:jc w:val="right"/>
              <w:rPr>
                <w:rFonts w:eastAsia="Times New Roman"/>
                <w:b/>
                <w:bCs/>
                <w:color w:val="000000"/>
                <w:sz w:val="16"/>
                <w:szCs w:val="16"/>
                <w:lang w:val="en-IE" w:eastAsia="en-IE"/>
              </w:rPr>
            </w:pPr>
            <w:r w:rsidRPr="006042E7">
              <w:rPr>
                <w:rFonts w:eastAsia="Times New Roman"/>
                <w:color w:val="000000"/>
                <w:sz w:val="16"/>
                <w:szCs w:val="16"/>
                <w:lang w:val="en-IE" w:eastAsia="en-IE"/>
              </w:rPr>
              <w:t>5,484</w:t>
            </w:r>
          </w:p>
        </w:tc>
      </w:tr>
      <w:tr w:rsidR="00D37F2D" w:rsidRPr="007D2540" w14:paraId="47441CE4" w14:textId="77777777">
        <w:trPr>
          <w:trHeight w:val="531"/>
        </w:trPr>
        <w:tc>
          <w:tcPr>
            <w:tcW w:w="8140" w:type="dxa"/>
            <w:gridSpan w:val="6"/>
            <w:tcBorders>
              <w:top w:val="single" w:sz="8" w:space="0" w:color="auto"/>
              <w:left w:val="single" w:sz="8" w:space="0" w:color="auto"/>
              <w:bottom w:val="single" w:sz="8" w:space="0" w:color="auto"/>
              <w:right w:val="nil"/>
            </w:tcBorders>
            <w:shd w:val="clear" w:color="auto" w:fill="auto"/>
            <w:vAlign w:val="center"/>
            <w:hideMark/>
          </w:tcPr>
          <w:p w14:paraId="039A087C" w14:textId="77777777" w:rsidR="00D37F2D" w:rsidRPr="007D2540" w:rsidRDefault="00D37F2D">
            <w:pPr>
              <w:spacing w:before="0" w:after="0"/>
              <w:jc w:val="left"/>
              <w:rPr>
                <w:rFonts w:eastAsia="Times New Roman"/>
                <w:b/>
                <w:bCs/>
                <w:sz w:val="16"/>
                <w:szCs w:val="16"/>
                <w:lang w:val="en-IE" w:eastAsia="en-IE"/>
              </w:rPr>
            </w:pPr>
            <w:r w:rsidRPr="007D2540">
              <w:rPr>
                <w:rFonts w:eastAsia="Times New Roman"/>
                <w:b/>
                <w:bCs/>
                <w:sz w:val="16"/>
                <w:szCs w:val="16"/>
                <w:lang w:val="en-IE" w:eastAsia="en-IE"/>
              </w:rPr>
              <w:t>Outside HEADING 7</w:t>
            </w:r>
          </w:p>
        </w:tc>
      </w:tr>
      <w:tr w:rsidR="00D37F2D" w:rsidRPr="007D2540" w14:paraId="2476888C" w14:textId="77777777">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1B15383D" w14:textId="77777777" w:rsidR="00D37F2D" w:rsidRPr="007D2540" w:rsidRDefault="00D37F2D">
            <w:pPr>
              <w:spacing w:before="0" w:after="0"/>
              <w:jc w:val="left"/>
              <w:rPr>
                <w:rFonts w:eastAsia="Times New Roman"/>
                <w:color w:val="000000"/>
                <w:sz w:val="16"/>
                <w:szCs w:val="16"/>
                <w:lang w:val="en-IE" w:eastAsia="en-IE"/>
              </w:rPr>
            </w:pPr>
            <w:r w:rsidRPr="007D2540">
              <w:rPr>
                <w:rFonts w:eastAsia="Times New Roman"/>
                <w:color w:val="000000"/>
                <w:sz w:val="16"/>
                <w:szCs w:val="16"/>
                <w:lang w:val="en-IE" w:eastAsia="en-IE"/>
              </w:rPr>
              <w:t xml:space="preserve">Human resources </w:t>
            </w:r>
          </w:p>
        </w:tc>
        <w:tc>
          <w:tcPr>
            <w:tcW w:w="896" w:type="dxa"/>
            <w:tcBorders>
              <w:top w:val="nil"/>
              <w:left w:val="nil"/>
              <w:bottom w:val="single" w:sz="8" w:space="0" w:color="auto"/>
              <w:right w:val="single" w:sz="8" w:space="0" w:color="auto"/>
            </w:tcBorders>
            <w:shd w:val="clear" w:color="000000" w:fill="D9D9D9"/>
            <w:vAlign w:val="center"/>
            <w:hideMark/>
          </w:tcPr>
          <w:p w14:paraId="181B34BC" w14:textId="77777777" w:rsidR="00D37F2D" w:rsidRPr="007D2540" w:rsidRDefault="00D37F2D">
            <w:pPr>
              <w:spacing w:before="0" w:after="0"/>
              <w:jc w:val="right"/>
              <w:rPr>
                <w:rFonts w:eastAsia="Times New Roman"/>
                <w:color w:val="000000"/>
                <w:sz w:val="16"/>
                <w:szCs w:val="16"/>
                <w:lang w:val="en-IE" w:eastAsia="en-IE"/>
              </w:rPr>
            </w:pPr>
            <w:r w:rsidRPr="007D2540">
              <w:rPr>
                <w:rFonts w:eastAsia="Times New Roman"/>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66C2C917" w14:textId="77777777" w:rsidR="00D37F2D" w:rsidRPr="007D2540" w:rsidRDefault="00D37F2D">
            <w:pPr>
              <w:spacing w:before="0" w:after="0"/>
              <w:jc w:val="right"/>
              <w:rPr>
                <w:rFonts w:eastAsia="Times New Roman"/>
                <w:color w:val="000000"/>
                <w:sz w:val="16"/>
                <w:szCs w:val="16"/>
                <w:lang w:val="en-IE" w:eastAsia="en-IE"/>
              </w:rPr>
            </w:pPr>
            <w:r w:rsidRPr="007D2540">
              <w:rPr>
                <w:rFonts w:eastAsia="Times New Roman"/>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59A96B6B" w14:textId="77777777" w:rsidR="00D37F2D" w:rsidRPr="007D2540" w:rsidRDefault="00D37F2D">
            <w:pPr>
              <w:spacing w:before="0" w:after="0"/>
              <w:jc w:val="right"/>
              <w:rPr>
                <w:rFonts w:eastAsia="Times New Roman"/>
                <w:color w:val="000000"/>
                <w:sz w:val="16"/>
                <w:szCs w:val="16"/>
                <w:lang w:val="en-IE" w:eastAsia="en-IE"/>
              </w:rPr>
            </w:pPr>
            <w:r w:rsidRPr="007D2540">
              <w:rPr>
                <w:rFonts w:eastAsia="Times New Roman"/>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538ACF92" w14:textId="77777777" w:rsidR="00D37F2D" w:rsidRPr="007D2540" w:rsidRDefault="00D37F2D">
            <w:pPr>
              <w:spacing w:before="0" w:after="0"/>
              <w:jc w:val="right"/>
              <w:rPr>
                <w:rFonts w:eastAsia="Times New Roman"/>
                <w:color w:val="000000"/>
                <w:sz w:val="16"/>
                <w:szCs w:val="16"/>
                <w:lang w:val="en-IE" w:eastAsia="en-IE"/>
              </w:rPr>
            </w:pPr>
            <w:r w:rsidRPr="007D2540">
              <w:rPr>
                <w:rFonts w:eastAsia="Times New Roman"/>
                <w:color w:val="000000"/>
                <w:sz w:val="16"/>
                <w:szCs w:val="16"/>
                <w:lang w:val="en-IE" w:eastAsia="en-IE"/>
              </w:rPr>
              <w:t>0,000</w:t>
            </w:r>
          </w:p>
        </w:tc>
        <w:tc>
          <w:tcPr>
            <w:tcW w:w="1011" w:type="dxa"/>
            <w:tcBorders>
              <w:top w:val="nil"/>
              <w:left w:val="nil"/>
              <w:bottom w:val="single" w:sz="8" w:space="0" w:color="auto"/>
              <w:right w:val="single" w:sz="8" w:space="0" w:color="auto"/>
            </w:tcBorders>
            <w:shd w:val="clear" w:color="000000" w:fill="D9D9D9"/>
            <w:vAlign w:val="center"/>
            <w:hideMark/>
          </w:tcPr>
          <w:p w14:paraId="0F49FCDE" w14:textId="77777777" w:rsidR="00D37F2D" w:rsidRPr="007D2540" w:rsidRDefault="00D37F2D">
            <w:pPr>
              <w:spacing w:before="0" w:after="0"/>
              <w:jc w:val="right"/>
              <w:rPr>
                <w:rFonts w:eastAsia="Times New Roman"/>
                <w:b/>
                <w:bCs/>
                <w:color w:val="000000"/>
                <w:sz w:val="16"/>
                <w:szCs w:val="16"/>
                <w:lang w:val="en-IE" w:eastAsia="en-IE"/>
              </w:rPr>
            </w:pPr>
            <w:r w:rsidRPr="007D2540">
              <w:rPr>
                <w:rFonts w:eastAsia="Times New Roman"/>
                <w:b/>
                <w:bCs/>
                <w:color w:val="000000"/>
                <w:sz w:val="16"/>
                <w:szCs w:val="16"/>
                <w:lang w:val="en-IE" w:eastAsia="en-IE"/>
              </w:rPr>
              <w:t>0,000</w:t>
            </w:r>
          </w:p>
        </w:tc>
      </w:tr>
      <w:tr w:rsidR="00D37F2D" w:rsidRPr="007D2540" w14:paraId="670BBE7E" w14:textId="77777777">
        <w:trPr>
          <w:trHeight w:val="531"/>
        </w:trPr>
        <w:tc>
          <w:tcPr>
            <w:tcW w:w="3488" w:type="dxa"/>
            <w:tcBorders>
              <w:top w:val="nil"/>
              <w:left w:val="single" w:sz="8" w:space="0" w:color="auto"/>
              <w:bottom w:val="single" w:sz="8" w:space="0" w:color="auto"/>
              <w:right w:val="single" w:sz="8" w:space="0" w:color="auto"/>
            </w:tcBorders>
            <w:shd w:val="clear" w:color="auto" w:fill="auto"/>
            <w:vAlign w:val="center"/>
            <w:hideMark/>
          </w:tcPr>
          <w:p w14:paraId="726129AA" w14:textId="77777777" w:rsidR="00D37F2D" w:rsidRPr="007D2540" w:rsidRDefault="00D37F2D">
            <w:pPr>
              <w:spacing w:before="0" w:after="0"/>
              <w:jc w:val="left"/>
              <w:rPr>
                <w:rFonts w:eastAsia="Times New Roman"/>
                <w:color w:val="000000"/>
                <w:sz w:val="16"/>
                <w:szCs w:val="16"/>
                <w:lang w:val="en-IE" w:eastAsia="en-IE"/>
              </w:rPr>
            </w:pPr>
            <w:r w:rsidRPr="007D2540">
              <w:rPr>
                <w:rFonts w:eastAsia="Times New Roman"/>
                <w:color w:val="000000"/>
                <w:sz w:val="16"/>
                <w:szCs w:val="16"/>
                <w:lang w:val="en-IE" w:eastAsia="en-IE"/>
              </w:rPr>
              <w:t>Other expenditure of an administrative nature</w:t>
            </w:r>
          </w:p>
        </w:tc>
        <w:tc>
          <w:tcPr>
            <w:tcW w:w="896" w:type="dxa"/>
            <w:tcBorders>
              <w:top w:val="nil"/>
              <w:left w:val="nil"/>
              <w:bottom w:val="single" w:sz="8" w:space="0" w:color="auto"/>
              <w:right w:val="single" w:sz="8" w:space="0" w:color="auto"/>
            </w:tcBorders>
            <w:shd w:val="clear" w:color="000000" w:fill="D9D9D9"/>
            <w:vAlign w:val="center"/>
            <w:hideMark/>
          </w:tcPr>
          <w:p w14:paraId="1488518D" w14:textId="77777777" w:rsidR="00D37F2D" w:rsidRPr="007D2540" w:rsidRDefault="00D37F2D">
            <w:pPr>
              <w:spacing w:before="0" w:after="0"/>
              <w:jc w:val="right"/>
              <w:rPr>
                <w:rFonts w:eastAsia="Times New Roman"/>
                <w:color w:val="000000"/>
                <w:sz w:val="16"/>
                <w:szCs w:val="16"/>
                <w:lang w:val="en-IE" w:eastAsia="en-IE"/>
              </w:rPr>
            </w:pPr>
            <w:r w:rsidRPr="007D2540">
              <w:rPr>
                <w:rFonts w:eastAsia="Times New Roman"/>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4CAD4C30" w14:textId="77777777" w:rsidR="00D37F2D" w:rsidRPr="007D2540" w:rsidRDefault="00D37F2D">
            <w:pPr>
              <w:spacing w:before="0" w:after="0"/>
              <w:jc w:val="right"/>
              <w:rPr>
                <w:rFonts w:eastAsia="Times New Roman"/>
                <w:color w:val="000000"/>
                <w:sz w:val="16"/>
                <w:szCs w:val="16"/>
                <w:lang w:val="en-IE" w:eastAsia="en-IE"/>
              </w:rPr>
            </w:pPr>
            <w:r w:rsidRPr="007D2540">
              <w:rPr>
                <w:rFonts w:eastAsia="Times New Roman"/>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2F50AF98" w14:textId="77777777" w:rsidR="00D37F2D" w:rsidRPr="007D2540" w:rsidRDefault="00D37F2D">
            <w:pPr>
              <w:spacing w:before="0" w:after="0"/>
              <w:jc w:val="right"/>
              <w:rPr>
                <w:rFonts w:eastAsia="Times New Roman"/>
                <w:color w:val="000000"/>
                <w:sz w:val="16"/>
                <w:szCs w:val="16"/>
                <w:lang w:val="en-IE" w:eastAsia="en-IE"/>
              </w:rPr>
            </w:pPr>
            <w:r w:rsidRPr="007D2540">
              <w:rPr>
                <w:rFonts w:eastAsia="Times New Roman"/>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456D321C" w14:textId="77777777" w:rsidR="00D37F2D" w:rsidRPr="007D2540" w:rsidRDefault="00D37F2D">
            <w:pPr>
              <w:spacing w:before="0" w:after="0"/>
              <w:jc w:val="right"/>
              <w:rPr>
                <w:rFonts w:eastAsia="Times New Roman"/>
                <w:color w:val="000000"/>
                <w:sz w:val="16"/>
                <w:szCs w:val="16"/>
                <w:lang w:val="en-IE" w:eastAsia="en-IE"/>
              </w:rPr>
            </w:pPr>
            <w:r w:rsidRPr="007D2540">
              <w:rPr>
                <w:rFonts w:eastAsia="Times New Roman"/>
                <w:color w:val="000000"/>
                <w:sz w:val="16"/>
                <w:szCs w:val="16"/>
                <w:lang w:val="en-IE" w:eastAsia="en-IE"/>
              </w:rPr>
              <w:t>0,000</w:t>
            </w:r>
          </w:p>
        </w:tc>
        <w:tc>
          <w:tcPr>
            <w:tcW w:w="1011" w:type="dxa"/>
            <w:tcBorders>
              <w:top w:val="nil"/>
              <w:left w:val="nil"/>
              <w:bottom w:val="single" w:sz="8" w:space="0" w:color="auto"/>
              <w:right w:val="single" w:sz="8" w:space="0" w:color="auto"/>
            </w:tcBorders>
            <w:shd w:val="clear" w:color="000000" w:fill="D9D9D9"/>
            <w:vAlign w:val="center"/>
            <w:hideMark/>
          </w:tcPr>
          <w:p w14:paraId="0928387D" w14:textId="77777777" w:rsidR="00D37F2D" w:rsidRPr="007D2540" w:rsidRDefault="00D37F2D">
            <w:pPr>
              <w:spacing w:before="0" w:after="0"/>
              <w:jc w:val="right"/>
              <w:rPr>
                <w:rFonts w:eastAsia="Times New Roman"/>
                <w:b/>
                <w:bCs/>
                <w:color w:val="000000"/>
                <w:sz w:val="16"/>
                <w:szCs w:val="16"/>
                <w:lang w:val="en-IE" w:eastAsia="en-IE"/>
              </w:rPr>
            </w:pPr>
            <w:r w:rsidRPr="007D2540">
              <w:rPr>
                <w:rFonts w:eastAsia="Times New Roman"/>
                <w:b/>
                <w:bCs/>
                <w:color w:val="000000"/>
                <w:sz w:val="16"/>
                <w:szCs w:val="16"/>
                <w:lang w:val="en-IE" w:eastAsia="en-IE"/>
              </w:rPr>
              <w:t>0,000</w:t>
            </w:r>
          </w:p>
        </w:tc>
      </w:tr>
      <w:tr w:rsidR="00D37F2D" w:rsidRPr="007D2540" w14:paraId="65EBE3A3" w14:textId="77777777">
        <w:trPr>
          <w:trHeight w:val="531"/>
        </w:trPr>
        <w:tc>
          <w:tcPr>
            <w:tcW w:w="3488" w:type="dxa"/>
            <w:tcBorders>
              <w:top w:val="nil"/>
              <w:left w:val="single" w:sz="8" w:space="0" w:color="auto"/>
              <w:bottom w:val="single" w:sz="8" w:space="0" w:color="auto"/>
              <w:right w:val="single" w:sz="8" w:space="0" w:color="auto"/>
            </w:tcBorders>
            <w:shd w:val="clear" w:color="000000" w:fill="CCCCCC"/>
            <w:vAlign w:val="center"/>
            <w:hideMark/>
          </w:tcPr>
          <w:p w14:paraId="4897D29F" w14:textId="77777777" w:rsidR="00D37F2D" w:rsidRPr="007D2540" w:rsidRDefault="00D37F2D">
            <w:pPr>
              <w:spacing w:before="0" w:after="0"/>
              <w:jc w:val="center"/>
              <w:rPr>
                <w:rFonts w:eastAsia="Times New Roman"/>
                <w:b/>
                <w:bCs/>
                <w:color w:val="000000"/>
                <w:sz w:val="16"/>
                <w:szCs w:val="16"/>
                <w:lang w:val="en-IE" w:eastAsia="en-IE"/>
              </w:rPr>
            </w:pPr>
            <w:r w:rsidRPr="007D2540">
              <w:rPr>
                <w:rFonts w:eastAsia="Times New Roman"/>
                <w:b/>
                <w:bCs/>
                <w:color w:val="000000"/>
                <w:sz w:val="16"/>
                <w:szCs w:val="16"/>
                <w:lang w:val="en-IE" w:eastAsia="en-IE"/>
              </w:rPr>
              <w:t>Subtotal outside HEADING 7</w:t>
            </w:r>
          </w:p>
        </w:tc>
        <w:tc>
          <w:tcPr>
            <w:tcW w:w="896" w:type="dxa"/>
            <w:tcBorders>
              <w:top w:val="nil"/>
              <w:left w:val="nil"/>
              <w:bottom w:val="single" w:sz="8" w:space="0" w:color="auto"/>
              <w:right w:val="single" w:sz="8" w:space="0" w:color="auto"/>
            </w:tcBorders>
            <w:shd w:val="clear" w:color="000000" w:fill="D9D9D9"/>
            <w:vAlign w:val="center"/>
            <w:hideMark/>
          </w:tcPr>
          <w:p w14:paraId="0377F85B" w14:textId="77777777" w:rsidR="00D37F2D" w:rsidRPr="007D2540" w:rsidRDefault="00D37F2D">
            <w:pPr>
              <w:spacing w:before="0" w:after="0"/>
              <w:jc w:val="right"/>
              <w:rPr>
                <w:rFonts w:eastAsia="Times New Roman"/>
                <w:b/>
                <w:bCs/>
                <w:color w:val="000000"/>
                <w:sz w:val="16"/>
                <w:szCs w:val="16"/>
                <w:lang w:val="en-IE" w:eastAsia="en-IE"/>
              </w:rPr>
            </w:pPr>
            <w:r w:rsidRPr="007D2540">
              <w:rPr>
                <w:rFonts w:eastAsia="Times New Roman"/>
                <w:b/>
                <w:bCs/>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2C7F5F53" w14:textId="77777777" w:rsidR="00D37F2D" w:rsidRPr="007D2540" w:rsidRDefault="00D37F2D">
            <w:pPr>
              <w:spacing w:before="0" w:after="0"/>
              <w:jc w:val="right"/>
              <w:rPr>
                <w:rFonts w:eastAsia="Times New Roman"/>
                <w:b/>
                <w:bCs/>
                <w:color w:val="000000"/>
                <w:sz w:val="16"/>
                <w:szCs w:val="16"/>
                <w:lang w:val="en-IE" w:eastAsia="en-IE"/>
              </w:rPr>
            </w:pPr>
            <w:r w:rsidRPr="007D2540">
              <w:rPr>
                <w:rFonts w:eastAsia="Times New Roman"/>
                <w:b/>
                <w:bCs/>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2D78C9B2" w14:textId="77777777" w:rsidR="00D37F2D" w:rsidRPr="007D2540" w:rsidRDefault="00D37F2D">
            <w:pPr>
              <w:spacing w:before="0" w:after="0"/>
              <w:jc w:val="right"/>
              <w:rPr>
                <w:rFonts w:eastAsia="Times New Roman"/>
                <w:b/>
                <w:bCs/>
                <w:color w:val="000000"/>
                <w:sz w:val="16"/>
                <w:szCs w:val="16"/>
                <w:lang w:val="en-IE" w:eastAsia="en-IE"/>
              </w:rPr>
            </w:pPr>
            <w:r w:rsidRPr="007D2540">
              <w:rPr>
                <w:rFonts w:eastAsia="Times New Roman"/>
                <w:b/>
                <w:bCs/>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0DDE83A4" w14:textId="77777777" w:rsidR="00D37F2D" w:rsidRPr="007D2540" w:rsidRDefault="00D37F2D">
            <w:pPr>
              <w:spacing w:before="0" w:after="0"/>
              <w:jc w:val="right"/>
              <w:rPr>
                <w:rFonts w:eastAsia="Times New Roman"/>
                <w:b/>
                <w:bCs/>
                <w:color w:val="000000"/>
                <w:sz w:val="16"/>
                <w:szCs w:val="16"/>
                <w:lang w:val="en-IE" w:eastAsia="en-IE"/>
              </w:rPr>
            </w:pPr>
            <w:r w:rsidRPr="007D2540">
              <w:rPr>
                <w:rFonts w:eastAsia="Times New Roman"/>
                <w:b/>
                <w:bCs/>
                <w:color w:val="000000"/>
                <w:sz w:val="16"/>
                <w:szCs w:val="16"/>
                <w:lang w:val="en-IE" w:eastAsia="en-IE"/>
              </w:rPr>
              <w:t>0,000</w:t>
            </w:r>
          </w:p>
        </w:tc>
        <w:tc>
          <w:tcPr>
            <w:tcW w:w="1011" w:type="dxa"/>
            <w:tcBorders>
              <w:top w:val="nil"/>
              <w:left w:val="nil"/>
              <w:bottom w:val="single" w:sz="8" w:space="0" w:color="auto"/>
              <w:right w:val="single" w:sz="8" w:space="0" w:color="auto"/>
            </w:tcBorders>
            <w:shd w:val="clear" w:color="000000" w:fill="D9D9D9"/>
            <w:vAlign w:val="center"/>
            <w:hideMark/>
          </w:tcPr>
          <w:p w14:paraId="2C6CD31E" w14:textId="77777777" w:rsidR="00D37F2D" w:rsidRPr="007D2540" w:rsidRDefault="00D37F2D">
            <w:pPr>
              <w:spacing w:before="0" w:after="0"/>
              <w:jc w:val="right"/>
              <w:rPr>
                <w:rFonts w:eastAsia="Times New Roman"/>
                <w:b/>
                <w:bCs/>
                <w:color w:val="000000"/>
                <w:sz w:val="16"/>
                <w:szCs w:val="16"/>
                <w:lang w:val="en-IE" w:eastAsia="en-IE"/>
              </w:rPr>
            </w:pPr>
            <w:r w:rsidRPr="007D2540">
              <w:rPr>
                <w:rFonts w:eastAsia="Times New Roman"/>
                <w:b/>
                <w:bCs/>
                <w:color w:val="000000"/>
                <w:sz w:val="16"/>
                <w:szCs w:val="16"/>
                <w:lang w:val="en-IE" w:eastAsia="en-IE"/>
              </w:rPr>
              <w:t>0,000</w:t>
            </w:r>
          </w:p>
        </w:tc>
      </w:tr>
      <w:tr w:rsidR="00D37F2D" w:rsidRPr="007D2540" w14:paraId="0DCCC446" w14:textId="77777777">
        <w:trPr>
          <w:trHeight w:val="531"/>
        </w:trPr>
        <w:tc>
          <w:tcPr>
            <w:tcW w:w="8140" w:type="dxa"/>
            <w:gridSpan w:val="6"/>
            <w:tcBorders>
              <w:top w:val="single" w:sz="8" w:space="0" w:color="auto"/>
              <w:left w:val="single" w:sz="8" w:space="0" w:color="auto"/>
              <w:bottom w:val="single" w:sz="8" w:space="0" w:color="auto"/>
              <w:right w:val="nil"/>
            </w:tcBorders>
            <w:shd w:val="clear" w:color="auto" w:fill="auto"/>
            <w:noWrap/>
            <w:vAlign w:val="center"/>
            <w:hideMark/>
          </w:tcPr>
          <w:p w14:paraId="2588D7D5" w14:textId="77777777" w:rsidR="00D37F2D" w:rsidRPr="007D2540" w:rsidRDefault="00D37F2D">
            <w:pPr>
              <w:spacing w:before="0" w:after="0"/>
              <w:jc w:val="center"/>
              <w:rPr>
                <w:rFonts w:eastAsia="Times New Roman"/>
                <w:color w:val="000000"/>
                <w:sz w:val="16"/>
                <w:szCs w:val="16"/>
                <w:lang w:val="en-IE" w:eastAsia="en-IE"/>
              </w:rPr>
            </w:pPr>
            <w:r w:rsidRPr="007D2540">
              <w:rPr>
                <w:rFonts w:eastAsia="Times New Roman"/>
                <w:color w:val="000000"/>
                <w:sz w:val="16"/>
                <w:szCs w:val="16"/>
                <w:lang w:val="en-IE" w:eastAsia="en-IE"/>
              </w:rPr>
              <w:t> </w:t>
            </w:r>
          </w:p>
        </w:tc>
      </w:tr>
      <w:tr w:rsidR="00D37F2D" w:rsidRPr="007D2540" w14:paraId="6B18E5AE" w14:textId="77777777">
        <w:trPr>
          <w:trHeight w:val="556"/>
        </w:trPr>
        <w:tc>
          <w:tcPr>
            <w:tcW w:w="3488" w:type="dxa"/>
            <w:tcBorders>
              <w:top w:val="single" w:sz="12" w:space="0" w:color="auto"/>
              <w:left w:val="single" w:sz="12" w:space="0" w:color="auto"/>
              <w:bottom w:val="single" w:sz="12" w:space="0" w:color="auto"/>
              <w:right w:val="single" w:sz="8" w:space="0" w:color="auto"/>
            </w:tcBorders>
            <w:shd w:val="clear" w:color="auto" w:fill="auto"/>
            <w:vAlign w:val="center"/>
            <w:hideMark/>
          </w:tcPr>
          <w:p w14:paraId="03926642" w14:textId="77777777" w:rsidR="00D37F2D" w:rsidRPr="007D2540" w:rsidRDefault="00D37F2D">
            <w:pPr>
              <w:spacing w:before="0" w:after="0"/>
              <w:jc w:val="center"/>
              <w:rPr>
                <w:rFonts w:eastAsia="Times New Roman"/>
                <w:b/>
                <w:bCs/>
                <w:color w:val="000000"/>
                <w:sz w:val="16"/>
                <w:szCs w:val="16"/>
                <w:lang w:val="en-IE" w:eastAsia="en-IE"/>
              </w:rPr>
            </w:pPr>
            <w:r w:rsidRPr="007D2540">
              <w:rPr>
                <w:rFonts w:eastAsia="Times New Roman"/>
                <w:b/>
                <w:bCs/>
                <w:color w:val="000000"/>
                <w:sz w:val="16"/>
                <w:szCs w:val="16"/>
                <w:lang w:val="en-IE" w:eastAsia="en-IE"/>
              </w:rPr>
              <w:t>TOTAL</w:t>
            </w:r>
          </w:p>
        </w:tc>
        <w:tc>
          <w:tcPr>
            <w:tcW w:w="896" w:type="dxa"/>
            <w:tcBorders>
              <w:top w:val="nil"/>
              <w:left w:val="nil"/>
              <w:bottom w:val="single" w:sz="8" w:space="0" w:color="auto"/>
              <w:right w:val="single" w:sz="8" w:space="0" w:color="auto"/>
            </w:tcBorders>
            <w:shd w:val="clear" w:color="000000" w:fill="D9D9D9"/>
            <w:vAlign w:val="center"/>
            <w:hideMark/>
          </w:tcPr>
          <w:p w14:paraId="2269A7A1" w14:textId="77777777" w:rsidR="00D37F2D" w:rsidRPr="00303070" w:rsidRDefault="00D37F2D">
            <w:pPr>
              <w:spacing w:before="0" w:after="0"/>
              <w:jc w:val="right"/>
              <w:rPr>
                <w:rFonts w:eastAsia="Times New Roman"/>
                <w:color w:val="000000"/>
                <w:sz w:val="16"/>
                <w:szCs w:val="16"/>
                <w:lang w:val="en-IE" w:eastAsia="en-IE"/>
              </w:rPr>
            </w:pPr>
            <w:r w:rsidRPr="006042E7">
              <w:rPr>
                <w:rFonts w:eastAsia="Times New Roman"/>
                <w:color w:val="000000"/>
                <w:sz w:val="16"/>
                <w:szCs w:val="16"/>
                <w:lang w:val="en-IE" w:eastAsia="en-IE"/>
              </w:rPr>
              <w:t>0,000</w:t>
            </w:r>
          </w:p>
        </w:tc>
        <w:tc>
          <w:tcPr>
            <w:tcW w:w="915" w:type="dxa"/>
            <w:tcBorders>
              <w:top w:val="nil"/>
              <w:left w:val="nil"/>
              <w:bottom w:val="single" w:sz="8" w:space="0" w:color="auto"/>
              <w:right w:val="single" w:sz="8" w:space="0" w:color="auto"/>
            </w:tcBorders>
            <w:shd w:val="clear" w:color="000000" w:fill="D9D9D9"/>
            <w:vAlign w:val="center"/>
            <w:hideMark/>
          </w:tcPr>
          <w:p w14:paraId="4A508110" w14:textId="77777777" w:rsidR="00D37F2D" w:rsidRPr="00303070" w:rsidRDefault="00D37F2D">
            <w:pPr>
              <w:spacing w:before="0" w:after="0"/>
              <w:jc w:val="right"/>
              <w:rPr>
                <w:rFonts w:eastAsia="Times New Roman"/>
                <w:color w:val="000000"/>
                <w:sz w:val="16"/>
                <w:szCs w:val="16"/>
                <w:lang w:val="en-IE" w:eastAsia="en-IE"/>
              </w:rPr>
            </w:pPr>
            <w:r w:rsidRPr="006042E7">
              <w:rPr>
                <w:rFonts w:eastAsia="Times New Roman"/>
                <w:color w:val="000000"/>
                <w:sz w:val="16"/>
                <w:szCs w:val="16"/>
                <w:lang w:val="en-IE" w:eastAsia="en-IE"/>
              </w:rPr>
              <w:t>0,000</w:t>
            </w:r>
          </w:p>
        </w:tc>
        <w:tc>
          <w:tcPr>
            <w:tcW w:w="915" w:type="dxa"/>
            <w:tcBorders>
              <w:top w:val="nil"/>
              <w:left w:val="single" w:sz="8" w:space="0" w:color="auto"/>
              <w:bottom w:val="single" w:sz="8" w:space="0" w:color="auto"/>
              <w:right w:val="single" w:sz="8" w:space="0" w:color="auto"/>
            </w:tcBorders>
            <w:shd w:val="clear" w:color="000000" w:fill="D9D9D9"/>
            <w:vAlign w:val="center"/>
            <w:hideMark/>
          </w:tcPr>
          <w:p w14:paraId="0D7417C9" w14:textId="77777777" w:rsidR="00D37F2D" w:rsidRPr="00303070" w:rsidRDefault="00D37F2D">
            <w:pPr>
              <w:spacing w:before="0" w:after="0"/>
              <w:jc w:val="right"/>
              <w:rPr>
                <w:rFonts w:eastAsia="Times New Roman"/>
                <w:color w:val="000000"/>
                <w:sz w:val="16"/>
                <w:szCs w:val="16"/>
                <w:lang w:val="en-IE" w:eastAsia="en-IE"/>
              </w:rPr>
            </w:pPr>
            <w:r w:rsidRPr="006042E7">
              <w:rPr>
                <w:rFonts w:eastAsia="Times New Roman"/>
                <w:color w:val="000000"/>
                <w:sz w:val="16"/>
                <w:szCs w:val="16"/>
                <w:lang w:val="en-IE" w:eastAsia="en-IE"/>
              </w:rPr>
              <w:t>1,828</w:t>
            </w:r>
          </w:p>
        </w:tc>
        <w:tc>
          <w:tcPr>
            <w:tcW w:w="915" w:type="dxa"/>
            <w:tcBorders>
              <w:top w:val="nil"/>
              <w:left w:val="nil"/>
              <w:bottom w:val="single" w:sz="8" w:space="0" w:color="auto"/>
              <w:right w:val="single" w:sz="8" w:space="0" w:color="auto"/>
            </w:tcBorders>
            <w:shd w:val="clear" w:color="000000" w:fill="D9D9D9"/>
            <w:vAlign w:val="center"/>
            <w:hideMark/>
          </w:tcPr>
          <w:p w14:paraId="39C12CBF" w14:textId="77777777" w:rsidR="00D37F2D" w:rsidRPr="00303070" w:rsidRDefault="00D37F2D">
            <w:pPr>
              <w:spacing w:before="0" w:after="0"/>
              <w:jc w:val="right"/>
              <w:rPr>
                <w:rFonts w:eastAsia="Times New Roman"/>
                <w:color w:val="000000"/>
                <w:sz w:val="16"/>
                <w:szCs w:val="16"/>
                <w:lang w:val="en-IE" w:eastAsia="en-IE"/>
              </w:rPr>
            </w:pPr>
            <w:r w:rsidRPr="006042E7">
              <w:rPr>
                <w:rFonts w:eastAsia="Times New Roman"/>
                <w:color w:val="000000"/>
                <w:sz w:val="16"/>
                <w:szCs w:val="16"/>
                <w:lang w:val="en-IE" w:eastAsia="en-IE"/>
              </w:rPr>
              <w:t>3,656</w:t>
            </w:r>
          </w:p>
        </w:tc>
        <w:tc>
          <w:tcPr>
            <w:tcW w:w="1011" w:type="dxa"/>
            <w:tcBorders>
              <w:top w:val="nil"/>
              <w:left w:val="nil"/>
              <w:bottom w:val="single" w:sz="8" w:space="0" w:color="auto"/>
              <w:right w:val="single" w:sz="8" w:space="0" w:color="auto"/>
            </w:tcBorders>
            <w:shd w:val="clear" w:color="000000" w:fill="D9D9D9"/>
            <w:vAlign w:val="center"/>
            <w:hideMark/>
          </w:tcPr>
          <w:p w14:paraId="42DE741A" w14:textId="77777777" w:rsidR="00D37F2D" w:rsidRPr="00303070" w:rsidRDefault="00D37F2D">
            <w:pPr>
              <w:spacing w:before="0" w:after="0"/>
              <w:jc w:val="right"/>
              <w:rPr>
                <w:rFonts w:eastAsia="Times New Roman"/>
                <w:color w:val="000000"/>
                <w:sz w:val="16"/>
                <w:szCs w:val="16"/>
                <w:lang w:val="en-IE" w:eastAsia="en-IE"/>
              </w:rPr>
            </w:pPr>
            <w:r w:rsidRPr="006042E7">
              <w:rPr>
                <w:rFonts w:eastAsia="Times New Roman"/>
                <w:color w:val="000000"/>
                <w:sz w:val="16"/>
                <w:szCs w:val="16"/>
                <w:lang w:val="en-IE" w:eastAsia="en-IE"/>
              </w:rPr>
              <w:t>5,484</w:t>
            </w:r>
          </w:p>
        </w:tc>
      </w:tr>
    </w:tbl>
    <w:p w14:paraId="3530350E" w14:textId="77777777" w:rsidR="00D37F2D" w:rsidRPr="00A51492" w:rsidRDefault="00D37F2D" w:rsidP="00D37F2D">
      <w:pPr>
        <w:pStyle w:val="Text1"/>
        <w:ind w:left="0"/>
      </w:pPr>
    </w:p>
    <w:p w14:paraId="09F57A42" w14:textId="77777777" w:rsidR="00D37F2D" w:rsidRPr="00290112" w:rsidRDefault="00D37F2D" w:rsidP="00D37F2D">
      <w:pPr>
        <w:rPr>
          <w:noProof/>
          <w:sz w:val="22"/>
          <w:szCs w:val="28"/>
          <w:lang w:val="en-IE"/>
        </w:rPr>
      </w:pPr>
      <w:r w:rsidRPr="00290112">
        <w:rPr>
          <w:noProof/>
          <w:sz w:val="22"/>
          <w:szCs w:val="28"/>
          <w:lang w:val="en-IE"/>
        </w:rPr>
        <w:t>The appropriations required for human resources and other expenditure of an administrative nature will be met by appropriations from the DG that are already assigned to management of the action and/or have been redeployed within the DG, together</w:t>
      </w:r>
      <w:r>
        <w:rPr>
          <w:noProof/>
          <w:sz w:val="22"/>
          <w:szCs w:val="28"/>
          <w:lang w:val="en-IE"/>
        </w:rPr>
        <w:t>,</w:t>
      </w:r>
      <w:r w:rsidRPr="00290112">
        <w:rPr>
          <w:noProof/>
          <w:sz w:val="22"/>
          <w:szCs w:val="28"/>
          <w:lang w:val="en-IE"/>
        </w:rPr>
        <w:t xml:space="preserve"> if necessary</w:t>
      </w:r>
      <w:r>
        <w:rPr>
          <w:noProof/>
          <w:sz w:val="22"/>
          <w:szCs w:val="28"/>
          <w:lang w:val="en-IE"/>
        </w:rPr>
        <w:t>,</w:t>
      </w:r>
      <w:r w:rsidRPr="00290112">
        <w:rPr>
          <w:noProof/>
          <w:sz w:val="22"/>
          <w:szCs w:val="28"/>
          <w:lang w:val="en-IE"/>
        </w:rPr>
        <w:t xml:space="preserve"> with any additional allocation which may be granted to the managing DG under the annual allocation procedure and in the light of budgetary constraints.</w:t>
      </w:r>
    </w:p>
    <w:p w14:paraId="295FFBE3" w14:textId="77777777" w:rsidR="00D37F2D" w:rsidRDefault="00D37F2D" w:rsidP="00D37F2D">
      <w:pPr>
        <w:pStyle w:val="ManualHeading3"/>
        <w:rPr>
          <w:bCs/>
          <w:noProof/>
          <w:szCs w:val="24"/>
        </w:rPr>
      </w:pPr>
      <w:bookmarkStart w:id="169" w:name="_Toc167220294"/>
      <w:bookmarkStart w:id="170" w:name="_Toc177549027"/>
      <w:r w:rsidRPr="0021790A">
        <w:t>3.2.</w:t>
      </w:r>
      <w:r>
        <w:t>4</w:t>
      </w:r>
      <w:r w:rsidRPr="0021790A">
        <w:t>.</w:t>
      </w:r>
      <w:r w:rsidRPr="0021790A">
        <w:tab/>
      </w:r>
      <w:r w:rsidRPr="00A238FB">
        <w:rPr>
          <w:noProof/>
        </w:rPr>
        <w:t>Estimated requirements of human resources</w:t>
      </w:r>
      <w:bookmarkEnd w:id="169"/>
      <w:bookmarkEnd w:id="170"/>
      <w:r>
        <w:rPr>
          <w:noProof/>
        </w:rPr>
        <w:t xml:space="preserve"> </w:t>
      </w:r>
    </w:p>
    <w:p w14:paraId="624EF8FF" w14:textId="77777777" w:rsidR="00D37F2D" w:rsidRDefault="00D37F2D" w:rsidP="00D37F2D">
      <w:pPr>
        <w:pStyle w:val="ListDash1"/>
        <w:rPr>
          <w:noProof/>
        </w:rPr>
      </w:pPr>
      <w:r>
        <w:rPr>
          <w:rFonts w:ascii="Wingdings" w:eastAsia="Wingdings" w:hAnsi="Wingdings" w:cs="Wingdings"/>
          <w:noProof/>
        </w:rPr>
        <w:t>¨</w:t>
      </w:r>
      <w:r>
        <w:rPr>
          <w:noProof/>
        </w:rPr>
        <w:tab/>
        <w:t xml:space="preserve">The proposal/initiative does not require the use of human resources </w:t>
      </w:r>
    </w:p>
    <w:p w14:paraId="0AB33E0F" w14:textId="77777777" w:rsidR="00D37F2D" w:rsidRDefault="00D37F2D" w:rsidP="00D37F2D">
      <w:pPr>
        <w:pStyle w:val="ListDash1"/>
        <w:rPr>
          <w:noProof/>
        </w:rPr>
      </w:pPr>
      <w:r>
        <w:rPr>
          <w:rFonts w:ascii="Wingdings" w:eastAsia="Wingdings" w:hAnsi="Wingdings" w:cs="Wingdings"/>
          <w:noProof/>
        </w:rPr>
        <w:t>x</w:t>
      </w:r>
      <w:r>
        <w:rPr>
          <w:noProof/>
        </w:rPr>
        <w:tab/>
        <w:t>The proposal/initiative requires the use of human resources, as explained below</w:t>
      </w:r>
    </w:p>
    <w:p w14:paraId="19607CC0" w14:textId="77777777" w:rsidR="00D37F2D" w:rsidRDefault="00D37F2D" w:rsidP="00D37F2D">
      <w:pPr>
        <w:pStyle w:val="ManualHeading3"/>
      </w:pPr>
      <w:bookmarkStart w:id="171" w:name="_Toc167220295"/>
      <w:bookmarkStart w:id="172" w:name="_Toc177549028"/>
      <w:r w:rsidRPr="003268F2">
        <w:t>3.2.</w:t>
      </w:r>
      <w:r>
        <w:t>4</w:t>
      </w:r>
      <w:r w:rsidRPr="003268F2">
        <w:t>.1</w:t>
      </w:r>
      <w:r>
        <w:t>.</w:t>
      </w:r>
      <w:r>
        <w:tab/>
        <w:t>Financed from voted budget</w:t>
      </w:r>
      <w:bookmarkEnd w:id="171"/>
      <w:bookmarkEnd w:id="172"/>
    </w:p>
    <w:p w14:paraId="259E872D" w14:textId="77777777" w:rsidR="00D37F2D" w:rsidRPr="003A769F" w:rsidRDefault="00D37F2D" w:rsidP="00D37F2D">
      <w:pPr>
        <w:spacing w:after="60"/>
        <w:jc w:val="right"/>
        <w:rPr>
          <w:i/>
          <w:noProof/>
          <w:sz w:val="20"/>
          <w:lang w:val="en-IE"/>
        </w:rPr>
      </w:pPr>
      <w:r w:rsidRPr="003A769F">
        <w:rPr>
          <w:i/>
          <w:noProof/>
          <w:sz w:val="20"/>
          <w:lang w:val="en-IE"/>
        </w:rPr>
        <w:t>Estimate to be expressed in full</w:t>
      </w:r>
      <w:r>
        <w:rPr>
          <w:i/>
          <w:noProof/>
          <w:sz w:val="20"/>
          <w:lang w:val="en-IE"/>
        </w:rPr>
        <w:t>-</w:t>
      </w:r>
      <w:r w:rsidRPr="003A769F">
        <w:rPr>
          <w:i/>
          <w:noProof/>
          <w:sz w:val="20"/>
          <w:lang w:val="en-IE"/>
        </w:rPr>
        <w:t>time equivalent units</w:t>
      </w:r>
      <w:r>
        <w:rPr>
          <w:i/>
          <w:noProof/>
          <w:sz w:val="20"/>
          <w:lang w:val="en-IE"/>
        </w:rPr>
        <w:t xml:space="preserve"> (FTEs)</w:t>
      </w:r>
      <w:r>
        <w:rPr>
          <w:rStyle w:val="FootnoteReference"/>
          <w:i/>
          <w:noProof/>
          <w:sz w:val="20"/>
          <w:lang w:val="en-IE"/>
        </w:rPr>
        <w:footnoteReference w:id="103"/>
      </w:r>
    </w:p>
    <w:tbl>
      <w:tblPr>
        <w:tblW w:w="10020" w:type="dxa"/>
        <w:tblInd w:w="118" w:type="dxa"/>
        <w:tblLook w:val="04A0" w:firstRow="1" w:lastRow="0" w:firstColumn="1" w:lastColumn="0" w:noHBand="0" w:noVBand="1"/>
      </w:tblPr>
      <w:tblGrid>
        <w:gridCol w:w="1460"/>
        <w:gridCol w:w="3760"/>
        <w:gridCol w:w="960"/>
        <w:gridCol w:w="960"/>
        <w:gridCol w:w="960"/>
        <w:gridCol w:w="960"/>
        <w:gridCol w:w="960"/>
      </w:tblGrid>
      <w:tr w:rsidR="00D37F2D" w:rsidRPr="00391D61" w14:paraId="61A5912A" w14:textId="77777777">
        <w:trPr>
          <w:trHeight w:val="300"/>
        </w:trPr>
        <w:tc>
          <w:tcPr>
            <w:tcW w:w="5220"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4DB49061" w14:textId="77777777" w:rsidR="00D37F2D" w:rsidRPr="00391D61" w:rsidRDefault="00D37F2D">
            <w:pPr>
              <w:spacing w:before="0" w:after="0"/>
              <w:jc w:val="center"/>
              <w:rPr>
                <w:rFonts w:eastAsia="Times New Roman"/>
                <w:b/>
                <w:bCs/>
                <w:color w:val="000000"/>
                <w:sz w:val="18"/>
                <w:szCs w:val="18"/>
                <w:lang w:val="en-IE" w:eastAsia="en-IE"/>
              </w:rPr>
            </w:pPr>
            <w:bookmarkStart w:id="173" w:name="_Hlk156979231"/>
            <w:r w:rsidRPr="00391D61">
              <w:rPr>
                <w:rFonts w:eastAsia="Times New Roman"/>
                <w:b/>
                <w:bCs/>
                <w:color w:val="000000"/>
                <w:sz w:val="18"/>
                <w:szCs w:val="18"/>
                <w:lang w:val="en-IE" w:eastAsia="en-IE"/>
              </w:rPr>
              <w:t>VOTED APPROPRIATIONS</w:t>
            </w:r>
          </w:p>
        </w:tc>
        <w:tc>
          <w:tcPr>
            <w:tcW w:w="960" w:type="dxa"/>
            <w:tcBorders>
              <w:top w:val="single" w:sz="8" w:space="0" w:color="auto"/>
              <w:left w:val="nil"/>
              <w:bottom w:val="nil"/>
              <w:right w:val="single" w:sz="8" w:space="0" w:color="auto"/>
            </w:tcBorders>
            <w:shd w:val="clear" w:color="auto" w:fill="auto"/>
            <w:vAlign w:val="center"/>
            <w:hideMark/>
          </w:tcPr>
          <w:p w14:paraId="2313BA92" w14:textId="77777777" w:rsidR="00D37F2D" w:rsidRPr="00391D61" w:rsidRDefault="00D37F2D">
            <w:pPr>
              <w:spacing w:before="0" w:after="0"/>
              <w:jc w:val="center"/>
              <w:rPr>
                <w:rFonts w:eastAsia="Times New Roman"/>
                <w:color w:val="000000"/>
                <w:sz w:val="20"/>
                <w:szCs w:val="20"/>
                <w:lang w:val="en-IE" w:eastAsia="en-IE"/>
              </w:rPr>
            </w:pPr>
            <w:r w:rsidRPr="00391D61">
              <w:rPr>
                <w:rFonts w:eastAsia="Times New Roman"/>
                <w:color w:val="000000"/>
                <w:sz w:val="20"/>
                <w:szCs w:val="20"/>
                <w:lang w:val="en-IE" w:eastAsia="en-IE"/>
              </w:rPr>
              <w:t>Year</w:t>
            </w:r>
          </w:p>
        </w:tc>
        <w:tc>
          <w:tcPr>
            <w:tcW w:w="960" w:type="dxa"/>
            <w:tcBorders>
              <w:top w:val="single" w:sz="8" w:space="0" w:color="auto"/>
              <w:left w:val="nil"/>
              <w:bottom w:val="nil"/>
              <w:right w:val="single" w:sz="8" w:space="0" w:color="auto"/>
            </w:tcBorders>
            <w:shd w:val="clear" w:color="auto" w:fill="auto"/>
            <w:vAlign w:val="center"/>
            <w:hideMark/>
          </w:tcPr>
          <w:p w14:paraId="46E94B01" w14:textId="77777777" w:rsidR="00D37F2D" w:rsidRPr="00391D61" w:rsidRDefault="00D37F2D">
            <w:pPr>
              <w:spacing w:before="0" w:after="0"/>
              <w:jc w:val="center"/>
              <w:rPr>
                <w:rFonts w:eastAsia="Times New Roman"/>
                <w:color w:val="000000"/>
                <w:sz w:val="20"/>
                <w:szCs w:val="20"/>
                <w:lang w:val="en-IE" w:eastAsia="en-IE"/>
              </w:rPr>
            </w:pPr>
            <w:r w:rsidRPr="00391D61">
              <w:rPr>
                <w:rFonts w:eastAsia="Times New Roman"/>
                <w:color w:val="000000"/>
                <w:sz w:val="20"/>
                <w:szCs w:val="20"/>
                <w:lang w:val="en-IE" w:eastAsia="en-IE"/>
              </w:rPr>
              <w:t>Year</w:t>
            </w:r>
          </w:p>
        </w:tc>
        <w:tc>
          <w:tcPr>
            <w:tcW w:w="960" w:type="dxa"/>
            <w:tcBorders>
              <w:top w:val="single" w:sz="8" w:space="0" w:color="auto"/>
              <w:left w:val="nil"/>
              <w:bottom w:val="nil"/>
              <w:right w:val="single" w:sz="8" w:space="0" w:color="auto"/>
            </w:tcBorders>
            <w:shd w:val="clear" w:color="auto" w:fill="auto"/>
            <w:vAlign w:val="center"/>
            <w:hideMark/>
          </w:tcPr>
          <w:p w14:paraId="7EEF48A4" w14:textId="77777777" w:rsidR="00D37F2D" w:rsidRPr="00391D61" w:rsidRDefault="00D37F2D">
            <w:pPr>
              <w:spacing w:before="0" w:after="0"/>
              <w:jc w:val="center"/>
              <w:rPr>
                <w:rFonts w:eastAsia="Times New Roman"/>
                <w:color w:val="000000"/>
                <w:sz w:val="20"/>
                <w:szCs w:val="20"/>
                <w:lang w:val="en-IE" w:eastAsia="en-IE"/>
              </w:rPr>
            </w:pPr>
            <w:r w:rsidRPr="00391D61">
              <w:rPr>
                <w:rFonts w:eastAsia="Times New Roman"/>
                <w:color w:val="000000"/>
                <w:sz w:val="20"/>
                <w:szCs w:val="20"/>
                <w:lang w:val="en-IE" w:eastAsia="en-IE"/>
              </w:rPr>
              <w:t>Year</w:t>
            </w:r>
          </w:p>
        </w:tc>
        <w:tc>
          <w:tcPr>
            <w:tcW w:w="960" w:type="dxa"/>
            <w:tcBorders>
              <w:top w:val="single" w:sz="8" w:space="0" w:color="auto"/>
              <w:left w:val="nil"/>
              <w:bottom w:val="nil"/>
              <w:right w:val="single" w:sz="8" w:space="0" w:color="auto"/>
            </w:tcBorders>
            <w:shd w:val="clear" w:color="auto" w:fill="auto"/>
            <w:vAlign w:val="center"/>
            <w:hideMark/>
          </w:tcPr>
          <w:p w14:paraId="3CC2AF45" w14:textId="77777777" w:rsidR="00D37F2D" w:rsidRPr="00391D61" w:rsidRDefault="00D37F2D">
            <w:pPr>
              <w:spacing w:before="0" w:after="0"/>
              <w:jc w:val="center"/>
              <w:rPr>
                <w:rFonts w:eastAsia="Times New Roman"/>
                <w:color w:val="000000"/>
                <w:sz w:val="20"/>
                <w:szCs w:val="20"/>
                <w:lang w:val="en-IE" w:eastAsia="en-IE"/>
              </w:rPr>
            </w:pPr>
            <w:r w:rsidRPr="00391D61">
              <w:rPr>
                <w:rFonts w:eastAsia="Times New Roman"/>
                <w:color w:val="000000"/>
                <w:sz w:val="20"/>
                <w:szCs w:val="20"/>
                <w:lang w:val="en-IE" w:eastAsia="en-IE"/>
              </w:rPr>
              <w:t>Year</w:t>
            </w:r>
          </w:p>
        </w:tc>
        <w:tc>
          <w:tcPr>
            <w:tcW w:w="960" w:type="dxa"/>
            <w:tcBorders>
              <w:top w:val="single" w:sz="8" w:space="0" w:color="auto"/>
              <w:left w:val="nil"/>
              <w:bottom w:val="nil"/>
              <w:right w:val="single" w:sz="8" w:space="0" w:color="auto"/>
            </w:tcBorders>
            <w:shd w:val="clear" w:color="auto" w:fill="auto"/>
            <w:vAlign w:val="center"/>
            <w:hideMark/>
          </w:tcPr>
          <w:p w14:paraId="13CAAEEE" w14:textId="77777777" w:rsidR="00D37F2D" w:rsidRPr="00391D61" w:rsidRDefault="00D37F2D">
            <w:pPr>
              <w:spacing w:before="0" w:after="0"/>
              <w:jc w:val="center"/>
              <w:rPr>
                <w:rFonts w:eastAsia="Times New Roman"/>
                <w:color w:val="000000"/>
                <w:sz w:val="20"/>
                <w:szCs w:val="20"/>
                <w:lang w:val="en-IE" w:eastAsia="en-IE"/>
              </w:rPr>
            </w:pPr>
            <w:r w:rsidRPr="00391D61">
              <w:rPr>
                <w:rFonts w:eastAsia="Times New Roman"/>
                <w:color w:val="000000"/>
                <w:sz w:val="20"/>
                <w:szCs w:val="20"/>
                <w:lang w:val="en-IE" w:eastAsia="en-IE"/>
              </w:rPr>
              <w:t>POST</w:t>
            </w:r>
          </w:p>
        </w:tc>
      </w:tr>
      <w:tr w:rsidR="00D37F2D" w:rsidRPr="00391D61" w14:paraId="03EB41D0" w14:textId="77777777">
        <w:trPr>
          <w:trHeight w:val="300"/>
        </w:trPr>
        <w:tc>
          <w:tcPr>
            <w:tcW w:w="5220"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27BED4A5" w14:textId="77777777" w:rsidR="00D37F2D" w:rsidRPr="00391D61" w:rsidRDefault="00D37F2D">
            <w:pPr>
              <w:spacing w:before="0" w:after="0"/>
              <w:jc w:val="center"/>
              <w:rPr>
                <w:rFonts w:eastAsia="Times New Roman"/>
                <w:b/>
                <w:bCs/>
                <w:color w:val="000000"/>
                <w:sz w:val="18"/>
                <w:szCs w:val="18"/>
                <w:lang w:val="en-IE" w:eastAsia="en-IE"/>
              </w:rPr>
            </w:pPr>
          </w:p>
        </w:tc>
        <w:tc>
          <w:tcPr>
            <w:tcW w:w="960" w:type="dxa"/>
            <w:tcBorders>
              <w:top w:val="single" w:sz="8" w:space="0" w:color="auto"/>
              <w:left w:val="nil"/>
              <w:bottom w:val="nil"/>
              <w:right w:val="single" w:sz="8" w:space="0" w:color="auto"/>
            </w:tcBorders>
            <w:shd w:val="clear" w:color="auto" w:fill="auto"/>
            <w:vAlign w:val="center"/>
            <w:hideMark/>
          </w:tcPr>
          <w:p w14:paraId="5EF0965B" w14:textId="77777777" w:rsidR="00D37F2D" w:rsidRPr="00391D61" w:rsidRDefault="00D37F2D">
            <w:pPr>
              <w:spacing w:before="0" w:after="0"/>
              <w:jc w:val="center"/>
              <w:rPr>
                <w:rFonts w:eastAsia="Times New Roman"/>
                <w:color w:val="000000"/>
                <w:sz w:val="20"/>
                <w:szCs w:val="20"/>
                <w:lang w:val="en-IE" w:eastAsia="en-IE"/>
              </w:rPr>
            </w:pPr>
            <w:r w:rsidRPr="00391D61">
              <w:rPr>
                <w:rFonts w:eastAsia="Times New Roman"/>
                <w:color w:val="000000"/>
                <w:sz w:val="20"/>
                <w:szCs w:val="20"/>
                <w:lang w:val="en-IE" w:eastAsia="en-IE"/>
              </w:rPr>
              <w:t>2024</w:t>
            </w:r>
          </w:p>
        </w:tc>
        <w:tc>
          <w:tcPr>
            <w:tcW w:w="960" w:type="dxa"/>
            <w:tcBorders>
              <w:top w:val="single" w:sz="8" w:space="0" w:color="auto"/>
              <w:left w:val="nil"/>
              <w:bottom w:val="nil"/>
              <w:right w:val="single" w:sz="8" w:space="0" w:color="auto"/>
            </w:tcBorders>
            <w:shd w:val="clear" w:color="auto" w:fill="auto"/>
            <w:vAlign w:val="center"/>
            <w:hideMark/>
          </w:tcPr>
          <w:p w14:paraId="4EC507C9" w14:textId="77777777" w:rsidR="00D37F2D" w:rsidRPr="00391D61" w:rsidRDefault="00D37F2D">
            <w:pPr>
              <w:spacing w:before="0" w:after="0"/>
              <w:jc w:val="center"/>
              <w:rPr>
                <w:rFonts w:eastAsia="Times New Roman"/>
                <w:color w:val="000000"/>
                <w:sz w:val="20"/>
                <w:szCs w:val="20"/>
                <w:lang w:val="en-IE" w:eastAsia="en-IE"/>
              </w:rPr>
            </w:pPr>
            <w:r w:rsidRPr="00391D61">
              <w:rPr>
                <w:rFonts w:eastAsia="Times New Roman"/>
                <w:color w:val="000000"/>
                <w:sz w:val="20"/>
                <w:szCs w:val="20"/>
                <w:lang w:val="en-IE" w:eastAsia="en-IE"/>
              </w:rPr>
              <w:t>2025</w:t>
            </w:r>
          </w:p>
        </w:tc>
        <w:tc>
          <w:tcPr>
            <w:tcW w:w="960" w:type="dxa"/>
            <w:tcBorders>
              <w:top w:val="single" w:sz="8" w:space="0" w:color="auto"/>
              <w:left w:val="nil"/>
              <w:bottom w:val="nil"/>
              <w:right w:val="single" w:sz="8" w:space="0" w:color="auto"/>
            </w:tcBorders>
            <w:shd w:val="clear" w:color="auto" w:fill="auto"/>
            <w:vAlign w:val="center"/>
            <w:hideMark/>
          </w:tcPr>
          <w:p w14:paraId="77C884FB" w14:textId="77777777" w:rsidR="00D37F2D" w:rsidRPr="00391D61" w:rsidRDefault="00D37F2D">
            <w:pPr>
              <w:spacing w:before="0" w:after="0"/>
              <w:jc w:val="center"/>
              <w:rPr>
                <w:rFonts w:eastAsia="Times New Roman"/>
                <w:color w:val="000000"/>
                <w:sz w:val="20"/>
                <w:szCs w:val="20"/>
                <w:lang w:val="en-IE" w:eastAsia="en-IE"/>
              </w:rPr>
            </w:pPr>
            <w:r w:rsidRPr="00391D61">
              <w:rPr>
                <w:rFonts w:eastAsia="Times New Roman"/>
                <w:color w:val="000000"/>
                <w:sz w:val="20"/>
                <w:szCs w:val="20"/>
                <w:lang w:val="en-IE" w:eastAsia="en-IE"/>
              </w:rPr>
              <w:t>2026</w:t>
            </w:r>
          </w:p>
        </w:tc>
        <w:tc>
          <w:tcPr>
            <w:tcW w:w="960" w:type="dxa"/>
            <w:tcBorders>
              <w:top w:val="single" w:sz="8" w:space="0" w:color="auto"/>
              <w:left w:val="nil"/>
              <w:bottom w:val="nil"/>
              <w:right w:val="single" w:sz="8" w:space="0" w:color="auto"/>
            </w:tcBorders>
            <w:shd w:val="clear" w:color="auto" w:fill="auto"/>
            <w:vAlign w:val="center"/>
            <w:hideMark/>
          </w:tcPr>
          <w:p w14:paraId="62A27EA7" w14:textId="77777777" w:rsidR="00D37F2D" w:rsidRPr="00391D61" w:rsidRDefault="00D37F2D">
            <w:pPr>
              <w:spacing w:before="0" w:after="0"/>
              <w:jc w:val="center"/>
              <w:rPr>
                <w:rFonts w:eastAsia="Times New Roman"/>
                <w:color w:val="000000"/>
                <w:sz w:val="20"/>
                <w:szCs w:val="20"/>
                <w:lang w:val="en-IE" w:eastAsia="en-IE"/>
              </w:rPr>
            </w:pPr>
            <w:r w:rsidRPr="00391D61">
              <w:rPr>
                <w:rFonts w:eastAsia="Times New Roman"/>
                <w:color w:val="000000"/>
                <w:sz w:val="20"/>
                <w:szCs w:val="20"/>
                <w:lang w:val="en-IE" w:eastAsia="en-IE"/>
              </w:rPr>
              <w:t>2027</w:t>
            </w:r>
          </w:p>
        </w:tc>
        <w:tc>
          <w:tcPr>
            <w:tcW w:w="960" w:type="dxa"/>
            <w:tcBorders>
              <w:top w:val="single" w:sz="8" w:space="0" w:color="auto"/>
              <w:left w:val="nil"/>
              <w:bottom w:val="nil"/>
              <w:right w:val="single" w:sz="8" w:space="0" w:color="auto"/>
            </w:tcBorders>
            <w:shd w:val="clear" w:color="auto" w:fill="auto"/>
            <w:vAlign w:val="center"/>
            <w:hideMark/>
          </w:tcPr>
          <w:p w14:paraId="0EE1B50C" w14:textId="77777777" w:rsidR="00D37F2D" w:rsidRPr="00391D61" w:rsidRDefault="00D37F2D">
            <w:pPr>
              <w:spacing w:before="0" w:after="0"/>
              <w:jc w:val="center"/>
              <w:rPr>
                <w:rFonts w:eastAsia="Times New Roman"/>
                <w:color w:val="000000"/>
                <w:sz w:val="20"/>
                <w:szCs w:val="20"/>
                <w:lang w:val="en-IE" w:eastAsia="en-IE"/>
              </w:rPr>
            </w:pPr>
            <w:r w:rsidRPr="00391D61">
              <w:rPr>
                <w:rFonts w:eastAsia="Times New Roman"/>
                <w:color w:val="000000"/>
                <w:sz w:val="20"/>
                <w:szCs w:val="20"/>
                <w:lang w:val="en-IE" w:eastAsia="en-IE"/>
              </w:rPr>
              <w:t>2027</w:t>
            </w:r>
          </w:p>
        </w:tc>
      </w:tr>
      <w:tr w:rsidR="00D37F2D" w:rsidRPr="00391D61" w14:paraId="57AEC291" w14:textId="77777777">
        <w:trPr>
          <w:trHeight w:val="300"/>
        </w:trPr>
        <w:tc>
          <w:tcPr>
            <w:tcW w:w="9060" w:type="dxa"/>
            <w:gridSpan w:val="6"/>
            <w:tcBorders>
              <w:top w:val="single" w:sz="8" w:space="0" w:color="auto"/>
              <w:left w:val="single" w:sz="8" w:space="0" w:color="auto"/>
              <w:bottom w:val="single" w:sz="8" w:space="0" w:color="auto"/>
              <w:right w:val="nil"/>
            </w:tcBorders>
            <w:shd w:val="clear" w:color="auto" w:fill="auto"/>
            <w:vAlign w:val="center"/>
            <w:hideMark/>
          </w:tcPr>
          <w:p w14:paraId="734881BB" w14:textId="77777777" w:rsidR="00D37F2D" w:rsidRPr="00391D61" w:rsidRDefault="00D37F2D">
            <w:pPr>
              <w:spacing w:before="0" w:after="0"/>
              <w:jc w:val="left"/>
              <w:rPr>
                <w:rFonts w:ascii="Wingdings" w:eastAsia="Times New Roman" w:hAnsi="Wingdings" w:cs="Calibri"/>
                <w:b/>
                <w:bCs/>
                <w:color w:val="000000"/>
                <w:sz w:val="16"/>
                <w:szCs w:val="16"/>
                <w:lang w:val="en-IE" w:eastAsia="en-IE"/>
              </w:rPr>
            </w:pPr>
            <w:r w:rsidRPr="00391D61">
              <w:rPr>
                <w:rFonts w:ascii="Wingdings" w:eastAsia="Times New Roman" w:hAnsi="Wingdings" w:cs="Calibri"/>
                <w:b/>
                <w:bCs/>
                <w:color w:val="000000"/>
                <w:sz w:val="16"/>
                <w:szCs w:val="16"/>
                <w:lang w:val="en-IE" w:eastAsia="en-IE"/>
              </w:rPr>
              <w:t>Ÿ</w:t>
            </w:r>
            <w:r w:rsidRPr="00391D61">
              <w:rPr>
                <w:rFonts w:eastAsia="Times New Roman"/>
                <w:b/>
                <w:bCs/>
                <w:color w:val="000000"/>
                <w:sz w:val="16"/>
                <w:szCs w:val="16"/>
                <w:lang w:val="en-IE" w:eastAsia="en-IE"/>
              </w:rPr>
              <w:t xml:space="preserve"> Establishment plan posts (officials and temporary staff)</w:t>
            </w:r>
          </w:p>
        </w:tc>
        <w:tc>
          <w:tcPr>
            <w:tcW w:w="960" w:type="dxa"/>
            <w:tcBorders>
              <w:top w:val="nil"/>
              <w:left w:val="nil"/>
              <w:bottom w:val="single" w:sz="8" w:space="0" w:color="auto"/>
              <w:right w:val="nil"/>
            </w:tcBorders>
            <w:shd w:val="clear" w:color="auto" w:fill="auto"/>
            <w:vAlign w:val="center"/>
            <w:hideMark/>
          </w:tcPr>
          <w:p w14:paraId="3FA5D37A" w14:textId="77777777" w:rsidR="00D37F2D" w:rsidRPr="00391D61" w:rsidRDefault="00D37F2D">
            <w:pPr>
              <w:spacing w:before="0" w:after="0"/>
              <w:jc w:val="left"/>
              <w:rPr>
                <w:rFonts w:ascii="Wingdings" w:eastAsia="Times New Roman" w:hAnsi="Wingdings" w:cs="Calibri"/>
                <w:b/>
                <w:bCs/>
                <w:color w:val="000000"/>
                <w:sz w:val="16"/>
                <w:szCs w:val="16"/>
                <w:lang w:val="en-IE" w:eastAsia="en-IE"/>
              </w:rPr>
            </w:pPr>
            <w:r w:rsidRPr="00391D61">
              <w:rPr>
                <w:rFonts w:ascii="Wingdings" w:eastAsia="Times New Roman" w:cs="Calibri"/>
                <w:b/>
                <w:bCs/>
                <w:color w:val="000000"/>
                <w:sz w:val="16"/>
                <w:szCs w:val="16"/>
                <w:lang w:val="en-IE" w:eastAsia="en-IE"/>
              </w:rPr>
              <w:t> </w:t>
            </w:r>
          </w:p>
        </w:tc>
      </w:tr>
      <w:tr w:rsidR="00D37F2D" w:rsidRPr="00391D61" w14:paraId="5376E389"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66B06F2"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20 01 02 01</w:t>
            </w:r>
            <w:r w:rsidRPr="00391D61">
              <w:rPr>
                <w:rFonts w:ascii="Arial Narrow" w:eastAsia="Times New Roman" w:hAnsi="Arial Narrow"/>
                <w:color w:val="000000"/>
                <w:sz w:val="20"/>
                <w:szCs w:val="20"/>
                <w:lang w:val="en-IE" w:eastAsia="en-IE"/>
              </w:rPr>
              <w:t xml:space="preserve"> </w:t>
            </w:r>
            <w:r w:rsidRPr="00391D61">
              <w:rPr>
                <w:rFonts w:eastAsia="Times New Roman"/>
                <w:color w:val="000000"/>
                <w:sz w:val="16"/>
                <w:szCs w:val="16"/>
                <w:lang w:val="en-IE" w:eastAsia="en-IE"/>
              </w:rPr>
              <w:t>(Headquarters and Commission’s Representation Offices)</w:t>
            </w:r>
          </w:p>
        </w:tc>
        <w:tc>
          <w:tcPr>
            <w:tcW w:w="960" w:type="dxa"/>
            <w:tcBorders>
              <w:top w:val="nil"/>
              <w:left w:val="nil"/>
              <w:bottom w:val="single" w:sz="8" w:space="0" w:color="auto"/>
              <w:right w:val="single" w:sz="8" w:space="0" w:color="auto"/>
            </w:tcBorders>
            <w:shd w:val="clear" w:color="000000" w:fill="D9D9D9"/>
            <w:vAlign w:val="center"/>
            <w:hideMark/>
          </w:tcPr>
          <w:p w14:paraId="32F65CB0"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04E9F8F"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34BFFB3"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9</w:t>
            </w:r>
          </w:p>
        </w:tc>
        <w:tc>
          <w:tcPr>
            <w:tcW w:w="960" w:type="dxa"/>
            <w:tcBorders>
              <w:top w:val="nil"/>
              <w:left w:val="nil"/>
              <w:bottom w:val="single" w:sz="8" w:space="0" w:color="auto"/>
              <w:right w:val="single" w:sz="8" w:space="0" w:color="auto"/>
            </w:tcBorders>
            <w:shd w:val="clear" w:color="000000" w:fill="D9D9D9"/>
            <w:vAlign w:val="center"/>
            <w:hideMark/>
          </w:tcPr>
          <w:p w14:paraId="259D4C32"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18</w:t>
            </w:r>
          </w:p>
        </w:tc>
        <w:tc>
          <w:tcPr>
            <w:tcW w:w="960" w:type="dxa"/>
            <w:tcBorders>
              <w:top w:val="nil"/>
              <w:left w:val="nil"/>
              <w:bottom w:val="single" w:sz="8" w:space="0" w:color="auto"/>
              <w:right w:val="single" w:sz="8" w:space="0" w:color="auto"/>
            </w:tcBorders>
            <w:shd w:val="clear" w:color="000000" w:fill="D9D9D9"/>
            <w:vAlign w:val="center"/>
            <w:hideMark/>
          </w:tcPr>
          <w:p w14:paraId="1E80EFA9"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18</w:t>
            </w:r>
          </w:p>
        </w:tc>
      </w:tr>
      <w:tr w:rsidR="00D37F2D" w:rsidRPr="00391D61" w14:paraId="5CC43F96"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303E101"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20 01 02 03 (EU Delegations)</w:t>
            </w:r>
          </w:p>
        </w:tc>
        <w:tc>
          <w:tcPr>
            <w:tcW w:w="960" w:type="dxa"/>
            <w:tcBorders>
              <w:top w:val="nil"/>
              <w:left w:val="nil"/>
              <w:bottom w:val="single" w:sz="8" w:space="0" w:color="auto"/>
              <w:right w:val="single" w:sz="8" w:space="0" w:color="auto"/>
            </w:tcBorders>
            <w:shd w:val="clear" w:color="000000" w:fill="D9D9D9"/>
            <w:vAlign w:val="center"/>
            <w:hideMark/>
          </w:tcPr>
          <w:p w14:paraId="16DB9BDD"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1F71F1E"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0716D5C"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A7D2364"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DC369F2"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1D27B63E"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FC84544"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01 01 01 01</w:t>
            </w:r>
            <w:r w:rsidRPr="00391D61">
              <w:rPr>
                <w:rFonts w:ascii="Arial Narrow" w:eastAsia="Times New Roman" w:hAnsi="Arial Narrow"/>
                <w:color w:val="000000"/>
                <w:sz w:val="20"/>
                <w:szCs w:val="20"/>
                <w:lang w:val="en-IE" w:eastAsia="en-IE"/>
              </w:rPr>
              <w:t xml:space="preserve"> </w:t>
            </w:r>
            <w:r w:rsidRPr="00391D61">
              <w:rPr>
                <w:rFonts w:eastAsia="Times New Roman"/>
                <w:color w:val="000000"/>
                <w:sz w:val="16"/>
                <w:szCs w:val="16"/>
                <w:lang w:val="en-IE" w:eastAsia="en-IE"/>
              </w:rPr>
              <w:t xml:space="preserve"> (Indirect research)</w:t>
            </w:r>
          </w:p>
        </w:tc>
        <w:tc>
          <w:tcPr>
            <w:tcW w:w="960" w:type="dxa"/>
            <w:tcBorders>
              <w:top w:val="nil"/>
              <w:left w:val="nil"/>
              <w:bottom w:val="single" w:sz="8" w:space="0" w:color="auto"/>
              <w:right w:val="single" w:sz="8" w:space="0" w:color="auto"/>
            </w:tcBorders>
            <w:shd w:val="clear" w:color="000000" w:fill="D9D9D9"/>
            <w:vAlign w:val="center"/>
            <w:hideMark/>
          </w:tcPr>
          <w:p w14:paraId="7116317E"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B75AF46"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CD1FE0C"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F0C08AC"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BB58122"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55405C08"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787278A"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01 01 01 11 (Direct research)</w:t>
            </w:r>
          </w:p>
        </w:tc>
        <w:tc>
          <w:tcPr>
            <w:tcW w:w="960" w:type="dxa"/>
            <w:tcBorders>
              <w:top w:val="nil"/>
              <w:left w:val="nil"/>
              <w:bottom w:val="single" w:sz="8" w:space="0" w:color="auto"/>
              <w:right w:val="single" w:sz="8" w:space="0" w:color="auto"/>
            </w:tcBorders>
            <w:shd w:val="clear" w:color="000000" w:fill="D9D9D9"/>
            <w:vAlign w:val="center"/>
            <w:hideMark/>
          </w:tcPr>
          <w:p w14:paraId="3704A9C2"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8F13C09"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99906D3"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EA7B986"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3852098"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23EBF0FB"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1177FA4"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Other budget lines (specify)</w:t>
            </w:r>
          </w:p>
        </w:tc>
        <w:tc>
          <w:tcPr>
            <w:tcW w:w="960" w:type="dxa"/>
            <w:tcBorders>
              <w:top w:val="nil"/>
              <w:left w:val="nil"/>
              <w:bottom w:val="single" w:sz="8" w:space="0" w:color="auto"/>
              <w:right w:val="single" w:sz="8" w:space="0" w:color="auto"/>
            </w:tcBorders>
            <w:shd w:val="clear" w:color="000000" w:fill="D9D9D9"/>
            <w:vAlign w:val="center"/>
            <w:hideMark/>
          </w:tcPr>
          <w:p w14:paraId="1D887D2A"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8366BC8"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AD1A1FB"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7402194"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2550D4C"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7659050B" w14:textId="77777777">
        <w:trPr>
          <w:trHeight w:val="300"/>
        </w:trPr>
        <w:tc>
          <w:tcPr>
            <w:tcW w:w="9060" w:type="dxa"/>
            <w:gridSpan w:val="6"/>
            <w:tcBorders>
              <w:top w:val="single" w:sz="8" w:space="0" w:color="auto"/>
              <w:left w:val="single" w:sz="8" w:space="0" w:color="auto"/>
              <w:bottom w:val="single" w:sz="8" w:space="0" w:color="auto"/>
              <w:right w:val="nil"/>
            </w:tcBorders>
            <w:shd w:val="clear" w:color="auto" w:fill="auto"/>
            <w:vAlign w:val="center"/>
            <w:hideMark/>
          </w:tcPr>
          <w:p w14:paraId="2D8894E4" w14:textId="77777777" w:rsidR="00D37F2D" w:rsidRPr="00391D61" w:rsidRDefault="00D37F2D">
            <w:pPr>
              <w:spacing w:before="0" w:after="0"/>
              <w:jc w:val="left"/>
              <w:rPr>
                <w:rFonts w:ascii="Wingdings" w:eastAsia="Times New Roman" w:hAnsi="Wingdings" w:cs="Calibri"/>
                <w:b/>
                <w:bCs/>
                <w:color w:val="000000"/>
                <w:sz w:val="16"/>
                <w:szCs w:val="16"/>
                <w:lang w:val="en-IE" w:eastAsia="en-IE"/>
              </w:rPr>
            </w:pPr>
            <w:r w:rsidRPr="00391D61">
              <w:rPr>
                <w:rFonts w:ascii="Calibri" w:eastAsia="Times New Roman" w:hAnsi="Calibri" w:cs="Calibri"/>
                <w:b/>
                <w:bCs/>
                <w:color w:val="000000"/>
                <w:sz w:val="16"/>
                <w:szCs w:val="16"/>
                <w:lang w:val="en-IE" w:eastAsia="en-IE"/>
              </w:rPr>
              <w:t>•</w:t>
            </w:r>
            <w:r w:rsidRPr="00391D61">
              <w:rPr>
                <w:rFonts w:eastAsia="Times New Roman"/>
                <w:b/>
                <w:bCs/>
                <w:color w:val="000000"/>
                <w:sz w:val="16"/>
                <w:szCs w:val="16"/>
                <w:lang w:val="en-IE" w:eastAsia="en-IE"/>
              </w:rPr>
              <w:t xml:space="preserve"> External staff (in Full Time Equivalent unit: FTE)</w:t>
            </w:r>
          </w:p>
        </w:tc>
        <w:tc>
          <w:tcPr>
            <w:tcW w:w="960" w:type="dxa"/>
            <w:tcBorders>
              <w:top w:val="nil"/>
              <w:left w:val="nil"/>
              <w:bottom w:val="single" w:sz="8" w:space="0" w:color="auto"/>
              <w:right w:val="nil"/>
            </w:tcBorders>
            <w:shd w:val="clear" w:color="auto" w:fill="auto"/>
            <w:vAlign w:val="center"/>
            <w:hideMark/>
          </w:tcPr>
          <w:p w14:paraId="6BC4C225" w14:textId="77777777" w:rsidR="00D37F2D" w:rsidRPr="00391D61" w:rsidRDefault="00D37F2D">
            <w:pPr>
              <w:spacing w:before="0" w:after="0"/>
              <w:jc w:val="left"/>
              <w:rPr>
                <w:rFonts w:ascii="Wingdings" w:eastAsia="Times New Roman" w:hAnsi="Wingdings" w:cs="Calibri"/>
                <w:b/>
                <w:bCs/>
                <w:color w:val="000000"/>
                <w:sz w:val="16"/>
                <w:szCs w:val="16"/>
                <w:lang w:val="en-IE" w:eastAsia="en-IE"/>
              </w:rPr>
            </w:pPr>
            <w:r w:rsidRPr="00391D61">
              <w:rPr>
                <w:rFonts w:ascii="Wingdings" w:eastAsia="Times New Roman" w:cs="Calibri"/>
                <w:b/>
                <w:bCs/>
                <w:color w:val="000000"/>
                <w:sz w:val="16"/>
                <w:szCs w:val="16"/>
                <w:lang w:val="en-IE" w:eastAsia="en-IE"/>
              </w:rPr>
              <w:t> </w:t>
            </w:r>
          </w:p>
        </w:tc>
      </w:tr>
      <w:tr w:rsidR="00D37F2D" w:rsidRPr="00391D61" w14:paraId="3911CB06"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0235DB9"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20 02 01</w:t>
            </w:r>
            <w:r w:rsidRPr="00391D61">
              <w:rPr>
                <w:rFonts w:ascii="Arial Narrow" w:eastAsia="Times New Roman" w:hAnsi="Arial Narrow"/>
                <w:color w:val="000000"/>
                <w:sz w:val="20"/>
                <w:szCs w:val="20"/>
                <w:lang w:val="en-IE" w:eastAsia="en-IE"/>
              </w:rPr>
              <w:t xml:space="preserve"> </w:t>
            </w:r>
            <w:r w:rsidRPr="00391D61">
              <w:rPr>
                <w:rFonts w:eastAsia="Times New Roman"/>
                <w:color w:val="000000"/>
                <w:sz w:val="16"/>
                <w:szCs w:val="16"/>
                <w:lang w:val="en-IE" w:eastAsia="en-IE"/>
              </w:rPr>
              <w:t>(AC, END from the ‘global envelope’)</w:t>
            </w:r>
          </w:p>
        </w:tc>
        <w:tc>
          <w:tcPr>
            <w:tcW w:w="960" w:type="dxa"/>
            <w:tcBorders>
              <w:top w:val="nil"/>
              <w:left w:val="nil"/>
              <w:bottom w:val="single" w:sz="8" w:space="0" w:color="auto"/>
              <w:right w:val="single" w:sz="8" w:space="0" w:color="auto"/>
            </w:tcBorders>
            <w:shd w:val="clear" w:color="000000" w:fill="D9D9D9"/>
            <w:vAlign w:val="center"/>
            <w:hideMark/>
          </w:tcPr>
          <w:p w14:paraId="77CF5D3E"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93907F6"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BF34CB2"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1</w:t>
            </w:r>
          </w:p>
        </w:tc>
        <w:tc>
          <w:tcPr>
            <w:tcW w:w="960" w:type="dxa"/>
            <w:tcBorders>
              <w:top w:val="nil"/>
              <w:left w:val="nil"/>
              <w:bottom w:val="single" w:sz="8" w:space="0" w:color="auto"/>
              <w:right w:val="single" w:sz="8" w:space="0" w:color="auto"/>
            </w:tcBorders>
            <w:shd w:val="clear" w:color="000000" w:fill="D9D9D9"/>
            <w:vAlign w:val="center"/>
            <w:hideMark/>
          </w:tcPr>
          <w:p w14:paraId="4FD22AD2"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2</w:t>
            </w:r>
          </w:p>
        </w:tc>
        <w:tc>
          <w:tcPr>
            <w:tcW w:w="960" w:type="dxa"/>
            <w:tcBorders>
              <w:top w:val="nil"/>
              <w:left w:val="nil"/>
              <w:bottom w:val="single" w:sz="8" w:space="0" w:color="auto"/>
              <w:right w:val="single" w:sz="8" w:space="0" w:color="auto"/>
            </w:tcBorders>
            <w:shd w:val="clear" w:color="000000" w:fill="D9D9D9"/>
            <w:vAlign w:val="center"/>
            <w:hideMark/>
          </w:tcPr>
          <w:p w14:paraId="4CC1922E"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2</w:t>
            </w:r>
          </w:p>
        </w:tc>
      </w:tr>
      <w:tr w:rsidR="00D37F2D" w:rsidRPr="00391D61" w14:paraId="1B101D2D"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AA676A0"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20 02 03 (AC, AL, END and JPD in the EU Delegations)</w:t>
            </w:r>
          </w:p>
        </w:tc>
        <w:tc>
          <w:tcPr>
            <w:tcW w:w="960" w:type="dxa"/>
            <w:tcBorders>
              <w:top w:val="nil"/>
              <w:left w:val="nil"/>
              <w:bottom w:val="single" w:sz="8" w:space="0" w:color="auto"/>
              <w:right w:val="single" w:sz="8" w:space="0" w:color="auto"/>
            </w:tcBorders>
            <w:shd w:val="clear" w:color="000000" w:fill="D9D9D9"/>
            <w:vAlign w:val="center"/>
            <w:hideMark/>
          </w:tcPr>
          <w:p w14:paraId="5F21C2F9"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D41A532"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A6B47BB"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0AB9F3D"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3089385"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00D2BD1B" w14:textId="77777777">
        <w:trPr>
          <w:trHeight w:val="315"/>
        </w:trPr>
        <w:tc>
          <w:tcPr>
            <w:tcW w:w="1460" w:type="dxa"/>
            <w:vMerge w:val="restart"/>
            <w:tcBorders>
              <w:top w:val="nil"/>
              <w:left w:val="single" w:sz="8" w:space="0" w:color="auto"/>
              <w:bottom w:val="single" w:sz="8" w:space="0" w:color="auto"/>
              <w:right w:val="single" w:sz="8" w:space="0" w:color="auto"/>
            </w:tcBorders>
            <w:shd w:val="clear" w:color="auto" w:fill="auto"/>
            <w:vAlign w:val="center"/>
            <w:hideMark/>
          </w:tcPr>
          <w:p w14:paraId="543C023E"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Admin. Support line</w:t>
            </w:r>
            <w:r w:rsidRPr="00391D61">
              <w:rPr>
                <w:rFonts w:eastAsia="Times New Roman"/>
                <w:color w:val="000000"/>
                <w:sz w:val="16"/>
                <w:szCs w:val="16"/>
                <w:lang w:val="en-IE" w:eastAsia="en-IE"/>
              </w:rPr>
              <w:br/>
              <w:t>[XX.01.YY.YY] [2]</w:t>
            </w:r>
          </w:p>
        </w:tc>
        <w:tc>
          <w:tcPr>
            <w:tcW w:w="3760" w:type="dxa"/>
            <w:tcBorders>
              <w:top w:val="nil"/>
              <w:left w:val="nil"/>
              <w:bottom w:val="single" w:sz="8" w:space="0" w:color="auto"/>
              <w:right w:val="single" w:sz="8" w:space="0" w:color="auto"/>
            </w:tcBorders>
            <w:shd w:val="clear" w:color="auto" w:fill="auto"/>
            <w:vAlign w:val="center"/>
            <w:hideMark/>
          </w:tcPr>
          <w:p w14:paraId="1D2ED586"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 at Headquarters</w:t>
            </w:r>
          </w:p>
        </w:tc>
        <w:tc>
          <w:tcPr>
            <w:tcW w:w="960" w:type="dxa"/>
            <w:tcBorders>
              <w:top w:val="nil"/>
              <w:left w:val="nil"/>
              <w:bottom w:val="single" w:sz="8" w:space="0" w:color="auto"/>
              <w:right w:val="single" w:sz="8" w:space="0" w:color="auto"/>
            </w:tcBorders>
            <w:shd w:val="clear" w:color="000000" w:fill="D9D9D9"/>
            <w:vAlign w:val="center"/>
            <w:hideMark/>
          </w:tcPr>
          <w:p w14:paraId="28C236B8"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DB9FDCC"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34A437E"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30BFE14"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E1F4625"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007BF6CB" w14:textId="77777777">
        <w:trPr>
          <w:trHeight w:val="315"/>
        </w:trPr>
        <w:tc>
          <w:tcPr>
            <w:tcW w:w="1460" w:type="dxa"/>
            <w:vMerge/>
            <w:tcBorders>
              <w:top w:val="nil"/>
              <w:left w:val="single" w:sz="8" w:space="0" w:color="auto"/>
              <w:bottom w:val="single" w:sz="8" w:space="0" w:color="auto"/>
              <w:right w:val="single" w:sz="8" w:space="0" w:color="auto"/>
            </w:tcBorders>
            <w:vAlign w:val="center"/>
            <w:hideMark/>
          </w:tcPr>
          <w:p w14:paraId="2FAD691C" w14:textId="77777777" w:rsidR="00D37F2D" w:rsidRPr="00391D61" w:rsidRDefault="00D37F2D">
            <w:pPr>
              <w:spacing w:before="0" w:after="0"/>
              <w:jc w:val="left"/>
              <w:rPr>
                <w:rFonts w:eastAsia="Times New Roman"/>
                <w:color w:val="000000"/>
                <w:sz w:val="16"/>
                <w:szCs w:val="16"/>
                <w:lang w:val="en-IE" w:eastAsia="en-IE"/>
              </w:rPr>
            </w:pPr>
          </w:p>
        </w:tc>
        <w:tc>
          <w:tcPr>
            <w:tcW w:w="3760" w:type="dxa"/>
            <w:tcBorders>
              <w:top w:val="nil"/>
              <w:left w:val="nil"/>
              <w:bottom w:val="single" w:sz="8" w:space="0" w:color="auto"/>
              <w:right w:val="single" w:sz="8" w:space="0" w:color="auto"/>
            </w:tcBorders>
            <w:shd w:val="clear" w:color="auto" w:fill="auto"/>
            <w:vAlign w:val="center"/>
            <w:hideMark/>
          </w:tcPr>
          <w:p w14:paraId="2AA628C6"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 xml:space="preserve">- in EU Delegations </w:t>
            </w:r>
          </w:p>
        </w:tc>
        <w:tc>
          <w:tcPr>
            <w:tcW w:w="960" w:type="dxa"/>
            <w:tcBorders>
              <w:top w:val="nil"/>
              <w:left w:val="nil"/>
              <w:bottom w:val="single" w:sz="8" w:space="0" w:color="auto"/>
              <w:right w:val="single" w:sz="8" w:space="0" w:color="auto"/>
            </w:tcBorders>
            <w:shd w:val="clear" w:color="000000" w:fill="D9D9D9"/>
            <w:vAlign w:val="center"/>
            <w:hideMark/>
          </w:tcPr>
          <w:p w14:paraId="4376EB7D"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434FB68"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F9D909C"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AC1839F"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CE3212A"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7E8B3DF0"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EB77581"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01 01 01 02</w:t>
            </w:r>
            <w:r w:rsidRPr="00391D61">
              <w:rPr>
                <w:rFonts w:ascii="Arial Narrow" w:eastAsia="Times New Roman" w:hAnsi="Arial Narrow"/>
                <w:color w:val="000000"/>
                <w:sz w:val="20"/>
                <w:szCs w:val="20"/>
                <w:lang w:val="en-IE" w:eastAsia="en-IE"/>
              </w:rPr>
              <w:t xml:space="preserve"> </w:t>
            </w:r>
            <w:r w:rsidRPr="00391D61">
              <w:rPr>
                <w:rFonts w:eastAsia="Times New Roman"/>
                <w:color w:val="000000"/>
                <w:sz w:val="16"/>
                <w:szCs w:val="16"/>
                <w:lang w:val="en-IE" w:eastAsia="en-IE"/>
              </w:rPr>
              <w:t>(AC, END - Indirect research)</w:t>
            </w:r>
          </w:p>
        </w:tc>
        <w:tc>
          <w:tcPr>
            <w:tcW w:w="960" w:type="dxa"/>
            <w:tcBorders>
              <w:top w:val="nil"/>
              <w:left w:val="nil"/>
              <w:bottom w:val="single" w:sz="8" w:space="0" w:color="auto"/>
              <w:right w:val="single" w:sz="8" w:space="0" w:color="auto"/>
            </w:tcBorders>
            <w:shd w:val="clear" w:color="000000" w:fill="D9D9D9"/>
            <w:vAlign w:val="center"/>
            <w:hideMark/>
          </w:tcPr>
          <w:p w14:paraId="4F23B2B3"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78B6465"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9972CF1"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7A3E082"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4E8B597"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6036E51B"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ED42975"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 xml:space="preserve"> 01 01 01 12 (AC, END - Direct research)</w:t>
            </w:r>
          </w:p>
        </w:tc>
        <w:tc>
          <w:tcPr>
            <w:tcW w:w="960" w:type="dxa"/>
            <w:tcBorders>
              <w:top w:val="nil"/>
              <w:left w:val="nil"/>
              <w:bottom w:val="single" w:sz="8" w:space="0" w:color="auto"/>
              <w:right w:val="single" w:sz="8" w:space="0" w:color="auto"/>
            </w:tcBorders>
            <w:shd w:val="clear" w:color="000000" w:fill="D9D9D9"/>
            <w:vAlign w:val="center"/>
            <w:hideMark/>
          </w:tcPr>
          <w:p w14:paraId="6C473E59"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42FDC2A"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B1DE63D"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51687BB"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C61D50B"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15502995"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5001C0B"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Other budget lines (specify) - Heading 7</w:t>
            </w:r>
          </w:p>
        </w:tc>
        <w:tc>
          <w:tcPr>
            <w:tcW w:w="960" w:type="dxa"/>
            <w:tcBorders>
              <w:top w:val="nil"/>
              <w:left w:val="nil"/>
              <w:bottom w:val="single" w:sz="8" w:space="0" w:color="auto"/>
              <w:right w:val="single" w:sz="8" w:space="0" w:color="auto"/>
            </w:tcBorders>
            <w:shd w:val="clear" w:color="000000" w:fill="D9D9D9"/>
            <w:vAlign w:val="center"/>
            <w:hideMark/>
          </w:tcPr>
          <w:p w14:paraId="6040A6AA"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B46AB57"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127EB71"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38028CB"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6A9A5F2"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0F7AC4B6"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F57E57D" w14:textId="77777777" w:rsidR="00D37F2D" w:rsidRPr="00391D61" w:rsidRDefault="00D37F2D">
            <w:pPr>
              <w:spacing w:before="0" w:after="0"/>
              <w:ind w:firstLineChars="100" w:firstLine="160"/>
              <w:jc w:val="left"/>
              <w:rPr>
                <w:rFonts w:eastAsia="Times New Roman"/>
                <w:color w:val="000000"/>
                <w:sz w:val="16"/>
                <w:szCs w:val="16"/>
                <w:lang w:val="en-IE" w:eastAsia="en-IE"/>
              </w:rPr>
            </w:pPr>
            <w:r w:rsidRPr="00391D61">
              <w:rPr>
                <w:rFonts w:eastAsia="Times New Roman"/>
                <w:color w:val="000000"/>
                <w:sz w:val="16"/>
                <w:szCs w:val="16"/>
                <w:lang w:val="en-IE" w:eastAsia="en-IE"/>
              </w:rPr>
              <w:t>Other budget lines (specify) - Outside Heading 7</w:t>
            </w:r>
          </w:p>
        </w:tc>
        <w:tc>
          <w:tcPr>
            <w:tcW w:w="960" w:type="dxa"/>
            <w:tcBorders>
              <w:top w:val="nil"/>
              <w:left w:val="nil"/>
              <w:bottom w:val="single" w:sz="8" w:space="0" w:color="auto"/>
              <w:right w:val="single" w:sz="8" w:space="0" w:color="auto"/>
            </w:tcBorders>
            <w:shd w:val="clear" w:color="000000" w:fill="D9D9D9"/>
            <w:vAlign w:val="center"/>
            <w:hideMark/>
          </w:tcPr>
          <w:p w14:paraId="2A0BB445"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E0F75F6"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22D2F5D"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A7EEA30"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1EB0063" w14:textId="77777777" w:rsidR="00D37F2D" w:rsidRPr="00391D61" w:rsidRDefault="00D37F2D">
            <w:pPr>
              <w:spacing w:before="0" w:after="0"/>
              <w:jc w:val="center"/>
              <w:rPr>
                <w:rFonts w:eastAsia="Times New Roman"/>
                <w:color w:val="000000"/>
                <w:sz w:val="16"/>
                <w:szCs w:val="16"/>
                <w:lang w:val="en-IE" w:eastAsia="en-IE"/>
              </w:rPr>
            </w:pPr>
            <w:r w:rsidRPr="00391D61">
              <w:rPr>
                <w:rFonts w:eastAsia="Times New Roman"/>
                <w:color w:val="000000"/>
                <w:sz w:val="16"/>
                <w:szCs w:val="16"/>
                <w:lang w:val="en-IE" w:eastAsia="en-IE"/>
              </w:rPr>
              <w:t>0</w:t>
            </w:r>
          </w:p>
        </w:tc>
      </w:tr>
      <w:tr w:rsidR="00D37F2D" w:rsidRPr="00391D61" w14:paraId="31A2F121" w14:textId="77777777">
        <w:trPr>
          <w:trHeight w:val="315"/>
        </w:trPr>
        <w:tc>
          <w:tcPr>
            <w:tcW w:w="522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3D93F6C" w14:textId="77777777" w:rsidR="00D37F2D" w:rsidRPr="00391D61" w:rsidRDefault="00D37F2D">
            <w:pPr>
              <w:spacing w:before="0" w:after="0"/>
              <w:ind w:firstLineChars="100" w:firstLine="161"/>
              <w:jc w:val="left"/>
              <w:rPr>
                <w:rFonts w:eastAsia="Times New Roman"/>
                <w:b/>
                <w:bCs/>
                <w:color w:val="000000"/>
                <w:sz w:val="16"/>
                <w:szCs w:val="16"/>
                <w:lang w:val="en-IE" w:eastAsia="en-IE"/>
              </w:rPr>
            </w:pPr>
            <w:r w:rsidRPr="00391D61">
              <w:rPr>
                <w:rFonts w:eastAsia="Times New Roman"/>
                <w:b/>
                <w:bCs/>
                <w:color w:val="000000"/>
                <w:sz w:val="16"/>
                <w:szCs w:val="16"/>
                <w:lang w:val="en-IE" w:eastAsia="en-IE"/>
              </w:rPr>
              <w:t>TOTAL</w:t>
            </w:r>
          </w:p>
        </w:tc>
        <w:tc>
          <w:tcPr>
            <w:tcW w:w="960" w:type="dxa"/>
            <w:tcBorders>
              <w:top w:val="nil"/>
              <w:left w:val="nil"/>
              <w:bottom w:val="single" w:sz="8" w:space="0" w:color="auto"/>
              <w:right w:val="single" w:sz="8" w:space="0" w:color="auto"/>
            </w:tcBorders>
            <w:shd w:val="clear" w:color="000000" w:fill="D9D9D9"/>
            <w:vAlign w:val="center"/>
            <w:hideMark/>
          </w:tcPr>
          <w:p w14:paraId="7063131C" w14:textId="77777777" w:rsidR="00D37F2D" w:rsidRPr="00391D61" w:rsidRDefault="00D37F2D">
            <w:pPr>
              <w:spacing w:before="0" w:after="0"/>
              <w:jc w:val="center"/>
              <w:rPr>
                <w:rFonts w:eastAsia="Times New Roman"/>
                <w:b/>
                <w:bCs/>
                <w:color w:val="000000"/>
                <w:sz w:val="16"/>
                <w:szCs w:val="16"/>
                <w:lang w:val="en-IE" w:eastAsia="en-IE"/>
              </w:rPr>
            </w:pPr>
            <w:r w:rsidRPr="00391D61">
              <w:rPr>
                <w:rFonts w:eastAsia="Times New Roman"/>
                <w:b/>
                <w:bCs/>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3E10333" w14:textId="77777777" w:rsidR="00D37F2D" w:rsidRPr="00391D61" w:rsidRDefault="00D37F2D">
            <w:pPr>
              <w:spacing w:before="0" w:after="0"/>
              <w:jc w:val="center"/>
              <w:rPr>
                <w:rFonts w:eastAsia="Times New Roman"/>
                <w:b/>
                <w:bCs/>
                <w:color w:val="000000"/>
                <w:sz w:val="16"/>
                <w:szCs w:val="16"/>
                <w:lang w:val="en-IE" w:eastAsia="en-IE"/>
              </w:rPr>
            </w:pPr>
            <w:r w:rsidRPr="00391D61">
              <w:rPr>
                <w:rFonts w:eastAsia="Times New Roman"/>
                <w:b/>
                <w:bCs/>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A446FE8" w14:textId="77777777" w:rsidR="00D37F2D" w:rsidRPr="00391D61" w:rsidRDefault="00D37F2D">
            <w:pPr>
              <w:spacing w:before="0" w:after="0"/>
              <w:jc w:val="center"/>
              <w:rPr>
                <w:rFonts w:eastAsia="Times New Roman"/>
                <w:b/>
                <w:bCs/>
                <w:color w:val="000000"/>
                <w:sz w:val="16"/>
                <w:szCs w:val="16"/>
                <w:lang w:val="en-IE" w:eastAsia="en-IE"/>
              </w:rPr>
            </w:pPr>
            <w:r w:rsidRPr="00391D61">
              <w:rPr>
                <w:rFonts w:eastAsia="Times New Roman"/>
                <w:b/>
                <w:bCs/>
                <w:color w:val="000000"/>
                <w:sz w:val="16"/>
                <w:szCs w:val="16"/>
                <w:lang w:val="en-IE" w:eastAsia="en-IE"/>
              </w:rPr>
              <w:t>10</w:t>
            </w:r>
          </w:p>
        </w:tc>
        <w:tc>
          <w:tcPr>
            <w:tcW w:w="960" w:type="dxa"/>
            <w:tcBorders>
              <w:top w:val="nil"/>
              <w:left w:val="nil"/>
              <w:bottom w:val="single" w:sz="8" w:space="0" w:color="auto"/>
              <w:right w:val="single" w:sz="8" w:space="0" w:color="auto"/>
            </w:tcBorders>
            <w:shd w:val="clear" w:color="000000" w:fill="D9D9D9"/>
            <w:vAlign w:val="center"/>
            <w:hideMark/>
          </w:tcPr>
          <w:p w14:paraId="7E85C97B" w14:textId="77777777" w:rsidR="00D37F2D" w:rsidRPr="00391D61" w:rsidRDefault="00D37F2D">
            <w:pPr>
              <w:spacing w:before="0" w:after="0"/>
              <w:jc w:val="center"/>
              <w:rPr>
                <w:rFonts w:eastAsia="Times New Roman"/>
                <w:b/>
                <w:bCs/>
                <w:color w:val="000000"/>
                <w:sz w:val="16"/>
                <w:szCs w:val="16"/>
                <w:lang w:val="en-IE" w:eastAsia="en-IE"/>
              </w:rPr>
            </w:pPr>
            <w:r w:rsidRPr="00391D61">
              <w:rPr>
                <w:rFonts w:eastAsia="Times New Roman"/>
                <w:b/>
                <w:bCs/>
                <w:color w:val="000000"/>
                <w:sz w:val="16"/>
                <w:szCs w:val="16"/>
                <w:lang w:val="en-IE" w:eastAsia="en-IE"/>
              </w:rPr>
              <w:t>20</w:t>
            </w:r>
          </w:p>
        </w:tc>
        <w:tc>
          <w:tcPr>
            <w:tcW w:w="960" w:type="dxa"/>
            <w:tcBorders>
              <w:top w:val="nil"/>
              <w:left w:val="nil"/>
              <w:bottom w:val="single" w:sz="8" w:space="0" w:color="auto"/>
              <w:right w:val="single" w:sz="8" w:space="0" w:color="auto"/>
            </w:tcBorders>
            <w:shd w:val="clear" w:color="000000" w:fill="D9D9D9"/>
            <w:vAlign w:val="center"/>
            <w:hideMark/>
          </w:tcPr>
          <w:p w14:paraId="6D8F6858" w14:textId="77777777" w:rsidR="00D37F2D" w:rsidRPr="00391D61" w:rsidRDefault="00D37F2D">
            <w:pPr>
              <w:spacing w:before="0" w:after="0"/>
              <w:jc w:val="center"/>
              <w:rPr>
                <w:rFonts w:eastAsia="Times New Roman"/>
                <w:b/>
                <w:bCs/>
                <w:color w:val="000000"/>
                <w:sz w:val="16"/>
                <w:szCs w:val="16"/>
                <w:lang w:val="en-IE" w:eastAsia="en-IE"/>
              </w:rPr>
            </w:pPr>
            <w:r w:rsidRPr="00391D61">
              <w:rPr>
                <w:rFonts w:eastAsia="Times New Roman"/>
                <w:b/>
                <w:bCs/>
                <w:color w:val="000000"/>
                <w:sz w:val="16"/>
                <w:szCs w:val="16"/>
                <w:lang w:val="en-IE" w:eastAsia="en-IE"/>
              </w:rPr>
              <w:t>20</w:t>
            </w:r>
          </w:p>
        </w:tc>
      </w:tr>
    </w:tbl>
    <w:p w14:paraId="53094DE3" w14:textId="77777777" w:rsidR="00D37F2D" w:rsidRPr="004C654F" w:rsidRDefault="00D37F2D" w:rsidP="00D37F2D">
      <w:pPr>
        <w:pStyle w:val="Text1"/>
        <w:ind w:left="0"/>
      </w:pPr>
      <w:bookmarkStart w:id="174" w:name="_Toc167220296"/>
      <w:bookmarkStart w:id="175" w:name="_Toc177549029"/>
    </w:p>
    <w:p w14:paraId="26FDE192" w14:textId="77777777" w:rsidR="00D37F2D" w:rsidRDefault="00D37F2D" w:rsidP="00D37F2D">
      <w:pPr>
        <w:pStyle w:val="ManualHeading3"/>
      </w:pPr>
      <w:r w:rsidRPr="003268F2">
        <w:t>3.2.</w:t>
      </w:r>
      <w:r>
        <w:t>4</w:t>
      </w:r>
      <w:r w:rsidRPr="003268F2">
        <w:t>.</w:t>
      </w:r>
      <w:r>
        <w:t>2.</w:t>
      </w:r>
      <w:r>
        <w:tab/>
        <w:t xml:space="preserve">Financed from </w:t>
      </w:r>
      <w:r>
        <w:rPr>
          <w:noProof/>
        </w:rPr>
        <w:t>external</w:t>
      </w:r>
      <w:r>
        <w:t xml:space="preserve"> assigned revenues</w:t>
      </w:r>
      <w:bookmarkEnd w:id="174"/>
      <w:bookmarkEnd w:id="175"/>
    </w:p>
    <w:p w14:paraId="74C36B4A" w14:textId="77777777" w:rsidR="00D37F2D" w:rsidRPr="006F752A" w:rsidRDefault="00D37F2D" w:rsidP="00D37F2D">
      <w:pPr>
        <w:pStyle w:val="Text1"/>
      </w:pPr>
      <w:r>
        <w:t>N/A</w:t>
      </w:r>
    </w:p>
    <w:p w14:paraId="07F7DA24" w14:textId="77777777" w:rsidR="00D37F2D" w:rsidRDefault="00D37F2D" w:rsidP="00D37F2D">
      <w:pPr>
        <w:pStyle w:val="ManualHeading3"/>
      </w:pPr>
      <w:bookmarkStart w:id="176" w:name="_Toc167220297"/>
      <w:bookmarkStart w:id="177" w:name="_Toc177549030"/>
      <w:r>
        <w:rPr>
          <w:noProof/>
        </w:rPr>
        <w:t>3.2.4.3.</w:t>
      </w:r>
      <w:r>
        <w:rPr>
          <w:noProof/>
        </w:rPr>
        <w:tab/>
        <w:t>Total</w:t>
      </w:r>
      <w:r>
        <w:t xml:space="preserve"> requirements of human resources</w:t>
      </w:r>
      <w:bookmarkEnd w:id="176"/>
      <w:bookmarkEnd w:id="177"/>
      <w:r>
        <w:t xml:space="preserve"> </w:t>
      </w:r>
    </w:p>
    <w:tbl>
      <w:tblPr>
        <w:tblW w:w="9655" w:type="dxa"/>
        <w:tblInd w:w="118" w:type="dxa"/>
        <w:tblLook w:val="04A0" w:firstRow="1" w:lastRow="0" w:firstColumn="1" w:lastColumn="0" w:noHBand="0" w:noVBand="1"/>
      </w:tblPr>
      <w:tblGrid>
        <w:gridCol w:w="1598"/>
        <w:gridCol w:w="3933"/>
        <w:gridCol w:w="1031"/>
        <w:gridCol w:w="1031"/>
        <w:gridCol w:w="1031"/>
        <w:gridCol w:w="1031"/>
      </w:tblGrid>
      <w:tr w:rsidR="00D37F2D" w:rsidRPr="007B755C" w14:paraId="07FA7C99" w14:textId="77777777">
        <w:trPr>
          <w:trHeight w:val="511"/>
        </w:trPr>
        <w:tc>
          <w:tcPr>
            <w:tcW w:w="5531"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4A784C0D" w14:textId="77777777" w:rsidR="00D37F2D" w:rsidRPr="007B755C" w:rsidRDefault="00D37F2D">
            <w:pPr>
              <w:spacing w:before="0" w:after="0"/>
              <w:jc w:val="center"/>
              <w:rPr>
                <w:rFonts w:eastAsia="Times New Roman"/>
                <w:b/>
                <w:bCs/>
                <w:color w:val="000000"/>
                <w:sz w:val="18"/>
                <w:szCs w:val="18"/>
                <w:lang w:val="en-IE" w:eastAsia="en-IE"/>
              </w:rPr>
            </w:pPr>
            <w:r w:rsidRPr="007B755C">
              <w:rPr>
                <w:rFonts w:eastAsia="Times New Roman"/>
                <w:b/>
                <w:bCs/>
                <w:color w:val="000000"/>
                <w:sz w:val="18"/>
                <w:szCs w:val="18"/>
                <w:lang w:val="en-IE" w:eastAsia="en-IE"/>
              </w:rPr>
              <w:t>TOTAL</w:t>
            </w:r>
            <w:r w:rsidRPr="007B755C">
              <w:rPr>
                <w:rFonts w:eastAsia="Times New Roman"/>
                <w:b/>
                <w:bCs/>
                <w:color w:val="000000"/>
                <w:sz w:val="18"/>
                <w:szCs w:val="18"/>
                <w:lang w:val="en-IE" w:eastAsia="en-IE"/>
              </w:rPr>
              <w:br/>
              <w:t xml:space="preserve">VOTED APPROPRIATIONS </w:t>
            </w:r>
            <w:r w:rsidRPr="007B755C">
              <w:rPr>
                <w:rFonts w:eastAsia="Times New Roman"/>
                <w:b/>
                <w:bCs/>
                <w:color w:val="000000"/>
                <w:sz w:val="18"/>
                <w:szCs w:val="18"/>
                <w:lang w:val="en-IE" w:eastAsia="en-IE"/>
              </w:rPr>
              <w:br/>
              <w:t>+</w:t>
            </w:r>
            <w:r w:rsidRPr="007B755C">
              <w:rPr>
                <w:rFonts w:eastAsia="Times New Roman"/>
                <w:b/>
                <w:bCs/>
                <w:color w:val="000000"/>
                <w:sz w:val="18"/>
                <w:szCs w:val="18"/>
                <w:lang w:val="en-IE" w:eastAsia="en-IE"/>
              </w:rPr>
              <w:br/>
              <w:t>EXTERNAL ASSIGNED REVENUES</w:t>
            </w:r>
          </w:p>
        </w:tc>
        <w:tc>
          <w:tcPr>
            <w:tcW w:w="1031" w:type="dxa"/>
            <w:tcBorders>
              <w:top w:val="single" w:sz="8" w:space="0" w:color="auto"/>
              <w:left w:val="nil"/>
              <w:bottom w:val="nil"/>
              <w:right w:val="single" w:sz="8" w:space="0" w:color="auto"/>
            </w:tcBorders>
            <w:shd w:val="clear" w:color="auto" w:fill="auto"/>
            <w:vAlign w:val="center"/>
            <w:hideMark/>
          </w:tcPr>
          <w:p w14:paraId="040A78AD" w14:textId="77777777" w:rsidR="00D37F2D" w:rsidRPr="007B755C" w:rsidRDefault="00D37F2D">
            <w:pPr>
              <w:spacing w:before="0" w:after="0"/>
              <w:jc w:val="center"/>
              <w:rPr>
                <w:rFonts w:eastAsia="Times New Roman"/>
                <w:color w:val="000000"/>
                <w:sz w:val="20"/>
                <w:szCs w:val="20"/>
                <w:lang w:val="en-IE" w:eastAsia="en-IE"/>
              </w:rPr>
            </w:pPr>
            <w:r w:rsidRPr="007B755C">
              <w:rPr>
                <w:rFonts w:eastAsia="Times New Roman"/>
                <w:color w:val="000000"/>
                <w:sz w:val="20"/>
                <w:szCs w:val="20"/>
                <w:lang w:val="en-IE" w:eastAsia="en-IE"/>
              </w:rPr>
              <w:t>Year</w:t>
            </w:r>
          </w:p>
        </w:tc>
        <w:tc>
          <w:tcPr>
            <w:tcW w:w="1031" w:type="dxa"/>
            <w:tcBorders>
              <w:top w:val="single" w:sz="8" w:space="0" w:color="auto"/>
              <w:left w:val="nil"/>
              <w:bottom w:val="nil"/>
              <w:right w:val="single" w:sz="8" w:space="0" w:color="auto"/>
            </w:tcBorders>
            <w:shd w:val="clear" w:color="auto" w:fill="auto"/>
            <w:vAlign w:val="center"/>
            <w:hideMark/>
          </w:tcPr>
          <w:p w14:paraId="20C4322E" w14:textId="77777777" w:rsidR="00D37F2D" w:rsidRPr="007B755C" w:rsidRDefault="00D37F2D">
            <w:pPr>
              <w:spacing w:before="0" w:after="0"/>
              <w:jc w:val="center"/>
              <w:rPr>
                <w:rFonts w:eastAsia="Times New Roman"/>
                <w:color w:val="000000"/>
                <w:sz w:val="20"/>
                <w:szCs w:val="20"/>
                <w:lang w:val="en-IE" w:eastAsia="en-IE"/>
              </w:rPr>
            </w:pPr>
            <w:r w:rsidRPr="007B755C">
              <w:rPr>
                <w:rFonts w:eastAsia="Times New Roman"/>
                <w:color w:val="000000"/>
                <w:sz w:val="20"/>
                <w:szCs w:val="20"/>
                <w:lang w:val="en-IE" w:eastAsia="en-IE"/>
              </w:rPr>
              <w:t>Year</w:t>
            </w:r>
          </w:p>
        </w:tc>
        <w:tc>
          <w:tcPr>
            <w:tcW w:w="1031" w:type="dxa"/>
            <w:tcBorders>
              <w:top w:val="single" w:sz="8" w:space="0" w:color="auto"/>
              <w:left w:val="nil"/>
              <w:bottom w:val="nil"/>
              <w:right w:val="single" w:sz="8" w:space="0" w:color="auto"/>
            </w:tcBorders>
            <w:shd w:val="clear" w:color="auto" w:fill="auto"/>
            <w:vAlign w:val="center"/>
            <w:hideMark/>
          </w:tcPr>
          <w:p w14:paraId="21C5E46E" w14:textId="77777777" w:rsidR="00D37F2D" w:rsidRPr="007B755C" w:rsidRDefault="00D37F2D">
            <w:pPr>
              <w:spacing w:before="0" w:after="0"/>
              <w:jc w:val="center"/>
              <w:rPr>
                <w:rFonts w:eastAsia="Times New Roman"/>
                <w:color w:val="000000"/>
                <w:sz w:val="20"/>
                <w:szCs w:val="20"/>
                <w:lang w:val="en-IE" w:eastAsia="en-IE"/>
              </w:rPr>
            </w:pPr>
            <w:r w:rsidRPr="007B755C">
              <w:rPr>
                <w:rFonts w:eastAsia="Times New Roman"/>
                <w:color w:val="000000"/>
                <w:sz w:val="20"/>
                <w:szCs w:val="20"/>
                <w:lang w:val="en-IE" w:eastAsia="en-IE"/>
              </w:rPr>
              <w:t>Year</w:t>
            </w:r>
          </w:p>
        </w:tc>
        <w:tc>
          <w:tcPr>
            <w:tcW w:w="1031" w:type="dxa"/>
            <w:tcBorders>
              <w:top w:val="single" w:sz="8" w:space="0" w:color="auto"/>
              <w:left w:val="nil"/>
              <w:bottom w:val="nil"/>
              <w:right w:val="single" w:sz="8" w:space="0" w:color="auto"/>
            </w:tcBorders>
            <w:shd w:val="clear" w:color="auto" w:fill="auto"/>
            <w:vAlign w:val="center"/>
            <w:hideMark/>
          </w:tcPr>
          <w:p w14:paraId="3FD92202" w14:textId="77777777" w:rsidR="00D37F2D" w:rsidRPr="007B755C" w:rsidRDefault="00D37F2D">
            <w:pPr>
              <w:spacing w:before="0" w:after="0"/>
              <w:jc w:val="center"/>
              <w:rPr>
                <w:rFonts w:eastAsia="Times New Roman"/>
                <w:color w:val="000000"/>
                <w:sz w:val="20"/>
                <w:szCs w:val="20"/>
                <w:lang w:val="en-IE" w:eastAsia="en-IE"/>
              </w:rPr>
            </w:pPr>
            <w:r w:rsidRPr="007B755C">
              <w:rPr>
                <w:rFonts w:eastAsia="Times New Roman"/>
                <w:color w:val="000000"/>
                <w:sz w:val="20"/>
                <w:szCs w:val="20"/>
                <w:lang w:val="en-IE" w:eastAsia="en-IE"/>
              </w:rPr>
              <w:t>Year</w:t>
            </w:r>
          </w:p>
        </w:tc>
      </w:tr>
      <w:tr w:rsidR="00D37F2D" w:rsidRPr="007B755C" w14:paraId="460F081C" w14:textId="77777777">
        <w:trPr>
          <w:trHeight w:val="511"/>
        </w:trPr>
        <w:tc>
          <w:tcPr>
            <w:tcW w:w="5531"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2F8AB334" w14:textId="77777777" w:rsidR="00D37F2D" w:rsidRPr="007B755C" w:rsidRDefault="00D37F2D">
            <w:pPr>
              <w:spacing w:before="0" w:after="0"/>
              <w:jc w:val="center"/>
              <w:rPr>
                <w:rFonts w:eastAsia="Times New Roman"/>
                <w:b/>
                <w:bCs/>
                <w:color w:val="000000"/>
                <w:sz w:val="18"/>
                <w:szCs w:val="18"/>
                <w:lang w:val="en-IE" w:eastAsia="en-IE"/>
              </w:rPr>
            </w:pPr>
          </w:p>
        </w:tc>
        <w:tc>
          <w:tcPr>
            <w:tcW w:w="1031" w:type="dxa"/>
            <w:tcBorders>
              <w:top w:val="single" w:sz="8" w:space="0" w:color="auto"/>
              <w:left w:val="nil"/>
              <w:bottom w:val="nil"/>
              <w:right w:val="single" w:sz="8" w:space="0" w:color="auto"/>
            </w:tcBorders>
            <w:shd w:val="clear" w:color="auto" w:fill="auto"/>
            <w:vAlign w:val="center"/>
            <w:hideMark/>
          </w:tcPr>
          <w:p w14:paraId="77099F83" w14:textId="77777777" w:rsidR="00D37F2D" w:rsidRPr="007B755C" w:rsidRDefault="00D37F2D">
            <w:pPr>
              <w:spacing w:before="0" w:after="0"/>
              <w:jc w:val="center"/>
              <w:rPr>
                <w:rFonts w:eastAsia="Times New Roman"/>
                <w:color w:val="000000"/>
                <w:sz w:val="20"/>
                <w:szCs w:val="20"/>
                <w:lang w:val="en-IE" w:eastAsia="en-IE"/>
              </w:rPr>
            </w:pPr>
            <w:r w:rsidRPr="007B755C">
              <w:rPr>
                <w:rFonts w:eastAsia="Times New Roman"/>
                <w:color w:val="000000"/>
                <w:sz w:val="20"/>
                <w:szCs w:val="20"/>
                <w:lang w:val="en-IE" w:eastAsia="en-IE"/>
              </w:rPr>
              <w:t>2024</w:t>
            </w:r>
          </w:p>
        </w:tc>
        <w:tc>
          <w:tcPr>
            <w:tcW w:w="1031" w:type="dxa"/>
            <w:tcBorders>
              <w:top w:val="single" w:sz="8" w:space="0" w:color="auto"/>
              <w:left w:val="nil"/>
              <w:bottom w:val="nil"/>
              <w:right w:val="single" w:sz="8" w:space="0" w:color="auto"/>
            </w:tcBorders>
            <w:shd w:val="clear" w:color="auto" w:fill="auto"/>
            <w:vAlign w:val="center"/>
            <w:hideMark/>
          </w:tcPr>
          <w:p w14:paraId="47396BAF" w14:textId="77777777" w:rsidR="00D37F2D" w:rsidRPr="007B755C" w:rsidRDefault="00D37F2D">
            <w:pPr>
              <w:spacing w:before="0" w:after="0"/>
              <w:jc w:val="center"/>
              <w:rPr>
                <w:rFonts w:eastAsia="Times New Roman"/>
                <w:color w:val="000000"/>
                <w:sz w:val="20"/>
                <w:szCs w:val="20"/>
                <w:lang w:val="en-IE" w:eastAsia="en-IE"/>
              </w:rPr>
            </w:pPr>
            <w:r w:rsidRPr="007B755C">
              <w:rPr>
                <w:rFonts w:eastAsia="Times New Roman"/>
                <w:color w:val="000000"/>
                <w:sz w:val="20"/>
                <w:szCs w:val="20"/>
                <w:lang w:val="en-IE" w:eastAsia="en-IE"/>
              </w:rPr>
              <w:t>2025</w:t>
            </w:r>
          </w:p>
        </w:tc>
        <w:tc>
          <w:tcPr>
            <w:tcW w:w="1031" w:type="dxa"/>
            <w:tcBorders>
              <w:top w:val="single" w:sz="8" w:space="0" w:color="auto"/>
              <w:left w:val="nil"/>
              <w:bottom w:val="nil"/>
              <w:right w:val="single" w:sz="8" w:space="0" w:color="auto"/>
            </w:tcBorders>
            <w:shd w:val="clear" w:color="auto" w:fill="auto"/>
            <w:vAlign w:val="center"/>
            <w:hideMark/>
          </w:tcPr>
          <w:p w14:paraId="00E50599" w14:textId="77777777" w:rsidR="00D37F2D" w:rsidRPr="007B755C" w:rsidRDefault="00D37F2D">
            <w:pPr>
              <w:spacing w:before="0" w:after="0"/>
              <w:jc w:val="center"/>
              <w:rPr>
                <w:rFonts w:eastAsia="Times New Roman"/>
                <w:color w:val="000000"/>
                <w:sz w:val="20"/>
                <w:szCs w:val="20"/>
                <w:lang w:val="en-IE" w:eastAsia="en-IE"/>
              </w:rPr>
            </w:pPr>
            <w:r w:rsidRPr="007B755C">
              <w:rPr>
                <w:rFonts w:eastAsia="Times New Roman"/>
                <w:color w:val="000000"/>
                <w:sz w:val="20"/>
                <w:szCs w:val="20"/>
                <w:lang w:val="en-IE" w:eastAsia="en-IE"/>
              </w:rPr>
              <w:t>2026</w:t>
            </w:r>
          </w:p>
        </w:tc>
        <w:tc>
          <w:tcPr>
            <w:tcW w:w="1031" w:type="dxa"/>
            <w:tcBorders>
              <w:top w:val="single" w:sz="8" w:space="0" w:color="auto"/>
              <w:left w:val="nil"/>
              <w:bottom w:val="nil"/>
              <w:right w:val="single" w:sz="8" w:space="0" w:color="auto"/>
            </w:tcBorders>
            <w:shd w:val="clear" w:color="auto" w:fill="auto"/>
            <w:vAlign w:val="center"/>
            <w:hideMark/>
          </w:tcPr>
          <w:p w14:paraId="6D147D12" w14:textId="77777777" w:rsidR="00D37F2D" w:rsidRPr="007B755C" w:rsidRDefault="00D37F2D">
            <w:pPr>
              <w:spacing w:before="0" w:after="0"/>
              <w:jc w:val="center"/>
              <w:rPr>
                <w:rFonts w:eastAsia="Times New Roman"/>
                <w:color w:val="000000"/>
                <w:sz w:val="20"/>
                <w:szCs w:val="20"/>
                <w:lang w:val="en-IE" w:eastAsia="en-IE"/>
              </w:rPr>
            </w:pPr>
            <w:r w:rsidRPr="007B755C">
              <w:rPr>
                <w:rFonts w:eastAsia="Times New Roman"/>
                <w:color w:val="000000"/>
                <w:sz w:val="20"/>
                <w:szCs w:val="20"/>
                <w:lang w:val="en-IE" w:eastAsia="en-IE"/>
              </w:rPr>
              <w:t>2027</w:t>
            </w:r>
          </w:p>
        </w:tc>
      </w:tr>
      <w:tr w:rsidR="00D37F2D" w:rsidRPr="007B755C" w14:paraId="0D9BC7A8" w14:textId="77777777">
        <w:trPr>
          <w:trHeight w:val="311"/>
        </w:trPr>
        <w:tc>
          <w:tcPr>
            <w:tcW w:w="9655" w:type="dxa"/>
            <w:gridSpan w:val="6"/>
            <w:tcBorders>
              <w:top w:val="single" w:sz="8" w:space="0" w:color="auto"/>
              <w:left w:val="single" w:sz="8" w:space="0" w:color="auto"/>
              <w:bottom w:val="single" w:sz="8" w:space="0" w:color="auto"/>
              <w:right w:val="nil"/>
            </w:tcBorders>
            <w:shd w:val="clear" w:color="auto" w:fill="auto"/>
            <w:vAlign w:val="center"/>
            <w:hideMark/>
          </w:tcPr>
          <w:p w14:paraId="49B70731" w14:textId="77777777" w:rsidR="00D37F2D" w:rsidRPr="007B755C" w:rsidRDefault="00D37F2D">
            <w:pPr>
              <w:spacing w:before="0" w:after="0"/>
              <w:jc w:val="left"/>
              <w:rPr>
                <w:rFonts w:ascii="Wingdings" w:eastAsia="Times New Roman" w:hAnsi="Wingdings" w:cs="Calibri"/>
                <w:b/>
                <w:bCs/>
                <w:color w:val="000000"/>
                <w:sz w:val="16"/>
                <w:szCs w:val="16"/>
                <w:lang w:val="en-IE" w:eastAsia="en-IE"/>
              </w:rPr>
            </w:pPr>
            <w:r w:rsidRPr="007B755C">
              <w:rPr>
                <w:rFonts w:ascii="Wingdings" w:eastAsia="Times New Roman" w:hAnsi="Wingdings" w:cs="Calibri"/>
                <w:b/>
                <w:bCs/>
                <w:color w:val="000000"/>
                <w:sz w:val="16"/>
                <w:szCs w:val="16"/>
                <w:lang w:val="en-IE" w:eastAsia="en-IE"/>
              </w:rPr>
              <w:t>Ÿ</w:t>
            </w:r>
            <w:r w:rsidRPr="007B755C">
              <w:rPr>
                <w:rFonts w:eastAsia="Times New Roman"/>
                <w:b/>
                <w:bCs/>
                <w:color w:val="000000"/>
                <w:sz w:val="16"/>
                <w:szCs w:val="16"/>
                <w:lang w:val="en-IE" w:eastAsia="en-IE"/>
              </w:rPr>
              <w:t xml:space="preserve"> Establishment plan posts (officials and temporary staff)</w:t>
            </w:r>
          </w:p>
        </w:tc>
      </w:tr>
      <w:tr w:rsidR="00D37F2D" w:rsidRPr="007B755C" w14:paraId="676C0B0A"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473E3E"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20 01 02 01</w:t>
            </w:r>
            <w:r w:rsidRPr="007B755C">
              <w:rPr>
                <w:rFonts w:ascii="Arial Narrow" w:eastAsia="Times New Roman" w:hAnsi="Arial Narrow"/>
                <w:color w:val="000000"/>
                <w:sz w:val="20"/>
                <w:szCs w:val="20"/>
                <w:lang w:val="en-IE" w:eastAsia="en-IE"/>
              </w:rPr>
              <w:t xml:space="preserve"> </w:t>
            </w:r>
            <w:r w:rsidRPr="007B755C">
              <w:rPr>
                <w:rFonts w:eastAsia="Times New Roman"/>
                <w:color w:val="000000"/>
                <w:sz w:val="16"/>
                <w:szCs w:val="16"/>
                <w:lang w:val="en-IE" w:eastAsia="en-IE"/>
              </w:rPr>
              <w:t>(Headquarters and Commission’s Representation Offices)</w:t>
            </w:r>
          </w:p>
        </w:tc>
        <w:tc>
          <w:tcPr>
            <w:tcW w:w="1031" w:type="dxa"/>
            <w:tcBorders>
              <w:top w:val="nil"/>
              <w:left w:val="nil"/>
              <w:bottom w:val="single" w:sz="8" w:space="0" w:color="auto"/>
              <w:right w:val="single" w:sz="8" w:space="0" w:color="auto"/>
            </w:tcBorders>
            <w:shd w:val="clear" w:color="000000" w:fill="D9D9D9"/>
            <w:vAlign w:val="center"/>
            <w:hideMark/>
          </w:tcPr>
          <w:p w14:paraId="442B8B91"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5596189C"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7A3AF7D4"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9</w:t>
            </w:r>
          </w:p>
        </w:tc>
        <w:tc>
          <w:tcPr>
            <w:tcW w:w="1031" w:type="dxa"/>
            <w:tcBorders>
              <w:top w:val="nil"/>
              <w:left w:val="nil"/>
              <w:bottom w:val="single" w:sz="8" w:space="0" w:color="auto"/>
              <w:right w:val="single" w:sz="8" w:space="0" w:color="auto"/>
            </w:tcBorders>
            <w:shd w:val="clear" w:color="000000" w:fill="D9D9D9"/>
            <w:vAlign w:val="center"/>
            <w:hideMark/>
          </w:tcPr>
          <w:p w14:paraId="43427414"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18</w:t>
            </w:r>
          </w:p>
        </w:tc>
      </w:tr>
      <w:tr w:rsidR="00D37F2D" w:rsidRPr="007B755C" w14:paraId="73222C7B"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6F06E6D"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20 01 02 03 (EU Delegations)</w:t>
            </w:r>
          </w:p>
        </w:tc>
        <w:tc>
          <w:tcPr>
            <w:tcW w:w="1031" w:type="dxa"/>
            <w:tcBorders>
              <w:top w:val="nil"/>
              <w:left w:val="nil"/>
              <w:bottom w:val="single" w:sz="8" w:space="0" w:color="auto"/>
              <w:right w:val="single" w:sz="8" w:space="0" w:color="auto"/>
            </w:tcBorders>
            <w:shd w:val="clear" w:color="000000" w:fill="D9D9D9"/>
            <w:vAlign w:val="center"/>
            <w:hideMark/>
          </w:tcPr>
          <w:p w14:paraId="40C925BD"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7FB98AD7"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0C104961"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67DBB7AC"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35E35C4F"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1115336"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01 01 01 01</w:t>
            </w:r>
            <w:r w:rsidRPr="007B755C">
              <w:rPr>
                <w:rFonts w:ascii="Arial Narrow" w:eastAsia="Times New Roman" w:hAnsi="Arial Narrow"/>
                <w:color w:val="000000"/>
                <w:sz w:val="20"/>
                <w:szCs w:val="20"/>
                <w:lang w:val="en-IE" w:eastAsia="en-IE"/>
              </w:rPr>
              <w:t xml:space="preserve"> </w:t>
            </w:r>
            <w:r w:rsidRPr="007B755C">
              <w:rPr>
                <w:rFonts w:eastAsia="Times New Roman"/>
                <w:color w:val="000000"/>
                <w:sz w:val="16"/>
                <w:szCs w:val="16"/>
                <w:lang w:val="en-IE" w:eastAsia="en-IE"/>
              </w:rPr>
              <w:t xml:space="preserve"> (Indirect research)</w:t>
            </w:r>
          </w:p>
        </w:tc>
        <w:tc>
          <w:tcPr>
            <w:tcW w:w="1031" w:type="dxa"/>
            <w:tcBorders>
              <w:top w:val="nil"/>
              <w:left w:val="nil"/>
              <w:bottom w:val="single" w:sz="8" w:space="0" w:color="auto"/>
              <w:right w:val="single" w:sz="8" w:space="0" w:color="auto"/>
            </w:tcBorders>
            <w:shd w:val="clear" w:color="000000" w:fill="D9D9D9"/>
            <w:vAlign w:val="center"/>
            <w:hideMark/>
          </w:tcPr>
          <w:p w14:paraId="10B20115"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17E03A88"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10321F5B"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6DE99AC5"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33AFB6A4"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E5911BF"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01 01 01 11 (Direct research)</w:t>
            </w:r>
          </w:p>
        </w:tc>
        <w:tc>
          <w:tcPr>
            <w:tcW w:w="1031" w:type="dxa"/>
            <w:tcBorders>
              <w:top w:val="nil"/>
              <w:left w:val="nil"/>
              <w:bottom w:val="single" w:sz="8" w:space="0" w:color="auto"/>
              <w:right w:val="single" w:sz="8" w:space="0" w:color="auto"/>
            </w:tcBorders>
            <w:shd w:val="clear" w:color="000000" w:fill="D9D9D9"/>
            <w:vAlign w:val="center"/>
            <w:hideMark/>
          </w:tcPr>
          <w:p w14:paraId="6A0ABE6D"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3938471F"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3F0D3CD7"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79E3D001"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63540CF7"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6FE8A37"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Other budget lines (specify)</w:t>
            </w:r>
          </w:p>
        </w:tc>
        <w:tc>
          <w:tcPr>
            <w:tcW w:w="1031" w:type="dxa"/>
            <w:tcBorders>
              <w:top w:val="nil"/>
              <w:left w:val="nil"/>
              <w:bottom w:val="single" w:sz="8" w:space="0" w:color="auto"/>
              <w:right w:val="single" w:sz="8" w:space="0" w:color="auto"/>
            </w:tcBorders>
            <w:shd w:val="clear" w:color="000000" w:fill="D9D9D9"/>
            <w:vAlign w:val="center"/>
            <w:hideMark/>
          </w:tcPr>
          <w:p w14:paraId="1E095B9D"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680C64C8"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3E834930"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4D9B8BEE"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6229593A" w14:textId="77777777">
        <w:trPr>
          <w:trHeight w:val="311"/>
        </w:trPr>
        <w:tc>
          <w:tcPr>
            <w:tcW w:w="9655" w:type="dxa"/>
            <w:gridSpan w:val="6"/>
            <w:tcBorders>
              <w:top w:val="single" w:sz="8" w:space="0" w:color="auto"/>
              <w:left w:val="single" w:sz="8" w:space="0" w:color="auto"/>
              <w:bottom w:val="single" w:sz="8" w:space="0" w:color="auto"/>
              <w:right w:val="nil"/>
            </w:tcBorders>
            <w:shd w:val="clear" w:color="auto" w:fill="auto"/>
            <w:vAlign w:val="center"/>
            <w:hideMark/>
          </w:tcPr>
          <w:p w14:paraId="2A8241F7" w14:textId="77777777" w:rsidR="00D37F2D" w:rsidRPr="007B755C" w:rsidRDefault="00D37F2D">
            <w:pPr>
              <w:spacing w:before="0" w:after="0"/>
              <w:jc w:val="left"/>
              <w:rPr>
                <w:rFonts w:ascii="Wingdings" w:eastAsia="Times New Roman" w:hAnsi="Wingdings" w:cs="Calibri"/>
                <w:b/>
                <w:bCs/>
                <w:color w:val="000000"/>
                <w:sz w:val="16"/>
                <w:szCs w:val="16"/>
                <w:lang w:val="en-IE" w:eastAsia="en-IE"/>
              </w:rPr>
            </w:pPr>
            <w:r w:rsidRPr="007B755C">
              <w:rPr>
                <w:rFonts w:ascii="Calibri" w:eastAsia="Times New Roman" w:hAnsi="Calibri" w:cs="Calibri"/>
                <w:b/>
                <w:bCs/>
                <w:color w:val="000000"/>
                <w:sz w:val="16"/>
                <w:szCs w:val="16"/>
                <w:lang w:val="en-IE" w:eastAsia="en-IE"/>
              </w:rPr>
              <w:t>•</w:t>
            </w:r>
            <w:r w:rsidRPr="007B755C">
              <w:rPr>
                <w:rFonts w:eastAsia="Times New Roman"/>
                <w:b/>
                <w:bCs/>
                <w:color w:val="000000"/>
                <w:sz w:val="16"/>
                <w:szCs w:val="16"/>
                <w:lang w:val="en-IE" w:eastAsia="en-IE"/>
              </w:rPr>
              <w:t xml:space="preserve"> External staff (in Full Time Equivalent unit: FTE)</w:t>
            </w:r>
          </w:p>
        </w:tc>
      </w:tr>
      <w:tr w:rsidR="00D37F2D" w:rsidRPr="007B755C" w14:paraId="083E9BC6"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750DE42"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20 02 01</w:t>
            </w:r>
            <w:r w:rsidRPr="007B755C">
              <w:rPr>
                <w:rFonts w:ascii="Arial Narrow" w:eastAsia="Times New Roman" w:hAnsi="Arial Narrow"/>
                <w:color w:val="000000"/>
                <w:sz w:val="20"/>
                <w:szCs w:val="20"/>
                <w:lang w:val="en-IE" w:eastAsia="en-IE"/>
              </w:rPr>
              <w:t xml:space="preserve"> </w:t>
            </w:r>
            <w:r w:rsidRPr="007B755C">
              <w:rPr>
                <w:rFonts w:eastAsia="Times New Roman"/>
                <w:color w:val="000000"/>
                <w:sz w:val="16"/>
                <w:szCs w:val="16"/>
                <w:lang w:val="en-IE" w:eastAsia="en-IE"/>
              </w:rPr>
              <w:t>(AC, END from the ‘global envelope’)</w:t>
            </w:r>
          </w:p>
        </w:tc>
        <w:tc>
          <w:tcPr>
            <w:tcW w:w="1031" w:type="dxa"/>
            <w:tcBorders>
              <w:top w:val="nil"/>
              <w:left w:val="nil"/>
              <w:bottom w:val="single" w:sz="8" w:space="0" w:color="auto"/>
              <w:right w:val="single" w:sz="8" w:space="0" w:color="auto"/>
            </w:tcBorders>
            <w:shd w:val="clear" w:color="000000" w:fill="D9D9D9"/>
            <w:vAlign w:val="center"/>
            <w:hideMark/>
          </w:tcPr>
          <w:p w14:paraId="246B822A"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4B6D4638"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3A2BBEB1"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1</w:t>
            </w:r>
          </w:p>
        </w:tc>
        <w:tc>
          <w:tcPr>
            <w:tcW w:w="1031" w:type="dxa"/>
            <w:tcBorders>
              <w:top w:val="nil"/>
              <w:left w:val="nil"/>
              <w:bottom w:val="single" w:sz="8" w:space="0" w:color="auto"/>
              <w:right w:val="single" w:sz="8" w:space="0" w:color="auto"/>
            </w:tcBorders>
            <w:shd w:val="clear" w:color="000000" w:fill="D9D9D9"/>
            <w:vAlign w:val="center"/>
            <w:hideMark/>
          </w:tcPr>
          <w:p w14:paraId="3B3F58CE"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2</w:t>
            </w:r>
          </w:p>
        </w:tc>
      </w:tr>
      <w:tr w:rsidR="00D37F2D" w:rsidRPr="007B755C" w14:paraId="6BC26E1F"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4EAB299"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20 02 03 (AC, AL, END and JPD in the EU Delegations)</w:t>
            </w:r>
          </w:p>
        </w:tc>
        <w:tc>
          <w:tcPr>
            <w:tcW w:w="1031" w:type="dxa"/>
            <w:tcBorders>
              <w:top w:val="nil"/>
              <w:left w:val="nil"/>
              <w:bottom w:val="single" w:sz="8" w:space="0" w:color="auto"/>
              <w:right w:val="single" w:sz="8" w:space="0" w:color="auto"/>
            </w:tcBorders>
            <w:shd w:val="clear" w:color="000000" w:fill="D9D9D9"/>
            <w:vAlign w:val="center"/>
            <w:hideMark/>
          </w:tcPr>
          <w:p w14:paraId="1AD29637"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1BD96E69"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7F6D6EFC"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2447A645"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236CAF3D" w14:textId="77777777">
        <w:trPr>
          <w:trHeight w:val="327"/>
        </w:trPr>
        <w:tc>
          <w:tcPr>
            <w:tcW w:w="1598" w:type="dxa"/>
            <w:vMerge w:val="restart"/>
            <w:tcBorders>
              <w:top w:val="nil"/>
              <w:left w:val="single" w:sz="8" w:space="0" w:color="auto"/>
              <w:bottom w:val="single" w:sz="8" w:space="0" w:color="auto"/>
              <w:right w:val="single" w:sz="8" w:space="0" w:color="auto"/>
            </w:tcBorders>
            <w:shd w:val="clear" w:color="auto" w:fill="auto"/>
            <w:vAlign w:val="center"/>
            <w:hideMark/>
          </w:tcPr>
          <w:p w14:paraId="1D0778ED"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Admin. Support line</w:t>
            </w:r>
            <w:r w:rsidRPr="007B755C">
              <w:rPr>
                <w:rFonts w:eastAsia="Times New Roman"/>
                <w:color w:val="000000"/>
                <w:sz w:val="16"/>
                <w:szCs w:val="16"/>
                <w:lang w:val="en-IE" w:eastAsia="en-IE"/>
              </w:rPr>
              <w:br/>
              <w:t>[XX.01.YY.YY] [2]</w:t>
            </w:r>
          </w:p>
        </w:tc>
        <w:tc>
          <w:tcPr>
            <w:tcW w:w="3932" w:type="dxa"/>
            <w:tcBorders>
              <w:top w:val="nil"/>
              <w:left w:val="nil"/>
              <w:bottom w:val="single" w:sz="8" w:space="0" w:color="auto"/>
              <w:right w:val="single" w:sz="8" w:space="0" w:color="auto"/>
            </w:tcBorders>
            <w:shd w:val="clear" w:color="auto" w:fill="auto"/>
            <w:vAlign w:val="center"/>
            <w:hideMark/>
          </w:tcPr>
          <w:p w14:paraId="42B6D1AC"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 at Headquarters</w:t>
            </w:r>
          </w:p>
        </w:tc>
        <w:tc>
          <w:tcPr>
            <w:tcW w:w="1031" w:type="dxa"/>
            <w:tcBorders>
              <w:top w:val="nil"/>
              <w:left w:val="nil"/>
              <w:bottom w:val="single" w:sz="8" w:space="0" w:color="auto"/>
              <w:right w:val="single" w:sz="8" w:space="0" w:color="auto"/>
            </w:tcBorders>
            <w:shd w:val="clear" w:color="000000" w:fill="D9D9D9"/>
            <w:vAlign w:val="center"/>
            <w:hideMark/>
          </w:tcPr>
          <w:p w14:paraId="7A968873"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7BFDA33A"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4C6BE739"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629258FC"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789205FF" w14:textId="77777777">
        <w:trPr>
          <w:trHeight w:val="327"/>
        </w:trPr>
        <w:tc>
          <w:tcPr>
            <w:tcW w:w="1598" w:type="dxa"/>
            <w:vMerge/>
            <w:tcBorders>
              <w:top w:val="nil"/>
              <w:left w:val="single" w:sz="8" w:space="0" w:color="auto"/>
              <w:bottom w:val="single" w:sz="8" w:space="0" w:color="auto"/>
              <w:right w:val="single" w:sz="8" w:space="0" w:color="auto"/>
            </w:tcBorders>
            <w:vAlign w:val="center"/>
            <w:hideMark/>
          </w:tcPr>
          <w:p w14:paraId="1B8B7C06" w14:textId="77777777" w:rsidR="00D37F2D" w:rsidRPr="007B755C" w:rsidRDefault="00D37F2D">
            <w:pPr>
              <w:spacing w:before="0" w:after="0"/>
              <w:jc w:val="left"/>
              <w:rPr>
                <w:rFonts w:eastAsia="Times New Roman"/>
                <w:color w:val="000000"/>
                <w:sz w:val="16"/>
                <w:szCs w:val="16"/>
                <w:lang w:val="en-IE" w:eastAsia="en-IE"/>
              </w:rPr>
            </w:pPr>
          </w:p>
        </w:tc>
        <w:tc>
          <w:tcPr>
            <w:tcW w:w="3932" w:type="dxa"/>
            <w:tcBorders>
              <w:top w:val="nil"/>
              <w:left w:val="nil"/>
              <w:bottom w:val="single" w:sz="8" w:space="0" w:color="auto"/>
              <w:right w:val="single" w:sz="8" w:space="0" w:color="auto"/>
            </w:tcBorders>
            <w:shd w:val="clear" w:color="auto" w:fill="auto"/>
            <w:vAlign w:val="center"/>
            <w:hideMark/>
          </w:tcPr>
          <w:p w14:paraId="5121A2E2"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 xml:space="preserve">- in EU Delegations </w:t>
            </w:r>
          </w:p>
        </w:tc>
        <w:tc>
          <w:tcPr>
            <w:tcW w:w="1031" w:type="dxa"/>
            <w:tcBorders>
              <w:top w:val="nil"/>
              <w:left w:val="nil"/>
              <w:bottom w:val="single" w:sz="8" w:space="0" w:color="auto"/>
              <w:right w:val="single" w:sz="8" w:space="0" w:color="auto"/>
            </w:tcBorders>
            <w:shd w:val="clear" w:color="000000" w:fill="D9D9D9"/>
            <w:vAlign w:val="center"/>
            <w:hideMark/>
          </w:tcPr>
          <w:p w14:paraId="1272947E"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50B757D3"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24B12062"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3A340434"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5112BBE4"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4FCEFF1"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01 01 01 02</w:t>
            </w:r>
            <w:r w:rsidRPr="007B755C">
              <w:rPr>
                <w:rFonts w:ascii="Arial Narrow" w:eastAsia="Times New Roman" w:hAnsi="Arial Narrow"/>
                <w:color w:val="000000"/>
                <w:sz w:val="20"/>
                <w:szCs w:val="20"/>
                <w:lang w:val="en-IE" w:eastAsia="en-IE"/>
              </w:rPr>
              <w:t xml:space="preserve"> </w:t>
            </w:r>
            <w:r w:rsidRPr="007B755C">
              <w:rPr>
                <w:rFonts w:eastAsia="Times New Roman"/>
                <w:color w:val="000000"/>
                <w:sz w:val="16"/>
                <w:szCs w:val="16"/>
                <w:lang w:val="en-IE" w:eastAsia="en-IE"/>
              </w:rPr>
              <w:t>(AC, END - Indirect research)</w:t>
            </w:r>
          </w:p>
        </w:tc>
        <w:tc>
          <w:tcPr>
            <w:tcW w:w="1031" w:type="dxa"/>
            <w:tcBorders>
              <w:top w:val="nil"/>
              <w:left w:val="nil"/>
              <w:bottom w:val="single" w:sz="8" w:space="0" w:color="auto"/>
              <w:right w:val="single" w:sz="8" w:space="0" w:color="auto"/>
            </w:tcBorders>
            <w:shd w:val="clear" w:color="000000" w:fill="D9D9D9"/>
            <w:vAlign w:val="center"/>
            <w:hideMark/>
          </w:tcPr>
          <w:p w14:paraId="468D9E08"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41F47C90"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5B5B6A1E"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5D02D784"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648A6637"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6BF0AF8"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 xml:space="preserve"> 01 01 01 12 (AC, END - Direct research)</w:t>
            </w:r>
          </w:p>
        </w:tc>
        <w:tc>
          <w:tcPr>
            <w:tcW w:w="1031" w:type="dxa"/>
            <w:tcBorders>
              <w:top w:val="nil"/>
              <w:left w:val="nil"/>
              <w:bottom w:val="single" w:sz="8" w:space="0" w:color="auto"/>
              <w:right w:val="single" w:sz="8" w:space="0" w:color="auto"/>
            </w:tcBorders>
            <w:shd w:val="clear" w:color="000000" w:fill="D9D9D9"/>
            <w:vAlign w:val="center"/>
            <w:hideMark/>
          </w:tcPr>
          <w:p w14:paraId="7A14B092"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06C6C123"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11EC0501"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2688AE10"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260095BD"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8033FC"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Other budget lines (specify) - Heading 7</w:t>
            </w:r>
          </w:p>
        </w:tc>
        <w:tc>
          <w:tcPr>
            <w:tcW w:w="1031" w:type="dxa"/>
            <w:tcBorders>
              <w:top w:val="nil"/>
              <w:left w:val="nil"/>
              <w:bottom w:val="single" w:sz="8" w:space="0" w:color="auto"/>
              <w:right w:val="single" w:sz="8" w:space="0" w:color="auto"/>
            </w:tcBorders>
            <w:shd w:val="clear" w:color="000000" w:fill="D9D9D9"/>
            <w:vAlign w:val="center"/>
            <w:hideMark/>
          </w:tcPr>
          <w:p w14:paraId="4D570285"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1E087618"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45A73F06"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3C29ADE2"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7CC8D22A" w14:textId="77777777">
        <w:trPr>
          <w:trHeight w:val="311"/>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F7D36F1" w14:textId="77777777" w:rsidR="00D37F2D" w:rsidRPr="007B755C" w:rsidRDefault="00D37F2D">
            <w:pPr>
              <w:spacing w:before="0" w:after="0"/>
              <w:ind w:firstLineChars="100" w:firstLine="160"/>
              <w:jc w:val="left"/>
              <w:rPr>
                <w:rFonts w:eastAsia="Times New Roman"/>
                <w:color w:val="000000"/>
                <w:sz w:val="16"/>
                <w:szCs w:val="16"/>
                <w:lang w:val="en-IE" w:eastAsia="en-IE"/>
              </w:rPr>
            </w:pPr>
            <w:r w:rsidRPr="007B755C">
              <w:rPr>
                <w:rFonts w:eastAsia="Times New Roman"/>
                <w:color w:val="000000"/>
                <w:sz w:val="16"/>
                <w:szCs w:val="16"/>
                <w:lang w:val="en-IE" w:eastAsia="en-IE"/>
              </w:rPr>
              <w:t>Other budget lines (specify) - Outside Heading 7</w:t>
            </w:r>
          </w:p>
        </w:tc>
        <w:tc>
          <w:tcPr>
            <w:tcW w:w="1031" w:type="dxa"/>
            <w:tcBorders>
              <w:top w:val="nil"/>
              <w:left w:val="nil"/>
              <w:bottom w:val="single" w:sz="8" w:space="0" w:color="auto"/>
              <w:right w:val="single" w:sz="8" w:space="0" w:color="auto"/>
            </w:tcBorders>
            <w:shd w:val="clear" w:color="000000" w:fill="D9D9D9"/>
            <w:vAlign w:val="center"/>
            <w:hideMark/>
          </w:tcPr>
          <w:p w14:paraId="01B1C01A"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1B23655D"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37F451F1"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32F85B06" w14:textId="77777777" w:rsidR="00D37F2D" w:rsidRPr="007B755C" w:rsidRDefault="00D37F2D">
            <w:pPr>
              <w:spacing w:before="0" w:after="0"/>
              <w:jc w:val="center"/>
              <w:rPr>
                <w:rFonts w:eastAsia="Times New Roman"/>
                <w:color w:val="000000"/>
                <w:sz w:val="16"/>
                <w:szCs w:val="16"/>
                <w:lang w:val="en-IE" w:eastAsia="en-IE"/>
              </w:rPr>
            </w:pPr>
            <w:r w:rsidRPr="007B755C">
              <w:rPr>
                <w:rFonts w:eastAsia="Times New Roman"/>
                <w:color w:val="000000"/>
                <w:sz w:val="16"/>
                <w:szCs w:val="16"/>
                <w:lang w:val="en-IE" w:eastAsia="en-IE"/>
              </w:rPr>
              <w:t>0</w:t>
            </w:r>
          </w:p>
        </w:tc>
      </w:tr>
      <w:tr w:rsidR="00D37F2D" w:rsidRPr="007B755C" w14:paraId="3EA3D639" w14:textId="77777777">
        <w:trPr>
          <w:trHeight w:val="327"/>
        </w:trPr>
        <w:tc>
          <w:tcPr>
            <w:tcW w:w="5531"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F337F0F" w14:textId="77777777" w:rsidR="00D37F2D" w:rsidRPr="007B755C" w:rsidRDefault="00D37F2D">
            <w:pPr>
              <w:spacing w:before="0" w:after="0"/>
              <w:ind w:firstLineChars="100" w:firstLine="161"/>
              <w:jc w:val="left"/>
              <w:rPr>
                <w:rFonts w:eastAsia="Times New Roman"/>
                <w:b/>
                <w:bCs/>
                <w:color w:val="000000"/>
                <w:sz w:val="16"/>
                <w:szCs w:val="16"/>
                <w:lang w:val="en-IE" w:eastAsia="en-IE"/>
              </w:rPr>
            </w:pPr>
            <w:r w:rsidRPr="007B755C">
              <w:rPr>
                <w:rFonts w:eastAsia="Times New Roman"/>
                <w:b/>
                <w:bCs/>
                <w:color w:val="000000"/>
                <w:sz w:val="16"/>
                <w:szCs w:val="16"/>
                <w:lang w:val="en-IE" w:eastAsia="en-IE"/>
              </w:rPr>
              <w:t>TOTAL</w:t>
            </w:r>
          </w:p>
        </w:tc>
        <w:tc>
          <w:tcPr>
            <w:tcW w:w="1031" w:type="dxa"/>
            <w:tcBorders>
              <w:top w:val="nil"/>
              <w:left w:val="nil"/>
              <w:bottom w:val="single" w:sz="8" w:space="0" w:color="auto"/>
              <w:right w:val="single" w:sz="8" w:space="0" w:color="auto"/>
            </w:tcBorders>
            <w:shd w:val="clear" w:color="000000" w:fill="D9D9D9"/>
            <w:vAlign w:val="center"/>
            <w:hideMark/>
          </w:tcPr>
          <w:p w14:paraId="359E2835" w14:textId="77777777" w:rsidR="00D37F2D" w:rsidRPr="007B755C" w:rsidRDefault="00D37F2D">
            <w:pPr>
              <w:spacing w:before="0" w:after="0"/>
              <w:jc w:val="center"/>
              <w:rPr>
                <w:rFonts w:eastAsia="Times New Roman"/>
                <w:b/>
                <w:bCs/>
                <w:color w:val="000000"/>
                <w:sz w:val="16"/>
                <w:szCs w:val="16"/>
                <w:lang w:val="en-IE" w:eastAsia="en-IE"/>
              </w:rPr>
            </w:pPr>
            <w:r w:rsidRPr="007B755C">
              <w:rPr>
                <w:rFonts w:eastAsia="Times New Roman"/>
                <w:b/>
                <w:bCs/>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0F795738" w14:textId="77777777" w:rsidR="00D37F2D" w:rsidRPr="007B755C" w:rsidRDefault="00D37F2D">
            <w:pPr>
              <w:spacing w:before="0" w:after="0"/>
              <w:jc w:val="center"/>
              <w:rPr>
                <w:rFonts w:eastAsia="Times New Roman"/>
                <w:b/>
                <w:bCs/>
                <w:color w:val="000000"/>
                <w:sz w:val="16"/>
                <w:szCs w:val="16"/>
                <w:lang w:val="en-IE" w:eastAsia="en-IE"/>
              </w:rPr>
            </w:pPr>
            <w:r w:rsidRPr="007B755C">
              <w:rPr>
                <w:rFonts w:eastAsia="Times New Roman"/>
                <w:b/>
                <w:bCs/>
                <w:color w:val="000000"/>
                <w:sz w:val="16"/>
                <w:szCs w:val="16"/>
                <w:lang w:val="en-IE" w:eastAsia="en-IE"/>
              </w:rPr>
              <w:t>0</w:t>
            </w:r>
          </w:p>
        </w:tc>
        <w:tc>
          <w:tcPr>
            <w:tcW w:w="1031" w:type="dxa"/>
            <w:tcBorders>
              <w:top w:val="nil"/>
              <w:left w:val="nil"/>
              <w:bottom w:val="single" w:sz="8" w:space="0" w:color="auto"/>
              <w:right w:val="single" w:sz="8" w:space="0" w:color="auto"/>
            </w:tcBorders>
            <w:shd w:val="clear" w:color="000000" w:fill="D9D9D9"/>
            <w:vAlign w:val="center"/>
            <w:hideMark/>
          </w:tcPr>
          <w:p w14:paraId="3D13AA47" w14:textId="77777777" w:rsidR="00D37F2D" w:rsidRPr="007B755C" w:rsidRDefault="00D37F2D">
            <w:pPr>
              <w:spacing w:before="0" w:after="0"/>
              <w:jc w:val="center"/>
              <w:rPr>
                <w:rFonts w:eastAsia="Times New Roman"/>
                <w:b/>
                <w:bCs/>
                <w:color w:val="000000"/>
                <w:sz w:val="16"/>
                <w:szCs w:val="16"/>
                <w:lang w:val="en-IE" w:eastAsia="en-IE"/>
              </w:rPr>
            </w:pPr>
            <w:r w:rsidRPr="007B755C">
              <w:rPr>
                <w:rFonts w:eastAsia="Times New Roman"/>
                <w:b/>
                <w:bCs/>
                <w:color w:val="000000"/>
                <w:sz w:val="16"/>
                <w:szCs w:val="16"/>
                <w:lang w:val="en-IE" w:eastAsia="en-IE"/>
              </w:rPr>
              <w:t>10</w:t>
            </w:r>
          </w:p>
        </w:tc>
        <w:tc>
          <w:tcPr>
            <w:tcW w:w="1031" w:type="dxa"/>
            <w:tcBorders>
              <w:top w:val="nil"/>
              <w:left w:val="nil"/>
              <w:bottom w:val="single" w:sz="8" w:space="0" w:color="auto"/>
              <w:right w:val="single" w:sz="8" w:space="0" w:color="auto"/>
            </w:tcBorders>
            <w:shd w:val="clear" w:color="000000" w:fill="D9D9D9"/>
            <w:vAlign w:val="center"/>
            <w:hideMark/>
          </w:tcPr>
          <w:p w14:paraId="367842B4" w14:textId="77777777" w:rsidR="00D37F2D" w:rsidRPr="007B755C" w:rsidRDefault="00D37F2D">
            <w:pPr>
              <w:spacing w:before="0" w:after="0"/>
              <w:jc w:val="center"/>
              <w:rPr>
                <w:rFonts w:eastAsia="Times New Roman"/>
                <w:b/>
                <w:bCs/>
                <w:color w:val="000000"/>
                <w:sz w:val="16"/>
                <w:szCs w:val="16"/>
                <w:lang w:val="en-IE" w:eastAsia="en-IE"/>
              </w:rPr>
            </w:pPr>
            <w:r w:rsidRPr="007B755C">
              <w:rPr>
                <w:rFonts w:eastAsia="Times New Roman"/>
                <w:b/>
                <w:bCs/>
                <w:color w:val="000000"/>
                <w:sz w:val="16"/>
                <w:szCs w:val="16"/>
                <w:lang w:val="en-IE" w:eastAsia="en-IE"/>
              </w:rPr>
              <w:t>20</w:t>
            </w:r>
          </w:p>
        </w:tc>
      </w:tr>
    </w:tbl>
    <w:p w14:paraId="2E5E1296" w14:textId="77777777" w:rsidR="00D37F2D" w:rsidRPr="00FB7026" w:rsidRDefault="00D37F2D" w:rsidP="00D37F2D">
      <w:pPr>
        <w:pStyle w:val="Text1"/>
        <w:ind w:left="1215"/>
      </w:pPr>
    </w:p>
    <w:p w14:paraId="7F1CEE15" w14:textId="77777777" w:rsidR="00D37F2D" w:rsidRDefault="00D37F2D" w:rsidP="00D37F2D">
      <w:pPr>
        <w:pStyle w:val="Text1"/>
        <w:ind w:left="-426"/>
        <w:rPr>
          <w:noProof/>
          <w:color w:val="000000" w:themeColor="text1"/>
        </w:rPr>
      </w:pPr>
      <w:bookmarkStart w:id="178" w:name="_Hlk167692843"/>
      <w:bookmarkEnd w:id="173"/>
      <w:r w:rsidRPr="00EB596E">
        <w:rPr>
          <w:noProof/>
          <w:color w:val="000000" w:themeColor="text1"/>
        </w:rPr>
        <w:t>The staff required to implement the proposal</w:t>
      </w:r>
      <w:r>
        <w:rPr>
          <w:noProof/>
          <w:color w:val="000000" w:themeColor="text1"/>
        </w:rPr>
        <w:t xml:space="preserve">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D37F2D" w14:paraId="37D4B0E9" w14:textId="77777777">
        <w:trPr>
          <w:trHeight w:val="300"/>
        </w:trPr>
        <w:tc>
          <w:tcPr>
            <w:tcW w:w="1845" w:type="dxa"/>
          </w:tcPr>
          <w:p w14:paraId="13E68D26" w14:textId="77777777" w:rsidR="00D37F2D" w:rsidRPr="00310A4B" w:rsidRDefault="00D37F2D">
            <w:pPr>
              <w:pStyle w:val="Text1"/>
              <w:ind w:left="0"/>
              <w:jc w:val="center"/>
              <w:rPr>
                <w:b/>
                <w:bCs/>
                <w:noProof/>
                <w:sz w:val="22"/>
                <w:szCs w:val="28"/>
              </w:rPr>
            </w:pPr>
          </w:p>
        </w:tc>
        <w:tc>
          <w:tcPr>
            <w:tcW w:w="2031" w:type="dxa"/>
          </w:tcPr>
          <w:p w14:paraId="0EC1A57A" w14:textId="77777777" w:rsidR="00D37F2D" w:rsidRPr="00310A4B" w:rsidRDefault="00D37F2D">
            <w:pPr>
              <w:pStyle w:val="Text1"/>
              <w:ind w:left="0"/>
              <w:jc w:val="center"/>
              <w:rPr>
                <w:b/>
                <w:bCs/>
                <w:noProof/>
                <w:sz w:val="22"/>
              </w:rPr>
            </w:pPr>
            <w:r w:rsidRPr="7814D1E9">
              <w:rPr>
                <w:b/>
                <w:bCs/>
                <w:noProof/>
                <w:sz w:val="22"/>
              </w:rPr>
              <w:t xml:space="preserve">To be covered by current staff available in the Commission services </w:t>
            </w:r>
          </w:p>
        </w:tc>
        <w:tc>
          <w:tcPr>
            <w:tcW w:w="5611" w:type="dxa"/>
            <w:gridSpan w:val="3"/>
          </w:tcPr>
          <w:p w14:paraId="35F5F56A" w14:textId="77777777" w:rsidR="00D37F2D" w:rsidRPr="00310A4B" w:rsidRDefault="00D37F2D">
            <w:pPr>
              <w:pStyle w:val="Text1"/>
              <w:ind w:left="0"/>
              <w:jc w:val="center"/>
              <w:rPr>
                <w:b/>
                <w:bCs/>
                <w:noProof/>
                <w:sz w:val="22"/>
              </w:rPr>
            </w:pPr>
            <w:r w:rsidRPr="6C5FD46B">
              <w:rPr>
                <w:b/>
                <w:bCs/>
                <w:noProof/>
                <w:sz w:val="22"/>
              </w:rPr>
              <w:t>Exceptional additional staff*</w:t>
            </w:r>
          </w:p>
        </w:tc>
      </w:tr>
      <w:tr w:rsidR="00D37F2D" w14:paraId="78868C7F" w14:textId="77777777">
        <w:trPr>
          <w:trHeight w:val="300"/>
        </w:trPr>
        <w:tc>
          <w:tcPr>
            <w:tcW w:w="1845" w:type="dxa"/>
          </w:tcPr>
          <w:p w14:paraId="7593A678" w14:textId="77777777" w:rsidR="00D37F2D" w:rsidRPr="00310A4B" w:rsidRDefault="00D37F2D">
            <w:pPr>
              <w:pStyle w:val="Text1"/>
              <w:ind w:left="0"/>
              <w:jc w:val="center"/>
              <w:rPr>
                <w:b/>
                <w:bCs/>
                <w:noProof/>
                <w:sz w:val="22"/>
                <w:szCs w:val="28"/>
              </w:rPr>
            </w:pPr>
          </w:p>
        </w:tc>
        <w:tc>
          <w:tcPr>
            <w:tcW w:w="2031" w:type="dxa"/>
          </w:tcPr>
          <w:p w14:paraId="3C6642E7" w14:textId="77777777" w:rsidR="00D37F2D" w:rsidRPr="00310A4B" w:rsidRDefault="00D37F2D">
            <w:pPr>
              <w:pStyle w:val="Text1"/>
              <w:ind w:left="0"/>
              <w:jc w:val="center"/>
              <w:rPr>
                <w:b/>
                <w:bCs/>
                <w:noProof/>
                <w:sz w:val="22"/>
                <w:szCs w:val="28"/>
              </w:rPr>
            </w:pPr>
          </w:p>
        </w:tc>
        <w:tc>
          <w:tcPr>
            <w:tcW w:w="1925" w:type="dxa"/>
          </w:tcPr>
          <w:p w14:paraId="3A2174C1" w14:textId="77777777" w:rsidR="00D37F2D" w:rsidRPr="00310A4B" w:rsidRDefault="00D37F2D">
            <w:pPr>
              <w:pStyle w:val="Text1"/>
              <w:ind w:left="0"/>
              <w:jc w:val="center"/>
              <w:rPr>
                <w:b/>
                <w:bCs/>
                <w:noProof/>
                <w:sz w:val="22"/>
              </w:rPr>
            </w:pPr>
            <w:r w:rsidRPr="73D5EDD6">
              <w:rPr>
                <w:b/>
                <w:bCs/>
                <w:noProof/>
                <w:sz w:val="22"/>
              </w:rPr>
              <w:t>To be financed under Heading 7</w:t>
            </w:r>
            <w:r>
              <w:rPr>
                <w:b/>
                <w:bCs/>
                <w:noProof/>
                <w:sz w:val="22"/>
              </w:rPr>
              <w:t xml:space="preserve"> </w:t>
            </w:r>
            <w:r w:rsidRPr="00E64840">
              <w:rPr>
                <w:b/>
                <w:bCs/>
                <w:noProof/>
                <w:sz w:val="22"/>
              </w:rPr>
              <w:t>or</w:t>
            </w:r>
            <w:r w:rsidRPr="73D5EDD6">
              <w:rPr>
                <w:b/>
                <w:bCs/>
                <w:noProof/>
                <w:sz w:val="22"/>
              </w:rPr>
              <w:t xml:space="preserve"> Research</w:t>
            </w:r>
          </w:p>
        </w:tc>
        <w:tc>
          <w:tcPr>
            <w:tcW w:w="1938" w:type="dxa"/>
          </w:tcPr>
          <w:p w14:paraId="3088EBFA" w14:textId="77777777" w:rsidR="00D37F2D" w:rsidRPr="00310A4B" w:rsidRDefault="00D37F2D">
            <w:pPr>
              <w:pStyle w:val="Text1"/>
              <w:ind w:left="0"/>
              <w:jc w:val="center"/>
              <w:rPr>
                <w:b/>
                <w:bCs/>
                <w:noProof/>
                <w:sz w:val="22"/>
                <w:szCs w:val="28"/>
              </w:rPr>
            </w:pPr>
            <w:r w:rsidRPr="00310A4B">
              <w:rPr>
                <w:b/>
                <w:bCs/>
                <w:noProof/>
                <w:sz w:val="22"/>
                <w:szCs w:val="28"/>
              </w:rPr>
              <w:t>To be financed from BA line</w:t>
            </w:r>
          </w:p>
        </w:tc>
        <w:tc>
          <w:tcPr>
            <w:tcW w:w="1748" w:type="dxa"/>
          </w:tcPr>
          <w:p w14:paraId="0FD1A3D3" w14:textId="77777777" w:rsidR="00D37F2D" w:rsidRPr="00310A4B" w:rsidRDefault="00D37F2D">
            <w:pPr>
              <w:pStyle w:val="Text1"/>
              <w:ind w:left="0"/>
              <w:jc w:val="center"/>
              <w:rPr>
                <w:b/>
                <w:bCs/>
                <w:noProof/>
                <w:sz w:val="22"/>
                <w:szCs w:val="28"/>
              </w:rPr>
            </w:pPr>
            <w:r w:rsidRPr="00310A4B">
              <w:rPr>
                <w:b/>
                <w:bCs/>
                <w:noProof/>
                <w:sz w:val="22"/>
                <w:szCs w:val="28"/>
              </w:rPr>
              <w:t>To be financed from fees</w:t>
            </w:r>
          </w:p>
        </w:tc>
      </w:tr>
      <w:tr w:rsidR="00D37F2D" w14:paraId="1EBC375A" w14:textId="77777777">
        <w:trPr>
          <w:trHeight w:val="300"/>
        </w:trPr>
        <w:tc>
          <w:tcPr>
            <w:tcW w:w="1845" w:type="dxa"/>
          </w:tcPr>
          <w:p w14:paraId="5CC8E2D7" w14:textId="77777777" w:rsidR="00D37F2D" w:rsidRDefault="00D37F2D">
            <w:pPr>
              <w:pStyle w:val="Text1"/>
              <w:ind w:left="0"/>
              <w:rPr>
                <w:noProof/>
                <w:sz w:val="22"/>
                <w:szCs w:val="28"/>
              </w:rPr>
            </w:pPr>
            <w:r>
              <w:rPr>
                <w:noProof/>
                <w:sz w:val="22"/>
                <w:szCs w:val="28"/>
              </w:rPr>
              <w:t>Establishment plan posts</w:t>
            </w:r>
          </w:p>
        </w:tc>
        <w:tc>
          <w:tcPr>
            <w:tcW w:w="2031" w:type="dxa"/>
          </w:tcPr>
          <w:p w14:paraId="21B331F1" w14:textId="77777777" w:rsidR="00D37F2D" w:rsidRDefault="00D37F2D">
            <w:pPr>
              <w:pStyle w:val="Text1"/>
              <w:ind w:left="0"/>
              <w:rPr>
                <w:noProof/>
                <w:sz w:val="22"/>
                <w:szCs w:val="28"/>
                <w:lang w:val="en-IE"/>
              </w:rPr>
            </w:pPr>
            <w:r w:rsidRPr="00951632">
              <w:rPr>
                <w:noProof/>
                <w:sz w:val="22"/>
                <w:szCs w:val="28"/>
                <w:lang w:val="en-IE"/>
              </w:rPr>
              <w:t xml:space="preserve">2026: </w:t>
            </w:r>
            <w:r>
              <w:rPr>
                <w:noProof/>
                <w:sz w:val="22"/>
                <w:szCs w:val="28"/>
                <w:lang w:val="en-IE"/>
              </w:rPr>
              <w:t>9</w:t>
            </w:r>
            <w:r w:rsidRPr="00951632">
              <w:rPr>
                <w:noProof/>
                <w:sz w:val="22"/>
                <w:szCs w:val="28"/>
                <w:lang w:val="en-IE"/>
              </w:rPr>
              <w:t xml:space="preserve"> posts</w:t>
            </w:r>
          </w:p>
          <w:p w14:paraId="728FAA3D" w14:textId="77777777" w:rsidR="00D37F2D" w:rsidRDefault="00D37F2D">
            <w:pPr>
              <w:pStyle w:val="Text1"/>
              <w:ind w:left="0"/>
              <w:rPr>
                <w:noProof/>
                <w:sz w:val="22"/>
                <w:szCs w:val="28"/>
                <w:lang w:val="en-IE"/>
              </w:rPr>
            </w:pPr>
            <w:r w:rsidRPr="00951632">
              <w:rPr>
                <w:noProof/>
                <w:sz w:val="22"/>
                <w:szCs w:val="28"/>
                <w:lang w:val="en-IE"/>
              </w:rPr>
              <w:t xml:space="preserve">2027: </w:t>
            </w:r>
            <w:r>
              <w:rPr>
                <w:noProof/>
                <w:sz w:val="22"/>
                <w:szCs w:val="28"/>
                <w:lang w:val="en-IE"/>
              </w:rPr>
              <w:t>18</w:t>
            </w:r>
            <w:r w:rsidRPr="00951632">
              <w:rPr>
                <w:noProof/>
                <w:sz w:val="22"/>
                <w:szCs w:val="28"/>
                <w:lang w:val="en-IE"/>
              </w:rPr>
              <w:t xml:space="preserve"> post</w:t>
            </w:r>
          </w:p>
          <w:p w14:paraId="0C82CF23" w14:textId="77777777" w:rsidR="00D37F2D" w:rsidRPr="00951632" w:rsidRDefault="00D37F2D">
            <w:pPr>
              <w:pStyle w:val="Text1"/>
              <w:ind w:left="0"/>
              <w:rPr>
                <w:noProof/>
                <w:sz w:val="22"/>
                <w:szCs w:val="28"/>
                <w:lang w:val="en-IE"/>
              </w:rPr>
            </w:pPr>
            <w:r>
              <w:rPr>
                <w:noProof/>
                <w:sz w:val="22"/>
                <w:szCs w:val="28"/>
                <w:lang w:val="en-IE"/>
              </w:rPr>
              <w:t>Post MMF: 18 posts</w:t>
            </w:r>
          </w:p>
          <w:p w14:paraId="115137A0" w14:textId="77777777" w:rsidR="00D37F2D" w:rsidRDefault="00D37F2D">
            <w:pPr>
              <w:pStyle w:val="Text1"/>
              <w:ind w:left="0"/>
              <w:rPr>
                <w:noProof/>
                <w:sz w:val="22"/>
                <w:szCs w:val="28"/>
              </w:rPr>
            </w:pPr>
          </w:p>
        </w:tc>
        <w:tc>
          <w:tcPr>
            <w:tcW w:w="1925" w:type="dxa"/>
          </w:tcPr>
          <w:p w14:paraId="73CFBAA8" w14:textId="77777777" w:rsidR="00D37F2D" w:rsidRDefault="00D37F2D">
            <w:pPr>
              <w:pStyle w:val="Text1"/>
              <w:ind w:left="0"/>
              <w:rPr>
                <w:noProof/>
                <w:sz w:val="22"/>
                <w:szCs w:val="28"/>
              </w:rPr>
            </w:pPr>
          </w:p>
        </w:tc>
        <w:tc>
          <w:tcPr>
            <w:tcW w:w="1938" w:type="dxa"/>
          </w:tcPr>
          <w:p w14:paraId="0338AE74" w14:textId="77777777" w:rsidR="00D37F2D" w:rsidRDefault="00D37F2D">
            <w:pPr>
              <w:pStyle w:val="Text1"/>
              <w:ind w:left="0"/>
              <w:rPr>
                <w:noProof/>
                <w:sz w:val="22"/>
                <w:szCs w:val="28"/>
              </w:rPr>
            </w:pPr>
            <w:r>
              <w:rPr>
                <w:noProof/>
                <w:sz w:val="22"/>
                <w:szCs w:val="28"/>
              </w:rPr>
              <w:t>N/A</w:t>
            </w:r>
          </w:p>
        </w:tc>
        <w:tc>
          <w:tcPr>
            <w:tcW w:w="1748" w:type="dxa"/>
          </w:tcPr>
          <w:p w14:paraId="30894F84" w14:textId="77777777" w:rsidR="00D37F2D" w:rsidRDefault="00D37F2D">
            <w:pPr>
              <w:pStyle w:val="Text1"/>
              <w:ind w:left="0"/>
              <w:rPr>
                <w:noProof/>
                <w:sz w:val="22"/>
                <w:szCs w:val="28"/>
              </w:rPr>
            </w:pPr>
          </w:p>
        </w:tc>
      </w:tr>
      <w:tr w:rsidR="00D37F2D" w14:paraId="2E2C76B5" w14:textId="77777777">
        <w:trPr>
          <w:trHeight w:val="300"/>
        </w:trPr>
        <w:tc>
          <w:tcPr>
            <w:tcW w:w="1845" w:type="dxa"/>
          </w:tcPr>
          <w:p w14:paraId="35A42B3F" w14:textId="77777777" w:rsidR="00D37F2D" w:rsidRDefault="00D37F2D">
            <w:pPr>
              <w:pStyle w:val="Text1"/>
              <w:ind w:left="0"/>
              <w:rPr>
                <w:noProof/>
                <w:sz w:val="22"/>
                <w:szCs w:val="28"/>
              </w:rPr>
            </w:pPr>
            <w:r>
              <w:rPr>
                <w:noProof/>
                <w:sz w:val="22"/>
                <w:szCs w:val="28"/>
              </w:rPr>
              <w:t>External staff (CA, SNEs, INT)</w:t>
            </w:r>
          </w:p>
        </w:tc>
        <w:tc>
          <w:tcPr>
            <w:tcW w:w="2031" w:type="dxa"/>
          </w:tcPr>
          <w:p w14:paraId="761BE886" w14:textId="77777777" w:rsidR="00D37F2D" w:rsidRDefault="00D37F2D">
            <w:pPr>
              <w:pStyle w:val="Text1"/>
              <w:ind w:left="0"/>
              <w:rPr>
                <w:noProof/>
                <w:sz w:val="22"/>
                <w:szCs w:val="28"/>
                <w:lang w:val="en-IE"/>
              </w:rPr>
            </w:pPr>
            <w:r w:rsidRPr="00951632">
              <w:rPr>
                <w:noProof/>
                <w:sz w:val="22"/>
                <w:szCs w:val="28"/>
                <w:lang w:val="en-IE"/>
              </w:rPr>
              <w:t xml:space="preserve">2026: </w:t>
            </w:r>
            <w:r>
              <w:rPr>
                <w:noProof/>
                <w:sz w:val="22"/>
                <w:szCs w:val="28"/>
                <w:lang w:val="en-IE"/>
              </w:rPr>
              <w:t>1</w:t>
            </w:r>
            <w:r w:rsidRPr="00951632">
              <w:rPr>
                <w:noProof/>
                <w:sz w:val="22"/>
                <w:szCs w:val="28"/>
                <w:lang w:val="en-IE"/>
              </w:rPr>
              <w:t xml:space="preserve"> CA</w:t>
            </w:r>
          </w:p>
          <w:p w14:paraId="27B45850" w14:textId="77777777" w:rsidR="00D37F2D" w:rsidRDefault="00D37F2D">
            <w:pPr>
              <w:pStyle w:val="Text1"/>
              <w:ind w:left="0"/>
              <w:rPr>
                <w:noProof/>
                <w:sz w:val="22"/>
                <w:szCs w:val="28"/>
                <w:lang w:val="en-IE"/>
              </w:rPr>
            </w:pPr>
            <w:r w:rsidRPr="00951632">
              <w:rPr>
                <w:noProof/>
                <w:sz w:val="22"/>
                <w:szCs w:val="28"/>
                <w:lang w:val="en-IE"/>
              </w:rPr>
              <w:t xml:space="preserve">2027: </w:t>
            </w:r>
            <w:r>
              <w:rPr>
                <w:noProof/>
                <w:sz w:val="22"/>
                <w:szCs w:val="28"/>
                <w:lang w:val="en-IE"/>
              </w:rPr>
              <w:t>2</w:t>
            </w:r>
            <w:r w:rsidRPr="00951632">
              <w:rPr>
                <w:noProof/>
                <w:sz w:val="22"/>
                <w:szCs w:val="28"/>
                <w:lang w:val="en-IE"/>
              </w:rPr>
              <w:t xml:space="preserve"> CA</w:t>
            </w:r>
          </w:p>
          <w:p w14:paraId="4CACC3D0" w14:textId="77777777" w:rsidR="00D37F2D" w:rsidRPr="00951632" w:rsidRDefault="00D37F2D">
            <w:pPr>
              <w:pStyle w:val="Text1"/>
              <w:ind w:left="0"/>
              <w:rPr>
                <w:noProof/>
                <w:sz w:val="22"/>
                <w:szCs w:val="28"/>
                <w:lang w:val="en-IE"/>
              </w:rPr>
            </w:pPr>
            <w:r>
              <w:rPr>
                <w:noProof/>
                <w:sz w:val="22"/>
                <w:szCs w:val="28"/>
                <w:lang w:val="en-IE"/>
              </w:rPr>
              <w:t>Post MFF: 2 CA</w:t>
            </w:r>
          </w:p>
          <w:p w14:paraId="1AE0D8BC" w14:textId="77777777" w:rsidR="00D37F2D" w:rsidRDefault="00D37F2D">
            <w:pPr>
              <w:pStyle w:val="Text1"/>
              <w:ind w:left="0"/>
              <w:rPr>
                <w:noProof/>
                <w:sz w:val="22"/>
                <w:szCs w:val="28"/>
              </w:rPr>
            </w:pPr>
          </w:p>
        </w:tc>
        <w:tc>
          <w:tcPr>
            <w:tcW w:w="1925" w:type="dxa"/>
          </w:tcPr>
          <w:p w14:paraId="3EE7536D" w14:textId="77777777" w:rsidR="00D37F2D" w:rsidRDefault="00D37F2D">
            <w:pPr>
              <w:pStyle w:val="Text1"/>
              <w:ind w:left="0"/>
              <w:rPr>
                <w:noProof/>
                <w:sz w:val="22"/>
                <w:szCs w:val="28"/>
              </w:rPr>
            </w:pPr>
          </w:p>
        </w:tc>
        <w:tc>
          <w:tcPr>
            <w:tcW w:w="1938" w:type="dxa"/>
          </w:tcPr>
          <w:p w14:paraId="4B78601A" w14:textId="77777777" w:rsidR="00D37F2D" w:rsidRDefault="00D37F2D">
            <w:pPr>
              <w:pStyle w:val="Text1"/>
              <w:ind w:left="0"/>
              <w:rPr>
                <w:noProof/>
                <w:sz w:val="22"/>
                <w:szCs w:val="28"/>
              </w:rPr>
            </w:pPr>
          </w:p>
        </w:tc>
        <w:tc>
          <w:tcPr>
            <w:tcW w:w="1748" w:type="dxa"/>
          </w:tcPr>
          <w:p w14:paraId="640BA7AD" w14:textId="77777777" w:rsidR="00D37F2D" w:rsidRDefault="00D37F2D">
            <w:pPr>
              <w:pStyle w:val="Text1"/>
              <w:ind w:left="0"/>
              <w:rPr>
                <w:noProof/>
                <w:sz w:val="22"/>
                <w:szCs w:val="28"/>
              </w:rPr>
            </w:pPr>
          </w:p>
        </w:tc>
      </w:tr>
    </w:tbl>
    <w:p w14:paraId="7AD2D5F1" w14:textId="77777777" w:rsidR="00D37F2D" w:rsidRDefault="00D37F2D" w:rsidP="00D37F2D">
      <w:pPr>
        <w:pStyle w:val="Text1"/>
        <w:ind w:left="-426" w:right="-427"/>
        <w:rPr>
          <w:noProof/>
          <w:lang w:val="en-IE"/>
        </w:rPr>
      </w:pPr>
    </w:p>
    <w:p w14:paraId="056676BD" w14:textId="77777777" w:rsidR="00D37F2D" w:rsidRDefault="00D37F2D" w:rsidP="00D37F2D">
      <w:pPr>
        <w:pStyle w:val="ManualHeading3"/>
      </w:pPr>
      <w:r>
        <w:rPr>
          <w:noProof/>
        </w:rPr>
        <w:t>3.2.4.4.</w:t>
      </w:r>
      <w:r>
        <w:rPr>
          <w:noProof/>
        </w:rPr>
        <w:tab/>
        <w:t>Total</w:t>
      </w:r>
      <w:r>
        <w:t xml:space="preserve"> requirements of human resources EMA</w:t>
      </w:r>
    </w:p>
    <w:p w14:paraId="46E5F19F" w14:textId="77777777" w:rsidR="00D37F2D" w:rsidRDefault="00D37F2D" w:rsidP="00D37F2D">
      <w:pPr>
        <w:pStyle w:val="Text1"/>
      </w:pPr>
    </w:p>
    <w:tbl>
      <w:tblPr>
        <w:tblW w:w="6588" w:type="dxa"/>
        <w:tblInd w:w="118" w:type="dxa"/>
        <w:tblLook w:val="04A0" w:firstRow="1" w:lastRow="0" w:firstColumn="1" w:lastColumn="0" w:noHBand="0" w:noVBand="1"/>
      </w:tblPr>
      <w:tblGrid>
        <w:gridCol w:w="2627"/>
        <w:gridCol w:w="761"/>
        <w:gridCol w:w="761"/>
        <w:gridCol w:w="761"/>
        <w:gridCol w:w="761"/>
        <w:gridCol w:w="917"/>
      </w:tblGrid>
      <w:tr w:rsidR="00D37F2D" w:rsidRPr="006B47EC" w14:paraId="16591ECF" w14:textId="77777777">
        <w:trPr>
          <w:trHeight w:val="281"/>
        </w:trPr>
        <w:tc>
          <w:tcPr>
            <w:tcW w:w="26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E734D1B" w14:textId="77777777" w:rsidR="00D37F2D" w:rsidRPr="006B47EC" w:rsidRDefault="00D37F2D">
            <w:pPr>
              <w:spacing w:before="0" w:after="0"/>
              <w:jc w:val="center"/>
              <w:rPr>
                <w:rFonts w:eastAsia="Times New Roman"/>
                <w:b/>
                <w:bCs/>
                <w:color w:val="444444"/>
                <w:sz w:val="20"/>
                <w:szCs w:val="20"/>
                <w:lang w:val="en-IE" w:eastAsia="en-IE"/>
              </w:rPr>
            </w:pPr>
            <w:r w:rsidRPr="006B47EC">
              <w:rPr>
                <w:rFonts w:eastAsia="Times New Roman"/>
                <w:b/>
                <w:bCs/>
                <w:color w:val="444444"/>
                <w:sz w:val="20"/>
                <w:szCs w:val="20"/>
                <w:lang w:val="en-IE" w:eastAsia="en-IE"/>
              </w:rPr>
              <w:t>EMA</w:t>
            </w:r>
          </w:p>
        </w:tc>
        <w:tc>
          <w:tcPr>
            <w:tcW w:w="761" w:type="dxa"/>
            <w:tcBorders>
              <w:top w:val="single" w:sz="8" w:space="0" w:color="auto"/>
              <w:left w:val="nil"/>
              <w:bottom w:val="nil"/>
              <w:right w:val="single" w:sz="8" w:space="0" w:color="auto"/>
            </w:tcBorders>
            <w:shd w:val="clear" w:color="000000" w:fill="FFFFFF"/>
            <w:vAlign w:val="bottom"/>
            <w:hideMark/>
          </w:tcPr>
          <w:p w14:paraId="2861F7AD" w14:textId="77777777" w:rsidR="00D37F2D" w:rsidRPr="006B47EC" w:rsidRDefault="00D37F2D">
            <w:pPr>
              <w:spacing w:before="0" w:after="0"/>
              <w:jc w:val="center"/>
              <w:rPr>
                <w:rFonts w:eastAsia="Times New Roman"/>
                <w:color w:val="000000"/>
                <w:sz w:val="20"/>
                <w:szCs w:val="20"/>
                <w:lang w:val="en-IE" w:eastAsia="en-IE"/>
              </w:rPr>
            </w:pPr>
            <w:r w:rsidRPr="006B47EC">
              <w:rPr>
                <w:rFonts w:eastAsia="Times New Roman"/>
                <w:color w:val="000000"/>
                <w:sz w:val="20"/>
                <w:szCs w:val="20"/>
                <w:lang w:val="en-IE" w:eastAsia="en-IE"/>
              </w:rPr>
              <w:t>Year</w:t>
            </w:r>
          </w:p>
        </w:tc>
        <w:tc>
          <w:tcPr>
            <w:tcW w:w="761" w:type="dxa"/>
            <w:tcBorders>
              <w:top w:val="single" w:sz="8" w:space="0" w:color="auto"/>
              <w:left w:val="nil"/>
              <w:bottom w:val="nil"/>
              <w:right w:val="single" w:sz="8" w:space="0" w:color="auto"/>
            </w:tcBorders>
            <w:shd w:val="clear" w:color="000000" w:fill="FFFFFF"/>
            <w:vAlign w:val="bottom"/>
            <w:hideMark/>
          </w:tcPr>
          <w:p w14:paraId="51676CDB" w14:textId="77777777" w:rsidR="00D37F2D" w:rsidRPr="006B47EC" w:rsidRDefault="00D37F2D">
            <w:pPr>
              <w:spacing w:before="0" w:after="0"/>
              <w:jc w:val="center"/>
              <w:rPr>
                <w:rFonts w:eastAsia="Times New Roman"/>
                <w:color w:val="000000"/>
                <w:sz w:val="20"/>
                <w:szCs w:val="20"/>
                <w:lang w:val="en-IE" w:eastAsia="en-IE"/>
              </w:rPr>
            </w:pPr>
            <w:r w:rsidRPr="006B47EC">
              <w:rPr>
                <w:rFonts w:eastAsia="Times New Roman"/>
                <w:color w:val="000000"/>
                <w:sz w:val="20"/>
                <w:szCs w:val="20"/>
                <w:lang w:val="en-IE" w:eastAsia="en-IE"/>
              </w:rPr>
              <w:t>Year</w:t>
            </w:r>
          </w:p>
        </w:tc>
        <w:tc>
          <w:tcPr>
            <w:tcW w:w="761" w:type="dxa"/>
            <w:tcBorders>
              <w:top w:val="single" w:sz="8" w:space="0" w:color="auto"/>
              <w:left w:val="nil"/>
              <w:bottom w:val="nil"/>
              <w:right w:val="single" w:sz="8" w:space="0" w:color="auto"/>
            </w:tcBorders>
            <w:shd w:val="clear" w:color="000000" w:fill="FFFFFF"/>
            <w:vAlign w:val="bottom"/>
            <w:hideMark/>
          </w:tcPr>
          <w:p w14:paraId="07C7F291" w14:textId="77777777" w:rsidR="00D37F2D" w:rsidRPr="006B47EC" w:rsidRDefault="00D37F2D">
            <w:pPr>
              <w:spacing w:before="0" w:after="0"/>
              <w:jc w:val="center"/>
              <w:rPr>
                <w:rFonts w:eastAsia="Times New Roman"/>
                <w:color w:val="000000"/>
                <w:sz w:val="20"/>
                <w:szCs w:val="20"/>
                <w:lang w:val="en-IE" w:eastAsia="en-IE"/>
              </w:rPr>
            </w:pPr>
            <w:r w:rsidRPr="006B47EC">
              <w:rPr>
                <w:rFonts w:eastAsia="Times New Roman"/>
                <w:color w:val="000000"/>
                <w:sz w:val="20"/>
                <w:szCs w:val="20"/>
                <w:lang w:val="en-IE" w:eastAsia="en-IE"/>
              </w:rPr>
              <w:t>Year</w:t>
            </w:r>
          </w:p>
        </w:tc>
        <w:tc>
          <w:tcPr>
            <w:tcW w:w="761" w:type="dxa"/>
            <w:tcBorders>
              <w:top w:val="single" w:sz="8" w:space="0" w:color="auto"/>
              <w:left w:val="nil"/>
              <w:bottom w:val="nil"/>
              <w:right w:val="single" w:sz="8" w:space="0" w:color="auto"/>
            </w:tcBorders>
            <w:shd w:val="clear" w:color="000000" w:fill="FFFFFF"/>
            <w:vAlign w:val="bottom"/>
            <w:hideMark/>
          </w:tcPr>
          <w:p w14:paraId="1CB15276" w14:textId="77777777" w:rsidR="00D37F2D" w:rsidRPr="006B47EC" w:rsidRDefault="00D37F2D">
            <w:pPr>
              <w:spacing w:before="0" w:after="0"/>
              <w:jc w:val="center"/>
              <w:rPr>
                <w:rFonts w:eastAsia="Times New Roman"/>
                <w:color w:val="000000"/>
                <w:sz w:val="20"/>
                <w:szCs w:val="20"/>
                <w:lang w:val="en-IE" w:eastAsia="en-IE"/>
              </w:rPr>
            </w:pPr>
            <w:r w:rsidRPr="006B47EC">
              <w:rPr>
                <w:rFonts w:eastAsia="Times New Roman"/>
                <w:color w:val="000000"/>
                <w:sz w:val="20"/>
                <w:szCs w:val="20"/>
                <w:lang w:val="en-IE" w:eastAsia="en-IE"/>
              </w:rPr>
              <w:t>Year</w:t>
            </w:r>
          </w:p>
        </w:tc>
        <w:tc>
          <w:tcPr>
            <w:tcW w:w="9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9B52BAB" w14:textId="77777777" w:rsidR="00D37F2D" w:rsidRPr="006B47EC" w:rsidRDefault="00D37F2D">
            <w:pPr>
              <w:spacing w:before="0" w:after="0"/>
              <w:jc w:val="center"/>
              <w:rPr>
                <w:rFonts w:eastAsia="Times New Roman"/>
                <w:b/>
                <w:bCs/>
                <w:color w:val="000000"/>
                <w:sz w:val="20"/>
                <w:szCs w:val="20"/>
                <w:lang w:val="en-IE" w:eastAsia="en-IE"/>
              </w:rPr>
            </w:pPr>
            <w:r w:rsidRPr="006B47EC">
              <w:rPr>
                <w:rFonts w:eastAsia="Times New Roman"/>
                <w:b/>
                <w:bCs/>
                <w:color w:val="000000"/>
                <w:sz w:val="20"/>
                <w:szCs w:val="20"/>
                <w:lang w:val="en-IE" w:eastAsia="en-IE"/>
              </w:rPr>
              <w:t>TOTAL</w:t>
            </w:r>
            <w:r w:rsidRPr="006B47EC">
              <w:rPr>
                <w:rFonts w:eastAsia="Times New Roman"/>
                <w:b/>
                <w:bCs/>
                <w:color w:val="000000"/>
                <w:sz w:val="20"/>
                <w:szCs w:val="20"/>
                <w:lang w:val="en-IE" w:eastAsia="en-IE"/>
              </w:rPr>
              <w:br/>
              <w:t>2021 - 2027</w:t>
            </w:r>
          </w:p>
        </w:tc>
      </w:tr>
      <w:tr w:rsidR="00D37F2D" w:rsidRPr="006B47EC" w14:paraId="50E77EBD" w14:textId="77777777">
        <w:trPr>
          <w:trHeight w:val="295"/>
        </w:trPr>
        <w:tc>
          <w:tcPr>
            <w:tcW w:w="2627" w:type="dxa"/>
            <w:vMerge/>
            <w:tcBorders>
              <w:top w:val="single" w:sz="8" w:space="0" w:color="auto"/>
              <w:left w:val="single" w:sz="8" w:space="0" w:color="auto"/>
              <w:bottom w:val="single" w:sz="8" w:space="0" w:color="000000"/>
              <w:right w:val="single" w:sz="8" w:space="0" w:color="auto"/>
            </w:tcBorders>
            <w:vAlign w:val="center"/>
            <w:hideMark/>
          </w:tcPr>
          <w:p w14:paraId="73FF9CF3" w14:textId="77777777" w:rsidR="00D37F2D" w:rsidRPr="006B47EC" w:rsidRDefault="00D37F2D">
            <w:pPr>
              <w:spacing w:before="0" w:after="0"/>
              <w:jc w:val="left"/>
              <w:rPr>
                <w:rFonts w:eastAsia="Times New Roman"/>
                <w:b/>
                <w:bCs/>
                <w:color w:val="444444"/>
                <w:sz w:val="20"/>
                <w:szCs w:val="20"/>
                <w:lang w:val="en-IE" w:eastAsia="en-IE"/>
              </w:rPr>
            </w:pPr>
          </w:p>
        </w:tc>
        <w:tc>
          <w:tcPr>
            <w:tcW w:w="761" w:type="dxa"/>
            <w:tcBorders>
              <w:top w:val="nil"/>
              <w:left w:val="nil"/>
              <w:bottom w:val="single" w:sz="8" w:space="0" w:color="auto"/>
              <w:right w:val="single" w:sz="8" w:space="0" w:color="auto"/>
            </w:tcBorders>
            <w:shd w:val="clear" w:color="000000" w:fill="FFFFFF"/>
            <w:hideMark/>
          </w:tcPr>
          <w:p w14:paraId="3035077F" w14:textId="77777777" w:rsidR="00D37F2D" w:rsidRPr="006B47EC" w:rsidRDefault="00D37F2D">
            <w:pPr>
              <w:spacing w:before="0" w:after="0"/>
              <w:jc w:val="center"/>
              <w:rPr>
                <w:rFonts w:eastAsia="Times New Roman"/>
                <w:b/>
                <w:bCs/>
                <w:color w:val="000000"/>
                <w:sz w:val="20"/>
                <w:szCs w:val="20"/>
                <w:lang w:val="en-IE" w:eastAsia="en-IE"/>
              </w:rPr>
            </w:pPr>
            <w:r w:rsidRPr="006B47EC">
              <w:rPr>
                <w:rFonts w:eastAsia="Times New Roman"/>
                <w:b/>
                <w:bCs/>
                <w:color w:val="000000"/>
                <w:sz w:val="20"/>
                <w:szCs w:val="20"/>
                <w:lang w:val="en-IE" w:eastAsia="en-IE"/>
              </w:rPr>
              <w:t>2024</w:t>
            </w:r>
          </w:p>
        </w:tc>
        <w:tc>
          <w:tcPr>
            <w:tcW w:w="761" w:type="dxa"/>
            <w:tcBorders>
              <w:top w:val="nil"/>
              <w:left w:val="nil"/>
              <w:bottom w:val="single" w:sz="8" w:space="0" w:color="auto"/>
              <w:right w:val="single" w:sz="8" w:space="0" w:color="auto"/>
            </w:tcBorders>
            <w:shd w:val="clear" w:color="000000" w:fill="FFFFFF"/>
            <w:hideMark/>
          </w:tcPr>
          <w:p w14:paraId="7D6D584B" w14:textId="77777777" w:rsidR="00D37F2D" w:rsidRPr="006B47EC" w:rsidRDefault="00D37F2D">
            <w:pPr>
              <w:spacing w:before="0" w:after="0"/>
              <w:jc w:val="center"/>
              <w:rPr>
                <w:rFonts w:eastAsia="Times New Roman"/>
                <w:b/>
                <w:bCs/>
                <w:color w:val="000000"/>
                <w:sz w:val="20"/>
                <w:szCs w:val="20"/>
                <w:lang w:val="en-IE" w:eastAsia="en-IE"/>
              </w:rPr>
            </w:pPr>
            <w:r w:rsidRPr="006B47EC">
              <w:rPr>
                <w:rFonts w:eastAsia="Times New Roman"/>
                <w:b/>
                <w:bCs/>
                <w:color w:val="000000"/>
                <w:sz w:val="20"/>
                <w:szCs w:val="20"/>
                <w:lang w:val="en-IE" w:eastAsia="en-IE"/>
              </w:rPr>
              <w:t>2025</w:t>
            </w:r>
          </w:p>
        </w:tc>
        <w:tc>
          <w:tcPr>
            <w:tcW w:w="761" w:type="dxa"/>
            <w:tcBorders>
              <w:top w:val="nil"/>
              <w:left w:val="nil"/>
              <w:bottom w:val="single" w:sz="8" w:space="0" w:color="auto"/>
              <w:right w:val="single" w:sz="8" w:space="0" w:color="auto"/>
            </w:tcBorders>
            <w:shd w:val="clear" w:color="000000" w:fill="FFFFFF"/>
            <w:hideMark/>
          </w:tcPr>
          <w:p w14:paraId="66E1282F" w14:textId="77777777" w:rsidR="00D37F2D" w:rsidRPr="006B47EC" w:rsidRDefault="00D37F2D">
            <w:pPr>
              <w:spacing w:before="0" w:after="0"/>
              <w:jc w:val="center"/>
              <w:rPr>
                <w:rFonts w:eastAsia="Times New Roman"/>
                <w:b/>
                <w:bCs/>
                <w:color w:val="000000"/>
                <w:sz w:val="20"/>
                <w:szCs w:val="20"/>
                <w:lang w:val="en-IE" w:eastAsia="en-IE"/>
              </w:rPr>
            </w:pPr>
            <w:r w:rsidRPr="006B47EC">
              <w:rPr>
                <w:rFonts w:eastAsia="Times New Roman"/>
                <w:b/>
                <w:bCs/>
                <w:color w:val="000000"/>
                <w:sz w:val="20"/>
                <w:szCs w:val="20"/>
                <w:lang w:val="en-IE" w:eastAsia="en-IE"/>
              </w:rPr>
              <w:t>2026</w:t>
            </w:r>
          </w:p>
        </w:tc>
        <w:tc>
          <w:tcPr>
            <w:tcW w:w="761" w:type="dxa"/>
            <w:tcBorders>
              <w:top w:val="nil"/>
              <w:left w:val="nil"/>
              <w:bottom w:val="single" w:sz="8" w:space="0" w:color="auto"/>
              <w:right w:val="single" w:sz="8" w:space="0" w:color="auto"/>
            </w:tcBorders>
            <w:shd w:val="clear" w:color="000000" w:fill="FFFFFF"/>
            <w:hideMark/>
          </w:tcPr>
          <w:p w14:paraId="66CF857D" w14:textId="77777777" w:rsidR="00D37F2D" w:rsidRPr="006B47EC" w:rsidRDefault="00D37F2D">
            <w:pPr>
              <w:spacing w:before="0" w:after="0"/>
              <w:jc w:val="center"/>
              <w:rPr>
                <w:rFonts w:eastAsia="Times New Roman"/>
                <w:b/>
                <w:bCs/>
                <w:color w:val="000000"/>
                <w:sz w:val="20"/>
                <w:szCs w:val="20"/>
                <w:lang w:val="en-IE" w:eastAsia="en-IE"/>
              </w:rPr>
            </w:pPr>
            <w:r w:rsidRPr="006B47EC">
              <w:rPr>
                <w:rFonts w:eastAsia="Times New Roman"/>
                <w:b/>
                <w:bCs/>
                <w:color w:val="000000"/>
                <w:sz w:val="20"/>
                <w:szCs w:val="20"/>
                <w:lang w:val="en-IE" w:eastAsia="en-IE"/>
              </w:rPr>
              <w:t>2027</w:t>
            </w:r>
          </w:p>
        </w:tc>
        <w:tc>
          <w:tcPr>
            <w:tcW w:w="917" w:type="dxa"/>
            <w:vMerge/>
            <w:tcBorders>
              <w:top w:val="single" w:sz="8" w:space="0" w:color="auto"/>
              <w:left w:val="single" w:sz="8" w:space="0" w:color="auto"/>
              <w:bottom w:val="single" w:sz="8" w:space="0" w:color="000000"/>
              <w:right w:val="single" w:sz="8" w:space="0" w:color="auto"/>
            </w:tcBorders>
            <w:vAlign w:val="center"/>
            <w:hideMark/>
          </w:tcPr>
          <w:p w14:paraId="4240F443" w14:textId="77777777" w:rsidR="00D37F2D" w:rsidRPr="006B47EC" w:rsidRDefault="00D37F2D">
            <w:pPr>
              <w:spacing w:before="0" w:after="0"/>
              <w:jc w:val="left"/>
              <w:rPr>
                <w:rFonts w:eastAsia="Times New Roman"/>
                <w:b/>
                <w:bCs/>
                <w:color w:val="000000"/>
                <w:sz w:val="20"/>
                <w:szCs w:val="20"/>
                <w:lang w:val="en-IE" w:eastAsia="en-IE"/>
              </w:rPr>
            </w:pPr>
          </w:p>
        </w:tc>
      </w:tr>
      <w:tr w:rsidR="00D37F2D" w:rsidRPr="006B47EC" w14:paraId="733D6EDE"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5BF5EEAD" w14:textId="77777777" w:rsidR="00D37F2D" w:rsidRPr="006B47EC" w:rsidRDefault="00D37F2D">
            <w:pPr>
              <w:spacing w:before="0" w:after="0"/>
              <w:jc w:val="left"/>
              <w:rPr>
                <w:rFonts w:eastAsia="Times New Roman"/>
                <w:color w:val="000000"/>
                <w:sz w:val="20"/>
                <w:szCs w:val="20"/>
                <w:lang w:val="en-IE" w:eastAsia="en-IE"/>
              </w:rPr>
            </w:pPr>
            <w:r w:rsidRPr="006B47EC">
              <w:rPr>
                <w:rFonts w:eastAsia="Times New Roman"/>
                <w:color w:val="000000"/>
                <w:sz w:val="20"/>
                <w:szCs w:val="20"/>
                <w:lang w:val="en-IE" w:eastAsia="en-IE"/>
              </w:rPr>
              <w:t>Temporary agents (AD+AST)</w:t>
            </w:r>
          </w:p>
        </w:tc>
        <w:tc>
          <w:tcPr>
            <w:tcW w:w="761" w:type="dxa"/>
            <w:tcBorders>
              <w:top w:val="nil"/>
              <w:left w:val="nil"/>
              <w:bottom w:val="single" w:sz="8" w:space="0" w:color="auto"/>
              <w:right w:val="single" w:sz="8" w:space="0" w:color="auto"/>
            </w:tcBorders>
            <w:shd w:val="clear" w:color="auto" w:fill="auto"/>
            <w:vAlign w:val="center"/>
            <w:hideMark/>
          </w:tcPr>
          <w:p w14:paraId="04D250C5"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761" w:type="dxa"/>
            <w:tcBorders>
              <w:top w:val="nil"/>
              <w:left w:val="nil"/>
              <w:bottom w:val="single" w:sz="8" w:space="0" w:color="auto"/>
              <w:right w:val="single" w:sz="8" w:space="0" w:color="auto"/>
            </w:tcBorders>
            <w:shd w:val="clear" w:color="auto" w:fill="auto"/>
            <w:vAlign w:val="center"/>
            <w:hideMark/>
          </w:tcPr>
          <w:p w14:paraId="13715AF4"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761" w:type="dxa"/>
            <w:tcBorders>
              <w:top w:val="nil"/>
              <w:left w:val="nil"/>
              <w:bottom w:val="single" w:sz="8" w:space="0" w:color="auto"/>
              <w:right w:val="single" w:sz="8" w:space="0" w:color="auto"/>
            </w:tcBorders>
            <w:shd w:val="clear" w:color="auto" w:fill="auto"/>
            <w:vAlign w:val="center"/>
            <w:hideMark/>
          </w:tcPr>
          <w:p w14:paraId="7EBAFDC1"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3</w:t>
            </w:r>
            <w:r>
              <w:rPr>
                <w:rStyle w:val="FootnoteReference"/>
                <w:rFonts w:eastAsia="Times New Roman"/>
                <w:b/>
                <w:bCs/>
                <w:color w:val="000000"/>
                <w:sz w:val="16"/>
                <w:szCs w:val="16"/>
                <w:lang w:val="en-IE" w:eastAsia="en-IE"/>
              </w:rPr>
              <w:footnoteReference w:id="104"/>
            </w:r>
          </w:p>
        </w:tc>
        <w:tc>
          <w:tcPr>
            <w:tcW w:w="761" w:type="dxa"/>
            <w:tcBorders>
              <w:top w:val="nil"/>
              <w:left w:val="nil"/>
              <w:bottom w:val="single" w:sz="8" w:space="0" w:color="auto"/>
              <w:right w:val="single" w:sz="8" w:space="0" w:color="auto"/>
            </w:tcBorders>
            <w:shd w:val="clear" w:color="auto" w:fill="auto"/>
            <w:vAlign w:val="center"/>
            <w:hideMark/>
          </w:tcPr>
          <w:p w14:paraId="66A5E161"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3</w:t>
            </w:r>
          </w:p>
        </w:tc>
        <w:tc>
          <w:tcPr>
            <w:tcW w:w="917" w:type="dxa"/>
            <w:tcBorders>
              <w:top w:val="nil"/>
              <w:left w:val="nil"/>
              <w:bottom w:val="single" w:sz="8" w:space="0" w:color="auto"/>
              <w:right w:val="single" w:sz="8" w:space="0" w:color="auto"/>
            </w:tcBorders>
            <w:shd w:val="clear" w:color="000000" w:fill="808080"/>
            <w:vAlign w:val="center"/>
            <w:hideMark/>
          </w:tcPr>
          <w:p w14:paraId="04C42148" w14:textId="77777777" w:rsidR="00D37F2D" w:rsidRPr="006B47EC" w:rsidRDefault="00D37F2D">
            <w:pPr>
              <w:spacing w:before="0" w:after="0"/>
              <w:jc w:val="right"/>
              <w:rPr>
                <w:rFonts w:eastAsia="Times New Roman"/>
                <w:b/>
                <w:bCs/>
                <w:color w:val="000000"/>
                <w:sz w:val="20"/>
                <w:szCs w:val="20"/>
                <w:lang w:val="en-IE" w:eastAsia="en-IE"/>
              </w:rPr>
            </w:pPr>
            <w:r w:rsidRPr="006B47EC">
              <w:rPr>
                <w:rFonts w:eastAsia="Times New Roman"/>
                <w:b/>
                <w:bCs/>
                <w:color w:val="000000"/>
                <w:sz w:val="20"/>
                <w:szCs w:val="20"/>
                <w:lang w:val="en-IE" w:eastAsia="en-IE"/>
              </w:rPr>
              <w:t> </w:t>
            </w:r>
          </w:p>
        </w:tc>
      </w:tr>
      <w:tr w:rsidR="00D37F2D" w:rsidRPr="006B47EC" w14:paraId="499C70AD"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16D31ED5" w14:textId="77777777" w:rsidR="00D37F2D" w:rsidRPr="006B47EC" w:rsidRDefault="00D37F2D">
            <w:pPr>
              <w:spacing w:before="0" w:after="0"/>
              <w:jc w:val="left"/>
              <w:rPr>
                <w:rFonts w:eastAsia="Times New Roman"/>
                <w:color w:val="000000"/>
                <w:sz w:val="20"/>
                <w:szCs w:val="20"/>
                <w:lang w:val="en-IE" w:eastAsia="en-IE"/>
              </w:rPr>
            </w:pPr>
            <w:r w:rsidRPr="006B47EC">
              <w:rPr>
                <w:rFonts w:eastAsia="Times New Roman"/>
                <w:color w:val="000000"/>
                <w:sz w:val="20"/>
                <w:szCs w:val="20"/>
                <w:lang w:val="en-IE" w:eastAsia="en-IE"/>
              </w:rPr>
              <w:t>Contract agents</w:t>
            </w:r>
          </w:p>
        </w:tc>
        <w:tc>
          <w:tcPr>
            <w:tcW w:w="761" w:type="dxa"/>
            <w:tcBorders>
              <w:top w:val="nil"/>
              <w:left w:val="nil"/>
              <w:bottom w:val="single" w:sz="8" w:space="0" w:color="auto"/>
              <w:right w:val="single" w:sz="8" w:space="0" w:color="auto"/>
            </w:tcBorders>
            <w:shd w:val="clear" w:color="auto" w:fill="auto"/>
            <w:vAlign w:val="center"/>
            <w:hideMark/>
          </w:tcPr>
          <w:p w14:paraId="3C527F4F"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761" w:type="dxa"/>
            <w:tcBorders>
              <w:top w:val="nil"/>
              <w:left w:val="nil"/>
              <w:bottom w:val="single" w:sz="8" w:space="0" w:color="auto"/>
              <w:right w:val="single" w:sz="8" w:space="0" w:color="auto"/>
            </w:tcBorders>
            <w:shd w:val="clear" w:color="auto" w:fill="auto"/>
            <w:vAlign w:val="center"/>
            <w:hideMark/>
          </w:tcPr>
          <w:p w14:paraId="43EAE0CD"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761" w:type="dxa"/>
            <w:tcBorders>
              <w:top w:val="nil"/>
              <w:left w:val="nil"/>
              <w:bottom w:val="single" w:sz="8" w:space="0" w:color="auto"/>
              <w:right w:val="single" w:sz="8" w:space="0" w:color="auto"/>
            </w:tcBorders>
            <w:shd w:val="clear" w:color="auto" w:fill="auto"/>
            <w:vAlign w:val="center"/>
            <w:hideMark/>
          </w:tcPr>
          <w:p w14:paraId="24BEEFEA"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761" w:type="dxa"/>
            <w:tcBorders>
              <w:top w:val="nil"/>
              <w:left w:val="nil"/>
              <w:bottom w:val="single" w:sz="8" w:space="0" w:color="auto"/>
              <w:right w:val="single" w:sz="8" w:space="0" w:color="auto"/>
            </w:tcBorders>
            <w:shd w:val="clear" w:color="auto" w:fill="auto"/>
            <w:vAlign w:val="center"/>
            <w:hideMark/>
          </w:tcPr>
          <w:p w14:paraId="4C06BCDF"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917" w:type="dxa"/>
            <w:tcBorders>
              <w:top w:val="nil"/>
              <w:left w:val="nil"/>
              <w:bottom w:val="single" w:sz="8" w:space="0" w:color="auto"/>
              <w:right w:val="single" w:sz="8" w:space="0" w:color="auto"/>
            </w:tcBorders>
            <w:shd w:val="clear" w:color="000000" w:fill="808080"/>
            <w:vAlign w:val="center"/>
            <w:hideMark/>
          </w:tcPr>
          <w:p w14:paraId="3988A130" w14:textId="77777777" w:rsidR="00D37F2D" w:rsidRPr="006B47EC" w:rsidRDefault="00D37F2D">
            <w:pPr>
              <w:spacing w:before="0" w:after="0"/>
              <w:jc w:val="right"/>
              <w:rPr>
                <w:rFonts w:eastAsia="Times New Roman"/>
                <w:b/>
                <w:bCs/>
                <w:color w:val="000000"/>
                <w:sz w:val="20"/>
                <w:szCs w:val="20"/>
                <w:lang w:val="en-IE" w:eastAsia="en-IE"/>
              </w:rPr>
            </w:pPr>
            <w:r w:rsidRPr="006B47EC">
              <w:rPr>
                <w:rFonts w:eastAsia="Times New Roman"/>
                <w:b/>
                <w:bCs/>
                <w:color w:val="000000"/>
                <w:sz w:val="20"/>
                <w:szCs w:val="20"/>
                <w:lang w:val="en-IE" w:eastAsia="en-IE"/>
              </w:rPr>
              <w:t> </w:t>
            </w:r>
          </w:p>
        </w:tc>
      </w:tr>
      <w:tr w:rsidR="00D37F2D" w:rsidRPr="006B47EC" w14:paraId="580B7D74"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119B6635" w14:textId="77777777" w:rsidR="00D37F2D" w:rsidRPr="006B47EC" w:rsidRDefault="00D37F2D">
            <w:pPr>
              <w:spacing w:before="0" w:after="0"/>
              <w:jc w:val="left"/>
              <w:rPr>
                <w:rFonts w:eastAsia="Times New Roman"/>
                <w:color w:val="000000"/>
                <w:sz w:val="20"/>
                <w:szCs w:val="20"/>
                <w:lang w:val="en-IE" w:eastAsia="en-IE"/>
              </w:rPr>
            </w:pPr>
            <w:r w:rsidRPr="006B47EC">
              <w:rPr>
                <w:rFonts w:eastAsia="Times New Roman"/>
                <w:color w:val="000000"/>
                <w:sz w:val="20"/>
                <w:szCs w:val="20"/>
                <w:lang w:val="en-IE" w:eastAsia="en-IE"/>
              </w:rPr>
              <w:t>Seconded National Experts</w:t>
            </w:r>
          </w:p>
        </w:tc>
        <w:tc>
          <w:tcPr>
            <w:tcW w:w="761" w:type="dxa"/>
            <w:tcBorders>
              <w:top w:val="nil"/>
              <w:left w:val="nil"/>
              <w:bottom w:val="single" w:sz="8" w:space="0" w:color="auto"/>
              <w:right w:val="single" w:sz="8" w:space="0" w:color="auto"/>
            </w:tcBorders>
            <w:shd w:val="clear" w:color="auto" w:fill="auto"/>
            <w:vAlign w:val="center"/>
            <w:hideMark/>
          </w:tcPr>
          <w:p w14:paraId="11ACAC10"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761" w:type="dxa"/>
            <w:tcBorders>
              <w:top w:val="nil"/>
              <w:left w:val="nil"/>
              <w:bottom w:val="single" w:sz="8" w:space="0" w:color="auto"/>
              <w:right w:val="single" w:sz="8" w:space="0" w:color="auto"/>
            </w:tcBorders>
            <w:shd w:val="clear" w:color="auto" w:fill="auto"/>
            <w:vAlign w:val="center"/>
            <w:hideMark/>
          </w:tcPr>
          <w:p w14:paraId="2851AD1E"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761" w:type="dxa"/>
            <w:tcBorders>
              <w:top w:val="nil"/>
              <w:left w:val="nil"/>
              <w:bottom w:val="single" w:sz="8" w:space="0" w:color="auto"/>
              <w:right w:val="single" w:sz="8" w:space="0" w:color="auto"/>
            </w:tcBorders>
            <w:shd w:val="clear" w:color="auto" w:fill="auto"/>
            <w:vAlign w:val="center"/>
            <w:hideMark/>
          </w:tcPr>
          <w:p w14:paraId="606B206D"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761" w:type="dxa"/>
            <w:tcBorders>
              <w:top w:val="nil"/>
              <w:left w:val="nil"/>
              <w:bottom w:val="single" w:sz="8" w:space="0" w:color="auto"/>
              <w:right w:val="single" w:sz="8" w:space="0" w:color="auto"/>
            </w:tcBorders>
            <w:shd w:val="clear" w:color="auto" w:fill="auto"/>
            <w:vAlign w:val="center"/>
            <w:hideMark/>
          </w:tcPr>
          <w:p w14:paraId="08C7EF36"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917" w:type="dxa"/>
            <w:tcBorders>
              <w:top w:val="nil"/>
              <w:left w:val="nil"/>
              <w:bottom w:val="single" w:sz="8" w:space="0" w:color="auto"/>
              <w:right w:val="single" w:sz="8" w:space="0" w:color="auto"/>
            </w:tcBorders>
            <w:shd w:val="clear" w:color="000000" w:fill="808080"/>
            <w:vAlign w:val="center"/>
            <w:hideMark/>
          </w:tcPr>
          <w:p w14:paraId="79309686" w14:textId="77777777" w:rsidR="00D37F2D" w:rsidRPr="006B47EC" w:rsidRDefault="00D37F2D">
            <w:pPr>
              <w:spacing w:before="0" w:after="0"/>
              <w:jc w:val="right"/>
              <w:rPr>
                <w:rFonts w:eastAsia="Times New Roman"/>
                <w:b/>
                <w:bCs/>
                <w:color w:val="000000"/>
                <w:sz w:val="20"/>
                <w:szCs w:val="20"/>
                <w:lang w:val="en-IE" w:eastAsia="en-IE"/>
              </w:rPr>
            </w:pPr>
            <w:r w:rsidRPr="006B47EC">
              <w:rPr>
                <w:rFonts w:eastAsia="Times New Roman"/>
                <w:b/>
                <w:bCs/>
                <w:color w:val="000000"/>
                <w:sz w:val="20"/>
                <w:szCs w:val="20"/>
                <w:lang w:val="en-IE" w:eastAsia="en-IE"/>
              </w:rPr>
              <w:t> </w:t>
            </w:r>
          </w:p>
        </w:tc>
      </w:tr>
      <w:tr w:rsidR="00D37F2D" w:rsidRPr="006B47EC" w14:paraId="6980544D" w14:textId="77777777">
        <w:trPr>
          <w:trHeight w:val="295"/>
        </w:trPr>
        <w:tc>
          <w:tcPr>
            <w:tcW w:w="2627" w:type="dxa"/>
            <w:tcBorders>
              <w:top w:val="nil"/>
              <w:left w:val="single" w:sz="8" w:space="0" w:color="auto"/>
              <w:bottom w:val="single" w:sz="8" w:space="0" w:color="auto"/>
              <w:right w:val="single" w:sz="8" w:space="0" w:color="auto"/>
            </w:tcBorders>
            <w:shd w:val="clear" w:color="000000" w:fill="BFBFBF"/>
            <w:vAlign w:val="center"/>
            <w:hideMark/>
          </w:tcPr>
          <w:p w14:paraId="4BD89ED6" w14:textId="77777777" w:rsidR="00D37F2D" w:rsidRPr="006B47EC" w:rsidRDefault="00D37F2D">
            <w:pPr>
              <w:spacing w:before="0" w:after="0"/>
              <w:jc w:val="left"/>
              <w:rPr>
                <w:rFonts w:eastAsia="Times New Roman"/>
                <w:b/>
                <w:bCs/>
                <w:color w:val="000000"/>
                <w:sz w:val="20"/>
                <w:szCs w:val="20"/>
                <w:lang w:val="en-IE" w:eastAsia="en-IE"/>
              </w:rPr>
            </w:pPr>
            <w:r w:rsidRPr="006B47EC">
              <w:rPr>
                <w:rFonts w:eastAsia="Times New Roman"/>
                <w:b/>
                <w:bCs/>
                <w:color w:val="000000"/>
                <w:sz w:val="20"/>
                <w:szCs w:val="20"/>
                <w:lang w:val="en-IE" w:eastAsia="en-IE"/>
              </w:rPr>
              <w:t>Total staff</w:t>
            </w:r>
          </w:p>
        </w:tc>
        <w:tc>
          <w:tcPr>
            <w:tcW w:w="761" w:type="dxa"/>
            <w:tcBorders>
              <w:top w:val="nil"/>
              <w:left w:val="nil"/>
              <w:bottom w:val="single" w:sz="8" w:space="0" w:color="auto"/>
              <w:right w:val="single" w:sz="8" w:space="0" w:color="auto"/>
            </w:tcBorders>
            <w:shd w:val="clear" w:color="000000" w:fill="BFBFBF"/>
            <w:vAlign w:val="center"/>
            <w:hideMark/>
          </w:tcPr>
          <w:p w14:paraId="50524D76"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761" w:type="dxa"/>
            <w:tcBorders>
              <w:top w:val="nil"/>
              <w:left w:val="nil"/>
              <w:bottom w:val="single" w:sz="8" w:space="0" w:color="auto"/>
              <w:right w:val="single" w:sz="8" w:space="0" w:color="auto"/>
            </w:tcBorders>
            <w:shd w:val="clear" w:color="000000" w:fill="BFBFBF"/>
            <w:vAlign w:val="center"/>
            <w:hideMark/>
          </w:tcPr>
          <w:p w14:paraId="007279EB"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0</w:t>
            </w:r>
          </w:p>
        </w:tc>
        <w:tc>
          <w:tcPr>
            <w:tcW w:w="761" w:type="dxa"/>
            <w:tcBorders>
              <w:top w:val="nil"/>
              <w:left w:val="nil"/>
              <w:bottom w:val="single" w:sz="8" w:space="0" w:color="auto"/>
              <w:right w:val="single" w:sz="8" w:space="0" w:color="auto"/>
            </w:tcBorders>
            <w:shd w:val="clear" w:color="000000" w:fill="BFBFBF"/>
            <w:vAlign w:val="center"/>
            <w:hideMark/>
          </w:tcPr>
          <w:p w14:paraId="42BBDBE0"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3</w:t>
            </w:r>
          </w:p>
        </w:tc>
        <w:tc>
          <w:tcPr>
            <w:tcW w:w="761" w:type="dxa"/>
            <w:tcBorders>
              <w:top w:val="nil"/>
              <w:left w:val="nil"/>
              <w:bottom w:val="single" w:sz="8" w:space="0" w:color="auto"/>
              <w:right w:val="single" w:sz="8" w:space="0" w:color="auto"/>
            </w:tcBorders>
            <w:shd w:val="clear" w:color="000000" w:fill="BFBFBF"/>
            <w:vAlign w:val="center"/>
            <w:hideMark/>
          </w:tcPr>
          <w:p w14:paraId="3BEF005C"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3</w:t>
            </w:r>
          </w:p>
        </w:tc>
        <w:tc>
          <w:tcPr>
            <w:tcW w:w="917" w:type="dxa"/>
            <w:tcBorders>
              <w:top w:val="nil"/>
              <w:left w:val="nil"/>
              <w:bottom w:val="single" w:sz="8" w:space="0" w:color="auto"/>
              <w:right w:val="single" w:sz="8" w:space="0" w:color="auto"/>
            </w:tcBorders>
            <w:shd w:val="clear" w:color="000000" w:fill="808080"/>
            <w:vAlign w:val="center"/>
            <w:hideMark/>
          </w:tcPr>
          <w:p w14:paraId="5AEDA283" w14:textId="77777777" w:rsidR="00D37F2D" w:rsidRPr="006B47EC" w:rsidRDefault="00D37F2D">
            <w:pPr>
              <w:spacing w:before="0" w:after="0"/>
              <w:jc w:val="right"/>
              <w:rPr>
                <w:rFonts w:eastAsia="Times New Roman"/>
                <w:b/>
                <w:bCs/>
                <w:color w:val="000000"/>
                <w:sz w:val="16"/>
                <w:szCs w:val="16"/>
                <w:lang w:val="en-IE" w:eastAsia="en-IE"/>
              </w:rPr>
            </w:pPr>
            <w:r w:rsidRPr="006B47EC">
              <w:rPr>
                <w:rFonts w:eastAsia="Times New Roman"/>
                <w:b/>
                <w:bCs/>
                <w:color w:val="000000"/>
                <w:sz w:val="16"/>
                <w:szCs w:val="16"/>
                <w:lang w:val="en-IE" w:eastAsia="en-IE"/>
              </w:rPr>
              <w:t> </w:t>
            </w:r>
          </w:p>
        </w:tc>
      </w:tr>
      <w:tr w:rsidR="00D37F2D" w:rsidRPr="006B47EC" w14:paraId="182AAE53"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7B2F1092" w14:textId="77777777" w:rsidR="00D37F2D" w:rsidRPr="006B47EC" w:rsidRDefault="00D37F2D">
            <w:pPr>
              <w:spacing w:before="0" w:after="0"/>
              <w:jc w:val="left"/>
              <w:rPr>
                <w:rFonts w:eastAsia="Times New Roman"/>
                <w:color w:val="000000"/>
                <w:sz w:val="20"/>
                <w:szCs w:val="20"/>
                <w:lang w:val="en-IE" w:eastAsia="en-IE"/>
              </w:rPr>
            </w:pPr>
            <w:r w:rsidRPr="006B47EC">
              <w:rPr>
                <w:rFonts w:eastAsia="Times New Roman"/>
                <w:color w:val="000000"/>
                <w:sz w:val="20"/>
                <w:szCs w:val="20"/>
                <w:lang w:val="en-IE" w:eastAsia="en-IE"/>
              </w:rPr>
              <w:t>Appropriations covered by the EU Budget</w:t>
            </w:r>
          </w:p>
        </w:tc>
        <w:tc>
          <w:tcPr>
            <w:tcW w:w="761" w:type="dxa"/>
            <w:tcBorders>
              <w:top w:val="nil"/>
              <w:left w:val="nil"/>
              <w:bottom w:val="single" w:sz="8" w:space="0" w:color="auto"/>
              <w:right w:val="single" w:sz="8" w:space="0" w:color="auto"/>
            </w:tcBorders>
            <w:shd w:val="clear" w:color="000000" w:fill="BFBFBF"/>
            <w:vAlign w:val="center"/>
            <w:hideMark/>
          </w:tcPr>
          <w:p w14:paraId="579BA1E1" w14:textId="77777777" w:rsidR="00D37F2D" w:rsidRPr="006B47EC" w:rsidRDefault="00D37F2D">
            <w:pPr>
              <w:spacing w:before="0" w:after="0"/>
              <w:jc w:val="right"/>
              <w:rPr>
                <w:rFonts w:eastAsia="Times New Roman"/>
                <w:color w:val="000000"/>
                <w:sz w:val="20"/>
                <w:szCs w:val="20"/>
                <w:lang w:val="en-IE" w:eastAsia="en-IE"/>
              </w:rPr>
            </w:pPr>
            <w:r w:rsidRPr="006B47EC">
              <w:rPr>
                <w:rFonts w:eastAsia="Times New Roman"/>
                <w:color w:val="000000"/>
                <w:sz w:val="20"/>
                <w:szCs w:val="20"/>
                <w:lang w:val="en-IE" w:eastAsia="en-IE"/>
              </w:rPr>
              <w:t>0,000</w:t>
            </w:r>
          </w:p>
        </w:tc>
        <w:tc>
          <w:tcPr>
            <w:tcW w:w="761" w:type="dxa"/>
            <w:tcBorders>
              <w:top w:val="nil"/>
              <w:left w:val="nil"/>
              <w:bottom w:val="single" w:sz="8" w:space="0" w:color="auto"/>
              <w:right w:val="single" w:sz="8" w:space="0" w:color="auto"/>
            </w:tcBorders>
            <w:shd w:val="clear" w:color="000000" w:fill="BFBFBF"/>
            <w:vAlign w:val="center"/>
            <w:hideMark/>
          </w:tcPr>
          <w:p w14:paraId="089E23DC" w14:textId="77777777" w:rsidR="00D37F2D" w:rsidRPr="006B47EC" w:rsidRDefault="00D37F2D">
            <w:pPr>
              <w:spacing w:before="0" w:after="0"/>
              <w:jc w:val="right"/>
              <w:rPr>
                <w:rFonts w:eastAsia="Times New Roman"/>
                <w:color w:val="000000"/>
                <w:sz w:val="20"/>
                <w:szCs w:val="20"/>
                <w:lang w:val="en-IE" w:eastAsia="en-IE"/>
              </w:rPr>
            </w:pPr>
            <w:r w:rsidRPr="006B47EC">
              <w:rPr>
                <w:rFonts w:eastAsia="Times New Roman"/>
                <w:color w:val="000000"/>
                <w:sz w:val="20"/>
                <w:szCs w:val="20"/>
                <w:lang w:val="en-IE" w:eastAsia="en-IE"/>
              </w:rPr>
              <w:t>0,000</w:t>
            </w:r>
          </w:p>
        </w:tc>
        <w:tc>
          <w:tcPr>
            <w:tcW w:w="761" w:type="dxa"/>
            <w:tcBorders>
              <w:top w:val="nil"/>
              <w:left w:val="nil"/>
              <w:bottom w:val="single" w:sz="8" w:space="0" w:color="auto"/>
              <w:right w:val="single" w:sz="8" w:space="0" w:color="auto"/>
            </w:tcBorders>
            <w:shd w:val="clear" w:color="000000" w:fill="BFBFBF"/>
            <w:vAlign w:val="center"/>
            <w:hideMark/>
          </w:tcPr>
          <w:p w14:paraId="35D270B6" w14:textId="77777777" w:rsidR="00D37F2D" w:rsidRPr="006B47EC" w:rsidRDefault="00D37F2D">
            <w:pPr>
              <w:spacing w:before="0" w:after="0"/>
              <w:jc w:val="right"/>
              <w:rPr>
                <w:rFonts w:eastAsia="Times New Roman"/>
                <w:color w:val="000000"/>
                <w:sz w:val="20"/>
                <w:szCs w:val="20"/>
                <w:lang w:val="en-IE" w:eastAsia="en-IE"/>
              </w:rPr>
            </w:pPr>
            <w:r>
              <w:rPr>
                <w:color w:val="000000"/>
                <w:sz w:val="20"/>
                <w:szCs w:val="20"/>
              </w:rPr>
              <w:t>0,524</w:t>
            </w:r>
          </w:p>
        </w:tc>
        <w:tc>
          <w:tcPr>
            <w:tcW w:w="761" w:type="dxa"/>
            <w:tcBorders>
              <w:top w:val="nil"/>
              <w:left w:val="nil"/>
              <w:bottom w:val="single" w:sz="8" w:space="0" w:color="auto"/>
              <w:right w:val="single" w:sz="8" w:space="0" w:color="auto"/>
            </w:tcBorders>
            <w:shd w:val="clear" w:color="000000" w:fill="BFBFBF"/>
            <w:vAlign w:val="center"/>
            <w:hideMark/>
          </w:tcPr>
          <w:p w14:paraId="653ABC06" w14:textId="77777777" w:rsidR="00D37F2D" w:rsidRPr="006B47EC" w:rsidRDefault="00D37F2D">
            <w:pPr>
              <w:spacing w:before="0" w:after="0"/>
              <w:jc w:val="right"/>
              <w:rPr>
                <w:rFonts w:eastAsia="Times New Roman"/>
                <w:color w:val="000000"/>
                <w:sz w:val="20"/>
                <w:szCs w:val="20"/>
                <w:lang w:val="en-IE" w:eastAsia="en-IE"/>
              </w:rPr>
            </w:pPr>
            <w:r>
              <w:rPr>
                <w:color w:val="000000"/>
                <w:sz w:val="20"/>
                <w:szCs w:val="20"/>
              </w:rPr>
              <w:t>0,628</w:t>
            </w:r>
          </w:p>
        </w:tc>
        <w:tc>
          <w:tcPr>
            <w:tcW w:w="917" w:type="dxa"/>
            <w:tcBorders>
              <w:top w:val="nil"/>
              <w:left w:val="nil"/>
              <w:bottom w:val="single" w:sz="8" w:space="0" w:color="auto"/>
              <w:right w:val="single" w:sz="8" w:space="0" w:color="auto"/>
            </w:tcBorders>
            <w:shd w:val="clear" w:color="000000" w:fill="BFBFBF"/>
            <w:vAlign w:val="center"/>
            <w:hideMark/>
          </w:tcPr>
          <w:p w14:paraId="194C1E14" w14:textId="77777777" w:rsidR="00D37F2D" w:rsidRPr="006B47EC" w:rsidRDefault="00D37F2D">
            <w:pPr>
              <w:spacing w:before="0" w:after="0"/>
              <w:jc w:val="right"/>
              <w:rPr>
                <w:rFonts w:eastAsia="Times New Roman"/>
                <w:b/>
                <w:bCs/>
                <w:color w:val="000000"/>
                <w:sz w:val="20"/>
                <w:szCs w:val="20"/>
                <w:lang w:val="en-IE" w:eastAsia="en-IE"/>
              </w:rPr>
            </w:pPr>
            <w:r>
              <w:rPr>
                <w:b/>
                <w:bCs/>
                <w:color w:val="000000"/>
                <w:sz w:val="20"/>
                <w:szCs w:val="20"/>
              </w:rPr>
              <w:t>1,152</w:t>
            </w:r>
          </w:p>
        </w:tc>
      </w:tr>
      <w:tr w:rsidR="00D37F2D" w:rsidRPr="006B47EC" w14:paraId="3933E0D9"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386E5D73" w14:textId="77777777" w:rsidR="00D37F2D" w:rsidRPr="006B47EC" w:rsidRDefault="00D37F2D">
            <w:pPr>
              <w:spacing w:before="0" w:after="0"/>
              <w:jc w:val="left"/>
              <w:rPr>
                <w:rFonts w:eastAsia="Times New Roman"/>
                <w:color w:val="000000"/>
                <w:sz w:val="20"/>
                <w:szCs w:val="20"/>
                <w:lang w:val="en-IE" w:eastAsia="en-IE"/>
              </w:rPr>
            </w:pPr>
            <w:r w:rsidRPr="006B47EC">
              <w:rPr>
                <w:rFonts w:eastAsia="Times New Roman"/>
                <w:color w:val="000000"/>
                <w:sz w:val="20"/>
                <w:szCs w:val="20"/>
                <w:lang w:val="en-IE" w:eastAsia="en-IE"/>
              </w:rPr>
              <w:t>Appropriations covered by fees</w:t>
            </w:r>
          </w:p>
        </w:tc>
        <w:tc>
          <w:tcPr>
            <w:tcW w:w="761" w:type="dxa"/>
            <w:tcBorders>
              <w:top w:val="nil"/>
              <w:left w:val="nil"/>
              <w:bottom w:val="single" w:sz="8" w:space="0" w:color="auto"/>
              <w:right w:val="single" w:sz="8" w:space="0" w:color="auto"/>
            </w:tcBorders>
            <w:shd w:val="clear" w:color="000000" w:fill="BFBFBF"/>
            <w:vAlign w:val="center"/>
            <w:hideMark/>
          </w:tcPr>
          <w:p w14:paraId="7D03E090" w14:textId="77777777" w:rsidR="00D37F2D" w:rsidRPr="006B47EC" w:rsidRDefault="00D37F2D">
            <w:pPr>
              <w:spacing w:before="0" w:after="0"/>
              <w:jc w:val="right"/>
              <w:rPr>
                <w:rFonts w:eastAsia="Times New Roman"/>
                <w:color w:val="000000"/>
                <w:sz w:val="20"/>
                <w:szCs w:val="20"/>
                <w:lang w:val="en-IE" w:eastAsia="en-IE"/>
              </w:rPr>
            </w:pPr>
            <w:r w:rsidRPr="006B47EC">
              <w:rPr>
                <w:rFonts w:eastAsia="Times New Roman"/>
                <w:color w:val="000000"/>
                <w:sz w:val="20"/>
                <w:szCs w:val="20"/>
                <w:lang w:val="en-IE" w:eastAsia="en-IE"/>
              </w:rPr>
              <w:t>0,000</w:t>
            </w:r>
          </w:p>
        </w:tc>
        <w:tc>
          <w:tcPr>
            <w:tcW w:w="761" w:type="dxa"/>
            <w:tcBorders>
              <w:top w:val="nil"/>
              <w:left w:val="nil"/>
              <w:bottom w:val="single" w:sz="8" w:space="0" w:color="auto"/>
              <w:right w:val="single" w:sz="8" w:space="0" w:color="auto"/>
            </w:tcBorders>
            <w:shd w:val="clear" w:color="000000" w:fill="BFBFBF"/>
            <w:vAlign w:val="center"/>
            <w:hideMark/>
          </w:tcPr>
          <w:p w14:paraId="18CAE1B6" w14:textId="77777777" w:rsidR="00D37F2D" w:rsidRPr="006B47EC" w:rsidRDefault="00D37F2D">
            <w:pPr>
              <w:spacing w:before="0" w:after="0"/>
              <w:jc w:val="right"/>
              <w:rPr>
                <w:rFonts w:eastAsia="Times New Roman"/>
                <w:color w:val="000000"/>
                <w:sz w:val="20"/>
                <w:szCs w:val="20"/>
                <w:lang w:val="en-IE" w:eastAsia="en-IE"/>
              </w:rPr>
            </w:pPr>
            <w:r w:rsidRPr="006B47EC">
              <w:rPr>
                <w:rFonts w:eastAsia="Times New Roman"/>
                <w:color w:val="000000"/>
                <w:sz w:val="20"/>
                <w:szCs w:val="20"/>
                <w:lang w:val="en-IE" w:eastAsia="en-IE"/>
              </w:rPr>
              <w:t>0,000</w:t>
            </w:r>
          </w:p>
        </w:tc>
        <w:tc>
          <w:tcPr>
            <w:tcW w:w="761" w:type="dxa"/>
            <w:tcBorders>
              <w:top w:val="nil"/>
              <w:left w:val="nil"/>
              <w:bottom w:val="single" w:sz="8" w:space="0" w:color="auto"/>
              <w:right w:val="single" w:sz="8" w:space="0" w:color="auto"/>
            </w:tcBorders>
            <w:shd w:val="clear" w:color="000000" w:fill="BFBFBF"/>
            <w:vAlign w:val="center"/>
            <w:hideMark/>
          </w:tcPr>
          <w:p w14:paraId="3A41BE16" w14:textId="77777777" w:rsidR="00D37F2D" w:rsidRPr="006B47EC" w:rsidRDefault="00D37F2D">
            <w:pPr>
              <w:spacing w:before="0" w:after="0"/>
              <w:jc w:val="right"/>
              <w:rPr>
                <w:rFonts w:eastAsia="Times New Roman"/>
                <w:color w:val="000000"/>
                <w:sz w:val="20"/>
                <w:szCs w:val="20"/>
                <w:lang w:val="en-IE" w:eastAsia="en-IE"/>
              </w:rPr>
            </w:pPr>
            <w:r>
              <w:rPr>
                <w:color w:val="000000"/>
                <w:sz w:val="20"/>
                <w:szCs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072629F6" w14:textId="77777777" w:rsidR="00D37F2D" w:rsidRPr="006B47EC" w:rsidRDefault="00D37F2D">
            <w:pPr>
              <w:spacing w:before="0" w:after="0"/>
              <w:jc w:val="right"/>
              <w:rPr>
                <w:rFonts w:eastAsia="Times New Roman"/>
                <w:color w:val="000000"/>
                <w:sz w:val="20"/>
                <w:szCs w:val="20"/>
                <w:lang w:val="en-IE" w:eastAsia="en-IE"/>
              </w:rPr>
            </w:pPr>
            <w:r>
              <w:rPr>
                <w:color w:val="000000"/>
                <w:sz w:val="20"/>
                <w:szCs w:val="20"/>
              </w:rPr>
              <w:t>0,000</w:t>
            </w:r>
          </w:p>
        </w:tc>
        <w:tc>
          <w:tcPr>
            <w:tcW w:w="917" w:type="dxa"/>
            <w:tcBorders>
              <w:top w:val="nil"/>
              <w:left w:val="nil"/>
              <w:bottom w:val="single" w:sz="8" w:space="0" w:color="auto"/>
              <w:right w:val="single" w:sz="8" w:space="0" w:color="auto"/>
            </w:tcBorders>
            <w:shd w:val="clear" w:color="000000" w:fill="BFBFBF"/>
            <w:vAlign w:val="center"/>
            <w:hideMark/>
          </w:tcPr>
          <w:p w14:paraId="5E247F48" w14:textId="77777777" w:rsidR="00D37F2D" w:rsidRPr="006B47EC" w:rsidRDefault="00D37F2D">
            <w:pPr>
              <w:spacing w:before="0" w:after="0"/>
              <w:jc w:val="right"/>
              <w:rPr>
                <w:rFonts w:eastAsia="Times New Roman"/>
                <w:b/>
                <w:bCs/>
                <w:color w:val="000000"/>
                <w:sz w:val="20"/>
                <w:szCs w:val="20"/>
                <w:lang w:val="en-IE" w:eastAsia="en-IE"/>
              </w:rPr>
            </w:pPr>
            <w:r>
              <w:rPr>
                <w:b/>
                <w:bCs/>
                <w:color w:val="000000"/>
                <w:sz w:val="20"/>
                <w:szCs w:val="20"/>
              </w:rPr>
              <w:t>0,000</w:t>
            </w:r>
          </w:p>
        </w:tc>
      </w:tr>
      <w:tr w:rsidR="00D37F2D" w:rsidRPr="006B47EC" w14:paraId="04383BCC" w14:textId="77777777">
        <w:trPr>
          <w:trHeight w:val="295"/>
        </w:trPr>
        <w:tc>
          <w:tcPr>
            <w:tcW w:w="2627" w:type="dxa"/>
            <w:tcBorders>
              <w:top w:val="nil"/>
              <w:left w:val="single" w:sz="8" w:space="0" w:color="auto"/>
              <w:bottom w:val="single" w:sz="8" w:space="0" w:color="auto"/>
              <w:right w:val="single" w:sz="8" w:space="0" w:color="auto"/>
            </w:tcBorders>
            <w:shd w:val="clear" w:color="auto" w:fill="auto"/>
            <w:vAlign w:val="center"/>
            <w:hideMark/>
          </w:tcPr>
          <w:p w14:paraId="1645A9B2" w14:textId="77777777" w:rsidR="00D37F2D" w:rsidRPr="006B47EC" w:rsidRDefault="00D37F2D">
            <w:pPr>
              <w:spacing w:before="0" w:after="0"/>
              <w:jc w:val="left"/>
              <w:rPr>
                <w:rFonts w:eastAsia="Times New Roman"/>
                <w:color w:val="000000"/>
                <w:sz w:val="20"/>
                <w:szCs w:val="20"/>
                <w:lang w:val="en-IE" w:eastAsia="en-IE"/>
              </w:rPr>
            </w:pPr>
            <w:r w:rsidRPr="006B47EC">
              <w:rPr>
                <w:rFonts w:eastAsia="Times New Roman"/>
                <w:color w:val="000000"/>
                <w:sz w:val="20"/>
                <w:szCs w:val="20"/>
                <w:lang w:val="en-IE" w:eastAsia="en-IE"/>
              </w:rPr>
              <w:t>Appropriations co-financed (if applicable)</w:t>
            </w:r>
          </w:p>
        </w:tc>
        <w:tc>
          <w:tcPr>
            <w:tcW w:w="761" w:type="dxa"/>
            <w:tcBorders>
              <w:top w:val="nil"/>
              <w:left w:val="nil"/>
              <w:bottom w:val="single" w:sz="8" w:space="0" w:color="auto"/>
              <w:right w:val="single" w:sz="8" w:space="0" w:color="auto"/>
            </w:tcBorders>
            <w:shd w:val="clear" w:color="000000" w:fill="BFBFBF"/>
            <w:vAlign w:val="center"/>
            <w:hideMark/>
          </w:tcPr>
          <w:p w14:paraId="098BC25F" w14:textId="77777777" w:rsidR="00D37F2D" w:rsidRPr="006B47EC" w:rsidRDefault="00D37F2D">
            <w:pPr>
              <w:spacing w:before="0" w:after="0"/>
              <w:jc w:val="right"/>
              <w:rPr>
                <w:rFonts w:eastAsia="Times New Roman"/>
                <w:color w:val="000000"/>
                <w:sz w:val="20"/>
                <w:szCs w:val="20"/>
                <w:lang w:val="en-IE" w:eastAsia="en-IE"/>
              </w:rPr>
            </w:pPr>
            <w:r w:rsidRPr="006B47EC">
              <w:rPr>
                <w:rFonts w:eastAsia="Times New Roman"/>
                <w:color w:val="000000"/>
                <w:sz w:val="20"/>
                <w:szCs w:val="20"/>
                <w:lang w:val="en-IE" w:eastAsia="en-IE"/>
              </w:rPr>
              <w:t>0,000</w:t>
            </w:r>
          </w:p>
        </w:tc>
        <w:tc>
          <w:tcPr>
            <w:tcW w:w="761" w:type="dxa"/>
            <w:tcBorders>
              <w:top w:val="nil"/>
              <w:left w:val="nil"/>
              <w:bottom w:val="single" w:sz="8" w:space="0" w:color="auto"/>
              <w:right w:val="single" w:sz="8" w:space="0" w:color="auto"/>
            </w:tcBorders>
            <w:shd w:val="clear" w:color="000000" w:fill="BFBFBF"/>
            <w:vAlign w:val="center"/>
            <w:hideMark/>
          </w:tcPr>
          <w:p w14:paraId="51AC6C89" w14:textId="77777777" w:rsidR="00D37F2D" w:rsidRPr="006B47EC" w:rsidRDefault="00D37F2D">
            <w:pPr>
              <w:spacing w:before="0" w:after="0"/>
              <w:jc w:val="right"/>
              <w:rPr>
                <w:rFonts w:eastAsia="Times New Roman"/>
                <w:color w:val="000000"/>
                <w:sz w:val="20"/>
                <w:szCs w:val="20"/>
                <w:lang w:val="en-IE" w:eastAsia="en-IE"/>
              </w:rPr>
            </w:pPr>
            <w:r w:rsidRPr="006B47EC">
              <w:rPr>
                <w:rFonts w:eastAsia="Times New Roman"/>
                <w:color w:val="000000"/>
                <w:sz w:val="20"/>
                <w:szCs w:val="20"/>
                <w:lang w:val="en-IE" w:eastAsia="en-IE"/>
              </w:rPr>
              <w:t>0,000</w:t>
            </w:r>
          </w:p>
        </w:tc>
        <w:tc>
          <w:tcPr>
            <w:tcW w:w="761" w:type="dxa"/>
            <w:tcBorders>
              <w:top w:val="nil"/>
              <w:left w:val="nil"/>
              <w:bottom w:val="single" w:sz="8" w:space="0" w:color="auto"/>
              <w:right w:val="single" w:sz="8" w:space="0" w:color="auto"/>
            </w:tcBorders>
            <w:shd w:val="clear" w:color="000000" w:fill="BFBFBF"/>
            <w:vAlign w:val="center"/>
            <w:hideMark/>
          </w:tcPr>
          <w:p w14:paraId="5ECC9C2F" w14:textId="77777777" w:rsidR="00D37F2D" w:rsidRPr="006B47EC" w:rsidRDefault="00D37F2D">
            <w:pPr>
              <w:spacing w:before="0" w:after="0"/>
              <w:jc w:val="right"/>
              <w:rPr>
                <w:rFonts w:eastAsia="Times New Roman"/>
                <w:color w:val="000000"/>
                <w:sz w:val="20"/>
                <w:szCs w:val="20"/>
                <w:lang w:val="en-IE" w:eastAsia="en-IE"/>
              </w:rPr>
            </w:pPr>
            <w:r>
              <w:rPr>
                <w:color w:val="000000"/>
                <w:sz w:val="20"/>
                <w:szCs w:val="20"/>
              </w:rPr>
              <w:t>0,000</w:t>
            </w:r>
          </w:p>
        </w:tc>
        <w:tc>
          <w:tcPr>
            <w:tcW w:w="761" w:type="dxa"/>
            <w:tcBorders>
              <w:top w:val="nil"/>
              <w:left w:val="nil"/>
              <w:bottom w:val="single" w:sz="8" w:space="0" w:color="auto"/>
              <w:right w:val="single" w:sz="8" w:space="0" w:color="auto"/>
            </w:tcBorders>
            <w:shd w:val="clear" w:color="000000" w:fill="BFBFBF"/>
            <w:vAlign w:val="center"/>
            <w:hideMark/>
          </w:tcPr>
          <w:p w14:paraId="6A909DCC" w14:textId="77777777" w:rsidR="00D37F2D" w:rsidRPr="006B47EC" w:rsidRDefault="00D37F2D">
            <w:pPr>
              <w:spacing w:before="0" w:after="0"/>
              <w:jc w:val="right"/>
              <w:rPr>
                <w:rFonts w:eastAsia="Times New Roman"/>
                <w:color w:val="000000"/>
                <w:sz w:val="20"/>
                <w:szCs w:val="20"/>
                <w:lang w:val="en-IE" w:eastAsia="en-IE"/>
              </w:rPr>
            </w:pPr>
            <w:r>
              <w:rPr>
                <w:color w:val="000000"/>
                <w:sz w:val="20"/>
                <w:szCs w:val="20"/>
              </w:rPr>
              <w:t>0,000</w:t>
            </w:r>
          </w:p>
        </w:tc>
        <w:tc>
          <w:tcPr>
            <w:tcW w:w="917" w:type="dxa"/>
            <w:tcBorders>
              <w:top w:val="nil"/>
              <w:left w:val="nil"/>
              <w:bottom w:val="single" w:sz="8" w:space="0" w:color="auto"/>
              <w:right w:val="single" w:sz="8" w:space="0" w:color="auto"/>
            </w:tcBorders>
            <w:shd w:val="clear" w:color="000000" w:fill="BFBFBF"/>
            <w:vAlign w:val="center"/>
            <w:hideMark/>
          </w:tcPr>
          <w:p w14:paraId="49029C6F" w14:textId="77777777" w:rsidR="00D37F2D" w:rsidRPr="006B47EC" w:rsidRDefault="00D37F2D">
            <w:pPr>
              <w:spacing w:before="0" w:after="0"/>
              <w:jc w:val="right"/>
              <w:rPr>
                <w:rFonts w:eastAsia="Times New Roman"/>
                <w:b/>
                <w:bCs/>
                <w:color w:val="000000"/>
                <w:sz w:val="20"/>
                <w:szCs w:val="20"/>
                <w:lang w:val="en-IE" w:eastAsia="en-IE"/>
              </w:rPr>
            </w:pPr>
            <w:r>
              <w:rPr>
                <w:b/>
                <w:bCs/>
                <w:color w:val="000000"/>
                <w:sz w:val="20"/>
                <w:szCs w:val="20"/>
              </w:rPr>
              <w:t>0,000</w:t>
            </w:r>
          </w:p>
        </w:tc>
      </w:tr>
      <w:tr w:rsidR="00D37F2D" w:rsidRPr="006B47EC" w14:paraId="2E9F1FF2" w14:textId="77777777">
        <w:trPr>
          <w:trHeight w:val="295"/>
        </w:trPr>
        <w:tc>
          <w:tcPr>
            <w:tcW w:w="2627" w:type="dxa"/>
            <w:tcBorders>
              <w:top w:val="nil"/>
              <w:left w:val="single" w:sz="8" w:space="0" w:color="auto"/>
              <w:bottom w:val="single" w:sz="8" w:space="0" w:color="auto"/>
              <w:right w:val="single" w:sz="8" w:space="0" w:color="auto"/>
            </w:tcBorders>
            <w:shd w:val="clear" w:color="000000" w:fill="BFBFBF"/>
            <w:vAlign w:val="center"/>
            <w:hideMark/>
          </w:tcPr>
          <w:p w14:paraId="7C5AC30B" w14:textId="77777777" w:rsidR="00D37F2D" w:rsidRPr="006B47EC" w:rsidRDefault="00D37F2D">
            <w:pPr>
              <w:spacing w:before="0" w:after="0"/>
              <w:jc w:val="left"/>
              <w:rPr>
                <w:rFonts w:eastAsia="Times New Roman"/>
                <w:b/>
                <w:bCs/>
                <w:color w:val="000000"/>
                <w:sz w:val="20"/>
                <w:szCs w:val="20"/>
                <w:lang w:val="en-IE" w:eastAsia="en-IE"/>
              </w:rPr>
            </w:pPr>
            <w:r w:rsidRPr="006B47EC">
              <w:rPr>
                <w:rFonts w:eastAsia="Times New Roman"/>
                <w:b/>
                <w:bCs/>
                <w:color w:val="000000"/>
                <w:sz w:val="20"/>
                <w:szCs w:val="20"/>
                <w:lang w:val="en-IE" w:eastAsia="en-IE"/>
              </w:rPr>
              <w:t>TOTAL appropriations</w:t>
            </w:r>
          </w:p>
        </w:tc>
        <w:tc>
          <w:tcPr>
            <w:tcW w:w="761" w:type="dxa"/>
            <w:tcBorders>
              <w:top w:val="nil"/>
              <w:left w:val="nil"/>
              <w:bottom w:val="single" w:sz="8" w:space="0" w:color="auto"/>
              <w:right w:val="single" w:sz="8" w:space="0" w:color="auto"/>
            </w:tcBorders>
            <w:shd w:val="clear" w:color="000000" w:fill="BFBFBF"/>
            <w:vAlign w:val="center"/>
            <w:hideMark/>
          </w:tcPr>
          <w:p w14:paraId="40F97734" w14:textId="77777777" w:rsidR="00D37F2D" w:rsidRPr="006B47EC" w:rsidRDefault="00D37F2D">
            <w:pPr>
              <w:spacing w:before="0" w:after="0"/>
              <w:jc w:val="right"/>
              <w:rPr>
                <w:rFonts w:eastAsia="Times New Roman"/>
                <w:b/>
                <w:bCs/>
                <w:color w:val="000000"/>
                <w:sz w:val="20"/>
                <w:szCs w:val="20"/>
                <w:lang w:val="en-IE" w:eastAsia="en-IE"/>
              </w:rPr>
            </w:pPr>
            <w:r w:rsidRPr="006B47EC">
              <w:rPr>
                <w:rFonts w:eastAsia="Times New Roman"/>
                <w:b/>
                <w:bCs/>
                <w:color w:val="000000"/>
                <w:sz w:val="20"/>
                <w:szCs w:val="20"/>
                <w:lang w:val="en-IE" w:eastAsia="en-IE"/>
              </w:rPr>
              <w:t>0,000</w:t>
            </w:r>
          </w:p>
        </w:tc>
        <w:tc>
          <w:tcPr>
            <w:tcW w:w="761" w:type="dxa"/>
            <w:tcBorders>
              <w:top w:val="nil"/>
              <w:left w:val="nil"/>
              <w:bottom w:val="single" w:sz="8" w:space="0" w:color="auto"/>
              <w:right w:val="single" w:sz="8" w:space="0" w:color="auto"/>
            </w:tcBorders>
            <w:shd w:val="clear" w:color="000000" w:fill="BFBFBF"/>
            <w:vAlign w:val="center"/>
            <w:hideMark/>
          </w:tcPr>
          <w:p w14:paraId="3D5EE99F" w14:textId="77777777" w:rsidR="00D37F2D" w:rsidRPr="006B47EC" w:rsidRDefault="00D37F2D">
            <w:pPr>
              <w:spacing w:before="0" w:after="0"/>
              <w:jc w:val="right"/>
              <w:rPr>
                <w:rFonts w:eastAsia="Times New Roman"/>
                <w:b/>
                <w:bCs/>
                <w:color w:val="000000"/>
                <w:sz w:val="20"/>
                <w:szCs w:val="20"/>
                <w:lang w:val="en-IE" w:eastAsia="en-IE"/>
              </w:rPr>
            </w:pPr>
            <w:r w:rsidRPr="006B47EC">
              <w:rPr>
                <w:rFonts w:eastAsia="Times New Roman"/>
                <w:b/>
                <w:bCs/>
                <w:color w:val="000000"/>
                <w:sz w:val="20"/>
                <w:szCs w:val="20"/>
                <w:lang w:val="en-IE" w:eastAsia="en-IE"/>
              </w:rPr>
              <w:t>0,000</w:t>
            </w:r>
          </w:p>
        </w:tc>
        <w:tc>
          <w:tcPr>
            <w:tcW w:w="761" w:type="dxa"/>
            <w:tcBorders>
              <w:top w:val="nil"/>
              <w:left w:val="nil"/>
              <w:bottom w:val="single" w:sz="8" w:space="0" w:color="auto"/>
              <w:right w:val="single" w:sz="8" w:space="0" w:color="auto"/>
            </w:tcBorders>
            <w:shd w:val="clear" w:color="000000" w:fill="BFBFBF"/>
            <w:vAlign w:val="center"/>
            <w:hideMark/>
          </w:tcPr>
          <w:p w14:paraId="7D354988" w14:textId="77777777" w:rsidR="00D37F2D" w:rsidRPr="006B47EC" w:rsidRDefault="00D37F2D">
            <w:pPr>
              <w:spacing w:before="0" w:after="0"/>
              <w:jc w:val="right"/>
              <w:rPr>
                <w:rFonts w:eastAsia="Times New Roman"/>
                <w:b/>
                <w:bCs/>
                <w:color w:val="000000"/>
                <w:sz w:val="20"/>
                <w:szCs w:val="20"/>
                <w:lang w:val="en-IE" w:eastAsia="en-IE"/>
              </w:rPr>
            </w:pPr>
            <w:r>
              <w:rPr>
                <w:b/>
                <w:bCs/>
                <w:color w:val="000000"/>
                <w:sz w:val="20"/>
                <w:szCs w:val="20"/>
              </w:rPr>
              <w:t>0,524</w:t>
            </w:r>
          </w:p>
        </w:tc>
        <w:tc>
          <w:tcPr>
            <w:tcW w:w="761" w:type="dxa"/>
            <w:tcBorders>
              <w:top w:val="nil"/>
              <w:left w:val="nil"/>
              <w:bottom w:val="single" w:sz="8" w:space="0" w:color="auto"/>
              <w:right w:val="single" w:sz="8" w:space="0" w:color="auto"/>
            </w:tcBorders>
            <w:shd w:val="clear" w:color="000000" w:fill="BFBFBF"/>
            <w:vAlign w:val="center"/>
            <w:hideMark/>
          </w:tcPr>
          <w:p w14:paraId="0052DF45" w14:textId="77777777" w:rsidR="00D37F2D" w:rsidRPr="006B47EC" w:rsidRDefault="00D37F2D">
            <w:pPr>
              <w:spacing w:before="0" w:after="0"/>
              <w:jc w:val="right"/>
              <w:rPr>
                <w:rFonts w:eastAsia="Times New Roman"/>
                <w:b/>
                <w:bCs/>
                <w:color w:val="000000"/>
                <w:sz w:val="20"/>
                <w:szCs w:val="20"/>
                <w:lang w:val="en-IE" w:eastAsia="en-IE"/>
              </w:rPr>
            </w:pPr>
            <w:r>
              <w:rPr>
                <w:b/>
                <w:bCs/>
                <w:color w:val="000000"/>
                <w:sz w:val="20"/>
                <w:szCs w:val="20"/>
              </w:rPr>
              <w:t>0,628</w:t>
            </w:r>
          </w:p>
        </w:tc>
        <w:tc>
          <w:tcPr>
            <w:tcW w:w="917" w:type="dxa"/>
            <w:tcBorders>
              <w:top w:val="nil"/>
              <w:left w:val="nil"/>
              <w:bottom w:val="single" w:sz="8" w:space="0" w:color="auto"/>
              <w:right w:val="single" w:sz="8" w:space="0" w:color="auto"/>
            </w:tcBorders>
            <w:shd w:val="clear" w:color="000000" w:fill="BFBFBF"/>
            <w:vAlign w:val="center"/>
            <w:hideMark/>
          </w:tcPr>
          <w:p w14:paraId="064C0D19" w14:textId="77777777" w:rsidR="00D37F2D" w:rsidRPr="006B47EC" w:rsidRDefault="00D37F2D">
            <w:pPr>
              <w:spacing w:before="0" w:after="0"/>
              <w:jc w:val="right"/>
              <w:rPr>
                <w:rFonts w:eastAsia="Times New Roman"/>
                <w:b/>
                <w:bCs/>
                <w:color w:val="000000"/>
                <w:sz w:val="20"/>
                <w:szCs w:val="20"/>
                <w:lang w:val="en-IE" w:eastAsia="en-IE"/>
              </w:rPr>
            </w:pPr>
            <w:r>
              <w:rPr>
                <w:b/>
                <w:bCs/>
                <w:color w:val="000000"/>
                <w:sz w:val="20"/>
                <w:szCs w:val="20"/>
              </w:rPr>
              <w:t>1,152</w:t>
            </w:r>
          </w:p>
        </w:tc>
      </w:tr>
    </w:tbl>
    <w:p w14:paraId="2999610A" w14:textId="77777777" w:rsidR="00D37F2D" w:rsidRDefault="00D37F2D" w:rsidP="00D37F2D">
      <w:pPr>
        <w:pStyle w:val="Text1"/>
        <w:ind w:left="0"/>
      </w:pPr>
    </w:p>
    <w:p w14:paraId="7C2C9349" w14:textId="77777777" w:rsidR="00D37F2D" w:rsidRPr="00960211" w:rsidRDefault="00D37F2D" w:rsidP="00D37F2D">
      <w:pPr>
        <w:pStyle w:val="Text1"/>
      </w:pPr>
    </w:p>
    <w:tbl>
      <w:tblPr>
        <w:tblW w:w="7443" w:type="dxa"/>
        <w:tblInd w:w="118" w:type="dxa"/>
        <w:tblLook w:val="04A0" w:firstRow="1" w:lastRow="0" w:firstColumn="1" w:lastColumn="0" w:noHBand="0" w:noVBand="1"/>
      </w:tblPr>
      <w:tblGrid>
        <w:gridCol w:w="1232"/>
        <w:gridCol w:w="1070"/>
        <w:gridCol w:w="1069"/>
        <w:gridCol w:w="1358"/>
        <w:gridCol w:w="1358"/>
        <w:gridCol w:w="1356"/>
      </w:tblGrid>
      <w:tr w:rsidR="00D37F2D" w14:paraId="47A63196" w14:textId="77777777">
        <w:trPr>
          <w:trHeight w:val="340"/>
        </w:trPr>
        <w:tc>
          <w:tcPr>
            <w:tcW w:w="123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1B4720" w14:textId="77777777" w:rsidR="00D37F2D" w:rsidRDefault="00D37F2D">
            <w:pPr>
              <w:spacing w:before="0" w:after="0"/>
              <w:rPr>
                <w:rFonts w:eastAsia="Times New Roman"/>
                <w:b/>
                <w:bCs/>
                <w:color w:val="444444"/>
                <w:sz w:val="20"/>
                <w:szCs w:val="20"/>
                <w:lang w:val="en-IE" w:eastAsia="en-IE"/>
              </w:rPr>
            </w:pPr>
            <w:r w:rsidRPr="003F1EE6">
              <w:rPr>
                <w:rFonts w:eastAsia="Times New Roman"/>
                <w:noProof/>
                <w:color w:val="000000"/>
                <w:sz w:val="16"/>
                <w:szCs w:val="16"/>
                <w:lang w:eastAsia="en-IE"/>
              </w:rPr>
              <w:t> </w:t>
            </w:r>
            <w:r w:rsidRPr="006B47EC">
              <w:rPr>
                <w:rFonts w:eastAsia="Times New Roman"/>
                <w:b/>
                <w:bCs/>
                <w:color w:val="444444"/>
                <w:sz w:val="20"/>
                <w:szCs w:val="20"/>
                <w:lang w:val="en-IE" w:eastAsia="en-IE"/>
              </w:rPr>
              <w:t>EMA</w:t>
            </w:r>
          </w:p>
          <w:p w14:paraId="12847291" w14:textId="77777777" w:rsidR="00D37F2D" w:rsidRPr="003F1EE6" w:rsidRDefault="00D37F2D">
            <w:pPr>
              <w:spacing w:before="0" w:after="0"/>
              <w:rPr>
                <w:rFonts w:eastAsia="Times New Roman"/>
                <w:color w:val="000000"/>
                <w:sz w:val="16"/>
                <w:szCs w:val="16"/>
                <w:lang w:val="en-IE" w:eastAsia="en-IE"/>
              </w:rPr>
            </w:pPr>
          </w:p>
        </w:tc>
        <w:tc>
          <w:tcPr>
            <w:tcW w:w="1070" w:type="dxa"/>
            <w:tcBorders>
              <w:top w:val="single" w:sz="8" w:space="0" w:color="auto"/>
              <w:left w:val="nil"/>
              <w:bottom w:val="nil"/>
              <w:right w:val="single" w:sz="8" w:space="0" w:color="auto"/>
            </w:tcBorders>
            <w:shd w:val="clear" w:color="auto" w:fill="auto"/>
            <w:vAlign w:val="center"/>
            <w:hideMark/>
          </w:tcPr>
          <w:p w14:paraId="7E2BD347" w14:textId="77777777" w:rsidR="00D37F2D" w:rsidRPr="003F1EE6" w:rsidRDefault="00D37F2D">
            <w:pPr>
              <w:spacing w:before="0" w:after="0"/>
              <w:jc w:val="center"/>
              <w:rPr>
                <w:rFonts w:eastAsia="Times New Roman"/>
                <w:color w:val="000000"/>
                <w:sz w:val="20"/>
                <w:szCs w:val="20"/>
                <w:lang w:val="en-IE" w:eastAsia="en-IE"/>
              </w:rPr>
            </w:pPr>
            <w:r w:rsidRPr="003F1EE6">
              <w:rPr>
                <w:rFonts w:eastAsia="Times New Roman"/>
                <w:noProof/>
                <w:color w:val="000000"/>
                <w:sz w:val="20"/>
                <w:lang w:eastAsia="en-IE"/>
              </w:rPr>
              <w:t>Year</w:t>
            </w:r>
          </w:p>
        </w:tc>
        <w:tc>
          <w:tcPr>
            <w:tcW w:w="1069" w:type="dxa"/>
            <w:tcBorders>
              <w:top w:val="single" w:sz="8" w:space="0" w:color="auto"/>
              <w:left w:val="nil"/>
              <w:bottom w:val="nil"/>
              <w:right w:val="single" w:sz="8" w:space="0" w:color="auto"/>
            </w:tcBorders>
            <w:shd w:val="clear" w:color="auto" w:fill="auto"/>
            <w:vAlign w:val="center"/>
            <w:hideMark/>
          </w:tcPr>
          <w:p w14:paraId="72554A3E" w14:textId="77777777" w:rsidR="00D37F2D" w:rsidRPr="003F1EE6" w:rsidRDefault="00D37F2D">
            <w:pPr>
              <w:spacing w:before="0" w:after="0"/>
              <w:jc w:val="center"/>
              <w:rPr>
                <w:rFonts w:eastAsia="Times New Roman"/>
                <w:color w:val="000000"/>
                <w:sz w:val="20"/>
                <w:szCs w:val="20"/>
                <w:lang w:val="en-IE" w:eastAsia="en-IE"/>
              </w:rPr>
            </w:pPr>
            <w:r w:rsidRPr="003F1EE6">
              <w:rPr>
                <w:rFonts w:eastAsia="Times New Roman"/>
                <w:noProof/>
                <w:color w:val="000000"/>
                <w:sz w:val="20"/>
                <w:lang w:eastAsia="en-IE"/>
              </w:rPr>
              <w:t>Year</w:t>
            </w:r>
          </w:p>
        </w:tc>
        <w:tc>
          <w:tcPr>
            <w:tcW w:w="1358" w:type="dxa"/>
            <w:tcBorders>
              <w:top w:val="single" w:sz="8" w:space="0" w:color="auto"/>
              <w:left w:val="nil"/>
              <w:bottom w:val="nil"/>
              <w:right w:val="single" w:sz="8" w:space="0" w:color="auto"/>
            </w:tcBorders>
            <w:shd w:val="clear" w:color="auto" w:fill="auto"/>
            <w:vAlign w:val="center"/>
            <w:hideMark/>
          </w:tcPr>
          <w:p w14:paraId="4D0E2BAD" w14:textId="77777777" w:rsidR="00D37F2D" w:rsidRPr="003F1EE6" w:rsidRDefault="00D37F2D">
            <w:pPr>
              <w:spacing w:before="0" w:after="0"/>
              <w:jc w:val="center"/>
              <w:rPr>
                <w:rFonts w:eastAsia="Times New Roman"/>
                <w:color w:val="000000"/>
                <w:sz w:val="20"/>
                <w:szCs w:val="20"/>
                <w:lang w:val="en-IE" w:eastAsia="en-IE"/>
              </w:rPr>
            </w:pPr>
            <w:r w:rsidRPr="003F1EE6">
              <w:rPr>
                <w:rFonts w:eastAsia="Times New Roman"/>
                <w:noProof/>
                <w:color w:val="000000"/>
                <w:sz w:val="20"/>
                <w:lang w:eastAsia="en-IE"/>
              </w:rPr>
              <w:t>Year</w:t>
            </w:r>
          </w:p>
        </w:tc>
        <w:tc>
          <w:tcPr>
            <w:tcW w:w="1358" w:type="dxa"/>
            <w:tcBorders>
              <w:top w:val="single" w:sz="8" w:space="0" w:color="auto"/>
              <w:left w:val="nil"/>
              <w:bottom w:val="nil"/>
              <w:right w:val="single" w:sz="8" w:space="0" w:color="auto"/>
            </w:tcBorders>
            <w:shd w:val="clear" w:color="auto" w:fill="auto"/>
            <w:vAlign w:val="center"/>
            <w:hideMark/>
          </w:tcPr>
          <w:p w14:paraId="33AE6F21" w14:textId="77777777" w:rsidR="00D37F2D" w:rsidRPr="003F1EE6" w:rsidRDefault="00D37F2D">
            <w:pPr>
              <w:spacing w:before="0" w:after="0"/>
              <w:jc w:val="center"/>
              <w:rPr>
                <w:rFonts w:eastAsia="Times New Roman"/>
                <w:color w:val="000000"/>
                <w:sz w:val="20"/>
                <w:szCs w:val="20"/>
                <w:lang w:val="en-IE" w:eastAsia="en-IE"/>
              </w:rPr>
            </w:pPr>
            <w:r w:rsidRPr="003F1EE6">
              <w:rPr>
                <w:rFonts w:eastAsia="Times New Roman"/>
                <w:noProof/>
                <w:color w:val="000000"/>
                <w:sz w:val="20"/>
                <w:lang w:eastAsia="en-IE"/>
              </w:rPr>
              <w:t>Year</w:t>
            </w:r>
          </w:p>
        </w:tc>
        <w:tc>
          <w:tcPr>
            <w:tcW w:w="1356" w:type="dxa"/>
            <w:tcBorders>
              <w:top w:val="single" w:sz="8" w:space="0" w:color="auto"/>
              <w:left w:val="nil"/>
              <w:bottom w:val="nil"/>
              <w:right w:val="single" w:sz="8" w:space="0" w:color="auto"/>
            </w:tcBorders>
            <w:shd w:val="clear" w:color="auto" w:fill="auto"/>
            <w:vAlign w:val="center"/>
            <w:hideMark/>
          </w:tcPr>
          <w:p w14:paraId="45EA1250" w14:textId="77777777" w:rsidR="00D37F2D" w:rsidRPr="00303070" w:rsidRDefault="00D37F2D">
            <w:pPr>
              <w:spacing w:before="0" w:after="0"/>
              <w:jc w:val="center"/>
              <w:rPr>
                <w:rFonts w:eastAsia="Times New Roman"/>
                <w:b/>
                <w:bCs/>
                <w:noProof/>
                <w:color w:val="000000"/>
                <w:sz w:val="20"/>
                <w:lang w:eastAsia="en-IE"/>
              </w:rPr>
            </w:pPr>
            <w:r w:rsidRPr="00303070">
              <w:rPr>
                <w:rFonts w:eastAsia="Times New Roman"/>
                <w:b/>
                <w:bCs/>
                <w:noProof/>
                <w:color w:val="000000"/>
                <w:sz w:val="20"/>
                <w:lang w:eastAsia="en-IE"/>
              </w:rPr>
              <w:t xml:space="preserve">Total </w:t>
            </w:r>
          </w:p>
          <w:p w14:paraId="3FCD7249" w14:textId="77777777" w:rsidR="00D37F2D" w:rsidRPr="00303070" w:rsidRDefault="00D37F2D">
            <w:pPr>
              <w:spacing w:before="0" w:after="0"/>
              <w:jc w:val="center"/>
              <w:rPr>
                <w:rFonts w:eastAsia="Times New Roman"/>
                <w:noProof/>
                <w:color w:val="000000"/>
                <w:sz w:val="20"/>
                <w:lang w:eastAsia="en-IE"/>
              </w:rPr>
            </w:pPr>
            <w:r w:rsidRPr="00303070">
              <w:rPr>
                <w:rFonts w:eastAsia="Times New Roman"/>
                <w:b/>
                <w:bCs/>
                <w:noProof/>
                <w:color w:val="000000"/>
                <w:sz w:val="20"/>
                <w:lang w:eastAsia="en-IE"/>
              </w:rPr>
              <w:t>2021-2027 MFF</w:t>
            </w:r>
          </w:p>
        </w:tc>
      </w:tr>
      <w:tr w:rsidR="00D37F2D" w14:paraId="1576DECD" w14:textId="77777777">
        <w:trPr>
          <w:trHeight w:val="842"/>
        </w:trPr>
        <w:tc>
          <w:tcPr>
            <w:tcW w:w="1232" w:type="dxa"/>
            <w:vMerge/>
            <w:tcBorders>
              <w:top w:val="single" w:sz="8" w:space="0" w:color="auto"/>
              <w:left w:val="single" w:sz="8" w:space="0" w:color="auto"/>
              <w:bottom w:val="single" w:sz="8" w:space="0" w:color="000000"/>
              <w:right w:val="single" w:sz="8" w:space="0" w:color="auto"/>
            </w:tcBorders>
            <w:vAlign w:val="center"/>
            <w:hideMark/>
          </w:tcPr>
          <w:p w14:paraId="4DC923E1" w14:textId="77777777" w:rsidR="00D37F2D" w:rsidRPr="003F1EE6" w:rsidRDefault="00D37F2D">
            <w:pPr>
              <w:spacing w:before="0" w:after="0"/>
              <w:jc w:val="left"/>
              <w:rPr>
                <w:rFonts w:eastAsia="Times New Roman"/>
                <w:color w:val="000000"/>
                <w:sz w:val="16"/>
                <w:szCs w:val="16"/>
                <w:lang w:val="en-IE" w:eastAsia="en-IE"/>
              </w:rPr>
            </w:pPr>
          </w:p>
        </w:tc>
        <w:tc>
          <w:tcPr>
            <w:tcW w:w="1070" w:type="dxa"/>
            <w:tcBorders>
              <w:top w:val="nil"/>
              <w:left w:val="nil"/>
              <w:bottom w:val="single" w:sz="8" w:space="0" w:color="auto"/>
              <w:right w:val="single" w:sz="8" w:space="0" w:color="auto"/>
            </w:tcBorders>
            <w:shd w:val="clear" w:color="auto" w:fill="auto"/>
            <w:vAlign w:val="center"/>
            <w:hideMark/>
          </w:tcPr>
          <w:p w14:paraId="38724728" w14:textId="77777777" w:rsidR="00D37F2D" w:rsidRPr="003F1EE6" w:rsidRDefault="00D37F2D">
            <w:pPr>
              <w:spacing w:before="0" w:after="0"/>
              <w:jc w:val="center"/>
              <w:rPr>
                <w:rFonts w:eastAsia="Times New Roman"/>
                <w:b/>
                <w:bCs/>
                <w:color w:val="000000"/>
                <w:sz w:val="20"/>
                <w:szCs w:val="20"/>
                <w:lang w:val="en-IE" w:eastAsia="en-IE"/>
              </w:rPr>
            </w:pPr>
            <w:r w:rsidRPr="003F1EE6">
              <w:rPr>
                <w:rFonts w:eastAsia="Times New Roman"/>
                <w:b/>
                <w:bCs/>
                <w:noProof/>
                <w:color w:val="000000"/>
                <w:sz w:val="20"/>
                <w:lang w:eastAsia="en-IE"/>
              </w:rPr>
              <w:t>2024</w:t>
            </w:r>
          </w:p>
        </w:tc>
        <w:tc>
          <w:tcPr>
            <w:tcW w:w="1069" w:type="dxa"/>
            <w:tcBorders>
              <w:top w:val="nil"/>
              <w:left w:val="nil"/>
              <w:bottom w:val="single" w:sz="8" w:space="0" w:color="auto"/>
              <w:right w:val="single" w:sz="8" w:space="0" w:color="auto"/>
            </w:tcBorders>
            <w:shd w:val="clear" w:color="auto" w:fill="auto"/>
            <w:vAlign w:val="center"/>
            <w:hideMark/>
          </w:tcPr>
          <w:p w14:paraId="132089E6" w14:textId="77777777" w:rsidR="00D37F2D" w:rsidRPr="003F1EE6" w:rsidRDefault="00D37F2D">
            <w:pPr>
              <w:spacing w:before="0" w:after="0"/>
              <w:jc w:val="center"/>
              <w:rPr>
                <w:rFonts w:eastAsia="Times New Roman"/>
                <w:b/>
                <w:bCs/>
                <w:color w:val="000000"/>
                <w:sz w:val="20"/>
                <w:szCs w:val="20"/>
                <w:lang w:val="en-IE" w:eastAsia="en-IE"/>
              </w:rPr>
            </w:pPr>
            <w:r w:rsidRPr="003F1EE6">
              <w:rPr>
                <w:rFonts w:eastAsia="Times New Roman"/>
                <w:b/>
                <w:bCs/>
                <w:noProof/>
                <w:color w:val="000000"/>
                <w:sz w:val="20"/>
                <w:lang w:eastAsia="en-IE"/>
              </w:rPr>
              <w:t>2025</w:t>
            </w:r>
          </w:p>
        </w:tc>
        <w:tc>
          <w:tcPr>
            <w:tcW w:w="1358" w:type="dxa"/>
            <w:tcBorders>
              <w:top w:val="nil"/>
              <w:left w:val="nil"/>
              <w:bottom w:val="single" w:sz="8" w:space="0" w:color="auto"/>
              <w:right w:val="single" w:sz="8" w:space="0" w:color="auto"/>
            </w:tcBorders>
            <w:shd w:val="clear" w:color="auto" w:fill="auto"/>
            <w:vAlign w:val="center"/>
            <w:hideMark/>
          </w:tcPr>
          <w:p w14:paraId="6256F127" w14:textId="77777777" w:rsidR="00D37F2D" w:rsidRPr="003F1EE6" w:rsidRDefault="00D37F2D">
            <w:pPr>
              <w:spacing w:before="0" w:after="0"/>
              <w:jc w:val="center"/>
              <w:rPr>
                <w:rFonts w:eastAsia="Times New Roman"/>
                <w:b/>
                <w:bCs/>
                <w:color w:val="000000"/>
                <w:sz w:val="20"/>
                <w:szCs w:val="20"/>
                <w:lang w:val="en-IE" w:eastAsia="en-IE"/>
              </w:rPr>
            </w:pPr>
            <w:r w:rsidRPr="003F1EE6">
              <w:rPr>
                <w:rFonts w:eastAsia="Times New Roman"/>
                <w:b/>
                <w:bCs/>
                <w:noProof/>
                <w:color w:val="000000"/>
                <w:sz w:val="20"/>
                <w:lang w:eastAsia="en-IE"/>
              </w:rPr>
              <w:t>2026</w:t>
            </w:r>
          </w:p>
        </w:tc>
        <w:tc>
          <w:tcPr>
            <w:tcW w:w="1358" w:type="dxa"/>
            <w:tcBorders>
              <w:top w:val="nil"/>
              <w:left w:val="nil"/>
              <w:bottom w:val="single" w:sz="8" w:space="0" w:color="auto"/>
              <w:right w:val="single" w:sz="8" w:space="0" w:color="auto"/>
            </w:tcBorders>
            <w:shd w:val="clear" w:color="auto" w:fill="auto"/>
            <w:vAlign w:val="center"/>
            <w:hideMark/>
          </w:tcPr>
          <w:p w14:paraId="3C6E52A4" w14:textId="77777777" w:rsidR="00D37F2D" w:rsidRPr="003F1EE6" w:rsidRDefault="00D37F2D">
            <w:pPr>
              <w:spacing w:before="0" w:after="0"/>
              <w:jc w:val="center"/>
              <w:rPr>
                <w:rFonts w:eastAsia="Times New Roman"/>
                <w:b/>
                <w:bCs/>
                <w:color w:val="000000"/>
                <w:sz w:val="20"/>
                <w:szCs w:val="20"/>
                <w:lang w:val="en-IE" w:eastAsia="en-IE"/>
              </w:rPr>
            </w:pPr>
            <w:r w:rsidRPr="003F1EE6">
              <w:rPr>
                <w:rFonts w:eastAsia="Times New Roman"/>
                <w:b/>
                <w:bCs/>
                <w:noProof/>
                <w:color w:val="000000"/>
                <w:sz w:val="20"/>
                <w:lang w:eastAsia="en-IE"/>
              </w:rPr>
              <w:t>2027</w:t>
            </w:r>
          </w:p>
        </w:tc>
        <w:tc>
          <w:tcPr>
            <w:tcW w:w="1356" w:type="dxa"/>
            <w:tcBorders>
              <w:top w:val="nil"/>
              <w:left w:val="nil"/>
              <w:bottom w:val="single" w:sz="8" w:space="0" w:color="auto"/>
              <w:right w:val="single" w:sz="8" w:space="0" w:color="auto"/>
            </w:tcBorders>
            <w:shd w:val="clear" w:color="auto" w:fill="auto"/>
            <w:vAlign w:val="center"/>
            <w:hideMark/>
          </w:tcPr>
          <w:p w14:paraId="6F651F83" w14:textId="77777777" w:rsidR="00D37F2D" w:rsidRPr="00303070" w:rsidRDefault="00D37F2D">
            <w:pPr>
              <w:spacing w:before="0" w:after="0"/>
              <w:jc w:val="center"/>
              <w:rPr>
                <w:rFonts w:eastAsia="Times New Roman"/>
                <w:noProof/>
                <w:color w:val="000000"/>
                <w:sz w:val="20"/>
                <w:lang w:eastAsia="en-IE"/>
              </w:rPr>
            </w:pPr>
          </w:p>
        </w:tc>
      </w:tr>
      <w:tr w:rsidR="00D37F2D" w14:paraId="3BFD2D3D" w14:textId="77777777">
        <w:trPr>
          <w:trHeight w:val="340"/>
        </w:trPr>
        <w:tc>
          <w:tcPr>
            <w:tcW w:w="1232" w:type="dxa"/>
            <w:tcBorders>
              <w:top w:val="nil"/>
              <w:left w:val="nil"/>
              <w:bottom w:val="nil"/>
              <w:right w:val="nil"/>
            </w:tcBorders>
            <w:shd w:val="clear" w:color="auto" w:fill="auto"/>
            <w:noWrap/>
            <w:vAlign w:val="center"/>
            <w:hideMark/>
          </w:tcPr>
          <w:p w14:paraId="0C4E1BD8" w14:textId="77777777" w:rsidR="00D37F2D" w:rsidRPr="003F1EE6" w:rsidRDefault="00D37F2D">
            <w:pPr>
              <w:spacing w:before="0" w:after="0"/>
              <w:jc w:val="center"/>
              <w:rPr>
                <w:rFonts w:eastAsia="Times New Roman"/>
                <w:b/>
                <w:bCs/>
                <w:color w:val="000000"/>
                <w:sz w:val="20"/>
                <w:szCs w:val="20"/>
                <w:lang w:val="en-IE" w:eastAsia="en-IE"/>
              </w:rPr>
            </w:pPr>
          </w:p>
        </w:tc>
        <w:tc>
          <w:tcPr>
            <w:tcW w:w="1070" w:type="dxa"/>
            <w:tcBorders>
              <w:top w:val="nil"/>
              <w:left w:val="nil"/>
              <w:bottom w:val="nil"/>
              <w:right w:val="nil"/>
            </w:tcBorders>
            <w:shd w:val="clear" w:color="auto" w:fill="auto"/>
            <w:noWrap/>
            <w:vAlign w:val="bottom"/>
            <w:hideMark/>
          </w:tcPr>
          <w:p w14:paraId="2B8ED7E1" w14:textId="77777777" w:rsidR="00D37F2D" w:rsidRPr="003F1EE6" w:rsidRDefault="00D37F2D">
            <w:pPr>
              <w:spacing w:before="0" w:after="0"/>
              <w:rPr>
                <w:rFonts w:eastAsia="Times New Roman"/>
                <w:sz w:val="20"/>
                <w:szCs w:val="20"/>
                <w:lang w:val="en-IE" w:eastAsia="en-IE"/>
              </w:rPr>
            </w:pPr>
          </w:p>
        </w:tc>
        <w:tc>
          <w:tcPr>
            <w:tcW w:w="1069" w:type="dxa"/>
            <w:tcBorders>
              <w:top w:val="nil"/>
              <w:left w:val="nil"/>
              <w:bottom w:val="nil"/>
              <w:right w:val="nil"/>
            </w:tcBorders>
            <w:shd w:val="clear" w:color="auto" w:fill="auto"/>
            <w:noWrap/>
            <w:vAlign w:val="bottom"/>
            <w:hideMark/>
          </w:tcPr>
          <w:p w14:paraId="21FCA53D" w14:textId="77777777" w:rsidR="00D37F2D" w:rsidRPr="003F1EE6" w:rsidRDefault="00D37F2D">
            <w:pPr>
              <w:spacing w:before="0" w:after="0"/>
              <w:jc w:val="left"/>
              <w:rPr>
                <w:rFonts w:eastAsia="Times New Roman"/>
                <w:sz w:val="20"/>
                <w:szCs w:val="20"/>
                <w:lang w:val="en-IE" w:eastAsia="en-IE"/>
              </w:rPr>
            </w:pPr>
          </w:p>
        </w:tc>
        <w:tc>
          <w:tcPr>
            <w:tcW w:w="1358" w:type="dxa"/>
            <w:tcBorders>
              <w:top w:val="nil"/>
              <w:left w:val="nil"/>
              <w:bottom w:val="nil"/>
              <w:right w:val="nil"/>
            </w:tcBorders>
            <w:shd w:val="clear" w:color="auto" w:fill="auto"/>
            <w:noWrap/>
            <w:vAlign w:val="bottom"/>
            <w:hideMark/>
          </w:tcPr>
          <w:p w14:paraId="745BC81C" w14:textId="77777777" w:rsidR="00D37F2D" w:rsidRPr="003F1EE6" w:rsidRDefault="00D37F2D">
            <w:pPr>
              <w:spacing w:before="0" w:after="0"/>
              <w:jc w:val="left"/>
              <w:rPr>
                <w:rFonts w:eastAsia="Times New Roman"/>
                <w:sz w:val="20"/>
                <w:szCs w:val="20"/>
                <w:lang w:val="en-IE" w:eastAsia="en-IE"/>
              </w:rPr>
            </w:pPr>
          </w:p>
        </w:tc>
        <w:tc>
          <w:tcPr>
            <w:tcW w:w="1358" w:type="dxa"/>
            <w:tcBorders>
              <w:top w:val="nil"/>
              <w:left w:val="nil"/>
              <w:bottom w:val="nil"/>
              <w:right w:val="nil"/>
            </w:tcBorders>
            <w:shd w:val="clear" w:color="auto" w:fill="auto"/>
            <w:noWrap/>
            <w:vAlign w:val="bottom"/>
            <w:hideMark/>
          </w:tcPr>
          <w:p w14:paraId="0018C7CC" w14:textId="77777777" w:rsidR="00D37F2D" w:rsidRPr="003F1EE6" w:rsidRDefault="00D37F2D">
            <w:pPr>
              <w:spacing w:before="0" w:after="0"/>
              <w:jc w:val="left"/>
              <w:rPr>
                <w:rFonts w:eastAsia="Times New Roman"/>
                <w:sz w:val="20"/>
                <w:szCs w:val="20"/>
                <w:lang w:val="en-IE" w:eastAsia="en-IE"/>
              </w:rPr>
            </w:pPr>
          </w:p>
        </w:tc>
        <w:tc>
          <w:tcPr>
            <w:tcW w:w="1356" w:type="dxa"/>
            <w:tcBorders>
              <w:top w:val="nil"/>
              <w:left w:val="nil"/>
              <w:bottom w:val="nil"/>
              <w:right w:val="nil"/>
            </w:tcBorders>
            <w:shd w:val="clear" w:color="auto" w:fill="auto"/>
            <w:noWrap/>
            <w:vAlign w:val="bottom"/>
            <w:hideMark/>
          </w:tcPr>
          <w:p w14:paraId="51B586B2" w14:textId="77777777" w:rsidR="00D37F2D" w:rsidRPr="003F1EE6" w:rsidRDefault="00D37F2D">
            <w:pPr>
              <w:spacing w:before="0" w:after="0"/>
              <w:jc w:val="left"/>
              <w:rPr>
                <w:rFonts w:eastAsia="Times New Roman"/>
                <w:sz w:val="20"/>
                <w:szCs w:val="20"/>
                <w:lang w:val="en-IE" w:eastAsia="en-IE"/>
              </w:rPr>
            </w:pPr>
          </w:p>
        </w:tc>
      </w:tr>
      <w:tr w:rsidR="00D37F2D" w14:paraId="6F7B104B" w14:textId="77777777">
        <w:trPr>
          <w:trHeight w:val="340"/>
        </w:trPr>
        <w:tc>
          <w:tcPr>
            <w:tcW w:w="1232" w:type="dxa"/>
            <w:tcBorders>
              <w:top w:val="nil"/>
              <w:left w:val="nil"/>
              <w:bottom w:val="nil"/>
              <w:right w:val="nil"/>
            </w:tcBorders>
            <w:shd w:val="clear" w:color="auto" w:fill="auto"/>
            <w:noWrap/>
            <w:vAlign w:val="center"/>
            <w:hideMark/>
          </w:tcPr>
          <w:p w14:paraId="7ABD44B7" w14:textId="77777777" w:rsidR="00D37F2D" w:rsidRPr="003F1EE6" w:rsidRDefault="00D37F2D">
            <w:pPr>
              <w:spacing w:before="0" w:after="0"/>
              <w:jc w:val="left"/>
              <w:rPr>
                <w:rFonts w:eastAsia="Times New Roman"/>
                <w:sz w:val="20"/>
                <w:szCs w:val="20"/>
                <w:lang w:val="en-IE" w:eastAsia="en-IE"/>
              </w:rPr>
            </w:pPr>
          </w:p>
        </w:tc>
        <w:tc>
          <w:tcPr>
            <w:tcW w:w="1070" w:type="dxa"/>
            <w:tcBorders>
              <w:top w:val="nil"/>
              <w:left w:val="nil"/>
              <w:bottom w:val="nil"/>
              <w:right w:val="nil"/>
            </w:tcBorders>
            <w:shd w:val="clear" w:color="auto" w:fill="auto"/>
            <w:noWrap/>
            <w:vAlign w:val="bottom"/>
            <w:hideMark/>
          </w:tcPr>
          <w:p w14:paraId="4A020C3A" w14:textId="77777777" w:rsidR="00D37F2D" w:rsidRPr="003F1EE6" w:rsidRDefault="00D37F2D">
            <w:pPr>
              <w:spacing w:before="0" w:after="0"/>
              <w:rPr>
                <w:rFonts w:eastAsia="Times New Roman"/>
                <w:sz w:val="20"/>
                <w:szCs w:val="20"/>
                <w:lang w:val="en-IE" w:eastAsia="en-IE"/>
              </w:rPr>
            </w:pPr>
          </w:p>
        </w:tc>
        <w:tc>
          <w:tcPr>
            <w:tcW w:w="1069" w:type="dxa"/>
            <w:tcBorders>
              <w:top w:val="nil"/>
              <w:left w:val="nil"/>
              <w:bottom w:val="nil"/>
              <w:right w:val="nil"/>
            </w:tcBorders>
            <w:shd w:val="clear" w:color="auto" w:fill="auto"/>
            <w:noWrap/>
            <w:vAlign w:val="bottom"/>
            <w:hideMark/>
          </w:tcPr>
          <w:p w14:paraId="4B9BEEB4" w14:textId="77777777" w:rsidR="00D37F2D" w:rsidRPr="003F1EE6" w:rsidRDefault="00D37F2D">
            <w:pPr>
              <w:spacing w:before="0" w:after="0"/>
              <w:jc w:val="left"/>
              <w:rPr>
                <w:rFonts w:eastAsia="Times New Roman"/>
                <w:sz w:val="20"/>
                <w:szCs w:val="20"/>
                <w:lang w:val="en-IE" w:eastAsia="en-IE"/>
              </w:rPr>
            </w:pPr>
          </w:p>
        </w:tc>
        <w:tc>
          <w:tcPr>
            <w:tcW w:w="1358" w:type="dxa"/>
            <w:tcBorders>
              <w:top w:val="nil"/>
              <w:left w:val="nil"/>
              <w:bottom w:val="nil"/>
              <w:right w:val="nil"/>
            </w:tcBorders>
            <w:shd w:val="clear" w:color="auto" w:fill="auto"/>
            <w:noWrap/>
            <w:vAlign w:val="bottom"/>
            <w:hideMark/>
          </w:tcPr>
          <w:p w14:paraId="38213CDE" w14:textId="77777777" w:rsidR="00D37F2D" w:rsidRPr="003F1EE6" w:rsidRDefault="00D37F2D">
            <w:pPr>
              <w:spacing w:before="0" w:after="0"/>
              <w:jc w:val="left"/>
              <w:rPr>
                <w:rFonts w:eastAsia="Times New Roman"/>
                <w:sz w:val="20"/>
                <w:szCs w:val="20"/>
                <w:lang w:val="en-IE" w:eastAsia="en-IE"/>
              </w:rPr>
            </w:pPr>
          </w:p>
        </w:tc>
        <w:tc>
          <w:tcPr>
            <w:tcW w:w="1358" w:type="dxa"/>
            <w:tcBorders>
              <w:top w:val="nil"/>
              <w:left w:val="nil"/>
              <w:bottom w:val="nil"/>
              <w:right w:val="nil"/>
            </w:tcBorders>
            <w:shd w:val="clear" w:color="auto" w:fill="auto"/>
            <w:noWrap/>
            <w:vAlign w:val="bottom"/>
            <w:hideMark/>
          </w:tcPr>
          <w:p w14:paraId="6E28E371" w14:textId="77777777" w:rsidR="00D37F2D" w:rsidRPr="003F1EE6" w:rsidRDefault="00D37F2D">
            <w:pPr>
              <w:spacing w:before="0" w:after="0"/>
              <w:jc w:val="left"/>
              <w:rPr>
                <w:rFonts w:eastAsia="Times New Roman"/>
                <w:sz w:val="20"/>
                <w:szCs w:val="20"/>
                <w:lang w:val="en-IE" w:eastAsia="en-IE"/>
              </w:rPr>
            </w:pPr>
          </w:p>
        </w:tc>
        <w:tc>
          <w:tcPr>
            <w:tcW w:w="1356" w:type="dxa"/>
            <w:tcBorders>
              <w:top w:val="nil"/>
              <w:left w:val="nil"/>
              <w:bottom w:val="nil"/>
              <w:right w:val="nil"/>
            </w:tcBorders>
            <w:shd w:val="clear" w:color="auto" w:fill="auto"/>
            <w:noWrap/>
            <w:vAlign w:val="bottom"/>
            <w:hideMark/>
          </w:tcPr>
          <w:p w14:paraId="31AA5B3D" w14:textId="77777777" w:rsidR="00D37F2D" w:rsidRPr="003F1EE6" w:rsidRDefault="00D37F2D">
            <w:pPr>
              <w:spacing w:before="0" w:after="0"/>
              <w:jc w:val="left"/>
              <w:rPr>
                <w:rFonts w:eastAsia="Times New Roman"/>
                <w:sz w:val="20"/>
                <w:szCs w:val="20"/>
                <w:lang w:val="en-IE" w:eastAsia="en-IE"/>
              </w:rPr>
            </w:pPr>
          </w:p>
        </w:tc>
      </w:tr>
      <w:tr w:rsidR="00D37F2D" w14:paraId="5DCFE6B9" w14:textId="77777777">
        <w:trPr>
          <w:trHeight w:val="793"/>
        </w:trPr>
        <w:tc>
          <w:tcPr>
            <w:tcW w:w="1232"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F2D04FB" w14:textId="77777777" w:rsidR="00D37F2D" w:rsidRPr="003F1EE6" w:rsidRDefault="00D37F2D">
            <w:pPr>
              <w:spacing w:before="0" w:after="0"/>
              <w:jc w:val="center"/>
              <w:rPr>
                <w:rFonts w:eastAsia="Times New Roman"/>
                <w:color w:val="000000"/>
                <w:sz w:val="18"/>
                <w:szCs w:val="18"/>
                <w:lang w:val="en-IE" w:eastAsia="en-IE"/>
              </w:rPr>
            </w:pPr>
            <w:r w:rsidRPr="003F1EE6">
              <w:rPr>
                <w:rFonts w:eastAsia="Times New Roman"/>
                <w:noProof/>
                <w:sz w:val="18"/>
                <w:lang w:eastAsia="en-IE"/>
              </w:rPr>
              <w:t>Temporary agents (AD Grades)</w:t>
            </w:r>
          </w:p>
        </w:tc>
        <w:tc>
          <w:tcPr>
            <w:tcW w:w="1070" w:type="dxa"/>
            <w:tcBorders>
              <w:top w:val="single" w:sz="8" w:space="0" w:color="auto"/>
              <w:left w:val="nil"/>
              <w:bottom w:val="single" w:sz="8" w:space="0" w:color="auto"/>
              <w:right w:val="single" w:sz="8" w:space="0" w:color="auto"/>
            </w:tcBorders>
            <w:shd w:val="clear" w:color="auto" w:fill="auto"/>
            <w:vAlign w:val="center"/>
            <w:hideMark/>
          </w:tcPr>
          <w:p w14:paraId="5D24F536" w14:textId="77777777" w:rsidR="00D37F2D" w:rsidRPr="003F1EE6" w:rsidRDefault="00D37F2D">
            <w:pPr>
              <w:spacing w:before="0" w:after="0"/>
              <w:jc w:val="right"/>
              <w:rPr>
                <w:rFonts w:eastAsia="Times New Roman"/>
                <w:color w:val="000000"/>
                <w:sz w:val="20"/>
                <w:szCs w:val="20"/>
                <w:lang w:val="en-IE" w:eastAsia="en-IE"/>
              </w:rPr>
            </w:pPr>
            <w:r w:rsidRPr="003F1EE6">
              <w:rPr>
                <w:rFonts w:eastAsia="Times New Roman"/>
                <w:noProof/>
                <w:color w:val="000000"/>
                <w:sz w:val="20"/>
                <w:lang w:eastAsia="en-IE"/>
              </w:rPr>
              <w:t> </w:t>
            </w:r>
          </w:p>
        </w:tc>
        <w:tc>
          <w:tcPr>
            <w:tcW w:w="1069" w:type="dxa"/>
            <w:tcBorders>
              <w:top w:val="single" w:sz="8" w:space="0" w:color="auto"/>
              <w:left w:val="nil"/>
              <w:bottom w:val="single" w:sz="8" w:space="0" w:color="auto"/>
              <w:right w:val="single" w:sz="8" w:space="0" w:color="auto"/>
            </w:tcBorders>
            <w:shd w:val="clear" w:color="auto" w:fill="auto"/>
            <w:vAlign w:val="center"/>
            <w:hideMark/>
          </w:tcPr>
          <w:p w14:paraId="6DE00543" w14:textId="77777777" w:rsidR="00D37F2D" w:rsidRPr="003F1EE6" w:rsidRDefault="00D37F2D">
            <w:pPr>
              <w:spacing w:before="0" w:after="0"/>
              <w:jc w:val="right"/>
              <w:rPr>
                <w:rFonts w:eastAsia="Times New Roman"/>
                <w:color w:val="000000"/>
                <w:sz w:val="20"/>
                <w:szCs w:val="20"/>
                <w:lang w:val="en-IE" w:eastAsia="en-IE"/>
              </w:rPr>
            </w:pPr>
            <w:r w:rsidRPr="003F1EE6">
              <w:rPr>
                <w:rFonts w:eastAsia="Times New Roman"/>
                <w:noProof/>
                <w:color w:val="000000"/>
                <w:sz w:val="20"/>
                <w:lang w:eastAsia="en-IE"/>
              </w:rPr>
              <w:t> </w:t>
            </w:r>
          </w:p>
        </w:tc>
        <w:tc>
          <w:tcPr>
            <w:tcW w:w="1358" w:type="dxa"/>
            <w:tcBorders>
              <w:top w:val="single" w:sz="8" w:space="0" w:color="auto"/>
              <w:left w:val="nil"/>
              <w:bottom w:val="single" w:sz="8" w:space="0" w:color="auto"/>
              <w:right w:val="single" w:sz="8" w:space="0" w:color="auto"/>
            </w:tcBorders>
            <w:shd w:val="clear" w:color="auto" w:fill="auto"/>
            <w:vAlign w:val="center"/>
            <w:hideMark/>
          </w:tcPr>
          <w:p w14:paraId="4636C3B7" w14:textId="77777777" w:rsidR="00D37F2D" w:rsidRPr="003F1EE6" w:rsidRDefault="00D37F2D">
            <w:pPr>
              <w:spacing w:before="0" w:after="0"/>
              <w:jc w:val="right"/>
              <w:rPr>
                <w:rFonts w:ascii="Calibri" w:eastAsia="Times New Roman" w:hAnsi="Calibri" w:cs="Calibri"/>
                <w:color w:val="000000"/>
                <w:sz w:val="22"/>
                <w:lang w:val="en-IE" w:eastAsia="en-IE"/>
              </w:rPr>
            </w:pPr>
            <w:r>
              <w:rPr>
                <w:rFonts w:ascii="Calibri" w:hAnsi="Calibri" w:cs="Calibri"/>
                <w:color w:val="000000"/>
                <w:sz w:val="22"/>
              </w:rPr>
              <w:t>0,314</w:t>
            </w:r>
          </w:p>
        </w:tc>
        <w:tc>
          <w:tcPr>
            <w:tcW w:w="1358" w:type="dxa"/>
            <w:tcBorders>
              <w:top w:val="single" w:sz="8" w:space="0" w:color="auto"/>
              <w:left w:val="nil"/>
              <w:bottom w:val="single" w:sz="8" w:space="0" w:color="auto"/>
              <w:right w:val="single" w:sz="8" w:space="0" w:color="auto"/>
            </w:tcBorders>
            <w:shd w:val="clear" w:color="auto" w:fill="auto"/>
            <w:vAlign w:val="center"/>
            <w:hideMark/>
          </w:tcPr>
          <w:p w14:paraId="3DFF1E5E" w14:textId="77777777" w:rsidR="00D37F2D" w:rsidRPr="003F1EE6" w:rsidRDefault="00D37F2D">
            <w:pPr>
              <w:spacing w:before="0" w:after="0"/>
              <w:jc w:val="right"/>
              <w:rPr>
                <w:rFonts w:ascii="Calibri" w:eastAsia="Times New Roman" w:hAnsi="Calibri" w:cs="Calibri"/>
                <w:color w:val="000000"/>
                <w:sz w:val="22"/>
                <w:lang w:val="en-IE" w:eastAsia="en-IE"/>
              </w:rPr>
            </w:pPr>
            <w:r>
              <w:rPr>
                <w:rFonts w:ascii="Calibri" w:hAnsi="Calibri" w:cs="Calibri"/>
                <w:color w:val="000000"/>
                <w:sz w:val="22"/>
              </w:rPr>
              <w:t>0,419</w:t>
            </w:r>
          </w:p>
        </w:tc>
        <w:tc>
          <w:tcPr>
            <w:tcW w:w="1356" w:type="dxa"/>
            <w:tcBorders>
              <w:top w:val="single" w:sz="8" w:space="0" w:color="auto"/>
              <w:left w:val="nil"/>
              <w:bottom w:val="single" w:sz="8" w:space="0" w:color="auto"/>
              <w:right w:val="single" w:sz="8" w:space="0" w:color="auto"/>
            </w:tcBorders>
            <w:shd w:val="clear" w:color="auto" w:fill="auto"/>
            <w:vAlign w:val="center"/>
            <w:hideMark/>
          </w:tcPr>
          <w:p w14:paraId="7F3CE2A6" w14:textId="77777777" w:rsidR="00D37F2D" w:rsidRPr="003F1EE6" w:rsidRDefault="00D37F2D">
            <w:pPr>
              <w:spacing w:before="0" w:after="0"/>
              <w:jc w:val="right"/>
              <w:rPr>
                <w:rFonts w:ascii="Calibri" w:eastAsia="Times New Roman" w:hAnsi="Calibri" w:cs="Calibri"/>
                <w:color w:val="000000"/>
                <w:sz w:val="22"/>
                <w:lang w:val="en-IE" w:eastAsia="en-IE"/>
              </w:rPr>
            </w:pPr>
            <w:r>
              <w:rPr>
                <w:rFonts w:ascii="Calibri" w:hAnsi="Calibri" w:cs="Calibri"/>
                <w:color w:val="000000"/>
                <w:sz w:val="22"/>
              </w:rPr>
              <w:t>0,733</w:t>
            </w:r>
          </w:p>
        </w:tc>
      </w:tr>
      <w:tr w:rsidR="00D37F2D" w14:paraId="60384486" w14:textId="77777777">
        <w:trPr>
          <w:trHeight w:val="1118"/>
        </w:trPr>
        <w:tc>
          <w:tcPr>
            <w:tcW w:w="1232" w:type="dxa"/>
            <w:tcBorders>
              <w:top w:val="nil"/>
              <w:left w:val="single" w:sz="8" w:space="0" w:color="auto"/>
              <w:bottom w:val="single" w:sz="8" w:space="0" w:color="auto"/>
              <w:right w:val="single" w:sz="8" w:space="0" w:color="auto"/>
            </w:tcBorders>
            <w:shd w:val="clear" w:color="000000" w:fill="BFBFBF"/>
            <w:vAlign w:val="center"/>
            <w:hideMark/>
          </w:tcPr>
          <w:p w14:paraId="0BD3411E" w14:textId="77777777" w:rsidR="00D37F2D" w:rsidRPr="003F1EE6" w:rsidRDefault="00D37F2D">
            <w:pPr>
              <w:spacing w:before="0" w:after="0"/>
              <w:rPr>
                <w:rFonts w:eastAsia="Times New Roman"/>
                <w:color w:val="000000"/>
                <w:sz w:val="20"/>
                <w:szCs w:val="20"/>
                <w:lang w:val="en-IE" w:eastAsia="en-IE"/>
              </w:rPr>
            </w:pPr>
            <w:r w:rsidRPr="003F1EE6">
              <w:rPr>
                <w:rFonts w:eastAsia="Times New Roman"/>
                <w:noProof/>
                <w:sz w:val="20"/>
                <w:lang w:eastAsia="en-IE"/>
              </w:rPr>
              <w:t>Temporary agents (AST grades)</w:t>
            </w:r>
          </w:p>
        </w:tc>
        <w:tc>
          <w:tcPr>
            <w:tcW w:w="1070" w:type="dxa"/>
            <w:tcBorders>
              <w:top w:val="nil"/>
              <w:left w:val="nil"/>
              <w:bottom w:val="single" w:sz="8" w:space="0" w:color="auto"/>
              <w:right w:val="single" w:sz="8" w:space="0" w:color="auto"/>
            </w:tcBorders>
            <w:shd w:val="clear" w:color="auto" w:fill="auto"/>
            <w:vAlign w:val="center"/>
            <w:hideMark/>
          </w:tcPr>
          <w:p w14:paraId="4275E3AE" w14:textId="77777777" w:rsidR="00D37F2D" w:rsidRPr="003F1EE6" w:rsidRDefault="00D37F2D">
            <w:pPr>
              <w:spacing w:before="0" w:after="0"/>
              <w:jc w:val="right"/>
              <w:rPr>
                <w:rFonts w:eastAsia="Times New Roman"/>
                <w:color w:val="000000"/>
                <w:sz w:val="20"/>
                <w:szCs w:val="20"/>
                <w:lang w:val="en-IE" w:eastAsia="en-IE"/>
              </w:rPr>
            </w:pPr>
            <w:r w:rsidRPr="003F1EE6">
              <w:rPr>
                <w:rFonts w:eastAsia="Times New Roman"/>
                <w:noProof/>
                <w:color w:val="000000"/>
                <w:sz w:val="20"/>
                <w:lang w:eastAsia="en-IE"/>
              </w:rPr>
              <w:t> </w:t>
            </w:r>
          </w:p>
        </w:tc>
        <w:tc>
          <w:tcPr>
            <w:tcW w:w="1069" w:type="dxa"/>
            <w:tcBorders>
              <w:top w:val="nil"/>
              <w:left w:val="nil"/>
              <w:bottom w:val="single" w:sz="8" w:space="0" w:color="auto"/>
              <w:right w:val="single" w:sz="8" w:space="0" w:color="auto"/>
            </w:tcBorders>
            <w:shd w:val="clear" w:color="auto" w:fill="auto"/>
            <w:vAlign w:val="center"/>
            <w:hideMark/>
          </w:tcPr>
          <w:p w14:paraId="3FAC6480" w14:textId="77777777" w:rsidR="00D37F2D" w:rsidRPr="003F1EE6" w:rsidRDefault="00D37F2D">
            <w:pPr>
              <w:spacing w:before="0" w:after="0"/>
              <w:jc w:val="right"/>
              <w:rPr>
                <w:rFonts w:eastAsia="Times New Roman"/>
                <w:color w:val="000000"/>
                <w:sz w:val="20"/>
                <w:szCs w:val="20"/>
                <w:lang w:val="en-IE" w:eastAsia="en-IE"/>
              </w:rPr>
            </w:pPr>
            <w:r w:rsidRPr="003F1EE6">
              <w:rPr>
                <w:rFonts w:eastAsia="Times New Roman"/>
                <w:noProof/>
                <w:color w:val="000000"/>
                <w:sz w:val="20"/>
                <w:lang w:eastAsia="en-IE"/>
              </w:rPr>
              <w:t> </w:t>
            </w:r>
          </w:p>
        </w:tc>
        <w:tc>
          <w:tcPr>
            <w:tcW w:w="1358" w:type="dxa"/>
            <w:tcBorders>
              <w:top w:val="nil"/>
              <w:left w:val="nil"/>
              <w:bottom w:val="single" w:sz="8" w:space="0" w:color="auto"/>
              <w:right w:val="single" w:sz="8" w:space="0" w:color="auto"/>
            </w:tcBorders>
            <w:shd w:val="clear" w:color="auto" w:fill="auto"/>
            <w:vAlign w:val="center"/>
            <w:hideMark/>
          </w:tcPr>
          <w:p w14:paraId="5398579E" w14:textId="77777777" w:rsidR="00D37F2D" w:rsidRPr="003F1EE6" w:rsidRDefault="00D37F2D">
            <w:pPr>
              <w:spacing w:before="0" w:after="0"/>
              <w:jc w:val="right"/>
              <w:rPr>
                <w:rFonts w:ascii="Calibri" w:eastAsia="Times New Roman" w:hAnsi="Calibri" w:cs="Calibri"/>
                <w:color w:val="000000"/>
                <w:sz w:val="22"/>
                <w:lang w:val="en-IE" w:eastAsia="en-IE"/>
              </w:rPr>
            </w:pPr>
            <w:r>
              <w:rPr>
                <w:rFonts w:ascii="Calibri" w:hAnsi="Calibri" w:cs="Calibri"/>
                <w:color w:val="000000"/>
                <w:sz w:val="22"/>
              </w:rPr>
              <w:t>0,209</w:t>
            </w:r>
          </w:p>
        </w:tc>
        <w:tc>
          <w:tcPr>
            <w:tcW w:w="1358" w:type="dxa"/>
            <w:tcBorders>
              <w:top w:val="nil"/>
              <w:left w:val="nil"/>
              <w:bottom w:val="single" w:sz="8" w:space="0" w:color="auto"/>
              <w:right w:val="single" w:sz="8" w:space="0" w:color="auto"/>
            </w:tcBorders>
            <w:shd w:val="clear" w:color="auto" w:fill="auto"/>
            <w:vAlign w:val="center"/>
            <w:hideMark/>
          </w:tcPr>
          <w:p w14:paraId="16662F6D" w14:textId="77777777" w:rsidR="00D37F2D" w:rsidRPr="003F1EE6" w:rsidRDefault="00D37F2D">
            <w:pPr>
              <w:spacing w:before="0" w:after="0"/>
              <w:jc w:val="right"/>
              <w:rPr>
                <w:rFonts w:ascii="Calibri" w:eastAsia="Times New Roman" w:hAnsi="Calibri" w:cs="Calibri"/>
                <w:color w:val="000000"/>
                <w:sz w:val="22"/>
                <w:lang w:val="en-IE" w:eastAsia="en-IE"/>
              </w:rPr>
            </w:pPr>
            <w:r>
              <w:rPr>
                <w:rFonts w:ascii="Calibri" w:hAnsi="Calibri" w:cs="Calibri"/>
                <w:color w:val="000000"/>
                <w:sz w:val="22"/>
              </w:rPr>
              <w:t>0,209</w:t>
            </w:r>
          </w:p>
        </w:tc>
        <w:tc>
          <w:tcPr>
            <w:tcW w:w="1356" w:type="dxa"/>
            <w:tcBorders>
              <w:top w:val="nil"/>
              <w:left w:val="nil"/>
              <w:bottom w:val="single" w:sz="8" w:space="0" w:color="auto"/>
              <w:right w:val="single" w:sz="8" w:space="0" w:color="auto"/>
            </w:tcBorders>
            <w:shd w:val="clear" w:color="auto" w:fill="auto"/>
            <w:vAlign w:val="center"/>
            <w:hideMark/>
          </w:tcPr>
          <w:p w14:paraId="69363912" w14:textId="77777777" w:rsidR="00D37F2D" w:rsidRPr="003F1EE6" w:rsidRDefault="00D37F2D">
            <w:pPr>
              <w:spacing w:before="0" w:after="0"/>
              <w:jc w:val="right"/>
              <w:rPr>
                <w:rFonts w:ascii="Calibri" w:eastAsia="Times New Roman" w:hAnsi="Calibri" w:cs="Calibri"/>
                <w:color w:val="000000"/>
                <w:sz w:val="22"/>
                <w:lang w:val="en-IE" w:eastAsia="en-IE"/>
              </w:rPr>
            </w:pPr>
            <w:r>
              <w:rPr>
                <w:rFonts w:ascii="Calibri" w:hAnsi="Calibri" w:cs="Calibri"/>
                <w:color w:val="000000"/>
                <w:sz w:val="22"/>
              </w:rPr>
              <w:t>0,419</w:t>
            </w:r>
          </w:p>
        </w:tc>
      </w:tr>
      <w:tr w:rsidR="00D37F2D" w14:paraId="24CCD823" w14:textId="77777777">
        <w:trPr>
          <w:trHeight w:val="567"/>
        </w:trPr>
        <w:tc>
          <w:tcPr>
            <w:tcW w:w="1232" w:type="dxa"/>
            <w:tcBorders>
              <w:top w:val="nil"/>
              <w:left w:val="single" w:sz="8" w:space="0" w:color="auto"/>
              <w:bottom w:val="single" w:sz="8" w:space="0" w:color="auto"/>
              <w:right w:val="single" w:sz="8" w:space="0" w:color="auto"/>
            </w:tcBorders>
            <w:shd w:val="clear" w:color="000000" w:fill="BFBFBF"/>
            <w:vAlign w:val="center"/>
            <w:hideMark/>
          </w:tcPr>
          <w:p w14:paraId="69A9B27A" w14:textId="77777777" w:rsidR="00D37F2D" w:rsidRPr="003F1EE6" w:rsidRDefault="00D37F2D">
            <w:pPr>
              <w:spacing w:before="0" w:after="0"/>
              <w:rPr>
                <w:rFonts w:eastAsia="Times New Roman"/>
                <w:color w:val="000000"/>
                <w:sz w:val="20"/>
                <w:szCs w:val="20"/>
                <w:lang w:val="en-IE" w:eastAsia="en-IE"/>
              </w:rPr>
            </w:pPr>
            <w:r w:rsidRPr="003F1EE6">
              <w:rPr>
                <w:rFonts w:eastAsia="Times New Roman"/>
                <w:noProof/>
                <w:sz w:val="20"/>
                <w:lang w:eastAsia="en-IE"/>
              </w:rPr>
              <w:t>Contract staff</w:t>
            </w:r>
          </w:p>
        </w:tc>
        <w:tc>
          <w:tcPr>
            <w:tcW w:w="1070" w:type="dxa"/>
            <w:tcBorders>
              <w:top w:val="nil"/>
              <w:left w:val="nil"/>
              <w:bottom w:val="single" w:sz="8" w:space="0" w:color="auto"/>
              <w:right w:val="single" w:sz="8" w:space="0" w:color="auto"/>
            </w:tcBorders>
            <w:shd w:val="clear" w:color="auto" w:fill="auto"/>
            <w:vAlign w:val="center"/>
            <w:hideMark/>
          </w:tcPr>
          <w:p w14:paraId="2E30DE71" w14:textId="77777777" w:rsidR="00D37F2D" w:rsidRPr="003F1EE6" w:rsidRDefault="00D37F2D">
            <w:pPr>
              <w:spacing w:before="0" w:after="0"/>
              <w:jc w:val="right"/>
              <w:rPr>
                <w:rFonts w:eastAsia="Times New Roman"/>
                <w:color w:val="000000"/>
                <w:sz w:val="20"/>
                <w:szCs w:val="20"/>
                <w:lang w:val="en-IE" w:eastAsia="en-IE"/>
              </w:rPr>
            </w:pPr>
            <w:r w:rsidRPr="003F1EE6">
              <w:rPr>
                <w:rFonts w:eastAsia="Times New Roman"/>
                <w:noProof/>
                <w:color w:val="000000"/>
                <w:sz w:val="20"/>
                <w:lang w:eastAsia="en-IE"/>
              </w:rPr>
              <w:t> </w:t>
            </w:r>
          </w:p>
        </w:tc>
        <w:tc>
          <w:tcPr>
            <w:tcW w:w="1069" w:type="dxa"/>
            <w:tcBorders>
              <w:top w:val="nil"/>
              <w:left w:val="nil"/>
              <w:bottom w:val="single" w:sz="8" w:space="0" w:color="auto"/>
              <w:right w:val="single" w:sz="8" w:space="0" w:color="auto"/>
            </w:tcBorders>
            <w:shd w:val="clear" w:color="auto" w:fill="auto"/>
            <w:vAlign w:val="center"/>
            <w:hideMark/>
          </w:tcPr>
          <w:p w14:paraId="23D27303" w14:textId="77777777" w:rsidR="00D37F2D" w:rsidRPr="003F1EE6" w:rsidRDefault="00D37F2D">
            <w:pPr>
              <w:spacing w:before="0" w:after="0"/>
              <w:jc w:val="right"/>
              <w:rPr>
                <w:rFonts w:eastAsia="Times New Roman"/>
                <w:color w:val="000000"/>
                <w:sz w:val="20"/>
                <w:szCs w:val="20"/>
                <w:lang w:val="en-IE" w:eastAsia="en-IE"/>
              </w:rPr>
            </w:pPr>
            <w:r w:rsidRPr="003F1EE6">
              <w:rPr>
                <w:rFonts w:eastAsia="Times New Roman"/>
                <w:noProof/>
                <w:color w:val="000000"/>
                <w:sz w:val="20"/>
                <w:lang w:eastAsia="en-IE"/>
              </w:rPr>
              <w:t> </w:t>
            </w:r>
          </w:p>
        </w:tc>
        <w:tc>
          <w:tcPr>
            <w:tcW w:w="1358" w:type="dxa"/>
            <w:tcBorders>
              <w:top w:val="nil"/>
              <w:left w:val="nil"/>
              <w:bottom w:val="single" w:sz="8" w:space="0" w:color="auto"/>
              <w:right w:val="single" w:sz="8" w:space="0" w:color="auto"/>
            </w:tcBorders>
            <w:shd w:val="clear" w:color="auto" w:fill="auto"/>
            <w:vAlign w:val="center"/>
            <w:hideMark/>
          </w:tcPr>
          <w:p w14:paraId="5B930B63" w14:textId="77777777" w:rsidR="00D37F2D" w:rsidRPr="003F1EE6" w:rsidRDefault="00D37F2D">
            <w:pPr>
              <w:spacing w:before="0" w:after="0"/>
              <w:jc w:val="right"/>
              <w:rPr>
                <w:rFonts w:eastAsia="Times New Roman"/>
                <w:color w:val="000000"/>
                <w:sz w:val="20"/>
                <w:szCs w:val="20"/>
                <w:lang w:val="en-IE" w:eastAsia="en-IE"/>
              </w:rPr>
            </w:pPr>
            <w:r>
              <w:rPr>
                <w:rFonts w:ascii="Calibri" w:hAnsi="Calibri" w:cs="Calibri"/>
                <w:color w:val="000000"/>
                <w:sz w:val="22"/>
              </w:rPr>
              <w:t> </w:t>
            </w:r>
          </w:p>
        </w:tc>
        <w:tc>
          <w:tcPr>
            <w:tcW w:w="1358" w:type="dxa"/>
            <w:tcBorders>
              <w:top w:val="nil"/>
              <w:left w:val="nil"/>
              <w:bottom w:val="single" w:sz="8" w:space="0" w:color="auto"/>
              <w:right w:val="single" w:sz="8" w:space="0" w:color="auto"/>
            </w:tcBorders>
            <w:shd w:val="clear" w:color="auto" w:fill="auto"/>
            <w:vAlign w:val="center"/>
            <w:hideMark/>
          </w:tcPr>
          <w:p w14:paraId="3328B1E1" w14:textId="77777777" w:rsidR="00D37F2D" w:rsidRPr="003F1EE6" w:rsidRDefault="00D37F2D">
            <w:pPr>
              <w:spacing w:before="0" w:after="0"/>
              <w:jc w:val="right"/>
              <w:rPr>
                <w:rFonts w:eastAsia="Times New Roman"/>
                <w:color w:val="000000"/>
                <w:sz w:val="20"/>
                <w:szCs w:val="20"/>
                <w:lang w:val="en-IE" w:eastAsia="en-IE"/>
              </w:rPr>
            </w:pPr>
            <w:r>
              <w:rPr>
                <w:rFonts w:ascii="Calibri" w:hAnsi="Calibri" w:cs="Calibri"/>
                <w:color w:val="000000"/>
                <w:sz w:val="22"/>
              </w:rPr>
              <w:t> </w:t>
            </w:r>
          </w:p>
        </w:tc>
        <w:tc>
          <w:tcPr>
            <w:tcW w:w="1356" w:type="dxa"/>
            <w:tcBorders>
              <w:top w:val="nil"/>
              <w:left w:val="nil"/>
              <w:bottom w:val="single" w:sz="8" w:space="0" w:color="auto"/>
              <w:right w:val="single" w:sz="8" w:space="0" w:color="auto"/>
            </w:tcBorders>
            <w:shd w:val="clear" w:color="auto" w:fill="auto"/>
            <w:vAlign w:val="center"/>
            <w:hideMark/>
          </w:tcPr>
          <w:p w14:paraId="3B3CC135" w14:textId="77777777" w:rsidR="00D37F2D" w:rsidRPr="003F1EE6" w:rsidRDefault="00D37F2D">
            <w:pPr>
              <w:spacing w:before="0" w:after="0"/>
              <w:jc w:val="right"/>
              <w:rPr>
                <w:rFonts w:eastAsia="Times New Roman"/>
                <w:color w:val="000000"/>
                <w:sz w:val="20"/>
                <w:szCs w:val="20"/>
                <w:lang w:val="en-IE" w:eastAsia="en-IE"/>
              </w:rPr>
            </w:pPr>
            <w:r>
              <w:rPr>
                <w:rFonts w:ascii="Calibri" w:hAnsi="Calibri" w:cs="Calibri"/>
                <w:color w:val="000000"/>
                <w:sz w:val="22"/>
              </w:rPr>
              <w:t>0,000</w:t>
            </w:r>
          </w:p>
        </w:tc>
      </w:tr>
      <w:tr w:rsidR="00D37F2D" w14:paraId="0A53BEC2" w14:textId="77777777">
        <w:trPr>
          <w:trHeight w:val="793"/>
        </w:trPr>
        <w:tc>
          <w:tcPr>
            <w:tcW w:w="1232" w:type="dxa"/>
            <w:tcBorders>
              <w:top w:val="nil"/>
              <w:left w:val="single" w:sz="8" w:space="0" w:color="auto"/>
              <w:bottom w:val="single" w:sz="8" w:space="0" w:color="auto"/>
              <w:right w:val="single" w:sz="8" w:space="0" w:color="auto"/>
            </w:tcBorders>
            <w:shd w:val="clear" w:color="000000" w:fill="CCCCCC"/>
            <w:vAlign w:val="center"/>
            <w:hideMark/>
          </w:tcPr>
          <w:p w14:paraId="618C6DEF" w14:textId="77777777" w:rsidR="00D37F2D" w:rsidRPr="003F1EE6" w:rsidRDefault="00D37F2D">
            <w:pPr>
              <w:spacing w:before="0" w:after="0"/>
              <w:jc w:val="center"/>
              <w:rPr>
                <w:rFonts w:eastAsia="Times New Roman"/>
                <w:color w:val="000000"/>
                <w:sz w:val="18"/>
                <w:szCs w:val="18"/>
                <w:lang w:val="en-IE" w:eastAsia="en-IE"/>
              </w:rPr>
            </w:pPr>
            <w:r w:rsidRPr="003F1EE6">
              <w:rPr>
                <w:rFonts w:eastAsia="Times New Roman"/>
                <w:noProof/>
                <w:sz w:val="18"/>
                <w:lang w:eastAsia="en-IE"/>
              </w:rPr>
              <w:t>Seconded National Experts</w:t>
            </w:r>
          </w:p>
        </w:tc>
        <w:tc>
          <w:tcPr>
            <w:tcW w:w="1070" w:type="dxa"/>
            <w:tcBorders>
              <w:top w:val="nil"/>
              <w:left w:val="nil"/>
              <w:bottom w:val="single" w:sz="8" w:space="0" w:color="auto"/>
              <w:right w:val="single" w:sz="8" w:space="0" w:color="auto"/>
            </w:tcBorders>
            <w:shd w:val="clear" w:color="auto" w:fill="auto"/>
            <w:vAlign w:val="center"/>
            <w:hideMark/>
          </w:tcPr>
          <w:p w14:paraId="63626501" w14:textId="77777777" w:rsidR="00D37F2D" w:rsidRPr="003F1EE6" w:rsidRDefault="00D37F2D">
            <w:pPr>
              <w:spacing w:before="0" w:after="0"/>
              <w:jc w:val="right"/>
              <w:rPr>
                <w:rFonts w:eastAsia="Times New Roman"/>
                <w:color w:val="000000"/>
                <w:sz w:val="20"/>
                <w:szCs w:val="20"/>
                <w:lang w:val="en-IE" w:eastAsia="en-IE"/>
              </w:rPr>
            </w:pPr>
            <w:r w:rsidRPr="003F1EE6">
              <w:rPr>
                <w:rFonts w:eastAsia="Times New Roman"/>
                <w:noProof/>
                <w:color w:val="000000"/>
                <w:sz w:val="20"/>
                <w:lang w:eastAsia="en-IE"/>
              </w:rPr>
              <w:t> </w:t>
            </w:r>
          </w:p>
        </w:tc>
        <w:tc>
          <w:tcPr>
            <w:tcW w:w="1069" w:type="dxa"/>
            <w:tcBorders>
              <w:top w:val="nil"/>
              <w:left w:val="nil"/>
              <w:bottom w:val="single" w:sz="8" w:space="0" w:color="auto"/>
              <w:right w:val="single" w:sz="8" w:space="0" w:color="auto"/>
            </w:tcBorders>
            <w:shd w:val="clear" w:color="auto" w:fill="auto"/>
            <w:vAlign w:val="center"/>
            <w:hideMark/>
          </w:tcPr>
          <w:p w14:paraId="50C9C8E1" w14:textId="77777777" w:rsidR="00D37F2D" w:rsidRPr="003F1EE6" w:rsidRDefault="00D37F2D">
            <w:pPr>
              <w:spacing w:before="0" w:after="0"/>
              <w:jc w:val="right"/>
              <w:rPr>
                <w:rFonts w:eastAsia="Times New Roman"/>
                <w:color w:val="000000"/>
                <w:sz w:val="20"/>
                <w:szCs w:val="20"/>
                <w:lang w:val="en-IE" w:eastAsia="en-IE"/>
              </w:rPr>
            </w:pPr>
            <w:r w:rsidRPr="003F1EE6">
              <w:rPr>
                <w:rFonts w:eastAsia="Times New Roman"/>
                <w:noProof/>
                <w:color w:val="000000"/>
                <w:sz w:val="20"/>
                <w:lang w:eastAsia="en-IE"/>
              </w:rPr>
              <w:t> </w:t>
            </w:r>
          </w:p>
        </w:tc>
        <w:tc>
          <w:tcPr>
            <w:tcW w:w="1358" w:type="dxa"/>
            <w:tcBorders>
              <w:top w:val="nil"/>
              <w:left w:val="nil"/>
              <w:bottom w:val="single" w:sz="8" w:space="0" w:color="auto"/>
              <w:right w:val="single" w:sz="8" w:space="0" w:color="auto"/>
            </w:tcBorders>
            <w:shd w:val="clear" w:color="auto" w:fill="auto"/>
            <w:vAlign w:val="center"/>
            <w:hideMark/>
          </w:tcPr>
          <w:p w14:paraId="682C40B2" w14:textId="77777777" w:rsidR="00D37F2D" w:rsidRPr="003F1EE6" w:rsidRDefault="00D37F2D">
            <w:pPr>
              <w:spacing w:before="0" w:after="0"/>
              <w:jc w:val="right"/>
              <w:rPr>
                <w:rFonts w:eastAsia="Times New Roman"/>
                <w:color w:val="000000"/>
                <w:sz w:val="20"/>
                <w:szCs w:val="20"/>
                <w:lang w:val="en-IE" w:eastAsia="en-IE"/>
              </w:rPr>
            </w:pPr>
            <w:r>
              <w:rPr>
                <w:rFonts w:ascii="Calibri" w:hAnsi="Calibri" w:cs="Calibri"/>
                <w:color w:val="000000"/>
                <w:sz w:val="22"/>
              </w:rPr>
              <w:t> </w:t>
            </w:r>
          </w:p>
        </w:tc>
        <w:tc>
          <w:tcPr>
            <w:tcW w:w="1358" w:type="dxa"/>
            <w:tcBorders>
              <w:top w:val="nil"/>
              <w:left w:val="nil"/>
              <w:bottom w:val="single" w:sz="8" w:space="0" w:color="auto"/>
              <w:right w:val="single" w:sz="8" w:space="0" w:color="auto"/>
            </w:tcBorders>
            <w:shd w:val="clear" w:color="auto" w:fill="auto"/>
            <w:vAlign w:val="center"/>
            <w:hideMark/>
          </w:tcPr>
          <w:p w14:paraId="04BAC828" w14:textId="77777777" w:rsidR="00D37F2D" w:rsidRPr="003F1EE6" w:rsidRDefault="00D37F2D">
            <w:pPr>
              <w:spacing w:before="0" w:after="0"/>
              <w:jc w:val="right"/>
              <w:rPr>
                <w:rFonts w:eastAsia="Times New Roman"/>
                <w:color w:val="000000"/>
                <w:sz w:val="20"/>
                <w:szCs w:val="20"/>
                <w:lang w:val="en-IE" w:eastAsia="en-IE"/>
              </w:rPr>
            </w:pPr>
            <w:r>
              <w:rPr>
                <w:rFonts w:ascii="Calibri" w:hAnsi="Calibri" w:cs="Calibri"/>
                <w:color w:val="000000"/>
                <w:sz w:val="22"/>
              </w:rPr>
              <w:t> </w:t>
            </w:r>
          </w:p>
        </w:tc>
        <w:tc>
          <w:tcPr>
            <w:tcW w:w="1356" w:type="dxa"/>
            <w:tcBorders>
              <w:top w:val="nil"/>
              <w:left w:val="nil"/>
              <w:bottom w:val="single" w:sz="8" w:space="0" w:color="auto"/>
              <w:right w:val="single" w:sz="8" w:space="0" w:color="auto"/>
            </w:tcBorders>
            <w:shd w:val="clear" w:color="auto" w:fill="auto"/>
            <w:vAlign w:val="center"/>
            <w:hideMark/>
          </w:tcPr>
          <w:p w14:paraId="0C9D51B2" w14:textId="77777777" w:rsidR="00D37F2D" w:rsidRPr="003F1EE6" w:rsidRDefault="00D37F2D">
            <w:pPr>
              <w:spacing w:before="0" w:after="0"/>
              <w:jc w:val="right"/>
              <w:rPr>
                <w:rFonts w:eastAsia="Times New Roman"/>
                <w:color w:val="000000"/>
                <w:sz w:val="20"/>
                <w:szCs w:val="20"/>
                <w:lang w:val="en-IE" w:eastAsia="en-IE"/>
              </w:rPr>
            </w:pPr>
            <w:r>
              <w:rPr>
                <w:rFonts w:ascii="Calibri" w:hAnsi="Calibri" w:cs="Calibri"/>
                <w:color w:val="000000"/>
                <w:sz w:val="22"/>
              </w:rPr>
              <w:t>0,000</w:t>
            </w:r>
          </w:p>
        </w:tc>
      </w:tr>
      <w:tr w:rsidR="00D37F2D" w14:paraId="195C6C20" w14:textId="77777777">
        <w:trPr>
          <w:trHeight w:val="340"/>
        </w:trPr>
        <w:tc>
          <w:tcPr>
            <w:tcW w:w="1232" w:type="dxa"/>
            <w:tcBorders>
              <w:top w:val="nil"/>
              <w:left w:val="single" w:sz="8" w:space="0" w:color="auto"/>
              <w:bottom w:val="single" w:sz="8" w:space="0" w:color="auto"/>
              <w:right w:val="single" w:sz="8" w:space="0" w:color="auto"/>
            </w:tcBorders>
            <w:shd w:val="clear" w:color="000000" w:fill="CCCCCC"/>
            <w:vAlign w:val="center"/>
            <w:hideMark/>
          </w:tcPr>
          <w:p w14:paraId="49C9C895" w14:textId="77777777" w:rsidR="00D37F2D" w:rsidRPr="003F1EE6" w:rsidRDefault="00D37F2D">
            <w:pPr>
              <w:spacing w:before="0" w:after="0"/>
              <w:jc w:val="center"/>
              <w:rPr>
                <w:rFonts w:eastAsia="Times New Roman"/>
                <w:color w:val="000000"/>
                <w:sz w:val="18"/>
                <w:szCs w:val="18"/>
                <w:lang w:val="en-IE" w:eastAsia="en-IE"/>
              </w:rPr>
            </w:pPr>
            <w:r w:rsidRPr="003F1EE6">
              <w:rPr>
                <w:rFonts w:eastAsia="Times New Roman"/>
                <w:noProof/>
                <w:sz w:val="18"/>
                <w:lang w:eastAsia="en-IE"/>
              </w:rPr>
              <w:t>Total</w:t>
            </w:r>
          </w:p>
        </w:tc>
        <w:tc>
          <w:tcPr>
            <w:tcW w:w="1070" w:type="dxa"/>
            <w:tcBorders>
              <w:top w:val="nil"/>
              <w:left w:val="nil"/>
              <w:bottom w:val="single" w:sz="8" w:space="0" w:color="auto"/>
              <w:right w:val="single" w:sz="8" w:space="0" w:color="auto"/>
            </w:tcBorders>
            <w:shd w:val="clear" w:color="auto" w:fill="auto"/>
            <w:vAlign w:val="center"/>
            <w:hideMark/>
          </w:tcPr>
          <w:p w14:paraId="5D20C721" w14:textId="77777777" w:rsidR="00D37F2D" w:rsidRPr="003F1EE6" w:rsidRDefault="00D37F2D">
            <w:pPr>
              <w:spacing w:before="0" w:after="0"/>
              <w:jc w:val="right"/>
              <w:rPr>
                <w:rFonts w:eastAsia="Times New Roman"/>
                <w:color w:val="000000"/>
                <w:sz w:val="20"/>
                <w:szCs w:val="20"/>
                <w:lang w:val="en-IE" w:eastAsia="en-IE"/>
              </w:rPr>
            </w:pPr>
            <w:r w:rsidRPr="003F1EE6">
              <w:rPr>
                <w:rFonts w:eastAsia="Times New Roman"/>
                <w:noProof/>
                <w:color w:val="000000"/>
                <w:sz w:val="20"/>
                <w:lang w:eastAsia="en-IE"/>
              </w:rPr>
              <w:t> </w:t>
            </w:r>
          </w:p>
        </w:tc>
        <w:tc>
          <w:tcPr>
            <w:tcW w:w="1069" w:type="dxa"/>
            <w:tcBorders>
              <w:top w:val="nil"/>
              <w:left w:val="nil"/>
              <w:bottom w:val="single" w:sz="8" w:space="0" w:color="auto"/>
              <w:right w:val="single" w:sz="8" w:space="0" w:color="auto"/>
            </w:tcBorders>
            <w:shd w:val="clear" w:color="auto" w:fill="auto"/>
            <w:vAlign w:val="center"/>
            <w:hideMark/>
          </w:tcPr>
          <w:p w14:paraId="4D84365F" w14:textId="77777777" w:rsidR="00D37F2D" w:rsidRPr="003F1EE6" w:rsidRDefault="00D37F2D">
            <w:pPr>
              <w:spacing w:before="0" w:after="0"/>
              <w:jc w:val="right"/>
              <w:rPr>
                <w:rFonts w:eastAsia="Times New Roman"/>
                <w:color w:val="000000"/>
                <w:sz w:val="20"/>
                <w:szCs w:val="20"/>
                <w:lang w:val="en-IE" w:eastAsia="en-IE"/>
              </w:rPr>
            </w:pPr>
            <w:r w:rsidRPr="003F1EE6">
              <w:rPr>
                <w:rFonts w:eastAsia="Times New Roman"/>
                <w:noProof/>
                <w:color w:val="000000"/>
                <w:sz w:val="20"/>
                <w:lang w:eastAsia="en-IE"/>
              </w:rPr>
              <w:t> </w:t>
            </w:r>
          </w:p>
        </w:tc>
        <w:tc>
          <w:tcPr>
            <w:tcW w:w="1358" w:type="dxa"/>
            <w:tcBorders>
              <w:top w:val="nil"/>
              <w:left w:val="nil"/>
              <w:bottom w:val="single" w:sz="8" w:space="0" w:color="auto"/>
              <w:right w:val="single" w:sz="8" w:space="0" w:color="auto"/>
            </w:tcBorders>
            <w:shd w:val="clear" w:color="auto" w:fill="auto"/>
            <w:vAlign w:val="center"/>
            <w:hideMark/>
          </w:tcPr>
          <w:p w14:paraId="6426BE3D" w14:textId="77777777" w:rsidR="00D37F2D" w:rsidRPr="003F1EE6" w:rsidRDefault="00D37F2D">
            <w:pPr>
              <w:spacing w:before="0" w:after="0"/>
              <w:jc w:val="right"/>
              <w:rPr>
                <w:rFonts w:eastAsia="Times New Roman"/>
                <w:color w:val="000000"/>
                <w:sz w:val="20"/>
                <w:szCs w:val="20"/>
                <w:lang w:val="en-IE" w:eastAsia="en-IE"/>
              </w:rPr>
            </w:pPr>
            <w:r>
              <w:rPr>
                <w:rFonts w:ascii="Calibri" w:hAnsi="Calibri" w:cs="Calibri"/>
                <w:color w:val="000000"/>
                <w:sz w:val="22"/>
              </w:rPr>
              <w:t>0,524</w:t>
            </w:r>
          </w:p>
        </w:tc>
        <w:tc>
          <w:tcPr>
            <w:tcW w:w="1358" w:type="dxa"/>
            <w:tcBorders>
              <w:top w:val="nil"/>
              <w:left w:val="nil"/>
              <w:bottom w:val="single" w:sz="8" w:space="0" w:color="auto"/>
              <w:right w:val="single" w:sz="8" w:space="0" w:color="auto"/>
            </w:tcBorders>
            <w:shd w:val="clear" w:color="auto" w:fill="auto"/>
            <w:vAlign w:val="center"/>
            <w:hideMark/>
          </w:tcPr>
          <w:p w14:paraId="3D5D214C" w14:textId="77777777" w:rsidR="00D37F2D" w:rsidRPr="003F1EE6" w:rsidRDefault="00D37F2D">
            <w:pPr>
              <w:spacing w:before="0" w:after="0"/>
              <w:jc w:val="right"/>
              <w:rPr>
                <w:rFonts w:eastAsia="Times New Roman"/>
                <w:color w:val="000000"/>
                <w:sz w:val="20"/>
                <w:szCs w:val="20"/>
                <w:lang w:val="en-IE" w:eastAsia="en-IE"/>
              </w:rPr>
            </w:pPr>
            <w:r>
              <w:rPr>
                <w:rFonts w:ascii="Calibri" w:hAnsi="Calibri" w:cs="Calibri"/>
                <w:color w:val="000000"/>
                <w:sz w:val="22"/>
              </w:rPr>
              <w:t>0,628</w:t>
            </w:r>
          </w:p>
        </w:tc>
        <w:tc>
          <w:tcPr>
            <w:tcW w:w="1356" w:type="dxa"/>
            <w:tcBorders>
              <w:top w:val="nil"/>
              <w:left w:val="nil"/>
              <w:bottom w:val="single" w:sz="8" w:space="0" w:color="auto"/>
              <w:right w:val="single" w:sz="8" w:space="0" w:color="auto"/>
            </w:tcBorders>
            <w:shd w:val="clear" w:color="auto" w:fill="auto"/>
            <w:vAlign w:val="center"/>
            <w:hideMark/>
          </w:tcPr>
          <w:p w14:paraId="38D3331B" w14:textId="77777777" w:rsidR="00D37F2D" w:rsidRPr="003F1EE6" w:rsidRDefault="00D37F2D">
            <w:pPr>
              <w:spacing w:before="0" w:after="0"/>
              <w:jc w:val="right"/>
              <w:rPr>
                <w:rFonts w:eastAsia="Times New Roman"/>
                <w:color w:val="000000"/>
                <w:sz w:val="20"/>
                <w:szCs w:val="20"/>
                <w:lang w:val="en-IE" w:eastAsia="en-IE"/>
              </w:rPr>
            </w:pPr>
            <w:r>
              <w:rPr>
                <w:rFonts w:ascii="Calibri" w:hAnsi="Calibri" w:cs="Calibri"/>
                <w:color w:val="000000"/>
                <w:sz w:val="22"/>
              </w:rPr>
              <w:t>1,152</w:t>
            </w:r>
          </w:p>
        </w:tc>
      </w:tr>
    </w:tbl>
    <w:p w14:paraId="09ACCEE3" w14:textId="77777777" w:rsidR="00D37F2D" w:rsidRDefault="00D37F2D" w:rsidP="00D37F2D">
      <w:pPr>
        <w:rPr>
          <w:noProof/>
          <w:sz w:val="20"/>
        </w:rPr>
      </w:pPr>
    </w:p>
    <w:p w14:paraId="458983FA" w14:textId="77777777" w:rsidR="00D37F2D" w:rsidRDefault="00D37F2D" w:rsidP="00D37F2D">
      <w:pPr>
        <w:rPr>
          <w:noProof/>
          <w:sz w:val="20"/>
        </w:rPr>
      </w:pPr>
    </w:p>
    <w:p w14:paraId="4798D96C" w14:textId="77777777" w:rsidR="00D37F2D" w:rsidRDefault="00D37F2D" w:rsidP="00D37F2D">
      <w:pPr>
        <w:rPr>
          <w:noProof/>
          <w:sz w:val="20"/>
        </w:rPr>
      </w:pPr>
    </w:p>
    <w:p w14:paraId="4DD9E8A3" w14:textId="77777777" w:rsidR="00D37F2D" w:rsidRDefault="00D37F2D" w:rsidP="00D37F2D">
      <w:pPr>
        <w:rPr>
          <w:noProof/>
          <w:sz w:val="20"/>
        </w:rPr>
      </w:pPr>
      <w:r>
        <w:rPr>
          <w:noProof/>
          <w:sz w:val="20"/>
        </w:rPr>
        <w:t xml:space="preserve">Staff requirements (FTE): Total posts Union funded </w:t>
      </w:r>
    </w:p>
    <w:p w14:paraId="3BBE9E57" w14:textId="77777777" w:rsidR="00D37F2D" w:rsidRDefault="00D37F2D" w:rsidP="00D37F2D">
      <w:pPr>
        <w:spacing w:line="200" w:lineRule="exact"/>
        <w:rPr>
          <w:noProof/>
          <w:sz w:val="16"/>
          <w:szCs w:val="16"/>
        </w:rPr>
      </w:pPr>
    </w:p>
    <w:p w14:paraId="1ACD4361" w14:textId="77777777" w:rsidR="00D37F2D" w:rsidRDefault="00D37F2D" w:rsidP="00D37F2D">
      <w:pPr>
        <w:spacing w:line="200" w:lineRule="exact"/>
        <w:rPr>
          <w:noProof/>
          <w:sz w:val="16"/>
          <w:szCs w:val="16"/>
        </w:rPr>
      </w:pPr>
    </w:p>
    <w:tbl>
      <w:tblPr>
        <w:tblW w:w="936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69"/>
        <w:gridCol w:w="1565"/>
        <w:gridCol w:w="2807"/>
        <w:gridCol w:w="2126"/>
      </w:tblGrid>
      <w:tr w:rsidR="00D37F2D" w14:paraId="6479801F" w14:textId="77777777">
        <w:trPr>
          <w:trHeight w:val="757"/>
        </w:trPr>
        <w:tc>
          <w:tcPr>
            <w:tcW w:w="2869" w:type="dxa"/>
          </w:tcPr>
          <w:p w14:paraId="4F9E9690" w14:textId="77777777" w:rsidR="00D37F2D" w:rsidRDefault="00D37F2D">
            <w:pPr>
              <w:spacing w:before="60" w:after="60" w:line="200" w:lineRule="exact"/>
              <w:rPr>
                <w:noProof/>
                <w:sz w:val="16"/>
                <w:szCs w:val="16"/>
              </w:rPr>
            </w:pPr>
          </w:p>
        </w:tc>
        <w:tc>
          <w:tcPr>
            <w:tcW w:w="1565" w:type="dxa"/>
            <w:vAlign w:val="center"/>
          </w:tcPr>
          <w:p w14:paraId="1202E03E" w14:textId="77777777" w:rsidR="00D37F2D" w:rsidRDefault="00D37F2D">
            <w:pPr>
              <w:spacing w:before="60" w:after="60" w:line="200" w:lineRule="exact"/>
              <w:jc w:val="center"/>
              <w:rPr>
                <w:noProof/>
                <w:sz w:val="16"/>
                <w:szCs w:val="16"/>
              </w:rPr>
            </w:pPr>
            <w:r>
              <w:rPr>
                <w:noProof/>
                <w:sz w:val="20"/>
              </w:rPr>
              <w:t>Year</w:t>
            </w:r>
            <w:r>
              <w:rPr>
                <w:noProof/>
                <w:sz w:val="22"/>
              </w:rPr>
              <w:br/>
            </w:r>
            <w:r>
              <w:rPr>
                <w:b/>
                <w:noProof/>
                <w:sz w:val="20"/>
              </w:rPr>
              <w:t>2026</w:t>
            </w:r>
          </w:p>
        </w:tc>
        <w:tc>
          <w:tcPr>
            <w:tcW w:w="2807" w:type="dxa"/>
            <w:vAlign w:val="center"/>
          </w:tcPr>
          <w:p w14:paraId="13615A68" w14:textId="77777777" w:rsidR="00D37F2D" w:rsidRDefault="00D37F2D">
            <w:pPr>
              <w:spacing w:before="60" w:after="60" w:line="200" w:lineRule="exact"/>
              <w:jc w:val="center"/>
              <w:rPr>
                <w:noProof/>
                <w:sz w:val="16"/>
                <w:szCs w:val="16"/>
              </w:rPr>
            </w:pPr>
            <w:r>
              <w:rPr>
                <w:noProof/>
                <w:sz w:val="20"/>
              </w:rPr>
              <w:t>Year</w:t>
            </w:r>
            <w:r>
              <w:rPr>
                <w:noProof/>
                <w:sz w:val="22"/>
              </w:rPr>
              <w:br/>
            </w:r>
            <w:r>
              <w:rPr>
                <w:b/>
                <w:noProof/>
                <w:sz w:val="20"/>
              </w:rPr>
              <w:t xml:space="preserve">2027 </w:t>
            </w:r>
          </w:p>
        </w:tc>
        <w:tc>
          <w:tcPr>
            <w:tcW w:w="2126" w:type="dxa"/>
            <w:vAlign w:val="center"/>
          </w:tcPr>
          <w:p w14:paraId="18D5FDE2" w14:textId="77777777" w:rsidR="00D37F2D" w:rsidRDefault="00D37F2D">
            <w:pPr>
              <w:spacing w:before="60" w:after="60" w:line="200" w:lineRule="exact"/>
              <w:jc w:val="center"/>
              <w:rPr>
                <w:b/>
                <w:noProof/>
                <w:sz w:val="16"/>
                <w:szCs w:val="16"/>
              </w:rPr>
            </w:pPr>
            <w:r>
              <w:rPr>
                <w:b/>
                <w:noProof/>
                <w:sz w:val="16"/>
              </w:rPr>
              <w:t>TOTAL</w:t>
            </w:r>
          </w:p>
        </w:tc>
      </w:tr>
    </w:tbl>
    <w:p w14:paraId="243507DF" w14:textId="77777777" w:rsidR="00D37F2D" w:rsidRDefault="00D37F2D" w:rsidP="00D37F2D">
      <w:pPr>
        <w:spacing w:line="200" w:lineRule="exact"/>
        <w:rPr>
          <w:noProof/>
          <w:sz w:val="16"/>
          <w:szCs w:val="16"/>
        </w:rPr>
      </w:pPr>
    </w:p>
    <w:tbl>
      <w:tblPr>
        <w:tblW w:w="9367"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73"/>
        <w:gridCol w:w="1567"/>
        <w:gridCol w:w="2801"/>
        <w:gridCol w:w="2126"/>
      </w:tblGrid>
      <w:tr w:rsidR="00D37F2D" w14:paraId="622BCC20" w14:textId="77777777">
        <w:trPr>
          <w:trHeight w:val="687"/>
        </w:trPr>
        <w:tc>
          <w:tcPr>
            <w:tcW w:w="2873" w:type="dxa"/>
            <w:shd w:val="clear" w:color="auto" w:fill="D9D9D9" w:themeFill="background1" w:themeFillShade="D9"/>
            <w:vAlign w:val="center"/>
          </w:tcPr>
          <w:p w14:paraId="217BAAFD" w14:textId="77777777" w:rsidR="00D37F2D" w:rsidRPr="00815BC8" w:rsidRDefault="00D37F2D">
            <w:pPr>
              <w:spacing w:before="60" w:after="60"/>
              <w:jc w:val="center"/>
              <w:rPr>
                <w:noProof/>
              </w:rPr>
            </w:pPr>
            <w:r w:rsidRPr="00815BC8">
              <w:rPr>
                <w:noProof/>
                <w:sz w:val="18"/>
              </w:rPr>
              <w:t>Temporary agents (AD Grades)</w:t>
            </w:r>
          </w:p>
        </w:tc>
        <w:tc>
          <w:tcPr>
            <w:tcW w:w="1567" w:type="dxa"/>
            <w:tcBorders>
              <w:top w:val="single" w:sz="8" w:space="0" w:color="auto"/>
              <w:left w:val="nil"/>
              <w:bottom w:val="single" w:sz="4" w:space="0" w:color="auto"/>
              <w:right w:val="single" w:sz="4" w:space="0" w:color="auto"/>
            </w:tcBorders>
            <w:shd w:val="clear" w:color="auto" w:fill="auto"/>
            <w:vAlign w:val="bottom"/>
          </w:tcPr>
          <w:p w14:paraId="205B6F7F" w14:textId="77777777" w:rsidR="00D37F2D" w:rsidRPr="00D743A3" w:rsidRDefault="00D37F2D">
            <w:pPr>
              <w:spacing w:before="60" w:after="60"/>
              <w:jc w:val="right"/>
              <w:rPr>
                <w:noProof/>
                <w:sz w:val="20"/>
                <w:szCs w:val="20"/>
              </w:rPr>
            </w:pPr>
            <w:r>
              <w:rPr>
                <w:rFonts w:ascii="Calibri" w:hAnsi="Calibri" w:cs="Calibri"/>
                <w:color w:val="000000"/>
                <w:sz w:val="22"/>
              </w:rPr>
              <w:t>2</w:t>
            </w:r>
            <w:r w:rsidRPr="007E14DA">
              <w:rPr>
                <w:rStyle w:val="FootnoteReference"/>
                <w:rFonts w:ascii="Calibri" w:hAnsi="Calibri" w:cs="Calibri"/>
                <w:noProof/>
                <w:color w:val="000000"/>
                <w:sz w:val="22"/>
                <w:szCs w:val="20"/>
              </w:rPr>
              <w:footnoteReference w:id="105"/>
            </w:r>
          </w:p>
        </w:tc>
        <w:tc>
          <w:tcPr>
            <w:tcW w:w="2801" w:type="dxa"/>
            <w:tcBorders>
              <w:top w:val="single" w:sz="8" w:space="0" w:color="auto"/>
              <w:left w:val="nil"/>
              <w:bottom w:val="single" w:sz="4" w:space="0" w:color="auto"/>
              <w:right w:val="single" w:sz="8" w:space="0" w:color="auto"/>
            </w:tcBorders>
            <w:shd w:val="clear" w:color="auto" w:fill="auto"/>
            <w:vAlign w:val="bottom"/>
          </w:tcPr>
          <w:p w14:paraId="6ED12ED4" w14:textId="77777777" w:rsidR="00D37F2D" w:rsidRPr="00D743A3" w:rsidRDefault="00D37F2D">
            <w:pPr>
              <w:spacing w:before="60" w:after="60"/>
              <w:jc w:val="right"/>
              <w:rPr>
                <w:noProof/>
                <w:sz w:val="20"/>
                <w:szCs w:val="20"/>
              </w:rPr>
            </w:pPr>
            <w:r>
              <w:rPr>
                <w:rFonts w:ascii="Calibri" w:hAnsi="Calibri" w:cs="Calibri"/>
                <w:color w:val="000000"/>
                <w:sz w:val="22"/>
              </w:rPr>
              <w:t>2</w:t>
            </w:r>
          </w:p>
        </w:tc>
        <w:tc>
          <w:tcPr>
            <w:tcW w:w="2126" w:type="dxa"/>
            <w:vAlign w:val="center"/>
          </w:tcPr>
          <w:p w14:paraId="69FE7718" w14:textId="77777777" w:rsidR="00D37F2D" w:rsidRPr="00D743A3" w:rsidRDefault="00D37F2D">
            <w:pPr>
              <w:spacing w:before="60" w:after="60"/>
              <w:jc w:val="right"/>
              <w:rPr>
                <w:rFonts w:asciiTheme="minorHAnsi" w:hAnsiTheme="minorHAnsi" w:cstheme="minorHAnsi"/>
                <w:noProof/>
                <w:sz w:val="22"/>
              </w:rPr>
            </w:pPr>
            <w:r>
              <w:rPr>
                <w:rFonts w:asciiTheme="minorHAnsi" w:hAnsiTheme="minorHAnsi" w:cstheme="minorHAnsi"/>
                <w:noProof/>
                <w:sz w:val="22"/>
              </w:rPr>
              <w:t>2</w:t>
            </w:r>
          </w:p>
        </w:tc>
      </w:tr>
      <w:tr w:rsidR="00D37F2D" w14:paraId="7C6D4837" w14:textId="77777777">
        <w:trPr>
          <w:trHeight w:val="687"/>
        </w:trPr>
        <w:tc>
          <w:tcPr>
            <w:tcW w:w="2873" w:type="dxa"/>
            <w:shd w:val="clear" w:color="auto" w:fill="BFBFBF" w:themeFill="background1" w:themeFillShade="BF"/>
            <w:vAlign w:val="center"/>
          </w:tcPr>
          <w:p w14:paraId="4542E3DB" w14:textId="77777777" w:rsidR="00D37F2D" w:rsidRPr="00815BC8" w:rsidRDefault="00D37F2D">
            <w:pPr>
              <w:spacing w:before="60" w:after="60"/>
              <w:ind w:left="72"/>
              <w:rPr>
                <w:noProof/>
              </w:rPr>
            </w:pPr>
            <w:r w:rsidRPr="00815BC8">
              <w:rPr>
                <w:noProof/>
                <w:sz w:val="20"/>
              </w:rPr>
              <w:t>Temporary agents (AST grades)</w:t>
            </w:r>
          </w:p>
        </w:tc>
        <w:tc>
          <w:tcPr>
            <w:tcW w:w="1567" w:type="dxa"/>
            <w:tcBorders>
              <w:top w:val="nil"/>
              <w:left w:val="nil"/>
              <w:bottom w:val="single" w:sz="8" w:space="0" w:color="auto"/>
              <w:right w:val="single" w:sz="4" w:space="0" w:color="auto"/>
            </w:tcBorders>
            <w:shd w:val="clear" w:color="auto" w:fill="auto"/>
            <w:vAlign w:val="bottom"/>
          </w:tcPr>
          <w:p w14:paraId="322C288B" w14:textId="77777777" w:rsidR="00D37F2D" w:rsidRPr="00D743A3" w:rsidRDefault="00D37F2D">
            <w:pPr>
              <w:spacing w:before="60" w:after="60"/>
              <w:jc w:val="right"/>
              <w:rPr>
                <w:noProof/>
                <w:sz w:val="20"/>
                <w:szCs w:val="20"/>
              </w:rPr>
            </w:pPr>
            <w:r>
              <w:rPr>
                <w:rFonts w:ascii="Calibri" w:hAnsi="Calibri" w:cs="Calibri"/>
                <w:color w:val="000000"/>
                <w:sz w:val="22"/>
              </w:rPr>
              <w:t>1</w:t>
            </w:r>
          </w:p>
        </w:tc>
        <w:tc>
          <w:tcPr>
            <w:tcW w:w="2801" w:type="dxa"/>
            <w:tcBorders>
              <w:top w:val="nil"/>
              <w:left w:val="nil"/>
              <w:bottom w:val="single" w:sz="8" w:space="0" w:color="auto"/>
              <w:right w:val="single" w:sz="8" w:space="0" w:color="auto"/>
            </w:tcBorders>
            <w:shd w:val="clear" w:color="auto" w:fill="auto"/>
            <w:vAlign w:val="bottom"/>
          </w:tcPr>
          <w:p w14:paraId="631C2A1F" w14:textId="77777777" w:rsidR="00D37F2D" w:rsidRPr="00D743A3" w:rsidRDefault="00D37F2D">
            <w:pPr>
              <w:spacing w:before="60" w:after="60"/>
              <w:jc w:val="right"/>
              <w:rPr>
                <w:noProof/>
                <w:sz w:val="20"/>
                <w:szCs w:val="20"/>
              </w:rPr>
            </w:pPr>
            <w:r>
              <w:rPr>
                <w:rFonts w:ascii="Calibri" w:hAnsi="Calibri" w:cs="Calibri"/>
                <w:color w:val="000000"/>
                <w:sz w:val="22"/>
              </w:rPr>
              <w:t>1</w:t>
            </w:r>
          </w:p>
        </w:tc>
        <w:tc>
          <w:tcPr>
            <w:tcW w:w="2126" w:type="dxa"/>
            <w:vAlign w:val="center"/>
          </w:tcPr>
          <w:p w14:paraId="4A88C7FE" w14:textId="77777777" w:rsidR="00D37F2D" w:rsidRPr="00D743A3" w:rsidRDefault="00D37F2D">
            <w:pPr>
              <w:spacing w:before="60" w:after="60"/>
              <w:jc w:val="right"/>
              <w:rPr>
                <w:rFonts w:asciiTheme="minorHAnsi" w:hAnsiTheme="minorHAnsi" w:cstheme="minorHAnsi"/>
                <w:noProof/>
                <w:sz w:val="22"/>
              </w:rPr>
            </w:pPr>
            <w:r>
              <w:rPr>
                <w:rFonts w:asciiTheme="minorHAnsi" w:hAnsiTheme="minorHAnsi" w:cstheme="minorHAnsi"/>
                <w:noProof/>
                <w:sz w:val="22"/>
              </w:rPr>
              <w:t>1</w:t>
            </w:r>
          </w:p>
        </w:tc>
      </w:tr>
      <w:tr w:rsidR="00D37F2D" w14:paraId="59566233" w14:textId="77777777">
        <w:trPr>
          <w:trHeight w:val="687"/>
        </w:trPr>
        <w:tc>
          <w:tcPr>
            <w:tcW w:w="2873" w:type="dxa"/>
            <w:shd w:val="clear" w:color="auto" w:fill="BFBFBF" w:themeFill="background1" w:themeFillShade="BF"/>
            <w:vAlign w:val="center"/>
          </w:tcPr>
          <w:p w14:paraId="07786A3C" w14:textId="77777777" w:rsidR="00D37F2D" w:rsidRPr="00815BC8" w:rsidRDefault="00D37F2D">
            <w:pPr>
              <w:spacing w:before="60" w:after="60"/>
              <w:ind w:left="72"/>
              <w:rPr>
                <w:noProof/>
              </w:rPr>
            </w:pPr>
            <w:r w:rsidRPr="00815BC8">
              <w:rPr>
                <w:noProof/>
                <w:sz w:val="20"/>
              </w:rPr>
              <w:t>Contract staff</w:t>
            </w:r>
            <w:r>
              <w:rPr>
                <w:noProof/>
                <w:sz w:val="20"/>
              </w:rPr>
              <w:t xml:space="preserve"> as of</w:t>
            </w:r>
          </w:p>
        </w:tc>
        <w:tc>
          <w:tcPr>
            <w:tcW w:w="1567" w:type="dxa"/>
            <w:shd w:val="clear" w:color="auto" w:fill="BFBFBF" w:themeFill="background1" w:themeFillShade="BF"/>
            <w:vAlign w:val="center"/>
          </w:tcPr>
          <w:p w14:paraId="319023D7" w14:textId="77777777" w:rsidR="00D37F2D" w:rsidRPr="00815BC8" w:rsidRDefault="00D37F2D">
            <w:pPr>
              <w:spacing w:before="60" w:after="60"/>
              <w:jc w:val="right"/>
              <w:rPr>
                <w:noProof/>
                <w:sz w:val="20"/>
              </w:rPr>
            </w:pPr>
          </w:p>
        </w:tc>
        <w:tc>
          <w:tcPr>
            <w:tcW w:w="2801" w:type="dxa"/>
            <w:shd w:val="clear" w:color="auto" w:fill="BFBFBF" w:themeFill="background1" w:themeFillShade="BF"/>
            <w:vAlign w:val="center"/>
          </w:tcPr>
          <w:p w14:paraId="01BBB0BF" w14:textId="77777777" w:rsidR="00D37F2D" w:rsidRPr="00815BC8" w:rsidRDefault="00D37F2D">
            <w:pPr>
              <w:spacing w:before="60" w:after="60"/>
              <w:jc w:val="right"/>
              <w:rPr>
                <w:noProof/>
                <w:sz w:val="20"/>
              </w:rPr>
            </w:pPr>
          </w:p>
        </w:tc>
        <w:tc>
          <w:tcPr>
            <w:tcW w:w="2126" w:type="dxa"/>
            <w:shd w:val="clear" w:color="auto" w:fill="BFBFBF" w:themeFill="background1" w:themeFillShade="BF"/>
            <w:vAlign w:val="center"/>
          </w:tcPr>
          <w:p w14:paraId="1878475C" w14:textId="77777777" w:rsidR="00D37F2D" w:rsidRPr="00815BC8" w:rsidRDefault="00D37F2D">
            <w:pPr>
              <w:spacing w:before="60" w:after="60"/>
              <w:jc w:val="right"/>
              <w:rPr>
                <w:noProof/>
                <w:sz w:val="20"/>
              </w:rPr>
            </w:pPr>
          </w:p>
        </w:tc>
      </w:tr>
      <w:tr w:rsidR="00D37F2D" w14:paraId="6A756F60" w14:textId="77777777">
        <w:trPr>
          <w:trHeight w:val="687"/>
        </w:trPr>
        <w:tc>
          <w:tcPr>
            <w:tcW w:w="2873" w:type="dxa"/>
            <w:shd w:val="clear" w:color="auto" w:fill="CCCCCC"/>
            <w:vAlign w:val="center"/>
          </w:tcPr>
          <w:p w14:paraId="62021DD6" w14:textId="77777777" w:rsidR="00D37F2D" w:rsidRPr="00815BC8" w:rsidRDefault="00D37F2D">
            <w:pPr>
              <w:spacing w:before="60" w:after="60"/>
              <w:jc w:val="center"/>
              <w:rPr>
                <w:noProof/>
              </w:rPr>
            </w:pPr>
            <w:r w:rsidRPr="00815BC8">
              <w:rPr>
                <w:noProof/>
                <w:sz w:val="18"/>
              </w:rPr>
              <w:t>Seconded National Experts</w:t>
            </w:r>
          </w:p>
        </w:tc>
        <w:tc>
          <w:tcPr>
            <w:tcW w:w="1567" w:type="dxa"/>
            <w:vAlign w:val="center"/>
          </w:tcPr>
          <w:p w14:paraId="063F7662" w14:textId="77777777" w:rsidR="00D37F2D" w:rsidRPr="00815BC8" w:rsidRDefault="00D37F2D">
            <w:pPr>
              <w:spacing w:before="60" w:after="60"/>
              <w:jc w:val="right"/>
              <w:rPr>
                <w:noProof/>
                <w:sz w:val="20"/>
              </w:rPr>
            </w:pPr>
          </w:p>
        </w:tc>
        <w:tc>
          <w:tcPr>
            <w:tcW w:w="2801" w:type="dxa"/>
            <w:vAlign w:val="center"/>
          </w:tcPr>
          <w:p w14:paraId="4BAD46B2" w14:textId="77777777" w:rsidR="00D37F2D" w:rsidRPr="00815BC8" w:rsidRDefault="00D37F2D">
            <w:pPr>
              <w:spacing w:before="60" w:after="60"/>
              <w:jc w:val="right"/>
              <w:rPr>
                <w:noProof/>
                <w:sz w:val="20"/>
              </w:rPr>
            </w:pPr>
          </w:p>
        </w:tc>
        <w:tc>
          <w:tcPr>
            <w:tcW w:w="2126" w:type="dxa"/>
            <w:vAlign w:val="center"/>
          </w:tcPr>
          <w:p w14:paraId="517E043D" w14:textId="77777777" w:rsidR="00D37F2D" w:rsidRPr="00815BC8" w:rsidRDefault="00D37F2D">
            <w:pPr>
              <w:spacing w:before="60" w:after="60"/>
              <w:jc w:val="right"/>
              <w:rPr>
                <w:noProof/>
                <w:sz w:val="20"/>
              </w:rPr>
            </w:pPr>
          </w:p>
        </w:tc>
      </w:tr>
    </w:tbl>
    <w:p w14:paraId="363EA033" w14:textId="77777777" w:rsidR="00D37F2D" w:rsidRDefault="00D37F2D" w:rsidP="00D37F2D">
      <w:pPr>
        <w:spacing w:line="200" w:lineRule="exact"/>
        <w:rPr>
          <w:noProof/>
          <w:sz w:val="16"/>
          <w:szCs w:val="16"/>
        </w:rPr>
      </w:pPr>
    </w:p>
    <w:tbl>
      <w:tblPr>
        <w:tblW w:w="9367" w:type="dxa"/>
        <w:tblInd w:w="-612" w:type="dxa"/>
        <w:tblLayout w:type="fixed"/>
        <w:tblLook w:val="01E0" w:firstRow="1" w:lastRow="1" w:firstColumn="1" w:lastColumn="1" w:noHBand="0" w:noVBand="0"/>
      </w:tblPr>
      <w:tblGrid>
        <w:gridCol w:w="2877"/>
        <w:gridCol w:w="1569"/>
        <w:gridCol w:w="2795"/>
        <w:gridCol w:w="2126"/>
      </w:tblGrid>
      <w:tr w:rsidR="00D37F2D" w14:paraId="6414E4D6" w14:textId="77777777">
        <w:trPr>
          <w:trHeight w:val="918"/>
        </w:trPr>
        <w:tc>
          <w:tcPr>
            <w:tcW w:w="2877" w:type="dxa"/>
            <w:tcBorders>
              <w:top w:val="single" w:sz="12" w:space="0" w:color="auto"/>
              <w:left w:val="single" w:sz="12" w:space="0" w:color="auto"/>
              <w:bottom w:val="single" w:sz="12" w:space="0" w:color="auto"/>
              <w:right w:val="single" w:sz="2" w:space="0" w:color="auto"/>
            </w:tcBorders>
            <w:vAlign w:val="center"/>
          </w:tcPr>
          <w:p w14:paraId="1B9494B4" w14:textId="77777777" w:rsidR="00D37F2D" w:rsidRPr="00815BC8" w:rsidRDefault="00D37F2D">
            <w:pPr>
              <w:spacing w:before="60" w:after="60"/>
              <w:jc w:val="center"/>
              <w:rPr>
                <w:noProof/>
                <w:sz w:val="20"/>
              </w:rPr>
            </w:pPr>
            <w:r w:rsidRPr="00815BC8">
              <w:rPr>
                <w:b/>
                <w:noProof/>
                <w:sz w:val="20"/>
              </w:rPr>
              <w:t>TOTAL</w:t>
            </w:r>
          </w:p>
        </w:tc>
        <w:tc>
          <w:tcPr>
            <w:tcW w:w="1569" w:type="dxa"/>
            <w:tcBorders>
              <w:top w:val="single" w:sz="12" w:space="0" w:color="auto"/>
              <w:left w:val="single" w:sz="2" w:space="0" w:color="auto"/>
              <w:bottom w:val="single" w:sz="12" w:space="0" w:color="auto"/>
              <w:right w:val="single" w:sz="2" w:space="0" w:color="auto"/>
            </w:tcBorders>
            <w:vAlign w:val="center"/>
          </w:tcPr>
          <w:p w14:paraId="2E197E81" w14:textId="77777777" w:rsidR="00D37F2D" w:rsidRPr="00D743A3" w:rsidRDefault="00D37F2D">
            <w:pPr>
              <w:spacing w:before="60" w:after="60"/>
              <w:jc w:val="right"/>
              <w:rPr>
                <w:b/>
                <w:bCs/>
                <w:noProof/>
                <w:sz w:val="20"/>
                <w:szCs w:val="20"/>
              </w:rPr>
            </w:pPr>
            <w:r>
              <w:rPr>
                <w:b/>
                <w:bCs/>
                <w:noProof/>
                <w:sz w:val="20"/>
                <w:szCs w:val="20"/>
              </w:rPr>
              <w:t>3</w:t>
            </w:r>
          </w:p>
        </w:tc>
        <w:tc>
          <w:tcPr>
            <w:tcW w:w="2795" w:type="dxa"/>
            <w:tcBorders>
              <w:top w:val="single" w:sz="12" w:space="0" w:color="auto"/>
              <w:left w:val="single" w:sz="2" w:space="0" w:color="auto"/>
              <w:bottom w:val="single" w:sz="12" w:space="0" w:color="auto"/>
              <w:right w:val="single" w:sz="2" w:space="0" w:color="auto"/>
            </w:tcBorders>
            <w:vAlign w:val="center"/>
          </w:tcPr>
          <w:p w14:paraId="2316EEC9" w14:textId="77777777" w:rsidR="00D37F2D" w:rsidRPr="00D743A3" w:rsidRDefault="00D37F2D">
            <w:pPr>
              <w:spacing w:before="60" w:after="60"/>
              <w:jc w:val="right"/>
              <w:rPr>
                <w:b/>
                <w:bCs/>
                <w:noProof/>
                <w:sz w:val="20"/>
                <w:szCs w:val="20"/>
              </w:rPr>
            </w:pPr>
            <w:r>
              <w:rPr>
                <w:b/>
                <w:bCs/>
                <w:noProof/>
                <w:sz w:val="20"/>
                <w:szCs w:val="20"/>
              </w:rPr>
              <w:t>3</w:t>
            </w:r>
          </w:p>
        </w:tc>
        <w:tc>
          <w:tcPr>
            <w:tcW w:w="2126" w:type="dxa"/>
            <w:tcBorders>
              <w:top w:val="single" w:sz="12" w:space="0" w:color="auto"/>
              <w:left w:val="single" w:sz="2" w:space="0" w:color="auto"/>
              <w:bottom w:val="single" w:sz="12" w:space="0" w:color="auto"/>
              <w:right w:val="single" w:sz="2" w:space="0" w:color="auto"/>
            </w:tcBorders>
            <w:vAlign w:val="center"/>
          </w:tcPr>
          <w:p w14:paraId="41D35948" w14:textId="77777777" w:rsidR="00D37F2D" w:rsidRPr="00D743A3" w:rsidRDefault="00D37F2D">
            <w:pPr>
              <w:spacing w:before="60" w:after="60"/>
              <w:jc w:val="right"/>
              <w:rPr>
                <w:b/>
                <w:bCs/>
                <w:noProof/>
                <w:sz w:val="20"/>
                <w:szCs w:val="20"/>
              </w:rPr>
            </w:pPr>
            <w:r>
              <w:rPr>
                <w:b/>
                <w:bCs/>
                <w:noProof/>
                <w:sz w:val="20"/>
                <w:szCs w:val="20"/>
              </w:rPr>
              <w:t>3</w:t>
            </w:r>
          </w:p>
        </w:tc>
      </w:tr>
    </w:tbl>
    <w:p w14:paraId="109BE31A" w14:textId="77777777" w:rsidR="00D37F2D" w:rsidRDefault="00D37F2D" w:rsidP="00D37F2D">
      <w:pPr>
        <w:pStyle w:val="Text1"/>
        <w:ind w:left="-426" w:right="-427"/>
        <w:rPr>
          <w:noProof/>
          <w:lang w:val="en-IE"/>
        </w:rPr>
      </w:pPr>
      <w:r w:rsidRPr="73D5EDD6">
        <w:rPr>
          <w:noProof/>
          <w:lang w:val="en-IE"/>
        </w:rPr>
        <w:t>Description of tasks to be carried out by:</w:t>
      </w:r>
    </w:p>
    <w:tbl>
      <w:tblPr>
        <w:tblW w:w="9187"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667"/>
        <w:gridCol w:w="6520"/>
      </w:tblGrid>
      <w:tr w:rsidR="00D37F2D" w14:paraId="55FFE19F" w14:textId="77777777">
        <w:tc>
          <w:tcPr>
            <w:tcW w:w="2667" w:type="dxa"/>
          </w:tcPr>
          <w:p w14:paraId="47640B80" w14:textId="77777777" w:rsidR="00D37F2D" w:rsidRDefault="00D37F2D">
            <w:pPr>
              <w:rPr>
                <w:noProof/>
                <w:sz w:val="20"/>
              </w:rPr>
            </w:pPr>
            <w:r>
              <w:rPr>
                <w:noProof/>
                <w:sz w:val="20"/>
              </w:rPr>
              <w:t>Officials and temporary staff</w:t>
            </w:r>
          </w:p>
        </w:tc>
        <w:tc>
          <w:tcPr>
            <w:tcW w:w="6520" w:type="dxa"/>
          </w:tcPr>
          <w:p w14:paraId="641A0A09" w14:textId="77777777" w:rsidR="00D37F2D" w:rsidRDefault="00D37F2D">
            <w:pPr>
              <w:rPr>
                <w:noProof/>
                <w:sz w:val="20"/>
              </w:rPr>
            </w:pPr>
            <w:r>
              <w:rPr>
                <w:noProof/>
                <w:sz w:val="20"/>
              </w:rPr>
              <w:t xml:space="preserve">1 AD to </w:t>
            </w:r>
            <w:r w:rsidRPr="00330BC1">
              <w:rPr>
                <w:noProof/>
                <w:sz w:val="20"/>
              </w:rPr>
              <w:t>provide scientific advice in accordance to article 1</w:t>
            </w:r>
            <w:r>
              <w:rPr>
                <w:noProof/>
                <w:sz w:val="20"/>
              </w:rPr>
              <w:t>1</w:t>
            </w:r>
            <w:r w:rsidRPr="00330BC1">
              <w:rPr>
                <w:noProof/>
                <w:sz w:val="20"/>
              </w:rPr>
              <w:t xml:space="preserve"> stating that EMA shall provide dedicated advice to assist </w:t>
            </w:r>
            <w:r>
              <w:rPr>
                <w:noProof/>
                <w:sz w:val="20"/>
              </w:rPr>
              <w:t xml:space="preserve">project </w:t>
            </w:r>
            <w:r w:rsidRPr="00330BC1">
              <w:rPr>
                <w:noProof/>
                <w:sz w:val="20"/>
              </w:rPr>
              <w:t xml:space="preserve">promoters developing projects relying on innovative manufacturing processes </w:t>
            </w:r>
            <w:r>
              <w:rPr>
                <w:noProof/>
                <w:sz w:val="20"/>
              </w:rPr>
              <w:t>, 1 AD and 1 AST to address the i</w:t>
            </w:r>
            <w:r w:rsidRPr="00511AC8">
              <w:rPr>
                <w:noProof/>
                <w:sz w:val="20"/>
              </w:rPr>
              <w:t>ncreased volume of vulnerability analysis plus provision of aggregated data (AD)</w:t>
            </w:r>
          </w:p>
        </w:tc>
      </w:tr>
      <w:tr w:rsidR="00D37F2D" w14:paraId="7F869701" w14:textId="77777777">
        <w:tc>
          <w:tcPr>
            <w:tcW w:w="2667" w:type="dxa"/>
          </w:tcPr>
          <w:p w14:paraId="547F6F3F" w14:textId="77777777" w:rsidR="00D37F2D" w:rsidRDefault="00D37F2D">
            <w:pPr>
              <w:spacing w:before="60" w:after="60"/>
              <w:rPr>
                <w:noProof/>
                <w:sz w:val="20"/>
              </w:rPr>
            </w:pPr>
            <w:r>
              <w:rPr>
                <w:noProof/>
                <w:sz w:val="20"/>
              </w:rPr>
              <w:t>External staff</w:t>
            </w:r>
          </w:p>
        </w:tc>
        <w:tc>
          <w:tcPr>
            <w:tcW w:w="6520" w:type="dxa"/>
          </w:tcPr>
          <w:p w14:paraId="37DB9F9A" w14:textId="77777777" w:rsidR="00D37F2D" w:rsidRDefault="00D37F2D">
            <w:pPr>
              <w:rPr>
                <w:noProof/>
                <w:sz w:val="20"/>
              </w:rPr>
            </w:pPr>
          </w:p>
        </w:tc>
      </w:tr>
    </w:tbl>
    <w:p w14:paraId="3876EEA5" w14:textId="77777777" w:rsidR="00D37F2D" w:rsidRPr="00A14568" w:rsidRDefault="00D37F2D" w:rsidP="00D37F2D">
      <w:pPr>
        <w:pStyle w:val="Text1"/>
      </w:pPr>
    </w:p>
    <w:p w14:paraId="78BE9A15" w14:textId="77777777" w:rsidR="00EC560C" w:rsidRPr="00A14568" w:rsidRDefault="00EC560C" w:rsidP="00D37F2D">
      <w:pPr>
        <w:pStyle w:val="Text1"/>
      </w:pPr>
    </w:p>
    <w:p w14:paraId="45ADF3AD" w14:textId="77777777" w:rsidR="00D37F2D" w:rsidRPr="00D41792" w:rsidRDefault="00D37F2D" w:rsidP="00D37F2D">
      <w:pPr>
        <w:pStyle w:val="ManualHeading3"/>
      </w:pPr>
      <w:r>
        <w:t>3.2.5.</w:t>
      </w:r>
      <w:r>
        <w:tab/>
      </w:r>
      <w:r w:rsidRPr="000C2E25">
        <w:t xml:space="preserve">Overview of estimated impact on </w:t>
      </w:r>
      <w:r>
        <w:t>d</w:t>
      </w:r>
      <w:r w:rsidRPr="000C2E25">
        <w:t>igital</w:t>
      </w:r>
      <w:r>
        <w:t xml:space="preserve"> technology-</w:t>
      </w:r>
      <w:r w:rsidRPr="000C2E25">
        <w:t xml:space="preserve">related </w:t>
      </w:r>
      <w:r>
        <w:t>investments</w:t>
      </w:r>
    </w:p>
    <w:p w14:paraId="29C6DD29" w14:textId="77777777" w:rsidR="00D37F2D" w:rsidRPr="008C5AAB" w:rsidRDefault="00D37F2D" w:rsidP="00D37F2D">
      <w:pPr>
        <w:pStyle w:val="Text1"/>
        <w:spacing w:line="259" w:lineRule="auto"/>
      </w:pPr>
      <w:r w:rsidRPr="008C5AAB">
        <w:t xml:space="preserve">Compulsory: the best estimate of the </w:t>
      </w:r>
      <w:r>
        <w:t>d</w:t>
      </w:r>
      <w:r w:rsidRPr="008C5AAB">
        <w:t xml:space="preserve">igital </w:t>
      </w:r>
      <w:r>
        <w:t>technology-related investments</w:t>
      </w:r>
      <w:r w:rsidRPr="008C5AAB">
        <w:t xml:space="preserve"> entailed by the proposal/initiative should be included in the table below. </w:t>
      </w:r>
    </w:p>
    <w:p w14:paraId="4D1F40B1" w14:textId="77777777" w:rsidR="00D37F2D" w:rsidRPr="008C5AAB" w:rsidRDefault="00D37F2D" w:rsidP="00D37F2D">
      <w:pPr>
        <w:pStyle w:val="Text1"/>
        <w:spacing w:line="259" w:lineRule="auto"/>
      </w:pPr>
      <w:r w:rsidRPr="008C5AAB">
        <w:t>Exceptionally, when required for the implementation of the proposal/init</w:t>
      </w:r>
      <w:r>
        <w:t>i</w:t>
      </w:r>
      <w:r w:rsidRPr="008C5AAB">
        <w:t xml:space="preserve">ative, the appropriations under Heading 7 should be presented in the designated line. </w:t>
      </w:r>
    </w:p>
    <w:p w14:paraId="43019520" w14:textId="77777777" w:rsidR="00D37F2D" w:rsidRDefault="00D37F2D" w:rsidP="00D37F2D">
      <w:pPr>
        <w:pStyle w:val="Text1"/>
        <w:spacing w:line="259" w:lineRule="auto"/>
      </w:pPr>
      <w:r w:rsidRPr="008C5AAB">
        <w:t xml:space="preserve">The appropriations under Headings 1-6 should be reflected as “Policy IT expenditure on operational programmes”. This expenditure refers to the operational budget to be used to </w:t>
      </w:r>
      <w:r>
        <w:t xml:space="preserve">re-use/ buy/ </w:t>
      </w:r>
      <w:r w:rsidRPr="008C5AAB">
        <w:t xml:space="preserve">develop IT platforms/ tools directly linked to the implementation of the initiative and their associated </w:t>
      </w:r>
      <w:r>
        <w:t>investments</w:t>
      </w:r>
      <w:r w:rsidRPr="008C5AAB">
        <w:t xml:space="preserve"> (e.g. licences, studies, data storage etc). The information provided in this table should be co</w:t>
      </w:r>
      <w:r>
        <w:t>nsistent</w:t>
      </w:r>
      <w:r w:rsidRPr="008C5AAB">
        <w:t xml:space="preserve"> with details presented under </w:t>
      </w:r>
      <w:r>
        <w:t>S</w:t>
      </w:r>
      <w:r w:rsidRPr="008C5AAB">
        <w:t xml:space="preserve">ection 4 “Digital </w:t>
      </w:r>
      <w:r>
        <w:t>dimensions</w:t>
      </w:r>
      <w:r w:rsidRPr="008C5AAB">
        <w:t>”.</w:t>
      </w:r>
    </w:p>
    <w:tbl>
      <w:tblPr>
        <w:tblW w:w="0" w:type="auto"/>
        <w:tblInd w:w="1028" w:type="dxa"/>
        <w:tblLayout w:type="fixed"/>
        <w:tblLook w:val="04A0" w:firstRow="1" w:lastRow="0" w:firstColumn="1" w:lastColumn="0" w:noHBand="0" w:noVBand="1"/>
      </w:tblPr>
      <w:tblGrid>
        <w:gridCol w:w="3214"/>
        <w:gridCol w:w="835"/>
        <w:gridCol w:w="835"/>
        <w:gridCol w:w="835"/>
        <w:gridCol w:w="835"/>
        <w:gridCol w:w="981"/>
      </w:tblGrid>
      <w:tr w:rsidR="00D37F2D" w14:paraId="53EE1D19" w14:textId="7777777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2EC2C9C3" w14:textId="77777777" w:rsidR="00D37F2D" w:rsidRDefault="00D37F2D">
            <w:pPr>
              <w:spacing w:before="0" w:after="0"/>
              <w:jc w:val="center"/>
              <w:rPr>
                <w:b/>
                <w:bCs/>
                <w:color w:val="000000" w:themeColor="text1"/>
                <w:sz w:val="18"/>
                <w:szCs w:val="18"/>
              </w:rPr>
            </w:pPr>
            <w:r w:rsidRPr="52050D6D">
              <w:rPr>
                <w:b/>
                <w:bCs/>
                <w:color w:val="000000" w:themeColor="text1"/>
                <w:sz w:val="18"/>
                <w:szCs w:val="18"/>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01C30F37" w14:textId="77777777" w:rsidR="00D37F2D" w:rsidRDefault="00D37F2D">
            <w:pPr>
              <w:spacing w:before="0" w:after="0"/>
              <w:jc w:val="center"/>
              <w:rPr>
                <w:color w:val="000000" w:themeColor="text1"/>
                <w:sz w:val="18"/>
                <w:szCs w:val="18"/>
              </w:rPr>
            </w:pPr>
            <w:r w:rsidRPr="52050D6D">
              <w:rPr>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332B6E7F" w14:textId="77777777" w:rsidR="00D37F2D" w:rsidRDefault="00D37F2D">
            <w:pPr>
              <w:spacing w:before="0" w:after="0"/>
              <w:jc w:val="center"/>
              <w:rPr>
                <w:color w:val="000000" w:themeColor="text1"/>
                <w:sz w:val="18"/>
                <w:szCs w:val="18"/>
              </w:rPr>
            </w:pPr>
            <w:r w:rsidRPr="52050D6D">
              <w:rPr>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243ADCDA" w14:textId="77777777" w:rsidR="00D37F2D" w:rsidRDefault="00D37F2D">
            <w:pPr>
              <w:spacing w:before="0" w:after="0"/>
              <w:jc w:val="center"/>
              <w:rPr>
                <w:color w:val="000000" w:themeColor="text1"/>
                <w:sz w:val="18"/>
                <w:szCs w:val="18"/>
              </w:rPr>
            </w:pPr>
            <w:r w:rsidRPr="52050D6D">
              <w:rPr>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01375218" w14:textId="77777777" w:rsidR="00D37F2D" w:rsidRDefault="00D37F2D">
            <w:pPr>
              <w:spacing w:before="0" w:after="0"/>
              <w:jc w:val="center"/>
              <w:rPr>
                <w:color w:val="000000" w:themeColor="text1"/>
                <w:sz w:val="18"/>
                <w:szCs w:val="18"/>
              </w:rPr>
            </w:pPr>
            <w:r w:rsidRPr="52050D6D">
              <w:rPr>
                <w:color w:val="000000" w:themeColor="text1"/>
                <w:sz w:val="18"/>
                <w:szCs w:val="18"/>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42550D5A" w14:textId="77777777" w:rsidR="00D37F2D" w:rsidRDefault="00D37F2D">
            <w:pPr>
              <w:spacing w:before="0" w:after="0"/>
              <w:jc w:val="center"/>
              <w:rPr>
                <w:b/>
                <w:bCs/>
                <w:color w:val="000000" w:themeColor="text1"/>
                <w:sz w:val="18"/>
                <w:szCs w:val="18"/>
              </w:rPr>
            </w:pPr>
            <w:r w:rsidRPr="52050D6D">
              <w:rPr>
                <w:b/>
                <w:bCs/>
                <w:color w:val="000000" w:themeColor="text1"/>
                <w:sz w:val="18"/>
                <w:szCs w:val="18"/>
              </w:rPr>
              <w:t>TOTAL MFF 2021 - 2027</w:t>
            </w:r>
          </w:p>
        </w:tc>
      </w:tr>
      <w:tr w:rsidR="00D37F2D" w14:paraId="6D6C8081" w14:textId="77777777">
        <w:trPr>
          <w:trHeight w:val="525"/>
        </w:trPr>
        <w:tc>
          <w:tcPr>
            <w:tcW w:w="3214" w:type="dxa"/>
            <w:vMerge/>
            <w:tcBorders>
              <w:top w:val="single" w:sz="8" w:space="0" w:color="auto"/>
              <w:left w:val="single" w:sz="4" w:space="0" w:color="auto"/>
              <w:right w:val="single" w:sz="4" w:space="0" w:color="auto"/>
            </w:tcBorders>
            <w:vAlign w:val="center"/>
          </w:tcPr>
          <w:p w14:paraId="70DF207F" w14:textId="77777777" w:rsidR="00D37F2D" w:rsidRDefault="00D37F2D"/>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3AEE8EDD" w14:textId="77777777" w:rsidR="00D37F2D" w:rsidRDefault="00D37F2D">
            <w:pPr>
              <w:spacing w:before="0" w:after="0"/>
              <w:jc w:val="center"/>
              <w:rPr>
                <w:b/>
                <w:bCs/>
                <w:color w:val="000000" w:themeColor="text1"/>
                <w:sz w:val="18"/>
                <w:szCs w:val="18"/>
              </w:rPr>
            </w:pPr>
            <w:r w:rsidRPr="52050D6D">
              <w:rPr>
                <w:b/>
                <w:bCs/>
                <w:color w:val="000000" w:themeColor="text1"/>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6CEB8F52" w14:textId="77777777" w:rsidR="00D37F2D" w:rsidRDefault="00D37F2D">
            <w:pPr>
              <w:spacing w:before="0" w:after="0"/>
              <w:jc w:val="center"/>
              <w:rPr>
                <w:b/>
                <w:bCs/>
                <w:color w:val="000000" w:themeColor="text1"/>
                <w:sz w:val="18"/>
                <w:szCs w:val="18"/>
              </w:rPr>
            </w:pPr>
            <w:r w:rsidRPr="52050D6D">
              <w:rPr>
                <w:b/>
                <w:bCs/>
                <w:color w:val="000000" w:themeColor="text1"/>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3E6313B" w14:textId="77777777" w:rsidR="00D37F2D" w:rsidRDefault="00D37F2D">
            <w:pPr>
              <w:spacing w:before="0" w:after="0"/>
              <w:jc w:val="center"/>
              <w:rPr>
                <w:b/>
                <w:bCs/>
                <w:color w:val="000000" w:themeColor="text1"/>
                <w:sz w:val="18"/>
                <w:szCs w:val="18"/>
              </w:rPr>
            </w:pPr>
            <w:r w:rsidRPr="52050D6D">
              <w:rPr>
                <w:b/>
                <w:bCs/>
                <w:color w:val="000000" w:themeColor="text1"/>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0FB6266" w14:textId="77777777" w:rsidR="00D37F2D" w:rsidRDefault="00D37F2D">
            <w:pPr>
              <w:spacing w:before="0" w:after="0"/>
              <w:jc w:val="center"/>
              <w:rPr>
                <w:b/>
                <w:bCs/>
                <w:color w:val="000000" w:themeColor="text1"/>
                <w:sz w:val="18"/>
                <w:szCs w:val="18"/>
              </w:rPr>
            </w:pPr>
            <w:r w:rsidRPr="52050D6D">
              <w:rPr>
                <w:b/>
                <w:bCs/>
                <w:color w:val="000000" w:themeColor="text1"/>
                <w:sz w:val="18"/>
                <w:szCs w:val="18"/>
              </w:rPr>
              <w:t>2027</w:t>
            </w:r>
          </w:p>
        </w:tc>
        <w:tc>
          <w:tcPr>
            <w:tcW w:w="981" w:type="dxa"/>
            <w:vMerge/>
            <w:tcBorders>
              <w:bottom w:val="single" w:sz="4" w:space="0" w:color="auto"/>
              <w:right w:val="single" w:sz="4" w:space="0" w:color="auto"/>
            </w:tcBorders>
            <w:vAlign w:val="center"/>
          </w:tcPr>
          <w:p w14:paraId="56FAC536" w14:textId="77777777" w:rsidR="00D37F2D" w:rsidRDefault="00D37F2D"/>
        </w:tc>
      </w:tr>
      <w:tr w:rsidR="00D37F2D" w14:paraId="477B9A94" w14:textId="7777777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768AD789" w14:textId="77777777" w:rsidR="00D37F2D" w:rsidRDefault="00D37F2D">
            <w:pPr>
              <w:spacing w:before="0" w:after="0"/>
              <w:jc w:val="left"/>
              <w:rPr>
                <w:b/>
                <w:bCs/>
                <w:sz w:val="16"/>
                <w:szCs w:val="16"/>
              </w:rPr>
            </w:pPr>
            <w:r w:rsidRPr="52050D6D">
              <w:rPr>
                <w:b/>
                <w:bCs/>
                <w:sz w:val="16"/>
                <w:szCs w:val="16"/>
              </w:rPr>
              <w:t>HEADING 7</w:t>
            </w:r>
          </w:p>
        </w:tc>
      </w:tr>
      <w:tr w:rsidR="00D37F2D" w14:paraId="70A67A89"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E60AB0" w14:textId="77777777" w:rsidR="00D37F2D" w:rsidRDefault="00D37F2D">
            <w:pPr>
              <w:spacing w:before="0" w:after="0"/>
              <w:jc w:val="left"/>
              <w:rPr>
                <w:color w:val="000000" w:themeColor="text1"/>
                <w:sz w:val="16"/>
                <w:szCs w:val="16"/>
              </w:rPr>
            </w:pPr>
            <w:r w:rsidRPr="52050D6D">
              <w:rPr>
                <w:rFonts w:ascii="Arial Narrow" w:eastAsia="Arial Narrow" w:hAnsi="Arial Narrow" w:cs="Arial Narrow"/>
                <w:color w:val="000000" w:themeColor="text1"/>
                <w:sz w:val="20"/>
                <w:szCs w:val="20"/>
              </w:rPr>
              <w:t>IT expenditure (corporate)</w:t>
            </w:r>
            <w:r w:rsidRPr="52050D6D">
              <w:rPr>
                <w:color w:val="000000" w:themeColor="text1"/>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34E37E" w14:textId="77777777" w:rsidR="00D37F2D" w:rsidRDefault="00D37F2D">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0845CB" w14:textId="77777777" w:rsidR="00D37F2D" w:rsidRDefault="00D37F2D">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6A61AE" w14:textId="77777777" w:rsidR="00D37F2D" w:rsidRDefault="00D37F2D">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B31F707" w14:textId="77777777" w:rsidR="00D37F2D" w:rsidRDefault="00D37F2D">
            <w:pPr>
              <w:spacing w:before="0" w:after="0"/>
              <w:jc w:val="right"/>
              <w:rPr>
                <w:color w:val="000000" w:themeColor="text1"/>
                <w:sz w:val="16"/>
                <w:szCs w:val="16"/>
              </w:rPr>
            </w:pPr>
            <w:r w:rsidRPr="52050D6D">
              <w:rPr>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DE7E78"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r>
      <w:tr w:rsidR="00D37F2D" w14:paraId="1096E82E"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3DB7DBC5" w14:textId="77777777" w:rsidR="00D37F2D" w:rsidRDefault="00D37F2D">
            <w:pPr>
              <w:spacing w:before="0" w:after="0"/>
              <w:jc w:val="center"/>
              <w:rPr>
                <w:b/>
                <w:bCs/>
                <w:color w:val="000000" w:themeColor="text1"/>
                <w:sz w:val="16"/>
                <w:szCs w:val="16"/>
              </w:rPr>
            </w:pPr>
            <w:r w:rsidRPr="52050D6D">
              <w:rPr>
                <w:b/>
                <w:bCs/>
                <w:color w:val="000000" w:themeColor="text1"/>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176F419"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B7F539F"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EB7F439"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20F30B"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518B9A6"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r>
      <w:tr w:rsidR="00D37F2D" w14:paraId="60EB2A17"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55DC25" w14:textId="77777777" w:rsidR="00D37F2D" w:rsidRDefault="00D37F2D">
            <w:pPr>
              <w:spacing w:before="0" w:after="0"/>
              <w:jc w:val="left"/>
              <w:rPr>
                <w:b/>
                <w:bCs/>
                <w:sz w:val="16"/>
                <w:szCs w:val="16"/>
              </w:rPr>
            </w:pPr>
            <w:r w:rsidRPr="52050D6D">
              <w:rPr>
                <w:b/>
                <w:bCs/>
                <w:sz w:val="16"/>
                <w:szCs w:val="16"/>
              </w:rPr>
              <w:t>Outside HEADING 7</w:t>
            </w:r>
          </w:p>
        </w:tc>
      </w:tr>
      <w:tr w:rsidR="00D37F2D" w14:paraId="419919BB"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AAC77" w14:textId="77777777" w:rsidR="00D37F2D" w:rsidRDefault="00D37F2D">
            <w:pPr>
              <w:spacing w:before="0" w:after="0"/>
              <w:jc w:val="left"/>
              <w:rPr>
                <w:rFonts w:ascii="Arial Narrow" w:eastAsia="Arial Narrow" w:hAnsi="Arial Narrow" w:cs="Arial Narrow"/>
                <w:color w:val="000000" w:themeColor="text1"/>
                <w:sz w:val="20"/>
                <w:szCs w:val="20"/>
              </w:rPr>
            </w:pPr>
            <w:r w:rsidRPr="52050D6D">
              <w:rPr>
                <w:rFonts w:ascii="Arial Narrow" w:eastAsia="Arial Narrow" w:hAnsi="Arial Narrow" w:cs="Arial Narrow"/>
                <w:color w:val="000000" w:themeColor="text1"/>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773196" w14:textId="77777777" w:rsidR="00D37F2D" w:rsidRDefault="00D37F2D">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B637F6" w14:textId="77777777" w:rsidR="00D37F2D" w:rsidRDefault="00D37F2D">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08DA491" w14:textId="77777777" w:rsidR="00D37F2D" w:rsidRDefault="00D37F2D">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EF4478" w14:textId="77777777" w:rsidR="00D37F2D" w:rsidRDefault="00D37F2D">
            <w:pPr>
              <w:spacing w:before="0" w:after="0"/>
              <w:jc w:val="right"/>
              <w:rPr>
                <w:color w:val="000000" w:themeColor="text1"/>
                <w:sz w:val="16"/>
                <w:szCs w:val="16"/>
              </w:rPr>
            </w:pPr>
            <w:r w:rsidRPr="52050D6D">
              <w:rPr>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A225162"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r>
      <w:tr w:rsidR="00D37F2D" w14:paraId="5AE06A75"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97D01D0" w14:textId="77777777" w:rsidR="00D37F2D" w:rsidRDefault="00D37F2D">
            <w:pPr>
              <w:spacing w:before="0" w:after="0"/>
              <w:jc w:val="center"/>
              <w:rPr>
                <w:b/>
                <w:bCs/>
                <w:color w:val="000000" w:themeColor="text1"/>
                <w:sz w:val="16"/>
                <w:szCs w:val="16"/>
              </w:rPr>
            </w:pPr>
            <w:r w:rsidRPr="52050D6D">
              <w:rPr>
                <w:b/>
                <w:bCs/>
                <w:color w:val="000000" w:themeColor="text1"/>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BBB4B19"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B3CE350"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E936C1"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E6308D"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3E17207"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r>
      <w:tr w:rsidR="00D37F2D" w14:paraId="1621F5C6"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0E444" w14:textId="77777777" w:rsidR="00D37F2D" w:rsidRDefault="00D37F2D">
            <w:pPr>
              <w:spacing w:before="0" w:after="0"/>
              <w:jc w:val="center"/>
              <w:rPr>
                <w:color w:val="000000" w:themeColor="text1"/>
                <w:sz w:val="16"/>
                <w:szCs w:val="16"/>
              </w:rPr>
            </w:pPr>
            <w:r w:rsidRPr="52050D6D">
              <w:rPr>
                <w:color w:val="000000" w:themeColor="text1"/>
                <w:sz w:val="16"/>
                <w:szCs w:val="16"/>
              </w:rPr>
              <w:t xml:space="preserve"> </w:t>
            </w:r>
          </w:p>
        </w:tc>
      </w:tr>
      <w:tr w:rsidR="00D37F2D" w14:paraId="456576A2" w14:textId="7777777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2FDE6427" w14:textId="77777777" w:rsidR="00D37F2D" w:rsidRDefault="00D37F2D">
            <w:pPr>
              <w:spacing w:before="0" w:after="0"/>
              <w:jc w:val="center"/>
              <w:rPr>
                <w:b/>
                <w:bCs/>
                <w:color w:val="000000" w:themeColor="text1"/>
                <w:sz w:val="16"/>
                <w:szCs w:val="16"/>
              </w:rPr>
            </w:pPr>
            <w:r w:rsidRPr="52050D6D">
              <w:rPr>
                <w:b/>
                <w:bCs/>
                <w:color w:val="000000" w:themeColor="text1"/>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1B500FE"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7F3B511"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B7607C5"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A15030E"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3231EE8" w14:textId="77777777" w:rsidR="00D37F2D" w:rsidRDefault="00D37F2D">
            <w:pPr>
              <w:spacing w:before="0" w:after="0"/>
              <w:jc w:val="right"/>
              <w:rPr>
                <w:b/>
                <w:bCs/>
                <w:color w:val="000000" w:themeColor="text1"/>
                <w:sz w:val="16"/>
                <w:szCs w:val="16"/>
              </w:rPr>
            </w:pPr>
            <w:r w:rsidRPr="52050D6D">
              <w:rPr>
                <w:b/>
                <w:bCs/>
                <w:color w:val="000000" w:themeColor="text1"/>
                <w:sz w:val="16"/>
                <w:szCs w:val="16"/>
              </w:rPr>
              <w:t>0.000</w:t>
            </w:r>
          </w:p>
        </w:tc>
      </w:tr>
    </w:tbl>
    <w:p w14:paraId="60850236" w14:textId="77777777" w:rsidR="00D37F2D" w:rsidRDefault="00D37F2D" w:rsidP="00D37F2D">
      <w:pPr>
        <w:pStyle w:val="ManualHeading3"/>
        <w:rPr>
          <w:noProof/>
        </w:rPr>
      </w:pPr>
      <w:bookmarkStart w:id="179" w:name="_Toc514938056"/>
      <w:bookmarkStart w:id="180" w:name="_Toc520485055"/>
      <w:bookmarkStart w:id="181" w:name="_Toc160804599"/>
      <w:bookmarkStart w:id="182" w:name="_Toc167220298"/>
      <w:bookmarkStart w:id="183" w:name="_Toc177549032"/>
      <w:bookmarkEnd w:id="178"/>
      <w:r w:rsidRPr="0021790A">
        <w:t>3.2.</w:t>
      </w:r>
      <w:r>
        <w:t>6</w:t>
      </w:r>
      <w:r w:rsidRPr="0021790A">
        <w:t>.</w:t>
      </w:r>
      <w:r w:rsidRPr="0021790A">
        <w:tab/>
      </w:r>
      <w:r>
        <w:rPr>
          <w:noProof/>
        </w:rPr>
        <w:t>Compatibility with the current multiannual financial framework</w:t>
      </w:r>
      <w:bookmarkEnd w:id="179"/>
      <w:bookmarkEnd w:id="180"/>
      <w:bookmarkEnd w:id="181"/>
      <w:bookmarkEnd w:id="182"/>
      <w:bookmarkEnd w:id="183"/>
      <w:r>
        <w:rPr>
          <w:noProof/>
        </w:rPr>
        <w:t xml:space="preserve"> </w:t>
      </w:r>
    </w:p>
    <w:p w14:paraId="69B2B7E4" w14:textId="77777777" w:rsidR="00D37F2D" w:rsidRDefault="00D37F2D" w:rsidP="00D37F2D">
      <w:pPr>
        <w:pStyle w:val="Text1"/>
        <w:rPr>
          <w:noProof/>
        </w:rPr>
      </w:pPr>
      <w:r w:rsidRPr="00386FF5">
        <w:rPr>
          <w:noProof/>
        </w:rPr>
        <w:t>The proposal/initiative</w:t>
      </w:r>
      <w:r w:rsidRPr="007974DD">
        <w:rPr>
          <w:noProof/>
        </w:rPr>
        <w:t>:</w:t>
      </w:r>
    </w:p>
    <w:p w14:paraId="0845A3B6" w14:textId="77777777" w:rsidR="00D37F2D" w:rsidRDefault="00D37F2D" w:rsidP="00D37F2D">
      <w:pPr>
        <w:pStyle w:val="ListDash1"/>
        <w:rPr>
          <w:noProof/>
        </w:rPr>
      </w:pPr>
      <w:r>
        <w:rPr>
          <w:rFonts w:ascii="Wingdings" w:eastAsia="Wingdings" w:hAnsi="Wingdings" w:cs="Wingdings"/>
          <w:noProof/>
        </w:rPr>
        <w:t>X</w:t>
      </w:r>
      <w:r>
        <w:rPr>
          <w:noProof/>
        </w:rPr>
        <w:tab/>
      </w:r>
      <w:r w:rsidRPr="007B1B0C">
        <w:rPr>
          <w:noProof/>
        </w:rPr>
        <w:t>can be fully financed through redeployment within the relevant</w:t>
      </w:r>
      <w:r>
        <w:rPr>
          <w:noProof/>
        </w:rPr>
        <w:t xml:space="preserve"> heading of the multiannual financial framework (MFF)</w:t>
      </w:r>
    </w:p>
    <w:p w14:paraId="72A63696" w14:textId="77777777" w:rsidR="00D37F2D" w:rsidRDefault="00D37F2D" w:rsidP="00D37F2D">
      <w:pPr>
        <w:pStyle w:val="Text1"/>
        <w:pBdr>
          <w:top w:val="single" w:sz="4" w:space="1" w:color="auto"/>
          <w:left w:val="single" w:sz="4" w:space="4" w:color="auto"/>
          <w:bottom w:val="single" w:sz="4" w:space="1" w:color="auto"/>
          <w:right w:val="single" w:sz="4" w:space="4" w:color="auto"/>
        </w:pBdr>
        <w:rPr>
          <w:noProof/>
        </w:rPr>
      </w:pPr>
      <w:r w:rsidRPr="001B59E4">
        <w:t>The increase of appropriations for EMA budget line 06.</w:t>
      </w:r>
      <w:r>
        <w:t>100301</w:t>
      </w:r>
      <w:r w:rsidRPr="001B59E4">
        <w:t xml:space="preserve"> in years 2026 and 2027 by 1,</w:t>
      </w:r>
      <w:r>
        <w:t>4</w:t>
      </w:r>
      <w:r w:rsidRPr="001B59E4">
        <w:t xml:space="preserve"> million EUR, will be done via internal redeployment within heading 2b, i.e. by an equal reduction of the EU4Health budget line 06.0601 for this period. The </w:t>
      </w:r>
      <w:r>
        <w:t>appropriations</w:t>
      </w:r>
      <w:r w:rsidRPr="001B59E4">
        <w:t xml:space="preserve"> managed by the Commission will be </w:t>
      </w:r>
      <w:r w:rsidRPr="00303070">
        <w:t>redeployed withing the existing financial envelope of the EU4Health programme.</w:t>
      </w:r>
      <w:r>
        <w:rPr>
          <w:noProof/>
        </w:rPr>
        <w:tab/>
      </w:r>
    </w:p>
    <w:p w14:paraId="6D88FE8B" w14:textId="77777777" w:rsidR="00D37F2D" w:rsidRDefault="00D37F2D" w:rsidP="00D37F2D">
      <w:pPr>
        <w:pStyle w:val="ListDash1"/>
        <w:rPr>
          <w:noProof/>
        </w:rPr>
      </w:pPr>
      <w:r w:rsidRPr="009C39E5">
        <w:rPr>
          <w:rFonts w:ascii="Wingdings" w:eastAsia="Wingdings" w:hAnsi="Wingdings" w:cs="Wingdings"/>
          <w:noProof/>
        </w:rPr>
        <w:t>¨</w:t>
      </w:r>
      <w:r w:rsidRPr="009C39E5">
        <w:rPr>
          <w:noProof/>
        </w:rPr>
        <w:tab/>
      </w:r>
      <w:r w:rsidRPr="007B1B0C">
        <w:rPr>
          <w:noProof/>
        </w:rPr>
        <w:t>requires use of the unallocated margin under the relevant heading of the MFF and/or use of the special instruments as defined in the MFF Regulation</w:t>
      </w:r>
      <w:r w:rsidRPr="009C39E5">
        <w:rPr>
          <w:noProof/>
        </w:rPr>
        <w:t xml:space="preserve"> </w:t>
      </w:r>
    </w:p>
    <w:p w14:paraId="3B9A039F" w14:textId="77777777" w:rsidR="00D37F2D" w:rsidRPr="009C39E5" w:rsidRDefault="00D37F2D" w:rsidP="00D37F2D">
      <w:pPr>
        <w:pStyle w:val="ListDash1"/>
        <w:rPr>
          <w:noProof/>
        </w:rPr>
      </w:pPr>
      <w:r>
        <w:rPr>
          <w:rFonts w:ascii="Wingdings" w:eastAsia="Wingdings" w:hAnsi="Wingdings" w:cs="Wingdings"/>
          <w:noProof/>
        </w:rPr>
        <w:t xml:space="preserve">¨ </w:t>
      </w:r>
      <w:r w:rsidRPr="009C39E5">
        <w:rPr>
          <w:noProof/>
        </w:rPr>
        <w:t>requires a revision of the MFF</w:t>
      </w:r>
    </w:p>
    <w:p w14:paraId="1E89BE9C" w14:textId="77777777" w:rsidR="00D37F2D" w:rsidRDefault="00D37F2D" w:rsidP="00D37F2D">
      <w:pPr>
        <w:pStyle w:val="ManualHeading3"/>
      </w:pPr>
      <w:bookmarkStart w:id="184" w:name="_Toc514938058"/>
      <w:bookmarkStart w:id="185" w:name="_Toc520485056"/>
      <w:bookmarkStart w:id="186" w:name="_Toc160804600"/>
      <w:bookmarkStart w:id="187" w:name="_Toc167220299"/>
      <w:bookmarkStart w:id="188" w:name="_Toc177549033"/>
    </w:p>
    <w:p w14:paraId="256223F7" w14:textId="77777777" w:rsidR="00D37F2D" w:rsidRDefault="00D37F2D" w:rsidP="00D37F2D">
      <w:pPr>
        <w:pStyle w:val="ManualHeading3"/>
      </w:pPr>
      <w:r w:rsidRPr="0021790A">
        <w:t>3.2.</w:t>
      </w:r>
      <w:r>
        <w:t>7</w:t>
      </w:r>
      <w:r w:rsidRPr="0021790A">
        <w:t>.</w:t>
      </w:r>
      <w:r w:rsidRPr="0021790A">
        <w:tab/>
      </w:r>
      <w:r>
        <w:rPr>
          <w:noProof/>
        </w:rPr>
        <w:t>Third-party contributions</w:t>
      </w:r>
      <w:bookmarkEnd w:id="184"/>
      <w:bookmarkEnd w:id="185"/>
      <w:bookmarkEnd w:id="186"/>
      <w:bookmarkEnd w:id="187"/>
      <w:bookmarkEnd w:id="188"/>
      <w:r>
        <w:rPr>
          <w:noProof/>
        </w:rPr>
        <w:t xml:space="preserve"> </w:t>
      </w:r>
    </w:p>
    <w:p w14:paraId="410A8489" w14:textId="77777777" w:rsidR="00D37F2D" w:rsidRPr="00386FF5" w:rsidRDefault="00D37F2D" w:rsidP="00D37F2D">
      <w:pPr>
        <w:pStyle w:val="Text1"/>
        <w:rPr>
          <w:noProof/>
        </w:rPr>
      </w:pPr>
      <w:r w:rsidRPr="007974DD">
        <w:rPr>
          <w:noProof/>
        </w:rPr>
        <w:t>The proposal/initiative:</w:t>
      </w:r>
    </w:p>
    <w:p w14:paraId="4B8B5263" w14:textId="77777777" w:rsidR="00D37F2D" w:rsidRDefault="00D37F2D" w:rsidP="00D37F2D">
      <w:pPr>
        <w:pStyle w:val="ListDash1"/>
        <w:rPr>
          <w:noProof/>
        </w:rPr>
      </w:pPr>
      <w:r>
        <w:rPr>
          <w:rFonts w:ascii="Wingdings" w:eastAsia="Wingdings" w:hAnsi="Wingdings" w:cs="Wingdings"/>
          <w:noProof/>
        </w:rPr>
        <w:t>¨</w:t>
      </w:r>
      <w:r>
        <w:rPr>
          <w:noProof/>
        </w:rPr>
        <w:tab/>
        <w:t>does not provide for co-financing by third parties</w:t>
      </w:r>
    </w:p>
    <w:p w14:paraId="3AE478E8" w14:textId="77777777" w:rsidR="00D37F2D" w:rsidRDefault="00D37F2D" w:rsidP="00D37F2D">
      <w:pPr>
        <w:pStyle w:val="ListDash1"/>
        <w:rPr>
          <w:noProof/>
        </w:rPr>
      </w:pPr>
      <w:r>
        <w:rPr>
          <w:rFonts w:ascii="Wingdings" w:eastAsia="Wingdings" w:hAnsi="Wingdings" w:cs="Wingdings"/>
          <w:noProof/>
        </w:rPr>
        <w:t>¨</w:t>
      </w:r>
      <w:r>
        <w:rPr>
          <w:noProof/>
        </w:rPr>
        <w:tab/>
        <w:t>provides for the co-financing by third parties estimated below:</w:t>
      </w:r>
    </w:p>
    <w:p w14:paraId="69FF270F" w14:textId="77777777" w:rsidR="00D37F2D" w:rsidRPr="003A769F" w:rsidRDefault="00D37F2D" w:rsidP="00D37F2D">
      <w:pPr>
        <w:jc w:val="right"/>
        <w:rPr>
          <w:noProof/>
          <w:sz w:val="20"/>
          <w:lang w:val="en-IE"/>
        </w:rPr>
      </w:pPr>
      <w:r w:rsidRPr="003A769F">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D37F2D" w14:paraId="64C46967" w14:textId="77777777">
        <w:trPr>
          <w:cantSplit/>
        </w:trPr>
        <w:tc>
          <w:tcPr>
            <w:tcW w:w="1591" w:type="pct"/>
          </w:tcPr>
          <w:p w14:paraId="7C8A4EED" w14:textId="77777777" w:rsidR="00D37F2D" w:rsidRPr="003A769F" w:rsidRDefault="00D37F2D">
            <w:pPr>
              <w:spacing w:before="60" w:after="60"/>
              <w:rPr>
                <w:noProof/>
                <w:sz w:val="20"/>
                <w:lang w:val="en-IE"/>
              </w:rPr>
            </w:pPr>
          </w:p>
        </w:tc>
        <w:tc>
          <w:tcPr>
            <w:tcW w:w="655" w:type="pct"/>
            <w:vAlign w:val="center"/>
          </w:tcPr>
          <w:p w14:paraId="6102CA30" w14:textId="77777777" w:rsidR="00D37F2D" w:rsidRDefault="00D37F2D">
            <w:pPr>
              <w:jc w:val="center"/>
              <w:rPr>
                <w:noProof/>
                <w:sz w:val="20"/>
              </w:rPr>
            </w:pPr>
            <w:r>
              <w:rPr>
                <w:noProof/>
                <w:sz w:val="20"/>
              </w:rPr>
              <w:t xml:space="preserve">Year </w:t>
            </w:r>
            <w:r>
              <w:rPr>
                <w:noProof/>
                <w:sz w:val="22"/>
              </w:rPr>
              <w:br/>
            </w:r>
            <w:r>
              <w:rPr>
                <w:b/>
                <w:noProof/>
                <w:sz w:val="20"/>
              </w:rPr>
              <w:t>2024</w:t>
            </w:r>
          </w:p>
        </w:tc>
        <w:tc>
          <w:tcPr>
            <w:tcW w:w="655" w:type="pct"/>
            <w:vAlign w:val="center"/>
          </w:tcPr>
          <w:p w14:paraId="43138973" w14:textId="77777777" w:rsidR="00D37F2D" w:rsidRDefault="00D37F2D">
            <w:pPr>
              <w:jc w:val="center"/>
              <w:rPr>
                <w:noProof/>
                <w:sz w:val="20"/>
              </w:rPr>
            </w:pPr>
            <w:r>
              <w:rPr>
                <w:noProof/>
                <w:sz w:val="20"/>
              </w:rPr>
              <w:t xml:space="preserve">Year </w:t>
            </w:r>
            <w:r>
              <w:rPr>
                <w:noProof/>
                <w:sz w:val="22"/>
              </w:rPr>
              <w:br/>
            </w:r>
            <w:r>
              <w:rPr>
                <w:b/>
                <w:noProof/>
                <w:sz w:val="20"/>
              </w:rPr>
              <w:t>2025</w:t>
            </w:r>
          </w:p>
        </w:tc>
        <w:tc>
          <w:tcPr>
            <w:tcW w:w="655" w:type="pct"/>
            <w:vAlign w:val="center"/>
          </w:tcPr>
          <w:p w14:paraId="5F8CDDD6" w14:textId="77777777" w:rsidR="00D37F2D" w:rsidRDefault="00D37F2D">
            <w:pPr>
              <w:jc w:val="center"/>
              <w:rPr>
                <w:noProof/>
                <w:sz w:val="20"/>
              </w:rPr>
            </w:pPr>
            <w:r>
              <w:rPr>
                <w:noProof/>
                <w:sz w:val="20"/>
              </w:rPr>
              <w:t xml:space="preserve">Year </w:t>
            </w:r>
            <w:r>
              <w:rPr>
                <w:noProof/>
                <w:sz w:val="22"/>
              </w:rPr>
              <w:br/>
            </w:r>
            <w:r>
              <w:rPr>
                <w:b/>
                <w:noProof/>
                <w:sz w:val="20"/>
              </w:rPr>
              <w:t>2026</w:t>
            </w:r>
          </w:p>
        </w:tc>
        <w:tc>
          <w:tcPr>
            <w:tcW w:w="655" w:type="pct"/>
            <w:vAlign w:val="center"/>
          </w:tcPr>
          <w:p w14:paraId="3A274B83" w14:textId="77777777" w:rsidR="00D37F2D" w:rsidRDefault="00D37F2D">
            <w:pPr>
              <w:jc w:val="center"/>
              <w:rPr>
                <w:noProof/>
                <w:sz w:val="20"/>
              </w:rPr>
            </w:pPr>
            <w:r>
              <w:rPr>
                <w:noProof/>
                <w:sz w:val="20"/>
              </w:rPr>
              <w:t xml:space="preserve">Year </w:t>
            </w:r>
            <w:r>
              <w:rPr>
                <w:noProof/>
                <w:sz w:val="22"/>
              </w:rPr>
              <w:br/>
            </w:r>
            <w:r>
              <w:rPr>
                <w:b/>
                <w:noProof/>
                <w:sz w:val="20"/>
              </w:rPr>
              <w:t>2027</w:t>
            </w:r>
          </w:p>
        </w:tc>
        <w:tc>
          <w:tcPr>
            <w:tcW w:w="787" w:type="pct"/>
            <w:vAlign w:val="center"/>
          </w:tcPr>
          <w:p w14:paraId="1088A23B" w14:textId="77777777" w:rsidR="00D37F2D" w:rsidRDefault="00D37F2D">
            <w:pPr>
              <w:spacing w:before="60" w:after="60"/>
              <w:jc w:val="center"/>
              <w:rPr>
                <w:noProof/>
                <w:sz w:val="20"/>
              </w:rPr>
            </w:pPr>
            <w:r>
              <w:rPr>
                <w:noProof/>
                <w:sz w:val="20"/>
              </w:rPr>
              <w:t>Total</w:t>
            </w:r>
          </w:p>
        </w:tc>
      </w:tr>
      <w:tr w:rsidR="00D37F2D" w14:paraId="165CE2E8" w14:textId="77777777">
        <w:trPr>
          <w:cantSplit/>
        </w:trPr>
        <w:tc>
          <w:tcPr>
            <w:tcW w:w="1591" w:type="pct"/>
          </w:tcPr>
          <w:p w14:paraId="5E0C888E" w14:textId="77777777" w:rsidR="00D37F2D" w:rsidRPr="003A769F" w:rsidRDefault="00D37F2D">
            <w:pPr>
              <w:rPr>
                <w:noProof/>
                <w:lang w:val="en-IE"/>
              </w:rPr>
            </w:pPr>
            <w:r w:rsidRPr="003A769F">
              <w:rPr>
                <w:noProof/>
                <w:sz w:val="20"/>
                <w:lang w:val="en-IE"/>
              </w:rPr>
              <w:t>Specify the co-financing body</w:t>
            </w:r>
            <w:r w:rsidRPr="003A769F">
              <w:rPr>
                <w:i/>
                <w:noProof/>
                <w:sz w:val="20"/>
                <w:lang w:val="en-IE"/>
              </w:rPr>
              <w:t xml:space="preserve"> </w:t>
            </w:r>
          </w:p>
        </w:tc>
        <w:tc>
          <w:tcPr>
            <w:tcW w:w="655" w:type="pct"/>
            <w:vAlign w:val="center"/>
          </w:tcPr>
          <w:p w14:paraId="21DF9E42" w14:textId="77777777" w:rsidR="00D37F2D" w:rsidRPr="003A769F" w:rsidRDefault="00D37F2D">
            <w:pPr>
              <w:spacing w:before="60" w:after="60"/>
              <w:jc w:val="center"/>
              <w:rPr>
                <w:noProof/>
                <w:sz w:val="20"/>
                <w:lang w:val="en-IE"/>
              </w:rPr>
            </w:pPr>
          </w:p>
        </w:tc>
        <w:tc>
          <w:tcPr>
            <w:tcW w:w="655" w:type="pct"/>
            <w:vAlign w:val="center"/>
          </w:tcPr>
          <w:p w14:paraId="1AC70852" w14:textId="77777777" w:rsidR="00D37F2D" w:rsidRPr="003A769F" w:rsidRDefault="00D37F2D">
            <w:pPr>
              <w:spacing w:before="60" w:after="60"/>
              <w:jc w:val="center"/>
              <w:rPr>
                <w:noProof/>
                <w:sz w:val="20"/>
                <w:lang w:val="en-IE"/>
              </w:rPr>
            </w:pPr>
          </w:p>
        </w:tc>
        <w:tc>
          <w:tcPr>
            <w:tcW w:w="655" w:type="pct"/>
            <w:vAlign w:val="center"/>
          </w:tcPr>
          <w:p w14:paraId="6096EA0F" w14:textId="77777777" w:rsidR="00D37F2D" w:rsidRPr="003A769F" w:rsidRDefault="00D37F2D">
            <w:pPr>
              <w:spacing w:before="60" w:after="60"/>
              <w:jc w:val="center"/>
              <w:rPr>
                <w:noProof/>
                <w:sz w:val="20"/>
                <w:lang w:val="en-IE"/>
              </w:rPr>
            </w:pPr>
          </w:p>
        </w:tc>
        <w:tc>
          <w:tcPr>
            <w:tcW w:w="655" w:type="pct"/>
            <w:vAlign w:val="center"/>
          </w:tcPr>
          <w:p w14:paraId="189E2B1A" w14:textId="77777777" w:rsidR="00D37F2D" w:rsidRPr="003A769F" w:rsidRDefault="00D37F2D">
            <w:pPr>
              <w:spacing w:before="60" w:after="60"/>
              <w:jc w:val="center"/>
              <w:rPr>
                <w:noProof/>
                <w:sz w:val="20"/>
                <w:lang w:val="en-IE"/>
              </w:rPr>
            </w:pPr>
          </w:p>
        </w:tc>
        <w:tc>
          <w:tcPr>
            <w:tcW w:w="787" w:type="pct"/>
            <w:vAlign w:val="center"/>
          </w:tcPr>
          <w:p w14:paraId="06E83C45" w14:textId="77777777" w:rsidR="00D37F2D" w:rsidRPr="003A769F" w:rsidRDefault="00D37F2D">
            <w:pPr>
              <w:spacing w:before="60" w:after="60"/>
              <w:jc w:val="center"/>
              <w:rPr>
                <w:noProof/>
                <w:sz w:val="20"/>
                <w:lang w:val="en-IE"/>
              </w:rPr>
            </w:pPr>
          </w:p>
        </w:tc>
      </w:tr>
      <w:tr w:rsidR="00D37F2D" w14:paraId="3F5D201F" w14:textId="77777777">
        <w:trPr>
          <w:cantSplit/>
        </w:trPr>
        <w:tc>
          <w:tcPr>
            <w:tcW w:w="1591" w:type="pct"/>
          </w:tcPr>
          <w:p w14:paraId="0479AED5" w14:textId="77777777" w:rsidR="00D37F2D" w:rsidRDefault="00D37F2D">
            <w:pPr>
              <w:spacing w:before="60" w:after="60"/>
              <w:jc w:val="left"/>
              <w:rPr>
                <w:noProof/>
                <w:sz w:val="20"/>
              </w:rPr>
            </w:pPr>
            <w:r>
              <w:rPr>
                <w:noProof/>
                <w:sz w:val="20"/>
              </w:rPr>
              <w:t xml:space="preserve">TOTAL appropriations co-financed </w:t>
            </w:r>
          </w:p>
        </w:tc>
        <w:tc>
          <w:tcPr>
            <w:tcW w:w="655" w:type="pct"/>
            <w:vAlign w:val="center"/>
          </w:tcPr>
          <w:p w14:paraId="4B34DEF8" w14:textId="77777777" w:rsidR="00D37F2D" w:rsidRDefault="00D37F2D">
            <w:pPr>
              <w:spacing w:before="60" w:after="60"/>
              <w:jc w:val="center"/>
              <w:rPr>
                <w:noProof/>
                <w:sz w:val="20"/>
              </w:rPr>
            </w:pPr>
          </w:p>
        </w:tc>
        <w:tc>
          <w:tcPr>
            <w:tcW w:w="655" w:type="pct"/>
            <w:vAlign w:val="center"/>
          </w:tcPr>
          <w:p w14:paraId="465AB5C5" w14:textId="77777777" w:rsidR="00D37F2D" w:rsidRDefault="00D37F2D">
            <w:pPr>
              <w:spacing w:before="60" w:after="60"/>
              <w:jc w:val="center"/>
              <w:rPr>
                <w:noProof/>
                <w:sz w:val="20"/>
              </w:rPr>
            </w:pPr>
          </w:p>
        </w:tc>
        <w:tc>
          <w:tcPr>
            <w:tcW w:w="655" w:type="pct"/>
            <w:vAlign w:val="center"/>
          </w:tcPr>
          <w:p w14:paraId="20FC3311" w14:textId="77777777" w:rsidR="00D37F2D" w:rsidRDefault="00D37F2D">
            <w:pPr>
              <w:spacing w:before="60" w:after="60"/>
              <w:jc w:val="center"/>
              <w:rPr>
                <w:noProof/>
                <w:sz w:val="20"/>
              </w:rPr>
            </w:pPr>
          </w:p>
        </w:tc>
        <w:tc>
          <w:tcPr>
            <w:tcW w:w="655" w:type="pct"/>
            <w:vAlign w:val="center"/>
          </w:tcPr>
          <w:p w14:paraId="063FC741" w14:textId="77777777" w:rsidR="00D37F2D" w:rsidRDefault="00D37F2D">
            <w:pPr>
              <w:spacing w:before="60" w:after="60"/>
              <w:jc w:val="center"/>
              <w:rPr>
                <w:noProof/>
                <w:sz w:val="20"/>
              </w:rPr>
            </w:pPr>
          </w:p>
        </w:tc>
        <w:tc>
          <w:tcPr>
            <w:tcW w:w="787" w:type="pct"/>
            <w:vAlign w:val="center"/>
          </w:tcPr>
          <w:p w14:paraId="57CBC54E" w14:textId="77777777" w:rsidR="00D37F2D" w:rsidRDefault="00D37F2D">
            <w:pPr>
              <w:spacing w:before="60" w:after="60"/>
              <w:jc w:val="center"/>
              <w:rPr>
                <w:noProof/>
                <w:sz w:val="20"/>
              </w:rPr>
            </w:pPr>
          </w:p>
        </w:tc>
      </w:tr>
    </w:tbl>
    <w:p w14:paraId="72A6167B" w14:textId="77777777" w:rsidR="00D37F2D" w:rsidRPr="005723F4" w:rsidRDefault="00D37F2D" w:rsidP="00D37F2D">
      <w:pPr>
        <w:outlineLvl w:val="1"/>
        <w:rPr>
          <w:noProof/>
          <w:szCs w:val="24"/>
        </w:rPr>
      </w:pPr>
      <w:r w:rsidRPr="005723F4">
        <w:rPr>
          <w:noProof/>
        </w:rPr>
        <w:br/>
      </w:r>
      <w:bookmarkStart w:id="189" w:name="_Toc514938059"/>
      <w:bookmarkStart w:id="190" w:name="_Toc520485057"/>
      <w:bookmarkStart w:id="191" w:name="_Toc160804602"/>
      <w:bookmarkStart w:id="192" w:name="_Toc167220300"/>
      <w:bookmarkStart w:id="193" w:name="_Toc177549034"/>
      <w:bookmarkStart w:id="194" w:name="_Hlk166860179"/>
      <w:r w:rsidRPr="005723F4">
        <w:t>3.3.</w:t>
      </w:r>
      <w:r w:rsidRPr="005723F4">
        <w:tab/>
      </w:r>
      <w:r w:rsidRPr="005723F4">
        <w:rPr>
          <w:noProof/>
        </w:rPr>
        <w:t>Estimated impact on revenue</w:t>
      </w:r>
      <w:bookmarkEnd w:id="189"/>
      <w:bookmarkEnd w:id="190"/>
      <w:bookmarkEnd w:id="191"/>
      <w:bookmarkEnd w:id="192"/>
      <w:bookmarkEnd w:id="193"/>
      <w:r w:rsidRPr="005723F4">
        <w:rPr>
          <w:noProof/>
        </w:rPr>
        <w:t xml:space="preserve"> </w:t>
      </w:r>
    </w:p>
    <w:bookmarkEnd w:id="194"/>
    <w:p w14:paraId="68B968FD" w14:textId="77777777" w:rsidR="00D37F2D" w:rsidRDefault="00D37F2D" w:rsidP="00D37F2D">
      <w:pPr>
        <w:pStyle w:val="ListDash1"/>
        <w:rPr>
          <w:noProof/>
        </w:rPr>
      </w:pPr>
      <w:r>
        <w:rPr>
          <w:rFonts w:ascii="Wingdings" w:eastAsia="Wingdings" w:hAnsi="Wingdings" w:cs="Wingdings"/>
          <w:noProof/>
        </w:rPr>
        <w:t>¨</w:t>
      </w:r>
      <w:r>
        <w:rPr>
          <w:noProof/>
        </w:rPr>
        <w:tab/>
        <w:t>The proposal/initiative has no financial impact on revenue.</w:t>
      </w:r>
    </w:p>
    <w:p w14:paraId="2BFD98F0" w14:textId="77777777" w:rsidR="00D37F2D" w:rsidRDefault="00D37F2D" w:rsidP="00D37F2D">
      <w:pPr>
        <w:pStyle w:val="ListDash1"/>
        <w:rPr>
          <w:noProof/>
        </w:rPr>
      </w:pPr>
      <w:r>
        <w:rPr>
          <w:rFonts w:ascii="Wingdings" w:eastAsia="Wingdings" w:hAnsi="Wingdings" w:cs="Wingdings"/>
          <w:noProof/>
        </w:rPr>
        <w:t>¨</w:t>
      </w:r>
      <w:r>
        <w:rPr>
          <w:noProof/>
        </w:rPr>
        <w:tab/>
        <w:t>The proposal/initiative has the following financial impact:</w:t>
      </w:r>
    </w:p>
    <w:p w14:paraId="3AE0FFA9" w14:textId="77777777" w:rsidR="00D37F2D" w:rsidRDefault="00D37F2D" w:rsidP="007E76F2">
      <w:pPr>
        <w:pStyle w:val="Tiret2"/>
        <w:numPr>
          <w:ilvl w:val="0"/>
          <w:numId w:val="19"/>
        </w:numPr>
        <w:rPr>
          <w:noProof/>
        </w:rPr>
      </w:pPr>
      <w:r>
        <w:rPr>
          <w:rFonts w:ascii="Wingdings" w:eastAsia="Wingdings" w:hAnsi="Wingdings" w:cs="Wingdings"/>
          <w:noProof/>
        </w:rPr>
        <w:t>¨</w:t>
      </w:r>
      <w:r>
        <w:rPr>
          <w:noProof/>
        </w:rPr>
        <w:tab/>
        <w:t xml:space="preserve">on own resources </w:t>
      </w:r>
    </w:p>
    <w:p w14:paraId="64BCD361" w14:textId="77777777" w:rsidR="00D37F2D" w:rsidRDefault="00D37F2D" w:rsidP="0032759E">
      <w:pPr>
        <w:pStyle w:val="Tiret2"/>
        <w:rPr>
          <w:noProof/>
        </w:rPr>
      </w:pPr>
      <w:r>
        <w:rPr>
          <w:rFonts w:ascii="Wingdings" w:eastAsia="Wingdings" w:hAnsi="Wingdings" w:cs="Wingdings"/>
          <w:noProof/>
        </w:rPr>
        <w:t>¨</w:t>
      </w:r>
      <w:r>
        <w:rPr>
          <w:noProof/>
        </w:rPr>
        <w:tab/>
        <w:t>on other revenue</w:t>
      </w:r>
    </w:p>
    <w:p w14:paraId="3B061A0A" w14:textId="77777777" w:rsidR="00D37F2D" w:rsidRPr="003E2B9D" w:rsidRDefault="00D37F2D" w:rsidP="0032759E">
      <w:pPr>
        <w:pStyle w:val="Tiret2"/>
        <w:rPr>
          <w:noProof/>
        </w:rPr>
      </w:pPr>
      <w:r w:rsidRPr="003E2B9D">
        <w:rPr>
          <w:rFonts w:ascii="Wingdings" w:eastAsia="Wingdings" w:hAnsi="Wingdings" w:cs="Wingdings"/>
          <w:noProof/>
        </w:rPr>
        <w:t>¨</w:t>
      </w:r>
      <w:r w:rsidRPr="003E2B9D">
        <w:rPr>
          <w:rFonts w:ascii="Wingdings" w:eastAsia="Wingdings" w:hAnsi="Wingdings" w:cs="Wingdings"/>
          <w:noProof/>
        </w:rPr>
        <w:tab/>
      </w:r>
      <w:r w:rsidRPr="003E2B9D">
        <w:rPr>
          <w:noProof/>
        </w:rPr>
        <w:t>please</w:t>
      </w:r>
      <w:r w:rsidRPr="009B753E">
        <w:rPr>
          <w:noProof/>
        </w:rPr>
        <w:t xml:space="preserve"> indicate, if the revenue is assigned to expenditure lines</w:t>
      </w:r>
    </w:p>
    <w:p w14:paraId="7421B763" w14:textId="77777777" w:rsidR="00D37F2D" w:rsidRPr="00656209" w:rsidRDefault="00D37F2D" w:rsidP="00D37F2D">
      <w:pPr>
        <w:jc w:val="right"/>
        <w:rPr>
          <w:noProof/>
          <w:sz w:val="20"/>
          <w:lang w:val="en-IE"/>
        </w:rPr>
      </w:pPr>
      <w:r w:rsidRPr="00656209">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D37F2D" w14:paraId="7894785F" w14:textId="77777777">
        <w:trPr>
          <w:trHeight w:val="388"/>
        </w:trPr>
        <w:tc>
          <w:tcPr>
            <w:tcW w:w="1423" w:type="pct"/>
            <w:vMerge w:val="restart"/>
            <w:vAlign w:val="center"/>
          </w:tcPr>
          <w:p w14:paraId="4C85554A" w14:textId="77777777" w:rsidR="00D37F2D" w:rsidRDefault="00D37F2D">
            <w:pPr>
              <w:spacing w:before="40" w:after="40"/>
              <w:rPr>
                <w:noProof/>
                <w:sz w:val="18"/>
              </w:rPr>
            </w:pPr>
            <w:r>
              <w:rPr>
                <w:noProof/>
                <w:sz w:val="18"/>
              </w:rPr>
              <w:t>Budget revenue line:</w:t>
            </w:r>
          </w:p>
        </w:tc>
        <w:tc>
          <w:tcPr>
            <w:tcW w:w="869" w:type="pct"/>
            <w:vMerge w:val="restart"/>
            <w:vAlign w:val="center"/>
          </w:tcPr>
          <w:p w14:paraId="3225C955" w14:textId="77777777" w:rsidR="00D37F2D" w:rsidRPr="003A769F" w:rsidRDefault="00D37F2D">
            <w:pPr>
              <w:jc w:val="center"/>
              <w:rPr>
                <w:noProof/>
                <w:sz w:val="18"/>
                <w:lang w:val="en-IE"/>
              </w:rPr>
            </w:pPr>
            <w:r w:rsidRPr="003A769F">
              <w:rPr>
                <w:noProof/>
                <w:sz w:val="18"/>
                <w:lang w:val="en-IE"/>
              </w:rPr>
              <w:t>Appropriations available for the current financial year</w:t>
            </w:r>
          </w:p>
        </w:tc>
        <w:tc>
          <w:tcPr>
            <w:tcW w:w="2709" w:type="pct"/>
            <w:gridSpan w:val="4"/>
            <w:vAlign w:val="center"/>
          </w:tcPr>
          <w:p w14:paraId="6EA9865C" w14:textId="77777777" w:rsidR="00D37F2D" w:rsidRPr="003A769F" w:rsidRDefault="00D37F2D">
            <w:pPr>
              <w:jc w:val="center"/>
              <w:rPr>
                <w:noProof/>
                <w:sz w:val="18"/>
                <w:lang w:val="en-IE"/>
              </w:rPr>
            </w:pPr>
            <w:r w:rsidRPr="73D5EDD6">
              <w:rPr>
                <w:noProof/>
                <w:sz w:val="18"/>
                <w:szCs w:val="18"/>
                <w:lang w:val="en-IE"/>
              </w:rPr>
              <w:t>Impact of the proposal/initiative</w:t>
            </w:r>
            <w:r>
              <w:rPr>
                <w:rStyle w:val="FootnoteReference"/>
                <w:noProof/>
                <w:sz w:val="18"/>
                <w:szCs w:val="18"/>
              </w:rPr>
              <w:footnoteReference w:id="106"/>
            </w:r>
          </w:p>
        </w:tc>
      </w:tr>
      <w:tr w:rsidR="00D37F2D" w14:paraId="37C0F931" w14:textId="77777777">
        <w:trPr>
          <w:trHeight w:val="388"/>
        </w:trPr>
        <w:tc>
          <w:tcPr>
            <w:tcW w:w="1423" w:type="pct"/>
            <w:vMerge/>
          </w:tcPr>
          <w:p w14:paraId="72DAC593" w14:textId="77777777" w:rsidR="00D37F2D" w:rsidRPr="003A769F" w:rsidRDefault="00D37F2D">
            <w:pPr>
              <w:spacing w:before="40" w:after="40"/>
              <w:rPr>
                <w:noProof/>
                <w:sz w:val="18"/>
                <w:lang w:val="en-IE"/>
              </w:rPr>
            </w:pPr>
          </w:p>
        </w:tc>
        <w:tc>
          <w:tcPr>
            <w:tcW w:w="869" w:type="pct"/>
            <w:vMerge/>
          </w:tcPr>
          <w:p w14:paraId="4DDA9C5A" w14:textId="77777777" w:rsidR="00D37F2D" w:rsidRPr="003A769F" w:rsidRDefault="00D37F2D">
            <w:pPr>
              <w:spacing w:beforeLines="40" w:before="96" w:afterLines="40" w:after="96"/>
              <w:rPr>
                <w:i/>
                <w:noProof/>
                <w:sz w:val="18"/>
                <w:lang w:val="en-IE"/>
              </w:rPr>
            </w:pPr>
          </w:p>
        </w:tc>
        <w:tc>
          <w:tcPr>
            <w:tcW w:w="911" w:type="pct"/>
            <w:vAlign w:val="center"/>
          </w:tcPr>
          <w:p w14:paraId="56ACFD97" w14:textId="77777777" w:rsidR="00D37F2D" w:rsidRDefault="00D37F2D">
            <w:pPr>
              <w:jc w:val="center"/>
              <w:rPr>
                <w:noProof/>
                <w:sz w:val="18"/>
              </w:rPr>
            </w:pPr>
            <w:r>
              <w:rPr>
                <w:noProof/>
                <w:sz w:val="18"/>
              </w:rPr>
              <w:t xml:space="preserve">Year </w:t>
            </w:r>
            <w:r>
              <w:rPr>
                <w:b/>
                <w:noProof/>
                <w:sz w:val="18"/>
              </w:rPr>
              <w:t>2024</w:t>
            </w:r>
          </w:p>
        </w:tc>
        <w:tc>
          <w:tcPr>
            <w:tcW w:w="562" w:type="pct"/>
            <w:vAlign w:val="center"/>
          </w:tcPr>
          <w:p w14:paraId="45895BFA" w14:textId="77777777" w:rsidR="00D37F2D" w:rsidRDefault="00D37F2D">
            <w:pPr>
              <w:jc w:val="center"/>
              <w:rPr>
                <w:noProof/>
                <w:sz w:val="18"/>
              </w:rPr>
            </w:pPr>
            <w:r>
              <w:rPr>
                <w:noProof/>
                <w:sz w:val="18"/>
              </w:rPr>
              <w:t xml:space="preserve">Year </w:t>
            </w:r>
            <w:r>
              <w:rPr>
                <w:b/>
                <w:noProof/>
                <w:sz w:val="18"/>
              </w:rPr>
              <w:t>2025</w:t>
            </w:r>
          </w:p>
        </w:tc>
        <w:tc>
          <w:tcPr>
            <w:tcW w:w="557" w:type="pct"/>
            <w:vAlign w:val="center"/>
          </w:tcPr>
          <w:p w14:paraId="419A62A8" w14:textId="77777777" w:rsidR="00D37F2D" w:rsidRDefault="00D37F2D">
            <w:pPr>
              <w:jc w:val="center"/>
              <w:rPr>
                <w:noProof/>
                <w:sz w:val="18"/>
              </w:rPr>
            </w:pPr>
            <w:r>
              <w:rPr>
                <w:noProof/>
                <w:sz w:val="18"/>
              </w:rPr>
              <w:t xml:space="preserve">Year </w:t>
            </w:r>
            <w:r>
              <w:rPr>
                <w:b/>
                <w:noProof/>
                <w:sz w:val="18"/>
              </w:rPr>
              <w:t>2026</w:t>
            </w:r>
          </w:p>
        </w:tc>
        <w:tc>
          <w:tcPr>
            <w:tcW w:w="679" w:type="pct"/>
            <w:vAlign w:val="center"/>
          </w:tcPr>
          <w:p w14:paraId="5AC7A2E4" w14:textId="77777777" w:rsidR="00D37F2D" w:rsidRDefault="00D37F2D">
            <w:pPr>
              <w:jc w:val="center"/>
              <w:rPr>
                <w:noProof/>
                <w:sz w:val="18"/>
              </w:rPr>
            </w:pPr>
            <w:r>
              <w:rPr>
                <w:noProof/>
                <w:sz w:val="18"/>
              </w:rPr>
              <w:t xml:space="preserve">Year </w:t>
            </w:r>
            <w:r>
              <w:rPr>
                <w:b/>
                <w:noProof/>
                <w:sz w:val="18"/>
              </w:rPr>
              <w:t>2027</w:t>
            </w:r>
          </w:p>
        </w:tc>
      </w:tr>
      <w:tr w:rsidR="00D37F2D" w14:paraId="718E9470" w14:textId="77777777">
        <w:trPr>
          <w:trHeight w:val="388"/>
        </w:trPr>
        <w:tc>
          <w:tcPr>
            <w:tcW w:w="1423" w:type="pct"/>
            <w:vAlign w:val="center"/>
          </w:tcPr>
          <w:p w14:paraId="0124AA04" w14:textId="77777777" w:rsidR="00D37F2D" w:rsidRDefault="00D37F2D">
            <w:pPr>
              <w:spacing w:before="40" w:after="40"/>
              <w:rPr>
                <w:noProof/>
                <w:sz w:val="18"/>
              </w:rPr>
            </w:pPr>
            <w:r>
              <w:rPr>
                <w:noProof/>
                <w:sz w:val="18"/>
              </w:rPr>
              <w:t>Article ………….</w:t>
            </w:r>
          </w:p>
        </w:tc>
        <w:tc>
          <w:tcPr>
            <w:tcW w:w="869" w:type="pct"/>
          </w:tcPr>
          <w:p w14:paraId="769B0D6D" w14:textId="77777777" w:rsidR="00D37F2D" w:rsidRDefault="00D37F2D">
            <w:pPr>
              <w:spacing w:beforeLines="40" w:before="96" w:afterLines="40" w:after="96"/>
              <w:jc w:val="center"/>
              <w:rPr>
                <w:i/>
                <w:noProof/>
                <w:sz w:val="18"/>
              </w:rPr>
            </w:pPr>
          </w:p>
        </w:tc>
        <w:tc>
          <w:tcPr>
            <w:tcW w:w="911" w:type="pct"/>
          </w:tcPr>
          <w:p w14:paraId="355F14B9" w14:textId="77777777" w:rsidR="00D37F2D" w:rsidRDefault="00D37F2D">
            <w:pPr>
              <w:spacing w:beforeLines="40" w:before="96" w:afterLines="40" w:after="96"/>
              <w:jc w:val="center"/>
              <w:rPr>
                <w:noProof/>
                <w:sz w:val="18"/>
              </w:rPr>
            </w:pPr>
          </w:p>
        </w:tc>
        <w:tc>
          <w:tcPr>
            <w:tcW w:w="562" w:type="pct"/>
          </w:tcPr>
          <w:p w14:paraId="1BAAC178" w14:textId="77777777" w:rsidR="00D37F2D" w:rsidRDefault="00D37F2D">
            <w:pPr>
              <w:spacing w:beforeLines="40" w:before="96" w:afterLines="40" w:after="96"/>
              <w:jc w:val="center"/>
              <w:rPr>
                <w:noProof/>
                <w:sz w:val="18"/>
              </w:rPr>
            </w:pPr>
          </w:p>
        </w:tc>
        <w:tc>
          <w:tcPr>
            <w:tcW w:w="557" w:type="pct"/>
          </w:tcPr>
          <w:p w14:paraId="00CCDE48" w14:textId="77777777" w:rsidR="00D37F2D" w:rsidRDefault="00D37F2D">
            <w:pPr>
              <w:spacing w:beforeLines="40" w:before="96" w:afterLines="40" w:after="96"/>
              <w:jc w:val="center"/>
              <w:rPr>
                <w:noProof/>
                <w:sz w:val="18"/>
              </w:rPr>
            </w:pPr>
          </w:p>
        </w:tc>
        <w:tc>
          <w:tcPr>
            <w:tcW w:w="679" w:type="pct"/>
          </w:tcPr>
          <w:p w14:paraId="4E7820C9" w14:textId="77777777" w:rsidR="00D37F2D" w:rsidRDefault="00D37F2D">
            <w:pPr>
              <w:spacing w:beforeLines="40" w:before="96" w:afterLines="40" w:after="96"/>
              <w:jc w:val="center"/>
              <w:rPr>
                <w:noProof/>
                <w:sz w:val="18"/>
              </w:rPr>
            </w:pPr>
          </w:p>
        </w:tc>
      </w:tr>
    </w:tbl>
    <w:p w14:paraId="05E174B1" w14:textId="77777777" w:rsidR="00D37F2D" w:rsidRPr="00B33C43" w:rsidRDefault="00D37F2D" w:rsidP="00D37F2D">
      <w:pPr>
        <w:pStyle w:val="Text1"/>
        <w:rPr>
          <w:noProof/>
          <w:szCs w:val="24"/>
        </w:rPr>
      </w:pPr>
      <w:r w:rsidRPr="00B33C43">
        <w:rPr>
          <w:noProof/>
          <w:szCs w:val="24"/>
        </w:rPr>
        <w:t>For assigned revenue, specify the budget expenditure line(s) affected.</w:t>
      </w:r>
    </w:p>
    <w:p w14:paraId="35466246" w14:textId="03024F45" w:rsidR="00D37F2D" w:rsidRDefault="00D37F2D" w:rsidP="00D37F2D">
      <w:pPr>
        <w:pStyle w:val="Text1"/>
        <w:pBdr>
          <w:top w:val="single" w:sz="4" w:space="1" w:color="auto"/>
          <w:left w:val="single" w:sz="4" w:space="4" w:color="auto"/>
          <w:bottom w:val="single" w:sz="4" w:space="1" w:color="auto"/>
          <w:right w:val="single" w:sz="4" w:space="4" w:color="auto"/>
        </w:pBdr>
        <w:rPr>
          <w:noProof/>
        </w:rPr>
      </w:pPr>
    </w:p>
    <w:p w14:paraId="6834E534" w14:textId="77777777" w:rsidR="00D37F2D" w:rsidRPr="00B33C43" w:rsidRDefault="00D37F2D" w:rsidP="00D37F2D">
      <w:pPr>
        <w:pStyle w:val="Text1"/>
        <w:rPr>
          <w:noProof/>
          <w:szCs w:val="24"/>
        </w:rPr>
      </w:pPr>
      <w:r w:rsidRPr="00B33C43">
        <w:rPr>
          <w:noProof/>
          <w:szCs w:val="24"/>
        </w:rPr>
        <w:t>Other remarks (e.g. method/formula used for calculating the impact on revenue or any other information).</w:t>
      </w:r>
    </w:p>
    <w:p w14:paraId="5049EA8F" w14:textId="0AA7B1EF" w:rsidR="00D37F2D" w:rsidRDefault="00D37F2D" w:rsidP="00D37F2D">
      <w:pPr>
        <w:pStyle w:val="Text1"/>
        <w:pBdr>
          <w:top w:val="single" w:sz="4" w:space="1" w:color="auto"/>
          <w:left w:val="single" w:sz="4" w:space="4" w:color="auto"/>
          <w:bottom w:val="single" w:sz="4" w:space="1" w:color="auto"/>
          <w:right w:val="single" w:sz="4" w:space="4" w:color="auto"/>
        </w:pBdr>
        <w:rPr>
          <w:noProof/>
        </w:rPr>
      </w:pPr>
    </w:p>
    <w:p w14:paraId="3EB854A7" w14:textId="77777777" w:rsidR="00D37F2D" w:rsidRPr="00532763" w:rsidRDefault="00D37F2D" w:rsidP="00D37F2D">
      <w:pPr>
        <w:pStyle w:val="ManualHeading1"/>
        <w:rPr>
          <w:caps/>
        </w:rPr>
      </w:pPr>
      <w:bookmarkStart w:id="195" w:name="_Toc167220301"/>
      <w:bookmarkStart w:id="196" w:name="_Toc177549035"/>
      <w:r>
        <w:t>4.</w:t>
      </w:r>
      <w:r>
        <w:tab/>
      </w:r>
      <w:bookmarkStart w:id="197" w:name="_Hlk167692977"/>
      <w:r w:rsidRPr="7D67B65D">
        <w:rPr>
          <w:caps/>
        </w:rPr>
        <w:t>Digital dimension</w:t>
      </w:r>
      <w:r>
        <w:rPr>
          <w:caps/>
        </w:rPr>
        <w:t>s</w:t>
      </w:r>
      <w:bookmarkEnd w:id="195"/>
      <w:bookmarkEnd w:id="196"/>
    </w:p>
    <w:p w14:paraId="4094694D" w14:textId="77777777" w:rsidR="00D37F2D" w:rsidRPr="008774EA" w:rsidRDefault="00D37F2D" w:rsidP="00D37F2D">
      <w:pPr>
        <w:pStyle w:val="ManualHeading2"/>
      </w:pPr>
      <w:bookmarkStart w:id="198" w:name="_Toc167220302"/>
      <w:bookmarkStart w:id="199" w:name="_Toc177549037"/>
      <w:r>
        <w:t>4.1.</w:t>
      </w:r>
      <w:r>
        <w:tab/>
        <w:t>Requirements of digital relevance</w:t>
      </w:r>
      <w:bookmarkEnd w:id="198"/>
      <w:bookmarkEnd w:id="199"/>
    </w:p>
    <w:tbl>
      <w:tblPr>
        <w:tblStyle w:val="TableGrid"/>
        <w:tblW w:w="9072" w:type="dxa"/>
        <w:tblInd w:w="-5" w:type="dxa"/>
        <w:tblLayout w:type="fixed"/>
        <w:tblLook w:val="06A0" w:firstRow="1" w:lastRow="0" w:firstColumn="1" w:lastColumn="0" w:noHBand="1" w:noVBand="1"/>
      </w:tblPr>
      <w:tblGrid>
        <w:gridCol w:w="9072"/>
      </w:tblGrid>
      <w:tr w:rsidR="00D37F2D" w14:paraId="010F7D7A" w14:textId="77777777">
        <w:trPr>
          <w:trHeight w:val="300"/>
        </w:trPr>
        <w:tc>
          <w:tcPr>
            <w:tcW w:w="9072" w:type="dxa"/>
          </w:tcPr>
          <w:tbl>
            <w:tblPr>
              <w:tblStyle w:val="TableGrid"/>
              <w:tblW w:w="12284" w:type="dxa"/>
              <w:tblLayout w:type="fixed"/>
              <w:tblLook w:val="04A0" w:firstRow="1" w:lastRow="0" w:firstColumn="1" w:lastColumn="0" w:noHBand="0" w:noVBand="1"/>
            </w:tblPr>
            <w:tblGrid>
              <w:gridCol w:w="1413"/>
              <w:gridCol w:w="2410"/>
              <w:gridCol w:w="1481"/>
              <w:gridCol w:w="1936"/>
              <w:gridCol w:w="5044"/>
            </w:tblGrid>
            <w:tr w:rsidR="00D37F2D" w14:paraId="480BC526" w14:textId="77777777">
              <w:tc>
                <w:tcPr>
                  <w:tcW w:w="1413" w:type="dxa"/>
                  <w:shd w:val="clear" w:color="auto" w:fill="auto"/>
                </w:tcPr>
                <w:p w14:paraId="189898A0" w14:textId="77777777" w:rsidR="00D37F2D" w:rsidRPr="001D7C2D" w:rsidRDefault="00D37F2D">
                  <w:r w:rsidRPr="00243BE4">
                    <w:rPr>
                      <w:b/>
                      <w:bCs/>
                      <w:sz w:val="18"/>
                      <w:szCs w:val="18"/>
                    </w:rPr>
                    <w:t>Reference to requirement</w:t>
                  </w:r>
                </w:p>
              </w:tc>
              <w:tc>
                <w:tcPr>
                  <w:tcW w:w="2410" w:type="dxa"/>
                  <w:shd w:val="clear" w:color="auto" w:fill="auto"/>
                </w:tcPr>
                <w:p w14:paraId="3123E9F3" w14:textId="77777777" w:rsidR="00D37F2D" w:rsidRPr="00243BE4" w:rsidRDefault="00D37F2D">
                  <w:pPr>
                    <w:rPr>
                      <w:b/>
                      <w:bCs/>
                      <w:sz w:val="18"/>
                      <w:szCs w:val="18"/>
                    </w:rPr>
                  </w:pPr>
                  <w:r w:rsidRPr="00243BE4">
                    <w:rPr>
                      <w:b/>
                      <w:bCs/>
                      <w:sz w:val="18"/>
                      <w:szCs w:val="18"/>
                    </w:rPr>
                    <w:t xml:space="preserve">Requirement description </w:t>
                  </w:r>
                </w:p>
                <w:p w14:paraId="49D2CF1E" w14:textId="77777777" w:rsidR="00D37F2D" w:rsidRPr="001D7C2D" w:rsidRDefault="00D37F2D"/>
              </w:tc>
              <w:tc>
                <w:tcPr>
                  <w:tcW w:w="1481" w:type="dxa"/>
                  <w:shd w:val="clear" w:color="auto" w:fill="auto"/>
                </w:tcPr>
                <w:p w14:paraId="37608272" w14:textId="77777777" w:rsidR="00D37F2D" w:rsidRPr="001D7C2D" w:rsidRDefault="00D37F2D">
                  <w:r w:rsidRPr="00243BE4">
                    <w:rPr>
                      <w:b/>
                      <w:bCs/>
                      <w:sz w:val="18"/>
                      <w:szCs w:val="18"/>
                    </w:rPr>
                    <w:t>Stakeholder categories affected</w:t>
                  </w:r>
                </w:p>
              </w:tc>
              <w:tc>
                <w:tcPr>
                  <w:tcW w:w="1936" w:type="dxa"/>
                  <w:shd w:val="clear" w:color="auto" w:fill="auto"/>
                </w:tcPr>
                <w:p w14:paraId="0C79335F" w14:textId="77777777" w:rsidR="00D37F2D" w:rsidRPr="001D7C2D" w:rsidRDefault="00D37F2D">
                  <w:r w:rsidRPr="00243BE4">
                    <w:rPr>
                      <w:b/>
                      <w:bCs/>
                      <w:sz w:val="18"/>
                      <w:szCs w:val="18"/>
                    </w:rPr>
                    <w:t xml:space="preserve">High-level processes affected by this requirement </w:t>
                  </w:r>
                </w:p>
              </w:tc>
              <w:tc>
                <w:tcPr>
                  <w:tcW w:w="5044" w:type="dxa"/>
                  <w:shd w:val="clear" w:color="auto" w:fill="auto"/>
                </w:tcPr>
                <w:p w14:paraId="20B482D4" w14:textId="77777777" w:rsidR="00D37F2D" w:rsidRPr="001D7C2D" w:rsidRDefault="00D37F2D">
                  <w:r w:rsidRPr="00243BE4">
                    <w:rPr>
                      <w:b/>
                      <w:bCs/>
                      <w:sz w:val="18"/>
                      <w:szCs w:val="18"/>
                    </w:rPr>
                    <w:t>Category</w:t>
                  </w:r>
                </w:p>
              </w:tc>
            </w:tr>
            <w:tr w:rsidR="00D37F2D" w:rsidRPr="00FA70A4" w14:paraId="0EEF313A" w14:textId="77777777">
              <w:tc>
                <w:tcPr>
                  <w:tcW w:w="1413" w:type="dxa"/>
                  <w:shd w:val="clear" w:color="auto" w:fill="auto"/>
                </w:tcPr>
                <w:p w14:paraId="06971D3F" w14:textId="77777777" w:rsidR="00D37F2D" w:rsidRPr="00A32F87" w:rsidRDefault="00D37F2D">
                  <w:pPr>
                    <w:jc w:val="left"/>
                    <w:rPr>
                      <w:sz w:val="18"/>
                      <w:szCs w:val="18"/>
                    </w:rPr>
                  </w:pPr>
                  <w:r w:rsidRPr="00A32F87">
                    <w:rPr>
                      <w:sz w:val="18"/>
                      <w:szCs w:val="14"/>
                    </w:rPr>
                    <w:t xml:space="preserve">Article </w:t>
                  </w:r>
                  <w:r>
                    <w:rPr>
                      <w:sz w:val="18"/>
                      <w:szCs w:val="14"/>
                    </w:rPr>
                    <w:t xml:space="preserve">6 </w:t>
                  </w:r>
                  <w:r w:rsidRPr="00A32F87">
                    <w:rPr>
                      <w:sz w:val="18"/>
                      <w:szCs w:val="14"/>
                    </w:rPr>
                    <w:t>paragraph 1</w:t>
                  </w:r>
                </w:p>
              </w:tc>
              <w:tc>
                <w:tcPr>
                  <w:tcW w:w="2410" w:type="dxa"/>
                  <w:shd w:val="clear" w:color="auto" w:fill="auto"/>
                </w:tcPr>
                <w:p w14:paraId="6E49B693" w14:textId="77777777" w:rsidR="00D37F2D" w:rsidRPr="00A32F87" w:rsidRDefault="00D37F2D">
                  <w:pPr>
                    <w:rPr>
                      <w:sz w:val="18"/>
                      <w:szCs w:val="18"/>
                    </w:rPr>
                  </w:pPr>
                  <w:r w:rsidRPr="00A32F87">
                    <w:rPr>
                      <w:sz w:val="18"/>
                      <w:szCs w:val="14"/>
                    </w:rPr>
                    <w:t>Recognition of Strategic Projects</w:t>
                  </w:r>
                </w:p>
              </w:tc>
              <w:tc>
                <w:tcPr>
                  <w:tcW w:w="1481" w:type="dxa"/>
                  <w:shd w:val="clear" w:color="auto" w:fill="auto"/>
                </w:tcPr>
                <w:p w14:paraId="1CEE2A8D" w14:textId="77777777" w:rsidR="00D37F2D" w:rsidRPr="00A32F87" w:rsidRDefault="00D37F2D">
                  <w:pPr>
                    <w:rPr>
                      <w:sz w:val="18"/>
                      <w:szCs w:val="14"/>
                    </w:rPr>
                  </w:pPr>
                  <w:r w:rsidRPr="00A32F87">
                    <w:rPr>
                      <w:sz w:val="18"/>
                      <w:szCs w:val="14"/>
                      <w:lang w:eastAsia="en-GB"/>
                    </w:rPr>
                    <w:t>Project promoter</w:t>
                  </w:r>
                </w:p>
                <w:p w14:paraId="77E33484" w14:textId="77777777" w:rsidR="00D37F2D" w:rsidRPr="00A32F87" w:rsidRDefault="00D37F2D">
                  <w:pPr>
                    <w:rPr>
                      <w:sz w:val="18"/>
                      <w:szCs w:val="18"/>
                    </w:rPr>
                  </w:pPr>
                  <w:r w:rsidRPr="00A32F87">
                    <w:rPr>
                      <w:sz w:val="18"/>
                      <w:szCs w:val="14"/>
                    </w:rPr>
                    <w:t>National authority</w:t>
                  </w:r>
                </w:p>
              </w:tc>
              <w:tc>
                <w:tcPr>
                  <w:tcW w:w="1936" w:type="dxa"/>
                  <w:shd w:val="clear" w:color="auto" w:fill="auto"/>
                </w:tcPr>
                <w:p w14:paraId="6262AF3A" w14:textId="77777777" w:rsidR="00D37F2D" w:rsidRPr="00A32F87" w:rsidRDefault="00D37F2D">
                  <w:pPr>
                    <w:rPr>
                      <w:sz w:val="18"/>
                      <w:szCs w:val="18"/>
                    </w:rPr>
                  </w:pPr>
                  <w:r w:rsidRPr="00A32F87">
                    <w:rPr>
                      <w:sz w:val="18"/>
                      <w:szCs w:val="14"/>
                    </w:rPr>
                    <w:t>Request recognition of Strategic project</w:t>
                  </w:r>
                </w:p>
              </w:tc>
              <w:tc>
                <w:tcPr>
                  <w:tcW w:w="5044" w:type="dxa"/>
                  <w:shd w:val="clear" w:color="auto" w:fill="auto"/>
                </w:tcPr>
                <w:p w14:paraId="7EE926E6" w14:textId="77777777" w:rsidR="00D37F2D" w:rsidRPr="00A32F87" w:rsidRDefault="00D37F2D">
                  <w:pPr>
                    <w:rPr>
                      <w:sz w:val="18"/>
                      <w:szCs w:val="14"/>
                    </w:rPr>
                  </w:pPr>
                  <w:r w:rsidRPr="00A32F87">
                    <w:rPr>
                      <w:sz w:val="18"/>
                      <w:szCs w:val="14"/>
                    </w:rPr>
                    <w:t>Data</w:t>
                  </w:r>
                </w:p>
                <w:p w14:paraId="518635CC" w14:textId="77777777" w:rsidR="00D37F2D" w:rsidRPr="00A32F87" w:rsidRDefault="00D37F2D">
                  <w:pPr>
                    <w:rPr>
                      <w:sz w:val="18"/>
                      <w:szCs w:val="14"/>
                    </w:rPr>
                  </w:pPr>
                  <w:r w:rsidRPr="00A32F87">
                    <w:rPr>
                      <w:sz w:val="18"/>
                      <w:szCs w:val="14"/>
                    </w:rPr>
                    <w:t xml:space="preserve">Digital Public </w:t>
                  </w:r>
                </w:p>
                <w:p w14:paraId="24CAB0D9" w14:textId="77777777" w:rsidR="00D37F2D" w:rsidRPr="00A32F87" w:rsidRDefault="00D37F2D">
                  <w:pPr>
                    <w:rPr>
                      <w:sz w:val="18"/>
                      <w:szCs w:val="18"/>
                    </w:rPr>
                  </w:pPr>
                  <w:r w:rsidRPr="00A32F87">
                    <w:rPr>
                      <w:sz w:val="18"/>
                      <w:szCs w:val="14"/>
                    </w:rPr>
                    <w:t>Service</w:t>
                  </w:r>
                </w:p>
              </w:tc>
            </w:tr>
            <w:tr w:rsidR="00D37F2D" w14:paraId="00099705" w14:textId="77777777">
              <w:tc>
                <w:tcPr>
                  <w:tcW w:w="1413" w:type="dxa"/>
                  <w:shd w:val="clear" w:color="auto" w:fill="auto"/>
                </w:tcPr>
                <w:p w14:paraId="094040FC" w14:textId="77777777" w:rsidR="00D37F2D" w:rsidRPr="001D7C2D" w:rsidRDefault="00D37F2D">
                  <w:pPr>
                    <w:jc w:val="left"/>
                    <w:rPr>
                      <w:rFonts w:eastAsiaTheme="minorHAnsi"/>
                    </w:rPr>
                  </w:pPr>
                  <w:r w:rsidRPr="00AE140F">
                    <w:rPr>
                      <w:sz w:val="18"/>
                      <w:szCs w:val="18"/>
                    </w:rPr>
                    <w:t xml:space="preserve">Article </w:t>
                  </w:r>
                  <w:r>
                    <w:rPr>
                      <w:sz w:val="18"/>
                      <w:szCs w:val="18"/>
                    </w:rPr>
                    <w:t>6</w:t>
                  </w:r>
                  <w:r w:rsidRPr="00AE140F">
                    <w:rPr>
                      <w:sz w:val="18"/>
                      <w:szCs w:val="18"/>
                    </w:rPr>
                    <w:t xml:space="preserve"> paragraph 2</w:t>
                  </w:r>
                </w:p>
              </w:tc>
              <w:tc>
                <w:tcPr>
                  <w:tcW w:w="2410" w:type="dxa"/>
                  <w:shd w:val="clear" w:color="auto" w:fill="auto"/>
                </w:tcPr>
                <w:p w14:paraId="0109BEE5" w14:textId="77777777" w:rsidR="00D37F2D" w:rsidRPr="00AE140F" w:rsidRDefault="00D37F2D">
                  <w:pPr>
                    <w:rPr>
                      <w:sz w:val="18"/>
                      <w:szCs w:val="18"/>
                    </w:rPr>
                  </w:pPr>
                  <w:r w:rsidRPr="00AE140F">
                    <w:rPr>
                      <w:sz w:val="18"/>
                      <w:szCs w:val="18"/>
                    </w:rPr>
                    <w:t xml:space="preserve">Member States shall communicate to the Commission which authority is designated for assessing and confirming Strategic Projects; </w:t>
                  </w:r>
                </w:p>
              </w:tc>
              <w:tc>
                <w:tcPr>
                  <w:tcW w:w="1481" w:type="dxa"/>
                  <w:shd w:val="clear" w:color="auto" w:fill="auto"/>
                </w:tcPr>
                <w:p w14:paraId="6DED0545" w14:textId="77777777" w:rsidR="00D37F2D" w:rsidRPr="001D7C2D" w:rsidRDefault="00D37F2D">
                  <w:r w:rsidRPr="00AE140F">
                    <w:rPr>
                      <w:sz w:val="18"/>
                      <w:szCs w:val="18"/>
                    </w:rPr>
                    <w:t>EC, MS</w:t>
                  </w:r>
                </w:p>
              </w:tc>
              <w:tc>
                <w:tcPr>
                  <w:tcW w:w="1936" w:type="dxa"/>
                  <w:shd w:val="clear" w:color="auto" w:fill="auto"/>
                </w:tcPr>
                <w:p w14:paraId="38F01D1B" w14:textId="77777777" w:rsidR="00D37F2D" w:rsidRPr="001D7C2D" w:rsidRDefault="00D37F2D">
                  <w:r w:rsidRPr="00AE140F">
                    <w:rPr>
                      <w:sz w:val="18"/>
                      <w:szCs w:val="18"/>
                    </w:rPr>
                    <w:t xml:space="preserve">Notify </w:t>
                  </w:r>
                </w:p>
              </w:tc>
              <w:tc>
                <w:tcPr>
                  <w:tcW w:w="5044" w:type="dxa"/>
                  <w:shd w:val="clear" w:color="auto" w:fill="auto"/>
                </w:tcPr>
                <w:p w14:paraId="6E996F8B" w14:textId="77777777" w:rsidR="00D37F2D" w:rsidRPr="00AE140F" w:rsidRDefault="00D37F2D">
                  <w:pPr>
                    <w:rPr>
                      <w:sz w:val="18"/>
                      <w:szCs w:val="18"/>
                    </w:rPr>
                  </w:pPr>
                  <w:r w:rsidRPr="00AE140F">
                    <w:rPr>
                      <w:sz w:val="18"/>
                      <w:szCs w:val="18"/>
                    </w:rPr>
                    <w:t>Data</w:t>
                  </w:r>
                </w:p>
                <w:p w14:paraId="0F59266E" w14:textId="77777777" w:rsidR="00D37F2D" w:rsidRPr="00AE140F" w:rsidRDefault="00D37F2D">
                  <w:pPr>
                    <w:rPr>
                      <w:sz w:val="18"/>
                      <w:szCs w:val="14"/>
                    </w:rPr>
                  </w:pPr>
                  <w:r w:rsidRPr="00AE140F">
                    <w:rPr>
                      <w:sz w:val="18"/>
                      <w:szCs w:val="14"/>
                    </w:rPr>
                    <w:t xml:space="preserve">Digital Public </w:t>
                  </w:r>
                </w:p>
                <w:p w14:paraId="6A23F20C" w14:textId="77777777" w:rsidR="00D37F2D" w:rsidRPr="001D7C2D" w:rsidRDefault="00D37F2D">
                  <w:r w:rsidRPr="00AE140F">
                    <w:rPr>
                      <w:sz w:val="18"/>
                      <w:szCs w:val="14"/>
                    </w:rPr>
                    <w:t>Service</w:t>
                  </w:r>
                </w:p>
              </w:tc>
            </w:tr>
            <w:tr w:rsidR="00D37F2D" w14:paraId="1E4D59C4" w14:textId="77777777">
              <w:tc>
                <w:tcPr>
                  <w:tcW w:w="1413" w:type="dxa"/>
                  <w:shd w:val="clear" w:color="auto" w:fill="auto"/>
                </w:tcPr>
                <w:p w14:paraId="0AF35A6F" w14:textId="7413FC00" w:rsidR="00D37F2D" w:rsidRPr="001D7C2D" w:rsidRDefault="00D37F2D">
                  <w:pPr>
                    <w:jc w:val="left"/>
                  </w:pPr>
                  <w:r w:rsidRPr="00AE140F">
                    <w:rPr>
                      <w:sz w:val="18"/>
                      <w:szCs w:val="18"/>
                    </w:rPr>
                    <w:t xml:space="preserve">Article </w:t>
                  </w:r>
                  <w:r>
                    <w:rPr>
                      <w:sz w:val="18"/>
                      <w:szCs w:val="18"/>
                    </w:rPr>
                    <w:t xml:space="preserve">6 </w:t>
                  </w:r>
                  <w:r w:rsidRPr="00AE140F">
                    <w:rPr>
                      <w:sz w:val="18"/>
                      <w:szCs w:val="18"/>
                    </w:rPr>
                    <w:t>paragraph</w:t>
                  </w:r>
                  <w:r w:rsidR="00DA02F7">
                    <w:rPr>
                      <w:sz w:val="18"/>
                      <w:szCs w:val="18"/>
                    </w:rPr>
                    <w:t xml:space="preserve"> </w:t>
                  </w:r>
                  <w:r>
                    <w:rPr>
                      <w:sz w:val="18"/>
                      <w:szCs w:val="18"/>
                    </w:rPr>
                    <w:t>3</w:t>
                  </w:r>
                </w:p>
              </w:tc>
              <w:tc>
                <w:tcPr>
                  <w:tcW w:w="2410" w:type="dxa"/>
                  <w:shd w:val="clear" w:color="auto" w:fill="auto"/>
                </w:tcPr>
                <w:p w14:paraId="34E10FF8" w14:textId="77777777" w:rsidR="00D37F2D" w:rsidRPr="001D7C2D" w:rsidRDefault="00D37F2D">
                  <w:r w:rsidRPr="00AE140F">
                    <w:rPr>
                      <w:sz w:val="18"/>
                      <w:szCs w:val="18"/>
                    </w:rPr>
                    <w:t>EC publishes online the list of MS designated authorities</w:t>
                  </w:r>
                </w:p>
              </w:tc>
              <w:tc>
                <w:tcPr>
                  <w:tcW w:w="1481" w:type="dxa"/>
                  <w:shd w:val="clear" w:color="auto" w:fill="auto"/>
                </w:tcPr>
                <w:p w14:paraId="392E74B4" w14:textId="77777777" w:rsidR="00D37F2D" w:rsidRPr="001D7C2D" w:rsidRDefault="00D37F2D">
                  <w:r w:rsidRPr="00AE140F">
                    <w:rPr>
                      <w:sz w:val="18"/>
                      <w:szCs w:val="18"/>
                    </w:rPr>
                    <w:t>EC, MS</w:t>
                  </w:r>
                </w:p>
              </w:tc>
              <w:tc>
                <w:tcPr>
                  <w:tcW w:w="1936" w:type="dxa"/>
                  <w:shd w:val="clear" w:color="auto" w:fill="auto"/>
                </w:tcPr>
                <w:p w14:paraId="463FFC53" w14:textId="77777777" w:rsidR="00D37F2D" w:rsidRPr="001D7C2D" w:rsidRDefault="00D37F2D">
                  <w:r w:rsidRPr="00AE140F">
                    <w:rPr>
                      <w:sz w:val="18"/>
                      <w:szCs w:val="18"/>
                    </w:rPr>
                    <w:t xml:space="preserve">Publish </w:t>
                  </w:r>
                </w:p>
              </w:tc>
              <w:tc>
                <w:tcPr>
                  <w:tcW w:w="5044" w:type="dxa"/>
                  <w:shd w:val="clear" w:color="auto" w:fill="auto"/>
                </w:tcPr>
                <w:p w14:paraId="1FBFDB50" w14:textId="77777777" w:rsidR="00D37F2D" w:rsidRPr="001D7C2D" w:rsidRDefault="00D37F2D">
                  <w:r w:rsidRPr="00AE140F">
                    <w:rPr>
                      <w:sz w:val="18"/>
                      <w:szCs w:val="18"/>
                    </w:rPr>
                    <w:t>Data</w:t>
                  </w:r>
                </w:p>
              </w:tc>
            </w:tr>
            <w:tr w:rsidR="00D37F2D" w:rsidRPr="00CF1E5F" w14:paraId="15C60897" w14:textId="77777777">
              <w:tc>
                <w:tcPr>
                  <w:tcW w:w="1413" w:type="dxa"/>
                  <w:shd w:val="clear" w:color="auto" w:fill="auto"/>
                </w:tcPr>
                <w:p w14:paraId="1879758B" w14:textId="77777777" w:rsidR="00D37F2D" w:rsidRPr="00AE140F" w:rsidRDefault="00D37F2D">
                  <w:pPr>
                    <w:jc w:val="left"/>
                    <w:rPr>
                      <w:sz w:val="18"/>
                      <w:szCs w:val="18"/>
                    </w:rPr>
                  </w:pPr>
                  <w:r w:rsidRPr="00AE140F">
                    <w:rPr>
                      <w:sz w:val="18"/>
                      <w:szCs w:val="14"/>
                    </w:rPr>
                    <w:t>Article 1</w:t>
                  </w:r>
                  <w:r>
                    <w:rPr>
                      <w:sz w:val="18"/>
                      <w:szCs w:val="14"/>
                    </w:rPr>
                    <w:t>2</w:t>
                  </w:r>
                </w:p>
              </w:tc>
              <w:tc>
                <w:tcPr>
                  <w:tcW w:w="2410" w:type="dxa"/>
                  <w:shd w:val="clear" w:color="auto" w:fill="auto"/>
                </w:tcPr>
                <w:p w14:paraId="069F17F6" w14:textId="77777777" w:rsidR="00D37F2D" w:rsidRPr="00AE140F" w:rsidRDefault="00D37F2D">
                  <w:pPr>
                    <w:rPr>
                      <w:sz w:val="18"/>
                      <w:szCs w:val="18"/>
                    </w:rPr>
                  </w:pPr>
                  <w:r w:rsidRPr="00AE140F">
                    <w:rPr>
                      <w:sz w:val="18"/>
                      <w:szCs w:val="14"/>
                    </w:rPr>
                    <w:t>Combination of environmental assessments required under several legal bases via joint or coordinated procedures</w:t>
                  </w:r>
                </w:p>
              </w:tc>
              <w:tc>
                <w:tcPr>
                  <w:tcW w:w="1481" w:type="dxa"/>
                  <w:shd w:val="clear" w:color="auto" w:fill="auto"/>
                </w:tcPr>
                <w:p w14:paraId="2066F044" w14:textId="77777777" w:rsidR="00D37F2D" w:rsidRPr="00F50ABC" w:rsidRDefault="00D37F2D">
                  <w:pPr>
                    <w:rPr>
                      <w:sz w:val="18"/>
                      <w:szCs w:val="14"/>
                    </w:rPr>
                  </w:pPr>
                  <w:r w:rsidRPr="00F50ABC">
                    <w:rPr>
                      <w:sz w:val="18"/>
                      <w:szCs w:val="14"/>
                    </w:rPr>
                    <w:t>Project promoter</w:t>
                  </w:r>
                </w:p>
                <w:p w14:paraId="281C2783" w14:textId="77777777" w:rsidR="00D37F2D" w:rsidRPr="00AE140F" w:rsidRDefault="00D37F2D">
                  <w:pPr>
                    <w:rPr>
                      <w:sz w:val="18"/>
                      <w:szCs w:val="18"/>
                    </w:rPr>
                  </w:pPr>
                  <w:r w:rsidRPr="00F50ABC">
                    <w:rPr>
                      <w:sz w:val="18"/>
                      <w:szCs w:val="14"/>
                    </w:rPr>
                    <w:t>National authority</w:t>
                  </w:r>
                </w:p>
              </w:tc>
              <w:tc>
                <w:tcPr>
                  <w:tcW w:w="1936" w:type="dxa"/>
                  <w:shd w:val="clear" w:color="auto" w:fill="auto"/>
                </w:tcPr>
                <w:p w14:paraId="5B249904" w14:textId="77777777" w:rsidR="00D37F2D" w:rsidRPr="00AE140F" w:rsidRDefault="00D37F2D">
                  <w:pPr>
                    <w:rPr>
                      <w:sz w:val="18"/>
                      <w:szCs w:val="18"/>
                    </w:rPr>
                  </w:pPr>
                  <w:r w:rsidRPr="00AE140F">
                    <w:rPr>
                      <w:sz w:val="18"/>
                      <w:szCs w:val="14"/>
                    </w:rPr>
                    <w:t>Assess strategic projects for more legal bases</w:t>
                  </w:r>
                </w:p>
              </w:tc>
              <w:tc>
                <w:tcPr>
                  <w:tcW w:w="5044" w:type="dxa"/>
                  <w:shd w:val="clear" w:color="auto" w:fill="auto"/>
                </w:tcPr>
                <w:p w14:paraId="260F12C9" w14:textId="77777777" w:rsidR="00D37F2D" w:rsidRPr="00AE140F" w:rsidRDefault="00D37F2D">
                  <w:pPr>
                    <w:rPr>
                      <w:sz w:val="18"/>
                      <w:szCs w:val="14"/>
                    </w:rPr>
                  </w:pPr>
                  <w:r w:rsidRPr="00AE140F">
                    <w:rPr>
                      <w:sz w:val="18"/>
                      <w:szCs w:val="14"/>
                    </w:rPr>
                    <w:t xml:space="preserve">Data </w:t>
                  </w:r>
                </w:p>
                <w:p w14:paraId="2B5064D0" w14:textId="77777777" w:rsidR="00D37F2D" w:rsidRPr="00AE140F" w:rsidRDefault="00D37F2D">
                  <w:pPr>
                    <w:rPr>
                      <w:sz w:val="18"/>
                      <w:szCs w:val="14"/>
                    </w:rPr>
                  </w:pPr>
                  <w:r w:rsidRPr="00AE140F">
                    <w:rPr>
                      <w:sz w:val="18"/>
                      <w:szCs w:val="14"/>
                    </w:rPr>
                    <w:t>Digital solution</w:t>
                  </w:r>
                </w:p>
                <w:p w14:paraId="46385774" w14:textId="77777777" w:rsidR="00D37F2D" w:rsidRPr="00AE140F" w:rsidRDefault="00D37F2D">
                  <w:pPr>
                    <w:rPr>
                      <w:sz w:val="18"/>
                      <w:szCs w:val="14"/>
                    </w:rPr>
                  </w:pPr>
                  <w:r w:rsidRPr="00AE140F">
                    <w:rPr>
                      <w:sz w:val="18"/>
                      <w:szCs w:val="14"/>
                    </w:rPr>
                    <w:t xml:space="preserve">Digital public </w:t>
                  </w:r>
                </w:p>
                <w:p w14:paraId="7A7FD973" w14:textId="77777777" w:rsidR="00D37F2D" w:rsidRPr="00AE140F" w:rsidRDefault="00D37F2D">
                  <w:pPr>
                    <w:rPr>
                      <w:sz w:val="18"/>
                      <w:szCs w:val="18"/>
                    </w:rPr>
                  </w:pPr>
                  <w:r w:rsidRPr="00AE140F">
                    <w:rPr>
                      <w:sz w:val="18"/>
                      <w:szCs w:val="14"/>
                    </w:rPr>
                    <w:t>service</w:t>
                  </w:r>
                </w:p>
              </w:tc>
            </w:tr>
            <w:tr w:rsidR="00D37F2D" w:rsidRPr="00CF1E5F" w14:paraId="333E355E" w14:textId="77777777">
              <w:tc>
                <w:tcPr>
                  <w:tcW w:w="1413" w:type="dxa"/>
                  <w:shd w:val="clear" w:color="auto" w:fill="auto"/>
                </w:tcPr>
                <w:p w14:paraId="69444D6A" w14:textId="77777777" w:rsidR="00D37F2D" w:rsidRPr="00AE140F" w:rsidRDefault="00D37F2D">
                  <w:pPr>
                    <w:jc w:val="left"/>
                    <w:rPr>
                      <w:sz w:val="18"/>
                      <w:szCs w:val="14"/>
                    </w:rPr>
                  </w:pPr>
                  <w:r w:rsidRPr="00AE140F">
                    <w:rPr>
                      <w:sz w:val="18"/>
                      <w:szCs w:val="14"/>
                    </w:rPr>
                    <w:t>Article 1</w:t>
                  </w:r>
                  <w:r>
                    <w:rPr>
                      <w:sz w:val="18"/>
                      <w:szCs w:val="14"/>
                    </w:rPr>
                    <w:t>3</w:t>
                  </w:r>
                </w:p>
                <w:p w14:paraId="7C5ABD10" w14:textId="77777777" w:rsidR="00D37F2D" w:rsidRPr="00AE140F" w:rsidRDefault="00D37F2D">
                  <w:pPr>
                    <w:jc w:val="left"/>
                    <w:rPr>
                      <w:sz w:val="18"/>
                      <w:szCs w:val="14"/>
                    </w:rPr>
                  </w:pPr>
                  <w:r w:rsidRPr="00AE140F">
                    <w:rPr>
                      <w:sz w:val="18"/>
                      <w:szCs w:val="14"/>
                    </w:rPr>
                    <w:t>Paragraph 1</w:t>
                  </w:r>
                </w:p>
              </w:tc>
              <w:tc>
                <w:tcPr>
                  <w:tcW w:w="2410" w:type="dxa"/>
                  <w:shd w:val="clear" w:color="auto" w:fill="auto"/>
                </w:tcPr>
                <w:p w14:paraId="4013FBAF" w14:textId="77777777" w:rsidR="00D37F2D" w:rsidRPr="00AE140F" w:rsidRDefault="00D37F2D">
                  <w:pPr>
                    <w:rPr>
                      <w:sz w:val="18"/>
                      <w:szCs w:val="14"/>
                    </w:rPr>
                  </w:pPr>
                  <w:r w:rsidRPr="00AE140F">
                    <w:rPr>
                      <w:sz w:val="18"/>
                      <w:szCs w:val="14"/>
                    </w:rPr>
                    <w:t>Availability of relevant spatial planning data</w:t>
                  </w:r>
                </w:p>
              </w:tc>
              <w:tc>
                <w:tcPr>
                  <w:tcW w:w="1481" w:type="dxa"/>
                  <w:shd w:val="clear" w:color="auto" w:fill="auto"/>
                </w:tcPr>
                <w:p w14:paraId="59AB3F91" w14:textId="77777777" w:rsidR="00D37F2D" w:rsidRPr="00AE140F" w:rsidRDefault="00D37F2D">
                  <w:pPr>
                    <w:rPr>
                      <w:sz w:val="18"/>
                      <w:szCs w:val="14"/>
                    </w:rPr>
                  </w:pPr>
                  <w:r w:rsidRPr="00AE140F">
                    <w:rPr>
                      <w:sz w:val="18"/>
                      <w:szCs w:val="14"/>
                    </w:rPr>
                    <w:t>MS</w:t>
                  </w:r>
                </w:p>
              </w:tc>
              <w:tc>
                <w:tcPr>
                  <w:tcW w:w="1936" w:type="dxa"/>
                  <w:shd w:val="clear" w:color="auto" w:fill="auto"/>
                </w:tcPr>
                <w:p w14:paraId="19B27319" w14:textId="77777777" w:rsidR="00D37F2D" w:rsidRPr="00AE140F" w:rsidRDefault="00D37F2D">
                  <w:pPr>
                    <w:rPr>
                      <w:sz w:val="18"/>
                      <w:szCs w:val="14"/>
                    </w:rPr>
                  </w:pPr>
                  <w:r w:rsidRPr="00AE140F">
                    <w:rPr>
                      <w:sz w:val="18"/>
                      <w:szCs w:val="14"/>
                    </w:rPr>
                    <w:t>Make available spatial planning data</w:t>
                  </w:r>
                </w:p>
              </w:tc>
              <w:tc>
                <w:tcPr>
                  <w:tcW w:w="5044" w:type="dxa"/>
                  <w:shd w:val="clear" w:color="auto" w:fill="auto"/>
                </w:tcPr>
                <w:p w14:paraId="6DF63C41" w14:textId="77777777" w:rsidR="00D37F2D" w:rsidRPr="00AE140F" w:rsidRDefault="00D37F2D">
                  <w:pPr>
                    <w:rPr>
                      <w:sz w:val="18"/>
                      <w:szCs w:val="14"/>
                    </w:rPr>
                  </w:pPr>
                  <w:r w:rsidRPr="00AE140F">
                    <w:rPr>
                      <w:sz w:val="18"/>
                      <w:szCs w:val="14"/>
                    </w:rPr>
                    <w:t>Data</w:t>
                  </w:r>
                </w:p>
                <w:p w14:paraId="1A726FF8" w14:textId="77777777" w:rsidR="00D37F2D" w:rsidRPr="00AE140F" w:rsidRDefault="00D37F2D">
                  <w:pPr>
                    <w:rPr>
                      <w:sz w:val="18"/>
                      <w:szCs w:val="14"/>
                    </w:rPr>
                  </w:pPr>
                  <w:r w:rsidRPr="00AE140F">
                    <w:rPr>
                      <w:sz w:val="18"/>
                      <w:szCs w:val="14"/>
                    </w:rPr>
                    <w:t>Digital solution</w:t>
                  </w:r>
                </w:p>
              </w:tc>
            </w:tr>
            <w:tr w:rsidR="00D37F2D" w:rsidRPr="00CF1E5F" w14:paraId="18209A8C" w14:textId="77777777">
              <w:tc>
                <w:tcPr>
                  <w:tcW w:w="1413" w:type="dxa"/>
                  <w:shd w:val="clear" w:color="auto" w:fill="auto"/>
                </w:tcPr>
                <w:p w14:paraId="74921A6E" w14:textId="77777777" w:rsidR="00D37F2D" w:rsidRPr="00AE140F" w:rsidRDefault="00D37F2D">
                  <w:pPr>
                    <w:jc w:val="left"/>
                    <w:rPr>
                      <w:sz w:val="18"/>
                      <w:szCs w:val="14"/>
                    </w:rPr>
                  </w:pPr>
                  <w:r w:rsidRPr="00AE140F">
                    <w:rPr>
                      <w:sz w:val="18"/>
                      <w:szCs w:val="14"/>
                    </w:rPr>
                    <w:t>Article 1</w:t>
                  </w:r>
                  <w:r>
                    <w:rPr>
                      <w:sz w:val="18"/>
                      <w:szCs w:val="14"/>
                    </w:rPr>
                    <w:t>3</w:t>
                  </w:r>
                  <w:r w:rsidRPr="00AE140F">
                    <w:rPr>
                      <w:sz w:val="18"/>
                      <w:szCs w:val="14"/>
                    </w:rPr>
                    <w:t xml:space="preserve"> </w:t>
                  </w:r>
                </w:p>
                <w:p w14:paraId="240CF283" w14:textId="77777777" w:rsidR="00D37F2D" w:rsidRPr="00AE140F" w:rsidRDefault="00D37F2D">
                  <w:pPr>
                    <w:jc w:val="left"/>
                    <w:rPr>
                      <w:sz w:val="18"/>
                      <w:szCs w:val="14"/>
                    </w:rPr>
                  </w:pPr>
                  <w:r w:rsidRPr="00AE140F">
                    <w:rPr>
                      <w:sz w:val="18"/>
                      <w:szCs w:val="14"/>
                    </w:rPr>
                    <w:t>Paragraph 2</w:t>
                  </w:r>
                </w:p>
              </w:tc>
              <w:tc>
                <w:tcPr>
                  <w:tcW w:w="2410" w:type="dxa"/>
                  <w:shd w:val="clear" w:color="auto" w:fill="auto"/>
                </w:tcPr>
                <w:p w14:paraId="1FC04B82" w14:textId="77777777" w:rsidR="00D37F2D" w:rsidRPr="00AE140F" w:rsidRDefault="00D37F2D">
                  <w:pPr>
                    <w:rPr>
                      <w:sz w:val="18"/>
                      <w:szCs w:val="14"/>
                    </w:rPr>
                  </w:pPr>
                  <w:r w:rsidRPr="00AE140F">
                    <w:rPr>
                      <w:sz w:val="18"/>
                      <w:szCs w:val="14"/>
                    </w:rPr>
                    <w:t>Combination of plans assessments</w:t>
                  </w:r>
                </w:p>
              </w:tc>
              <w:tc>
                <w:tcPr>
                  <w:tcW w:w="1481" w:type="dxa"/>
                  <w:shd w:val="clear" w:color="auto" w:fill="auto"/>
                </w:tcPr>
                <w:p w14:paraId="2F1D6B62" w14:textId="77777777" w:rsidR="00D37F2D" w:rsidRPr="00AE140F" w:rsidRDefault="00D37F2D">
                  <w:pPr>
                    <w:rPr>
                      <w:sz w:val="18"/>
                      <w:szCs w:val="14"/>
                    </w:rPr>
                  </w:pPr>
                  <w:r w:rsidRPr="00AE140F">
                    <w:rPr>
                      <w:sz w:val="18"/>
                      <w:szCs w:val="14"/>
                    </w:rPr>
                    <w:t>MS</w:t>
                  </w:r>
                </w:p>
              </w:tc>
              <w:tc>
                <w:tcPr>
                  <w:tcW w:w="1936" w:type="dxa"/>
                  <w:shd w:val="clear" w:color="auto" w:fill="auto"/>
                </w:tcPr>
                <w:p w14:paraId="16AD4813" w14:textId="77777777" w:rsidR="00D37F2D" w:rsidRPr="00AE140F" w:rsidRDefault="00D37F2D">
                  <w:pPr>
                    <w:rPr>
                      <w:sz w:val="18"/>
                      <w:szCs w:val="14"/>
                    </w:rPr>
                  </w:pPr>
                  <w:r w:rsidRPr="00AE140F">
                    <w:rPr>
                      <w:sz w:val="18"/>
                      <w:szCs w:val="14"/>
                    </w:rPr>
                    <w:t>Assess plans for more legal bases</w:t>
                  </w:r>
                </w:p>
              </w:tc>
              <w:tc>
                <w:tcPr>
                  <w:tcW w:w="5044" w:type="dxa"/>
                  <w:shd w:val="clear" w:color="auto" w:fill="auto"/>
                </w:tcPr>
                <w:p w14:paraId="10B2C098" w14:textId="77777777" w:rsidR="00D37F2D" w:rsidRPr="00AE140F" w:rsidRDefault="00D37F2D">
                  <w:pPr>
                    <w:rPr>
                      <w:sz w:val="18"/>
                      <w:szCs w:val="14"/>
                    </w:rPr>
                  </w:pPr>
                  <w:r w:rsidRPr="00AE140F">
                    <w:rPr>
                      <w:sz w:val="18"/>
                      <w:szCs w:val="14"/>
                    </w:rPr>
                    <w:t>Data</w:t>
                  </w:r>
                </w:p>
                <w:p w14:paraId="349349D5" w14:textId="77777777" w:rsidR="00D37F2D" w:rsidRPr="00AE140F" w:rsidRDefault="00D37F2D">
                  <w:pPr>
                    <w:rPr>
                      <w:sz w:val="18"/>
                      <w:szCs w:val="14"/>
                    </w:rPr>
                  </w:pPr>
                  <w:r w:rsidRPr="00AE140F">
                    <w:rPr>
                      <w:sz w:val="18"/>
                      <w:szCs w:val="14"/>
                    </w:rPr>
                    <w:t xml:space="preserve">Digital public </w:t>
                  </w:r>
                </w:p>
                <w:p w14:paraId="11843637" w14:textId="77777777" w:rsidR="00D37F2D" w:rsidRPr="00AE140F" w:rsidRDefault="00D37F2D">
                  <w:pPr>
                    <w:rPr>
                      <w:sz w:val="18"/>
                      <w:szCs w:val="14"/>
                    </w:rPr>
                  </w:pPr>
                  <w:r w:rsidRPr="00AE140F">
                    <w:rPr>
                      <w:sz w:val="18"/>
                      <w:szCs w:val="14"/>
                    </w:rPr>
                    <w:t>service</w:t>
                  </w:r>
                </w:p>
              </w:tc>
            </w:tr>
            <w:tr w:rsidR="00D37F2D" w:rsidRPr="00CF1E5F" w14:paraId="391F8736" w14:textId="77777777">
              <w:tc>
                <w:tcPr>
                  <w:tcW w:w="1413" w:type="dxa"/>
                  <w:shd w:val="clear" w:color="auto" w:fill="auto"/>
                </w:tcPr>
                <w:p w14:paraId="35D5BA09" w14:textId="77777777" w:rsidR="00D37F2D" w:rsidRPr="00AE140F" w:rsidRDefault="00D37F2D">
                  <w:pPr>
                    <w:jc w:val="left"/>
                    <w:rPr>
                      <w:sz w:val="18"/>
                      <w:szCs w:val="14"/>
                    </w:rPr>
                  </w:pPr>
                  <w:r w:rsidRPr="00AE140F">
                    <w:rPr>
                      <w:sz w:val="18"/>
                      <w:szCs w:val="14"/>
                    </w:rPr>
                    <w:t>Article 16</w:t>
                  </w:r>
                </w:p>
              </w:tc>
              <w:tc>
                <w:tcPr>
                  <w:tcW w:w="2410" w:type="dxa"/>
                  <w:shd w:val="clear" w:color="auto" w:fill="auto"/>
                </w:tcPr>
                <w:p w14:paraId="634EC88E" w14:textId="77777777" w:rsidR="00D37F2D" w:rsidRPr="00AE140F" w:rsidRDefault="00D37F2D">
                  <w:pPr>
                    <w:rPr>
                      <w:sz w:val="18"/>
                      <w:szCs w:val="14"/>
                    </w:rPr>
                  </w:pPr>
                  <w:r w:rsidRPr="00AE140F">
                    <w:rPr>
                      <w:sz w:val="18"/>
                      <w:szCs w:val="14"/>
                    </w:rPr>
                    <w:t>Request assessment of addressing vulnerability</w:t>
                  </w:r>
                </w:p>
                <w:p w14:paraId="6070CEE5" w14:textId="77777777" w:rsidR="00D37F2D" w:rsidRPr="00AE140F" w:rsidRDefault="00D37F2D">
                  <w:pPr>
                    <w:rPr>
                      <w:sz w:val="18"/>
                      <w:szCs w:val="14"/>
                    </w:rPr>
                  </w:pPr>
                  <w:r w:rsidRPr="00AE140F">
                    <w:rPr>
                      <w:sz w:val="18"/>
                      <w:szCs w:val="14"/>
                    </w:rPr>
                    <w:t xml:space="preserve">Inform on the existence of Strategic projects addressing an existing vulnerability </w:t>
                  </w:r>
                </w:p>
              </w:tc>
              <w:tc>
                <w:tcPr>
                  <w:tcW w:w="1481" w:type="dxa"/>
                  <w:shd w:val="clear" w:color="auto" w:fill="auto"/>
                </w:tcPr>
                <w:p w14:paraId="62BE02D4" w14:textId="77777777" w:rsidR="00D37F2D" w:rsidRPr="00AE140F" w:rsidRDefault="00D37F2D">
                  <w:pPr>
                    <w:rPr>
                      <w:sz w:val="18"/>
                      <w:szCs w:val="14"/>
                    </w:rPr>
                  </w:pPr>
                  <w:r w:rsidRPr="00AE140F">
                    <w:rPr>
                      <w:sz w:val="18"/>
                      <w:szCs w:val="14"/>
                    </w:rPr>
                    <w:t>Project promoter,</w:t>
                  </w:r>
                </w:p>
                <w:p w14:paraId="2E7F5E7A" w14:textId="77777777" w:rsidR="00D37F2D" w:rsidRPr="00AE140F" w:rsidRDefault="00D37F2D">
                  <w:pPr>
                    <w:rPr>
                      <w:sz w:val="18"/>
                      <w:szCs w:val="14"/>
                    </w:rPr>
                  </w:pPr>
                  <w:r w:rsidRPr="00AE140F">
                    <w:rPr>
                      <w:sz w:val="18"/>
                      <w:szCs w:val="14"/>
                    </w:rPr>
                    <w:t>Designated authority</w:t>
                  </w:r>
                </w:p>
                <w:p w14:paraId="67583187" w14:textId="77777777" w:rsidR="00D37F2D" w:rsidRPr="00AE140F" w:rsidRDefault="00D37F2D">
                  <w:pPr>
                    <w:rPr>
                      <w:sz w:val="18"/>
                      <w:szCs w:val="14"/>
                    </w:rPr>
                  </w:pPr>
                  <w:r w:rsidRPr="00AE140F">
                    <w:rPr>
                      <w:sz w:val="18"/>
                      <w:szCs w:val="14"/>
                    </w:rPr>
                    <w:t>Commission</w:t>
                  </w:r>
                </w:p>
              </w:tc>
              <w:tc>
                <w:tcPr>
                  <w:tcW w:w="1936" w:type="dxa"/>
                  <w:shd w:val="clear" w:color="auto" w:fill="auto"/>
                </w:tcPr>
                <w:p w14:paraId="3D7105A0" w14:textId="77777777" w:rsidR="00D37F2D" w:rsidRPr="00AE140F" w:rsidRDefault="00D37F2D">
                  <w:pPr>
                    <w:rPr>
                      <w:sz w:val="18"/>
                      <w:szCs w:val="14"/>
                    </w:rPr>
                  </w:pPr>
                  <w:r w:rsidRPr="00AE140F">
                    <w:rPr>
                      <w:sz w:val="18"/>
                      <w:szCs w:val="14"/>
                    </w:rPr>
                    <w:t>Request for assessment</w:t>
                  </w:r>
                </w:p>
                <w:p w14:paraId="33F18F16" w14:textId="77777777" w:rsidR="00D37F2D" w:rsidRPr="00F50ABC" w:rsidRDefault="00D37F2D">
                  <w:pPr>
                    <w:rPr>
                      <w:sz w:val="18"/>
                      <w:szCs w:val="14"/>
                    </w:rPr>
                  </w:pPr>
                </w:p>
                <w:p w14:paraId="550B0F2A" w14:textId="77777777" w:rsidR="00D37F2D" w:rsidRPr="00AE140F" w:rsidRDefault="00D37F2D">
                  <w:pPr>
                    <w:rPr>
                      <w:sz w:val="18"/>
                      <w:szCs w:val="14"/>
                    </w:rPr>
                  </w:pPr>
                  <w:r w:rsidRPr="00AE140F">
                    <w:rPr>
                      <w:sz w:val="18"/>
                      <w:szCs w:val="14"/>
                    </w:rPr>
                    <w:t>Inform on addressed vulnerabilities</w:t>
                  </w:r>
                </w:p>
              </w:tc>
              <w:tc>
                <w:tcPr>
                  <w:tcW w:w="5044" w:type="dxa"/>
                  <w:shd w:val="clear" w:color="auto" w:fill="auto"/>
                </w:tcPr>
                <w:p w14:paraId="2451A5BC" w14:textId="77777777" w:rsidR="00D37F2D" w:rsidRPr="00AE140F" w:rsidRDefault="00D37F2D">
                  <w:pPr>
                    <w:rPr>
                      <w:sz w:val="18"/>
                      <w:szCs w:val="14"/>
                    </w:rPr>
                  </w:pPr>
                  <w:r w:rsidRPr="00AE140F">
                    <w:rPr>
                      <w:sz w:val="18"/>
                      <w:szCs w:val="14"/>
                    </w:rPr>
                    <w:t>Data</w:t>
                  </w:r>
                </w:p>
                <w:p w14:paraId="6B4FF137" w14:textId="77777777" w:rsidR="00D37F2D" w:rsidRPr="00AE140F" w:rsidRDefault="00D37F2D">
                  <w:pPr>
                    <w:rPr>
                      <w:sz w:val="18"/>
                      <w:szCs w:val="14"/>
                    </w:rPr>
                  </w:pPr>
                  <w:r w:rsidRPr="00AE140F">
                    <w:rPr>
                      <w:sz w:val="18"/>
                      <w:szCs w:val="14"/>
                    </w:rPr>
                    <w:t>Digital solution</w:t>
                  </w:r>
                </w:p>
                <w:p w14:paraId="74E5B59A" w14:textId="77777777" w:rsidR="00D37F2D" w:rsidRPr="00AE140F" w:rsidRDefault="00D37F2D">
                  <w:pPr>
                    <w:rPr>
                      <w:sz w:val="18"/>
                      <w:szCs w:val="14"/>
                    </w:rPr>
                  </w:pPr>
                  <w:r w:rsidRPr="00AE140F">
                    <w:rPr>
                      <w:sz w:val="18"/>
                      <w:szCs w:val="14"/>
                    </w:rPr>
                    <w:t xml:space="preserve">Digital public </w:t>
                  </w:r>
                </w:p>
                <w:p w14:paraId="2B74C112" w14:textId="77777777" w:rsidR="00D37F2D" w:rsidRPr="00AE140F" w:rsidRDefault="00D37F2D">
                  <w:pPr>
                    <w:rPr>
                      <w:sz w:val="18"/>
                      <w:szCs w:val="14"/>
                    </w:rPr>
                  </w:pPr>
                  <w:r w:rsidRPr="00AE140F">
                    <w:rPr>
                      <w:sz w:val="18"/>
                      <w:szCs w:val="14"/>
                    </w:rPr>
                    <w:t>service</w:t>
                  </w:r>
                </w:p>
              </w:tc>
            </w:tr>
            <w:tr w:rsidR="00D37F2D" w:rsidRPr="00CF1E5F" w14:paraId="42A86652" w14:textId="77777777">
              <w:tc>
                <w:tcPr>
                  <w:tcW w:w="1413" w:type="dxa"/>
                  <w:shd w:val="clear" w:color="auto" w:fill="auto"/>
                </w:tcPr>
                <w:p w14:paraId="0992FAE3" w14:textId="77777777" w:rsidR="00D37F2D" w:rsidRPr="00AE140F" w:rsidRDefault="00D37F2D">
                  <w:pPr>
                    <w:jc w:val="left"/>
                    <w:rPr>
                      <w:sz w:val="18"/>
                      <w:szCs w:val="14"/>
                    </w:rPr>
                  </w:pPr>
                  <w:r w:rsidRPr="00AE140F">
                    <w:rPr>
                      <w:sz w:val="18"/>
                      <w:szCs w:val="14"/>
                    </w:rPr>
                    <w:t xml:space="preserve">Chapter </w:t>
                  </w:r>
                  <w:r>
                    <w:rPr>
                      <w:sz w:val="18"/>
                      <w:szCs w:val="14"/>
                    </w:rPr>
                    <w:t>I</w:t>
                  </w:r>
                  <w:r w:rsidRPr="00AE140F">
                    <w:rPr>
                      <w:sz w:val="18"/>
                      <w:szCs w:val="14"/>
                    </w:rPr>
                    <w:t>V</w:t>
                  </w:r>
                </w:p>
              </w:tc>
              <w:tc>
                <w:tcPr>
                  <w:tcW w:w="2410" w:type="dxa"/>
                  <w:shd w:val="clear" w:color="auto" w:fill="auto"/>
                </w:tcPr>
                <w:p w14:paraId="66AF88E4" w14:textId="77777777" w:rsidR="00D37F2D" w:rsidRPr="00AE140F" w:rsidRDefault="00D37F2D">
                  <w:pPr>
                    <w:rPr>
                      <w:sz w:val="18"/>
                      <w:szCs w:val="14"/>
                    </w:rPr>
                  </w:pPr>
                  <w:r w:rsidRPr="00AE140F">
                    <w:rPr>
                      <w:sz w:val="18"/>
                      <w:szCs w:val="14"/>
                    </w:rPr>
                    <w:t>Public procurement rules for critical medicine products</w:t>
                  </w:r>
                </w:p>
              </w:tc>
              <w:tc>
                <w:tcPr>
                  <w:tcW w:w="1481" w:type="dxa"/>
                  <w:shd w:val="clear" w:color="auto" w:fill="auto"/>
                </w:tcPr>
                <w:p w14:paraId="77237608" w14:textId="77777777" w:rsidR="00D37F2D" w:rsidRPr="00AE140F" w:rsidRDefault="00D37F2D">
                  <w:pPr>
                    <w:rPr>
                      <w:sz w:val="18"/>
                      <w:szCs w:val="14"/>
                    </w:rPr>
                  </w:pPr>
                  <w:r w:rsidRPr="00AE140F">
                    <w:rPr>
                      <w:sz w:val="18"/>
                      <w:szCs w:val="14"/>
                    </w:rPr>
                    <w:t>Member States</w:t>
                  </w:r>
                </w:p>
                <w:p w14:paraId="2673FDA1" w14:textId="77777777" w:rsidR="00D37F2D" w:rsidRPr="00AE140F" w:rsidRDefault="00D37F2D">
                  <w:pPr>
                    <w:rPr>
                      <w:sz w:val="18"/>
                      <w:szCs w:val="14"/>
                    </w:rPr>
                  </w:pPr>
                  <w:r w:rsidRPr="00AE140F">
                    <w:rPr>
                      <w:sz w:val="18"/>
                      <w:szCs w:val="14"/>
                    </w:rPr>
                    <w:t>Public administrations, Economic operator</w:t>
                  </w:r>
                </w:p>
              </w:tc>
              <w:tc>
                <w:tcPr>
                  <w:tcW w:w="1936" w:type="dxa"/>
                  <w:shd w:val="clear" w:color="auto" w:fill="auto"/>
                </w:tcPr>
                <w:p w14:paraId="4AD5D28B" w14:textId="77777777" w:rsidR="00D37F2D" w:rsidRPr="00AE140F" w:rsidRDefault="00D37F2D">
                  <w:pPr>
                    <w:rPr>
                      <w:sz w:val="18"/>
                      <w:szCs w:val="14"/>
                    </w:rPr>
                  </w:pPr>
                  <w:r w:rsidRPr="00AE140F">
                    <w:rPr>
                      <w:sz w:val="18"/>
                      <w:szCs w:val="14"/>
                    </w:rPr>
                    <w:t>Launch procurement</w:t>
                  </w:r>
                </w:p>
              </w:tc>
              <w:tc>
                <w:tcPr>
                  <w:tcW w:w="5044" w:type="dxa"/>
                  <w:shd w:val="clear" w:color="auto" w:fill="auto"/>
                </w:tcPr>
                <w:p w14:paraId="07FAFC29" w14:textId="77777777" w:rsidR="00D37F2D" w:rsidRPr="00AE140F" w:rsidRDefault="00D37F2D">
                  <w:pPr>
                    <w:rPr>
                      <w:sz w:val="18"/>
                      <w:szCs w:val="14"/>
                    </w:rPr>
                  </w:pPr>
                  <w:r w:rsidRPr="00AE140F">
                    <w:rPr>
                      <w:sz w:val="18"/>
                      <w:szCs w:val="14"/>
                    </w:rPr>
                    <w:t>Data</w:t>
                  </w:r>
                </w:p>
              </w:tc>
            </w:tr>
            <w:tr w:rsidR="00D37F2D" w:rsidRPr="00CF1E5F" w14:paraId="5B5CF185" w14:textId="77777777">
              <w:tc>
                <w:tcPr>
                  <w:tcW w:w="1413" w:type="dxa"/>
                  <w:shd w:val="clear" w:color="auto" w:fill="auto"/>
                </w:tcPr>
                <w:p w14:paraId="516A1ED2" w14:textId="77777777" w:rsidR="00D37F2D" w:rsidRPr="00AE140F" w:rsidRDefault="00D37F2D">
                  <w:pPr>
                    <w:jc w:val="left"/>
                    <w:rPr>
                      <w:sz w:val="18"/>
                      <w:szCs w:val="14"/>
                    </w:rPr>
                  </w:pPr>
                  <w:r w:rsidRPr="00AE140F">
                    <w:rPr>
                      <w:sz w:val="18"/>
                      <w:szCs w:val="14"/>
                    </w:rPr>
                    <w:t>Article 19</w:t>
                  </w:r>
                </w:p>
              </w:tc>
              <w:tc>
                <w:tcPr>
                  <w:tcW w:w="2410" w:type="dxa"/>
                  <w:shd w:val="clear" w:color="auto" w:fill="auto"/>
                </w:tcPr>
                <w:p w14:paraId="6F2D3F9E" w14:textId="77777777" w:rsidR="00D37F2D" w:rsidRPr="00AE140F" w:rsidRDefault="00D37F2D">
                  <w:pPr>
                    <w:rPr>
                      <w:sz w:val="18"/>
                      <w:szCs w:val="14"/>
                    </w:rPr>
                  </w:pPr>
                  <w:r w:rsidRPr="00AE140F">
                    <w:rPr>
                      <w:sz w:val="18"/>
                      <w:szCs w:val="14"/>
                    </w:rPr>
                    <w:t>Notification of national programmes</w:t>
                  </w:r>
                </w:p>
              </w:tc>
              <w:tc>
                <w:tcPr>
                  <w:tcW w:w="1481" w:type="dxa"/>
                  <w:shd w:val="clear" w:color="auto" w:fill="auto"/>
                </w:tcPr>
                <w:p w14:paraId="35EE8EBA" w14:textId="77777777" w:rsidR="00D37F2D" w:rsidRPr="00AE140F" w:rsidRDefault="00D37F2D">
                  <w:pPr>
                    <w:rPr>
                      <w:sz w:val="18"/>
                      <w:szCs w:val="14"/>
                    </w:rPr>
                  </w:pPr>
                  <w:r w:rsidRPr="00AE140F">
                    <w:rPr>
                      <w:sz w:val="18"/>
                      <w:szCs w:val="14"/>
                    </w:rPr>
                    <w:t xml:space="preserve">Member States </w:t>
                  </w:r>
                </w:p>
                <w:p w14:paraId="1BE65901" w14:textId="77777777" w:rsidR="00D37F2D" w:rsidRPr="00AE140F" w:rsidRDefault="00D37F2D">
                  <w:pPr>
                    <w:rPr>
                      <w:sz w:val="18"/>
                      <w:szCs w:val="14"/>
                    </w:rPr>
                  </w:pPr>
                  <w:r w:rsidRPr="00AE140F">
                    <w:rPr>
                      <w:sz w:val="18"/>
                      <w:szCs w:val="14"/>
                    </w:rPr>
                    <w:t>Commission</w:t>
                  </w:r>
                </w:p>
                <w:p w14:paraId="6EF13043" w14:textId="77777777" w:rsidR="00D37F2D" w:rsidRPr="00AE140F" w:rsidRDefault="00D37F2D">
                  <w:pPr>
                    <w:rPr>
                      <w:sz w:val="18"/>
                      <w:szCs w:val="14"/>
                    </w:rPr>
                  </w:pPr>
                  <w:r w:rsidRPr="00AE140F">
                    <w:rPr>
                      <w:sz w:val="18"/>
                      <w:szCs w:val="14"/>
                    </w:rPr>
                    <w:t>CMG</w:t>
                  </w:r>
                </w:p>
              </w:tc>
              <w:tc>
                <w:tcPr>
                  <w:tcW w:w="1936" w:type="dxa"/>
                  <w:shd w:val="clear" w:color="auto" w:fill="auto"/>
                </w:tcPr>
                <w:p w14:paraId="35D55D52" w14:textId="77777777" w:rsidR="00D37F2D" w:rsidRPr="00AE140F" w:rsidRDefault="00D37F2D">
                  <w:pPr>
                    <w:rPr>
                      <w:sz w:val="18"/>
                      <w:szCs w:val="14"/>
                    </w:rPr>
                  </w:pPr>
                  <w:r w:rsidRPr="00AE140F">
                    <w:rPr>
                      <w:sz w:val="18"/>
                      <w:szCs w:val="14"/>
                    </w:rPr>
                    <w:t>Notification of national programmes</w:t>
                  </w:r>
                </w:p>
              </w:tc>
              <w:tc>
                <w:tcPr>
                  <w:tcW w:w="5044" w:type="dxa"/>
                  <w:shd w:val="clear" w:color="auto" w:fill="auto"/>
                </w:tcPr>
                <w:p w14:paraId="5569EAAE" w14:textId="77777777" w:rsidR="00D37F2D" w:rsidRPr="00AE140F" w:rsidRDefault="00D37F2D">
                  <w:pPr>
                    <w:rPr>
                      <w:sz w:val="18"/>
                      <w:szCs w:val="14"/>
                    </w:rPr>
                  </w:pPr>
                  <w:r w:rsidRPr="00AE140F">
                    <w:rPr>
                      <w:sz w:val="18"/>
                      <w:szCs w:val="14"/>
                    </w:rPr>
                    <w:t>Data</w:t>
                  </w:r>
                </w:p>
              </w:tc>
            </w:tr>
          </w:tbl>
          <w:p w14:paraId="17AA7321" w14:textId="77777777" w:rsidR="00D37F2D" w:rsidRPr="00F3520C" w:rsidRDefault="00D37F2D">
            <w:pPr>
              <w:rPr>
                <w:noProof/>
                <w:color w:val="0000FF"/>
              </w:rPr>
            </w:pPr>
          </w:p>
        </w:tc>
      </w:tr>
    </w:tbl>
    <w:p w14:paraId="4A4D658C" w14:textId="77777777" w:rsidR="00D37F2D" w:rsidRPr="00902D52" w:rsidRDefault="00D37F2D" w:rsidP="00D37F2D">
      <w:pPr>
        <w:pStyle w:val="ManualHeading2"/>
      </w:pPr>
      <w:bookmarkStart w:id="200" w:name="_Toc167220303"/>
      <w:bookmarkStart w:id="201" w:name="_Toc177549038"/>
      <w:r>
        <w:t>4.2.</w:t>
      </w:r>
      <w:r>
        <w:tab/>
        <w:t>Data</w:t>
      </w:r>
      <w:bookmarkEnd w:id="200"/>
      <w:bookmarkEnd w:id="201"/>
    </w:p>
    <w:tbl>
      <w:tblPr>
        <w:tblStyle w:val="TableGrid"/>
        <w:tblW w:w="0" w:type="auto"/>
        <w:tblLook w:val="04A0" w:firstRow="1" w:lastRow="0" w:firstColumn="1" w:lastColumn="0" w:noHBand="0" w:noVBand="1"/>
      </w:tblPr>
      <w:tblGrid>
        <w:gridCol w:w="9287"/>
      </w:tblGrid>
      <w:tr w:rsidR="00D37F2D" w14:paraId="6491CDA7" w14:textId="77777777">
        <w:tc>
          <w:tcPr>
            <w:tcW w:w="9063" w:type="dxa"/>
          </w:tcPr>
          <w:tbl>
            <w:tblPr>
              <w:tblStyle w:val="TableGrid"/>
              <w:tblW w:w="0" w:type="auto"/>
              <w:tblLook w:val="04A0" w:firstRow="1" w:lastRow="0" w:firstColumn="1" w:lastColumn="0" w:noHBand="0" w:noVBand="1"/>
            </w:tblPr>
            <w:tblGrid>
              <w:gridCol w:w="2944"/>
              <w:gridCol w:w="2944"/>
              <w:gridCol w:w="2944"/>
            </w:tblGrid>
            <w:tr w:rsidR="00D37F2D" w14:paraId="36EF6035" w14:textId="77777777">
              <w:tc>
                <w:tcPr>
                  <w:tcW w:w="2944" w:type="dxa"/>
                  <w:shd w:val="clear" w:color="auto" w:fill="auto"/>
                </w:tcPr>
                <w:p w14:paraId="163D767E" w14:textId="77777777" w:rsidR="00D37F2D" w:rsidRPr="00243BE4" w:rsidRDefault="00D37F2D">
                  <w:pPr>
                    <w:rPr>
                      <w:b/>
                      <w:bCs/>
                      <w:sz w:val="20"/>
                      <w:szCs w:val="16"/>
                    </w:rPr>
                  </w:pPr>
                  <w:r w:rsidRPr="00243BE4">
                    <w:rPr>
                      <w:b/>
                      <w:bCs/>
                      <w:sz w:val="20"/>
                      <w:szCs w:val="16"/>
                    </w:rPr>
                    <w:t xml:space="preserve">Type of data </w:t>
                  </w:r>
                </w:p>
              </w:tc>
              <w:tc>
                <w:tcPr>
                  <w:tcW w:w="2944" w:type="dxa"/>
                  <w:shd w:val="clear" w:color="auto" w:fill="auto"/>
                </w:tcPr>
                <w:p w14:paraId="4EF77B6A" w14:textId="77777777" w:rsidR="00D37F2D" w:rsidRPr="00243BE4" w:rsidRDefault="00D37F2D">
                  <w:pPr>
                    <w:rPr>
                      <w:b/>
                      <w:bCs/>
                      <w:sz w:val="20"/>
                      <w:szCs w:val="16"/>
                    </w:rPr>
                  </w:pPr>
                  <w:r w:rsidRPr="00243BE4">
                    <w:rPr>
                      <w:b/>
                      <w:bCs/>
                      <w:sz w:val="20"/>
                      <w:szCs w:val="16"/>
                    </w:rPr>
                    <w:t>Reference requirements</w:t>
                  </w:r>
                </w:p>
              </w:tc>
              <w:tc>
                <w:tcPr>
                  <w:tcW w:w="2944" w:type="dxa"/>
                  <w:shd w:val="clear" w:color="auto" w:fill="auto"/>
                </w:tcPr>
                <w:p w14:paraId="074681D4" w14:textId="77777777" w:rsidR="00D37F2D" w:rsidRPr="00243BE4" w:rsidRDefault="00D37F2D">
                  <w:pPr>
                    <w:rPr>
                      <w:b/>
                      <w:bCs/>
                      <w:sz w:val="20"/>
                      <w:szCs w:val="16"/>
                    </w:rPr>
                  </w:pPr>
                  <w:r w:rsidRPr="00243BE4">
                    <w:rPr>
                      <w:b/>
                      <w:bCs/>
                      <w:sz w:val="20"/>
                      <w:szCs w:val="16"/>
                    </w:rPr>
                    <w:t xml:space="preserve">Standard and/or specification </w:t>
                  </w:r>
                </w:p>
              </w:tc>
            </w:tr>
            <w:tr w:rsidR="00D37F2D" w14:paraId="37B71A56" w14:textId="77777777">
              <w:tc>
                <w:tcPr>
                  <w:tcW w:w="2944" w:type="dxa"/>
                  <w:shd w:val="clear" w:color="auto" w:fill="auto"/>
                </w:tcPr>
                <w:p w14:paraId="184AA1F4" w14:textId="77777777" w:rsidR="00D37F2D" w:rsidRPr="001D7C2D" w:rsidRDefault="00D37F2D">
                  <w:r w:rsidRPr="009011B9">
                    <w:rPr>
                      <w:sz w:val="20"/>
                      <w:szCs w:val="16"/>
                    </w:rPr>
                    <w:t>List of MS Authorities designated for assessing and confirming Strategic Projects;</w:t>
                  </w:r>
                </w:p>
              </w:tc>
              <w:tc>
                <w:tcPr>
                  <w:tcW w:w="2944" w:type="dxa"/>
                  <w:shd w:val="clear" w:color="auto" w:fill="auto"/>
                </w:tcPr>
                <w:p w14:paraId="0233D92C" w14:textId="77777777" w:rsidR="00D37F2D" w:rsidRPr="001D7C2D" w:rsidRDefault="00D37F2D">
                  <w:r w:rsidRPr="009011B9">
                    <w:rPr>
                      <w:sz w:val="20"/>
                      <w:szCs w:val="16"/>
                    </w:rPr>
                    <w:t xml:space="preserve">Article </w:t>
                  </w:r>
                  <w:r>
                    <w:rPr>
                      <w:sz w:val="20"/>
                      <w:szCs w:val="16"/>
                    </w:rPr>
                    <w:t>6</w:t>
                  </w:r>
                </w:p>
              </w:tc>
              <w:tc>
                <w:tcPr>
                  <w:tcW w:w="2944" w:type="dxa"/>
                  <w:shd w:val="clear" w:color="auto" w:fill="auto"/>
                </w:tcPr>
                <w:p w14:paraId="1A1F240F" w14:textId="77777777" w:rsidR="00D37F2D" w:rsidRPr="009011B9" w:rsidRDefault="00D37F2D">
                  <w:pPr>
                    <w:rPr>
                      <w:sz w:val="20"/>
                      <w:szCs w:val="16"/>
                    </w:rPr>
                  </w:pPr>
                  <w:r w:rsidRPr="009011B9">
                    <w:rPr>
                      <w:sz w:val="20"/>
                      <w:szCs w:val="16"/>
                    </w:rPr>
                    <w:t>Standard list of MS</w:t>
                  </w:r>
                </w:p>
              </w:tc>
            </w:tr>
            <w:tr w:rsidR="00D37F2D" w14:paraId="75E86401" w14:textId="77777777">
              <w:tc>
                <w:tcPr>
                  <w:tcW w:w="2944" w:type="dxa"/>
                  <w:shd w:val="clear" w:color="auto" w:fill="auto"/>
                </w:tcPr>
                <w:p w14:paraId="067A1948" w14:textId="77777777" w:rsidR="00D37F2D" w:rsidRPr="001B59E4" w:rsidRDefault="00D37F2D">
                  <w:r w:rsidRPr="00F50ABC">
                    <w:rPr>
                      <w:sz w:val="20"/>
                      <w:szCs w:val="16"/>
                    </w:rPr>
                    <w:t>Strategic Project</w:t>
                  </w:r>
                </w:p>
              </w:tc>
              <w:tc>
                <w:tcPr>
                  <w:tcW w:w="2944" w:type="dxa"/>
                  <w:shd w:val="clear" w:color="auto" w:fill="auto"/>
                </w:tcPr>
                <w:p w14:paraId="15288FF0" w14:textId="77777777" w:rsidR="00D37F2D" w:rsidRPr="001B59E4" w:rsidRDefault="00D37F2D">
                  <w:r w:rsidRPr="00F50ABC">
                    <w:rPr>
                      <w:sz w:val="20"/>
                      <w:szCs w:val="16"/>
                    </w:rPr>
                    <w:t xml:space="preserve">Article </w:t>
                  </w:r>
                  <w:r>
                    <w:rPr>
                      <w:sz w:val="20"/>
                      <w:szCs w:val="16"/>
                    </w:rPr>
                    <w:t>6</w:t>
                  </w:r>
                </w:p>
              </w:tc>
              <w:tc>
                <w:tcPr>
                  <w:tcW w:w="2944" w:type="dxa"/>
                  <w:shd w:val="clear" w:color="auto" w:fill="auto"/>
                </w:tcPr>
                <w:p w14:paraId="5026A72E" w14:textId="77777777" w:rsidR="00D37F2D" w:rsidRDefault="00D37F2D">
                  <w:pPr>
                    <w:rPr>
                      <w:bCs/>
                    </w:rPr>
                  </w:pPr>
                  <w:r w:rsidRPr="00F50ABC">
                    <w:rPr>
                      <w:bCs/>
                      <w:sz w:val="20"/>
                      <w:szCs w:val="16"/>
                    </w:rPr>
                    <w:t>Not defined</w:t>
                  </w:r>
                </w:p>
              </w:tc>
            </w:tr>
            <w:tr w:rsidR="00D37F2D" w14:paraId="2B2ED461" w14:textId="77777777">
              <w:tc>
                <w:tcPr>
                  <w:tcW w:w="2944" w:type="dxa"/>
                  <w:shd w:val="clear" w:color="auto" w:fill="auto"/>
                </w:tcPr>
                <w:p w14:paraId="6F516176" w14:textId="77777777" w:rsidR="00D37F2D" w:rsidRPr="00F50ABC" w:rsidRDefault="00D37F2D">
                  <w:pPr>
                    <w:rPr>
                      <w:sz w:val="20"/>
                      <w:szCs w:val="16"/>
                    </w:rPr>
                  </w:pPr>
                  <w:r w:rsidRPr="00F50ABC">
                    <w:rPr>
                      <w:sz w:val="20"/>
                      <w:szCs w:val="16"/>
                      <w:lang w:eastAsia="en-GB"/>
                    </w:rPr>
                    <w:t>Status of the highest national significance for Strategic Projects</w:t>
                  </w:r>
                </w:p>
              </w:tc>
              <w:tc>
                <w:tcPr>
                  <w:tcW w:w="2944" w:type="dxa"/>
                  <w:shd w:val="clear" w:color="auto" w:fill="auto"/>
                </w:tcPr>
                <w:p w14:paraId="2014E9AD" w14:textId="77777777" w:rsidR="00D37F2D" w:rsidRPr="00F50ABC" w:rsidRDefault="00D37F2D">
                  <w:pPr>
                    <w:rPr>
                      <w:sz w:val="20"/>
                      <w:szCs w:val="16"/>
                    </w:rPr>
                  </w:pPr>
                  <w:r w:rsidRPr="00F50ABC">
                    <w:rPr>
                      <w:sz w:val="20"/>
                      <w:szCs w:val="16"/>
                    </w:rPr>
                    <w:t xml:space="preserve">Article </w:t>
                  </w:r>
                  <w:r>
                    <w:rPr>
                      <w:sz w:val="20"/>
                      <w:szCs w:val="16"/>
                    </w:rPr>
                    <w:t>9</w:t>
                  </w:r>
                </w:p>
              </w:tc>
              <w:tc>
                <w:tcPr>
                  <w:tcW w:w="2944" w:type="dxa"/>
                  <w:shd w:val="clear" w:color="auto" w:fill="auto"/>
                </w:tcPr>
                <w:p w14:paraId="5D55446C" w14:textId="77777777" w:rsidR="00D37F2D" w:rsidRPr="00F50ABC" w:rsidRDefault="00D37F2D">
                  <w:pPr>
                    <w:rPr>
                      <w:bCs/>
                      <w:sz w:val="20"/>
                      <w:szCs w:val="16"/>
                    </w:rPr>
                  </w:pPr>
                  <w:r w:rsidRPr="00F50ABC">
                    <w:rPr>
                      <w:bCs/>
                      <w:sz w:val="20"/>
                      <w:szCs w:val="16"/>
                    </w:rPr>
                    <w:t>Not defined</w:t>
                  </w:r>
                </w:p>
              </w:tc>
            </w:tr>
            <w:tr w:rsidR="00D37F2D" w14:paraId="30D4F3F8" w14:textId="77777777">
              <w:tc>
                <w:tcPr>
                  <w:tcW w:w="2944" w:type="dxa"/>
                  <w:shd w:val="clear" w:color="auto" w:fill="auto"/>
                </w:tcPr>
                <w:p w14:paraId="3E964B5B" w14:textId="77777777" w:rsidR="00D37F2D" w:rsidRPr="00F50ABC" w:rsidRDefault="00D37F2D">
                  <w:pPr>
                    <w:rPr>
                      <w:sz w:val="20"/>
                      <w:szCs w:val="16"/>
                      <w:lang w:eastAsia="en-GB"/>
                    </w:rPr>
                  </w:pPr>
                  <w:r>
                    <w:rPr>
                      <w:sz w:val="20"/>
                      <w:szCs w:val="16"/>
                      <w:lang w:eastAsia="en-GB"/>
                    </w:rPr>
                    <w:t>Combined e</w:t>
                  </w:r>
                  <w:r w:rsidRPr="00F50ABC">
                    <w:rPr>
                      <w:sz w:val="20"/>
                      <w:szCs w:val="16"/>
                      <w:lang w:eastAsia="en-GB"/>
                    </w:rPr>
                    <w:t>nvironmental assessment</w:t>
                  </w:r>
                </w:p>
              </w:tc>
              <w:tc>
                <w:tcPr>
                  <w:tcW w:w="2944" w:type="dxa"/>
                  <w:shd w:val="clear" w:color="auto" w:fill="auto"/>
                </w:tcPr>
                <w:p w14:paraId="26D5ABCA" w14:textId="77777777" w:rsidR="00D37F2D" w:rsidRPr="00F50ABC" w:rsidRDefault="00D37F2D">
                  <w:pPr>
                    <w:rPr>
                      <w:sz w:val="20"/>
                      <w:szCs w:val="16"/>
                    </w:rPr>
                  </w:pPr>
                  <w:r w:rsidRPr="00F50ABC">
                    <w:rPr>
                      <w:sz w:val="20"/>
                      <w:szCs w:val="16"/>
                    </w:rPr>
                    <w:t xml:space="preserve">Article </w:t>
                  </w:r>
                  <w:r>
                    <w:rPr>
                      <w:sz w:val="20"/>
                      <w:szCs w:val="16"/>
                    </w:rPr>
                    <w:t>12</w:t>
                  </w:r>
                </w:p>
              </w:tc>
              <w:tc>
                <w:tcPr>
                  <w:tcW w:w="2944" w:type="dxa"/>
                  <w:shd w:val="clear" w:color="auto" w:fill="auto"/>
                </w:tcPr>
                <w:p w14:paraId="6E2C3407" w14:textId="77777777" w:rsidR="00D37F2D" w:rsidRPr="00F50ABC" w:rsidRDefault="00D37F2D">
                  <w:pPr>
                    <w:rPr>
                      <w:bCs/>
                      <w:sz w:val="20"/>
                      <w:szCs w:val="16"/>
                    </w:rPr>
                  </w:pPr>
                  <w:r w:rsidRPr="00F50ABC">
                    <w:rPr>
                      <w:bCs/>
                      <w:sz w:val="20"/>
                      <w:szCs w:val="16"/>
                    </w:rPr>
                    <w:t>Defined under other legal bases</w:t>
                  </w:r>
                </w:p>
              </w:tc>
            </w:tr>
            <w:tr w:rsidR="00D37F2D" w14:paraId="2718D97A" w14:textId="77777777">
              <w:tc>
                <w:tcPr>
                  <w:tcW w:w="2944" w:type="dxa"/>
                  <w:shd w:val="clear" w:color="auto" w:fill="auto"/>
                </w:tcPr>
                <w:p w14:paraId="74A03BA5" w14:textId="77777777" w:rsidR="00D37F2D" w:rsidRDefault="00D37F2D">
                  <w:pPr>
                    <w:rPr>
                      <w:sz w:val="20"/>
                      <w:szCs w:val="16"/>
                      <w:lang w:eastAsia="en-GB"/>
                    </w:rPr>
                  </w:pPr>
                  <w:r w:rsidRPr="00F50ABC">
                    <w:rPr>
                      <w:sz w:val="20"/>
                      <w:szCs w:val="16"/>
                      <w:lang w:eastAsia="en-GB"/>
                    </w:rPr>
                    <w:t>Spatial planning data</w:t>
                  </w:r>
                </w:p>
              </w:tc>
              <w:tc>
                <w:tcPr>
                  <w:tcW w:w="2944" w:type="dxa"/>
                  <w:shd w:val="clear" w:color="auto" w:fill="auto"/>
                </w:tcPr>
                <w:p w14:paraId="421D1EE1" w14:textId="77777777" w:rsidR="00D37F2D" w:rsidRPr="00F50ABC" w:rsidRDefault="00D37F2D">
                  <w:pPr>
                    <w:jc w:val="left"/>
                    <w:rPr>
                      <w:sz w:val="20"/>
                      <w:szCs w:val="16"/>
                    </w:rPr>
                  </w:pPr>
                  <w:r w:rsidRPr="00F50ABC">
                    <w:rPr>
                      <w:sz w:val="20"/>
                      <w:szCs w:val="16"/>
                    </w:rPr>
                    <w:t xml:space="preserve">Article </w:t>
                  </w:r>
                  <w:r>
                    <w:rPr>
                      <w:sz w:val="20"/>
                      <w:szCs w:val="16"/>
                    </w:rPr>
                    <w:t>13</w:t>
                  </w:r>
                </w:p>
                <w:p w14:paraId="723673FA" w14:textId="77777777" w:rsidR="00D37F2D" w:rsidRPr="00F50ABC" w:rsidRDefault="00D37F2D">
                  <w:pPr>
                    <w:rPr>
                      <w:sz w:val="20"/>
                      <w:szCs w:val="16"/>
                    </w:rPr>
                  </w:pPr>
                  <w:r w:rsidRPr="00F50ABC">
                    <w:rPr>
                      <w:sz w:val="20"/>
                      <w:szCs w:val="16"/>
                    </w:rPr>
                    <w:t>Paragraph 1</w:t>
                  </w:r>
                </w:p>
              </w:tc>
              <w:tc>
                <w:tcPr>
                  <w:tcW w:w="2944" w:type="dxa"/>
                  <w:shd w:val="clear" w:color="auto" w:fill="auto"/>
                </w:tcPr>
                <w:p w14:paraId="2E0C40A6" w14:textId="77777777" w:rsidR="00D37F2D" w:rsidRPr="00F50ABC" w:rsidRDefault="00D37F2D">
                  <w:pPr>
                    <w:rPr>
                      <w:bCs/>
                      <w:sz w:val="20"/>
                      <w:szCs w:val="16"/>
                    </w:rPr>
                  </w:pPr>
                  <w:r w:rsidRPr="00F50ABC">
                    <w:rPr>
                      <w:bCs/>
                      <w:sz w:val="20"/>
                      <w:szCs w:val="16"/>
                    </w:rPr>
                    <w:t>Not defined</w:t>
                  </w:r>
                </w:p>
              </w:tc>
            </w:tr>
            <w:tr w:rsidR="00D37F2D" w14:paraId="71712BF0" w14:textId="77777777">
              <w:tc>
                <w:tcPr>
                  <w:tcW w:w="2944" w:type="dxa"/>
                  <w:shd w:val="clear" w:color="auto" w:fill="auto"/>
                </w:tcPr>
                <w:p w14:paraId="7F5BE77F" w14:textId="77777777" w:rsidR="00D37F2D" w:rsidRPr="00F50ABC" w:rsidRDefault="00D37F2D">
                  <w:pPr>
                    <w:rPr>
                      <w:sz w:val="20"/>
                      <w:szCs w:val="16"/>
                      <w:lang w:eastAsia="en-GB"/>
                    </w:rPr>
                  </w:pPr>
                  <w:r>
                    <w:rPr>
                      <w:sz w:val="20"/>
                      <w:szCs w:val="16"/>
                      <w:lang w:eastAsia="en-GB"/>
                    </w:rPr>
                    <w:t>Combined urbanistic</w:t>
                  </w:r>
                  <w:r w:rsidRPr="00F50ABC">
                    <w:rPr>
                      <w:sz w:val="20"/>
                      <w:szCs w:val="16"/>
                      <w:lang w:eastAsia="en-GB"/>
                    </w:rPr>
                    <w:t xml:space="preserve"> assessments</w:t>
                  </w:r>
                </w:p>
              </w:tc>
              <w:tc>
                <w:tcPr>
                  <w:tcW w:w="2944" w:type="dxa"/>
                  <w:shd w:val="clear" w:color="auto" w:fill="auto"/>
                </w:tcPr>
                <w:p w14:paraId="03CCEC99" w14:textId="77777777" w:rsidR="00D37F2D" w:rsidRPr="00F50ABC" w:rsidRDefault="00D37F2D">
                  <w:pPr>
                    <w:jc w:val="left"/>
                    <w:rPr>
                      <w:sz w:val="20"/>
                      <w:szCs w:val="16"/>
                    </w:rPr>
                  </w:pPr>
                  <w:r w:rsidRPr="00F50ABC">
                    <w:rPr>
                      <w:sz w:val="20"/>
                      <w:szCs w:val="16"/>
                    </w:rPr>
                    <w:t xml:space="preserve">Article </w:t>
                  </w:r>
                  <w:r>
                    <w:rPr>
                      <w:sz w:val="20"/>
                      <w:szCs w:val="16"/>
                    </w:rPr>
                    <w:t>13</w:t>
                  </w:r>
                </w:p>
                <w:p w14:paraId="679D6DFD" w14:textId="77777777" w:rsidR="00D37F2D" w:rsidRPr="00F50ABC" w:rsidRDefault="00D37F2D">
                  <w:pPr>
                    <w:jc w:val="left"/>
                    <w:rPr>
                      <w:sz w:val="20"/>
                      <w:szCs w:val="16"/>
                    </w:rPr>
                  </w:pPr>
                  <w:r w:rsidRPr="00F50ABC">
                    <w:rPr>
                      <w:sz w:val="20"/>
                      <w:szCs w:val="16"/>
                    </w:rPr>
                    <w:t>Paragraph 2</w:t>
                  </w:r>
                </w:p>
              </w:tc>
              <w:tc>
                <w:tcPr>
                  <w:tcW w:w="2944" w:type="dxa"/>
                  <w:shd w:val="clear" w:color="auto" w:fill="auto"/>
                </w:tcPr>
                <w:p w14:paraId="1D917CE5" w14:textId="77777777" w:rsidR="00D37F2D" w:rsidRPr="00F50ABC" w:rsidRDefault="00D37F2D">
                  <w:pPr>
                    <w:rPr>
                      <w:bCs/>
                      <w:sz w:val="20"/>
                      <w:szCs w:val="16"/>
                    </w:rPr>
                  </w:pPr>
                  <w:r w:rsidRPr="00F50ABC">
                    <w:rPr>
                      <w:bCs/>
                      <w:sz w:val="20"/>
                      <w:szCs w:val="16"/>
                    </w:rPr>
                    <w:t>Not defined</w:t>
                  </w:r>
                </w:p>
              </w:tc>
            </w:tr>
            <w:tr w:rsidR="00D37F2D" w14:paraId="7776C58C" w14:textId="77777777">
              <w:tc>
                <w:tcPr>
                  <w:tcW w:w="2944" w:type="dxa"/>
                  <w:shd w:val="clear" w:color="auto" w:fill="auto"/>
                </w:tcPr>
                <w:p w14:paraId="1DAF92B9" w14:textId="77777777" w:rsidR="00D37F2D" w:rsidRDefault="00D37F2D">
                  <w:pPr>
                    <w:rPr>
                      <w:sz w:val="20"/>
                      <w:szCs w:val="16"/>
                      <w:lang w:eastAsia="en-GB"/>
                    </w:rPr>
                  </w:pPr>
                  <w:r w:rsidRPr="00F50ABC">
                    <w:rPr>
                      <w:sz w:val="20"/>
                      <w:szCs w:val="16"/>
                      <w:lang w:eastAsia="en-GB"/>
                    </w:rPr>
                    <w:t xml:space="preserve">Assessment </w:t>
                  </w:r>
                  <w:r>
                    <w:rPr>
                      <w:sz w:val="20"/>
                      <w:szCs w:val="16"/>
                      <w:lang w:eastAsia="en-GB"/>
                    </w:rPr>
                    <w:t xml:space="preserve">whether strategic projects address a supply chain </w:t>
                  </w:r>
                  <w:r w:rsidRPr="00F50ABC">
                    <w:rPr>
                      <w:sz w:val="20"/>
                      <w:szCs w:val="16"/>
                      <w:lang w:eastAsia="en-GB"/>
                    </w:rPr>
                    <w:t>vulnerability</w:t>
                  </w:r>
                </w:p>
              </w:tc>
              <w:tc>
                <w:tcPr>
                  <w:tcW w:w="2944" w:type="dxa"/>
                  <w:shd w:val="clear" w:color="auto" w:fill="auto"/>
                </w:tcPr>
                <w:p w14:paraId="739C727C" w14:textId="77777777" w:rsidR="00D37F2D" w:rsidRPr="00F50ABC" w:rsidRDefault="00D37F2D">
                  <w:pPr>
                    <w:jc w:val="left"/>
                    <w:rPr>
                      <w:sz w:val="20"/>
                      <w:szCs w:val="16"/>
                    </w:rPr>
                  </w:pPr>
                  <w:r w:rsidRPr="00F50ABC">
                    <w:rPr>
                      <w:sz w:val="20"/>
                      <w:szCs w:val="16"/>
                    </w:rPr>
                    <w:t>Article 16</w:t>
                  </w:r>
                </w:p>
              </w:tc>
              <w:tc>
                <w:tcPr>
                  <w:tcW w:w="2944" w:type="dxa"/>
                  <w:shd w:val="clear" w:color="auto" w:fill="auto"/>
                </w:tcPr>
                <w:p w14:paraId="53E0F07D" w14:textId="77777777" w:rsidR="00D37F2D" w:rsidRPr="00F50ABC" w:rsidRDefault="00D37F2D">
                  <w:pPr>
                    <w:rPr>
                      <w:bCs/>
                      <w:sz w:val="20"/>
                      <w:szCs w:val="16"/>
                    </w:rPr>
                  </w:pPr>
                  <w:r w:rsidRPr="00F50ABC">
                    <w:rPr>
                      <w:bCs/>
                      <w:sz w:val="20"/>
                      <w:szCs w:val="16"/>
                    </w:rPr>
                    <w:t>Not defined</w:t>
                  </w:r>
                </w:p>
              </w:tc>
            </w:tr>
            <w:tr w:rsidR="00D37F2D" w14:paraId="30B8495B" w14:textId="77777777">
              <w:tc>
                <w:tcPr>
                  <w:tcW w:w="2944" w:type="dxa"/>
                  <w:shd w:val="clear" w:color="auto" w:fill="auto"/>
                </w:tcPr>
                <w:p w14:paraId="22857968" w14:textId="77777777" w:rsidR="00D37F2D" w:rsidRPr="00F50ABC" w:rsidRDefault="00D37F2D">
                  <w:pPr>
                    <w:rPr>
                      <w:sz w:val="20"/>
                      <w:szCs w:val="16"/>
                      <w:lang w:eastAsia="en-GB"/>
                    </w:rPr>
                  </w:pPr>
                  <w:r>
                    <w:rPr>
                      <w:sz w:val="20"/>
                      <w:szCs w:val="16"/>
                      <w:lang w:eastAsia="en-GB"/>
                    </w:rPr>
                    <w:t>National programmes</w:t>
                  </w:r>
                </w:p>
              </w:tc>
              <w:tc>
                <w:tcPr>
                  <w:tcW w:w="2944" w:type="dxa"/>
                  <w:shd w:val="clear" w:color="auto" w:fill="auto"/>
                </w:tcPr>
                <w:p w14:paraId="758F53D5" w14:textId="77777777" w:rsidR="00D37F2D" w:rsidRPr="00F50ABC" w:rsidRDefault="00D37F2D">
                  <w:pPr>
                    <w:jc w:val="left"/>
                    <w:rPr>
                      <w:sz w:val="20"/>
                      <w:szCs w:val="16"/>
                    </w:rPr>
                  </w:pPr>
                  <w:r>
                    <w:rPr>
                      <w:sz w:val="20"/>
                      <w:szCs w:val="16"/>
                    </w:rPr>
                    <w:t>Article 19</w:t>
                  </w:r>
                </w:p>
              </w:tc>
              <w:tc>
                <w:tcPr>
                  <w:tcW w:w="2944" w:type="dxa"/>
                  <w:shd w:val="clear" w:color="auto" w:fill="auto"/>
                </w:tcPr>
                <w:p w14:paraId="16901668" w14:textId="77777777" w:rsidR="00D37F2D" w:rsidRPr="00F50ABC" w:rsidRDefault="00D37F2D">
                  <w:pPr>
                    <w:rPr>
                      <w:bCs/>
                      <w:sz w:val="20"/>
                      <w:szCs w:val="16"/>
                    </w:rPr>
                  </w:pPr>
                  <w:r>
                    <w:rPr>
                      <w:bCs/>
                      <w:sz w:val="20"/>
                      <w:szCs w:val="16"/>
                    </w:rPr>
                    <w:t>Not defined</w:t>
                  </w:r>
                </w:p>
              </w:tc>
            </w:tr>
          </w:tbl>
          <w:p w14:paraId="28E2FD07" w14:textId="77777777" w:rsidR="00D37F2D" w:rsidRPr="001B59E4" w:rsidRDefault="00D37F2D"/>
          <w:p w14:paraId="2711CEA2" w14:textId="206819F3" w:rsidR="00D37F2D" w:rsidRPr="001B59E4" w:rsidRDefault="00D37F2D">
            <w:r w:rsidRPr="001B59E4">
              <w:t xml:space="preserve">The </w:t>
            </w:r>
            <w:r>
              <w:t xml:space="preserve">list </w:t>
            </w:r>
            <w:r w:rsidRPr="001B59E4">
              <w:t>of M</w:t>
            </w:r>
            <w:r w:rsidR="005B36DD">
              <w:t xml:space="preserve">ember </w:t>
            </w:r>
            <w:r w:rsidRPr="001B59E4">
              <w:t>S</w:t>
            </w:r>
            <w:r w:rsidR="005B36DD">
              <w:t>tates</w:t>
            </w:r>
            <w:r w:rsidR="00607034">
              <w:t>’</w:t>
            </w:r>
            <w:r w:rsidRPr="001B59E4">
              <w:t xml:space="preserve"> Authorities designated for assessing and confirming Strategic Projects will be published on the ec.europa.eu website, relying on its standards for being findable and accessible.</w:t>
            </w:r>
          </w:p>
          <w:p w14:paraId="7130F590" w14:textId="5190111F" w:rsidR="00D37F2D" w:rsidRPr="001B59E4" w:rsidRDefault="00D37F2D">
            <w:r w:rsidRPr="001B59E4">
              <w:t xml:space="preserve">The act follows the only-once principle by not duplicating data collection for identification of critical medicines and evaluation of vulnerabilities in their supply chains, by re-using data collected under the Revision of the General Pharmaceutical Legislation. </w:t>
            </w:r>
          </w:p>
          <w:p w14:paraId="7E4997E9" w14:textId="77777777" w:rsidR="00D37F2D" w:rsidRPr="009011B9" w:rsidRDefault="00D37F2D">
            <w:r>
              <w:t>Data related to assessments are governed by the relevant legal basis that trigger the assessments.</w:t>
            </w:r>
          </w:p>
          <w:p w14:paraId="6855B68F" w14:textId="77777777" w:rsidR="00D37F2D" w:rsidRPr="0056759B" w:rsidRDefault="00D37F2D">
            <w:pPr>
              <w:rPr>
                <w:noProof/>
              </w:rPr>
            </w:pPr>
            <w:r w:rsidRPr="0056759B">
              <w:rPr>
                <w:noProof/>
              </w:rPr>
              <w:t xml:space="preserve">Data flows </w:t>
            </w:r>
          </w:p>
          <w:p w14:paraId="3B4981F6" w14:textId="77777777" w:rsidR="00D37F2D" w:rsidRDefault="00D37F2D">
            <w:pPr>
              <w:rPr>
                <w:color w:val="0000FF"/>
              </w:rPr>
            </w:pPr>
            <w:r>
              <w:rPr>
                <w:noProof/>
              </w:rPr>
              <w:drawing>
                <wp:inline distT="0" distB="0" distL="0" distR="0" wp14:anchorId="3E640A0E" wp14:editId="1EE29B72">
                  <wp:extent cx="4276742" cy="1607844"/>
                  <wp:effectExtent l="0" t="0" r="0" b="0"/>
                  <wp:docPr id="2084336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36897" name=""/>
                          <pic:cNvPicPr/>
                        </pic:nvPicPr>
                        <pic:blipFill>
                          <a:blip r:embed="rId30"/>
                          <a:stretch>
                            <a:fillRect/>
                          </a:stretch>
                        </pic:blipFill>
                        <pic:spPr>
                          <a:xfrm>
                            <a:off x="0" y="0"/>
                            <a:ext cx="4280663" cy="1609318"/>
                          </a:xfrm>
                          <a:prstGeom prst="rect">
                            <a:avLst/>
                          </a:prstGeom>
                        </pic:spPr>
                      </pic:pic>
                    </a:graphicData>
                  </a:graphic>
                </wp:inline>
              </w:drawing>
            </w:r>
          </w:p>
          <w:tbl>
            <w:tblPr>
              <w:tblStyle w:val="TableGrid"/>
              <w:tblW w:w="9242" w:type="dxa"/>
              <w:tblLook w:val="04A0" w:firstRow="1" w:lastRow="0" w:firstColumn="1" w:lastColumn="0" w:noHBand="0" w:noVBand="1"/>
            </w:tblPr>
            <w:tblGrid>
              <w:gridCol w:w="1526"/>
              <w:gridCol w:w="2029"/>
              <w:gridCol w:w="1207"/>
              <w:gridCol w:w="1381"/>
              <w:gridCol w:w="1670"/>
              <w:gridCol w:w="1429"/>
            </w:tblGrid>
            <w:tr w:rsidR="00D37F2D" w:rsidRPr="00B3633A" w14:paraId="5B64D823" w14:textId="77777777">
              <w:trPr>
                <w:trHeight w:val="300"/>
              </w:trPr>
              <w:tc>
                <w:tcPr>
                  <w:tcW w:w="1526" w:type="dxa"/>
                  <w:tcBorders>
                    <w:top w:val="single" w:sz="4" w:space="0" w:color="auto"/>
                    <w:left w:val="single" w:sz="4" w:space="0" w:color="auto"/>
                    <w:bottom w:val="single" w:sz="4" w:space="0" w:color="auto"/>
                    <w:right w:val="single" w:sz="4" w:space="0" w:color="auto"/>
                  </w:tcBorders>
                  <w:hideMark/>
                </w:tcPr>
                <w:p w14:paraId="0E0B976E" w14:textId="77777777" w:rsidR="00D37F2D" w:rsidRPr="00F50ABC" w:rsidRDefault="00D37F2D">
                  <w:pPr>
                    <w:jc w:val="left"/>
                    <w:rPr>
                      <w:b/>
                      <w:bCs/>
                      <w:sz w:val="18"/>
                      <w:szCs w:val="14"/>
                    </w:rPr>
                  </w:pPr>
                  <w:r w:rsidRPr="00F50ABC">
                    <w:rPr>
                      <w:b/>
                      <w:bCs/>
                      <w:sz w:val="18"/>
                      <w:szCs w:val="14"/>
                    </w:rPr>
                    <w:t>Type of data</w:t>
                  </w:r>
                </w:p>
              </w:tc>
              <w:tc>
                <w:tcPr>
                  <w:tcW w:w="2029" w:type="dxa"/>
                  <w:tcBorders>
                    <w:top w:val="single" w:sz="4" w:space="0" w:color="auto"/>
                    <w:left w:val="single" w:sz="4" w:space="0" w:color="auto"/>
                    <w:bottom w:val="single" w:sz="4" w:space="0" w:color="auto"/>
                    <w:right w:val="single" w:sz="4" w:space="0" w:color="auto"/>
                  </w:tcBorders>
                  <w:hideMark/>
                </w:tcPr>
                <w:p w14:paraId="6DBD215D" w14:textId="77777777" w:rsidR="00D37F2D" w:rsidRPr="00F50ABC" w:rsidRDefault="00D37F2D">
                  <w:pPr>
                    <w:jc w:val="left"/>
                    <w:rPr>
                      <w:b/>
                      <w:bCs/>
                      <w:sz w:val="18"/>
                      <w:szCs w:val="14"/>
                    </w:rPr>
                  </w:pPr>
                  <w:r w:rsidRPr="00F50ABC">
                    <w:rPr>
                      <w:b/>
                      <w:bCs/>
                      <w:sz w:val="18"/>
                      <w:szCs w:val="14"/>
                    </w:rPr>
                    <w:t>Reference(s) to the requirement(s)</w:t>
                  </w:r>
                </w:p>
              </w:tc>
              <w:tc>
                <w:tcPr>
                  <w:tcW w:w="1207" w:type="dxa"/>
                  <w:tcBorders>
                    <w:top w:val="single" w:sz="4" w:space="0" w:color="auto"/>
                    <w:left w:val="single" w:sz="4" w:space="0" w:color="auto"/>
                    <w:bottom w:val="single" w:sz="4" w:space="0" w:color="auto"/>
                    <w:right w:val="single" w:sz="4" w:space="0" w:color="auto"/>
                  </w:tcBorders>
                  <w:hideMark/>
                </w:tcPr>
                <w:p w14:paraId="0BB5D4CA" w14:textId="77777777" w:rsidR="00D37F2D" w:rsidRPr="00F50ABC" w:rsidRDefault="00D37F2D">
                  <w:pPr>
                    <w:jc w:val="left"/>
                    <w:rPr>
                      <w:b/>
                      <w:bCs/>
                      <w:sz w:val="18"/>
                      <w:szCs w:val="14"/>
                    </w:rPr>
                  </w:pPr>
                  <w:r w:rsidRPr="00F50ABC">
                    <w:rPr>
                      <w:b/>
                      <w:bCs/>
                      <w:sz w:val="18"/>
                      <w:szCs w:val="14"/>
                    </w:rPr>
                    <w:t>Actor who provides the data</w:t>
                  </w:r>
                </w:p>
              </w:tc>
              <w:tc>
                <w:tcPr>
                  <w:tcW w:w="1381" w:type="dxa"/>
                  <w:tcBorders>
                    <w:top w:val="single" w:sz="4" w:space="0" w:color="auto"/>
                    <w:left w:val="single" w:sz="4" w:space="0" w:color="auto"/>
                    <w:bottom w:val="single" w:sz="4" w:space="0" w:color="auto"/>
                    <w:right w:val="single" w:sz="4" w:space="0" w:color="auto"/>
                  </w:tcBorders>
                  <w:hideMark/>
                </w:tcPr>
                <w:p w14:paraId="59B1015A" w14:textId="77777777" w:rsidR="00D37F2D" w:rsidRPr="00F50ABC" w:rsidRDefault="00D37F2D">
                  <w:pPr>
                    <w:jc w:val="left"/>
                    <w:rPr>
                      <w:b/>
                      <w:bCs/>
                      <w:sz w:val="18"/>
                      <w:szCs w:val="14"/>
                    </w:rPr>
                  </w:pPr>
                  <w:r w:rsidRPr="00F50ABC">
                    <w:rPr>
                      <w:b/>
                      <w:bCs/>
                      <w:sz w:val="18"/>
                      <w:szCs w:val="14"/>
                    </w:rPr>
                    <w:t>Actor who receives the data</w:t>
                  </w:r>
                </w:p>
              </w:tc>
              <w:tc>
                <w:tcPr>
                  <w:tcW w:w="1670" w:type="dxa"/>
                  <w:tcBorders>
                    <w:top w:val="single" w:sz="4" w:space="0" w:color="auto"/>
                    <w:left w:val="single" w:sz="4" w:space="0" w:color="auto"/>
                    <w:bottom w:val="single" w:sz="4" w:space="0" w:color="auto"/>
                    <w:right w:val="single" w:sz="4" w:space="0" w:color="auto"/>
                  </w:tcBorders>
                  <w:hideMark/>
                </w:tcPr>
                <w:p w14:paraId="768DCDD5" w14:textId="77777777" w:rsidR="00D37F2D" w:rsidRPr="00F50ABC" w:rsidRDefault="00D37F2D">
                  <w:pPr>
                    <w:jc w:val="left"/>
                    <w:rPr>
                      <w:b/>
                      <w:bCs/>
                      <w:sz w:val="18"/>
                      <w:szCs w:val="14"/>
                    </w:rPr>
                  </w:pPr>
                  <w:r w:rsidRPr="00F50ABC">
                    <w:rPr>
                      <w:b/>
                      <w:bCs/>
                      <w:sz w:val="18"/>
                      <w:szCs w:val="14"/>
                    </w:rPr>
                    <w:t>Trigger for the data exchange</w:t>
                  </w:r>
                </w:p>
              </w:tc>
              <w:tc>
                <w:tcPr>
                  <w:tcW w:w="1429" w:type="dxa"/>
                  <w:tcBorders>
                    <w:top w:val="single" w:sz="4" w:space="0" w:color="auto"/>
                    <w:left w:val="single" w:sz="4" w:space="0" w:color="auto"/>
                    <w:bottom w:val="single" w:sz="4" w:space="0" w:color="auto"/>
                    <w:right w:val="single" w:sz="4" w:space="0" w:color="auto"/>
                  </w:tcBorders>
                  <w:hideMark/>
                </w:tcPr>
                <w:p w14:paraId="391E530C" w14:textId="77777777" w:rsidR="00D37F2D" w:rsidRPr="00F50ABC" w:rsidRDefault="00D37F2D">
                  <w:pPr>
                    <w:jc w:val="left"/>
                    <w:rPr>
                      <w:b/>
                      <w:bCs/>
                      <w:sz w:val="18"/>
                      <w:szCs w:val="14"/>
                    </w:rPr>
                  </w:pPr>
                  <w:r w:rsidRPr="00F50ABC">
                    <w:rPr>
                      <w:b/>
                      <w:bCs/>
                      <w:sz w:val="18"/>
                      <w:szCs w:val="14"/>
                    </w:rPr>
                    <w:t>Frequency (if applicable)</w:t>
                  </w:r>
                </w:p>
              </w:tc>
            </w:tr>
            <w:tr w:rsidR="00D37F2D" w:rsidRPr="00B3633A" w14:paraId="0E90FEC5"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46C49C51" w14:textId="77777777" w:rsidR="00D37F2D" w:rsidRPr="009011B9" w:rsidRDefault="00D37F2D">
                  <w:pPr>
                    <w:jc w:val="left"/>
                    <w:rPr>
                      <w:sz w:val="18"/>
                      <w:szCs w:val="14"/>
                      <w:lang w:val="en-IE"/>
                    </w:rPr>
                  </w:pPr>
                  <w:r w:rsidRPr="009011B9">
                    <w:rPr>
                      <w:sz w:val="18"/>
                      <w:szCs w:val="14"/>
                      <w:lang w:val="en-IE"/>
                    </w:rPr>
                    <w:t>List of MS Authorities designated for assessing and confirming Strategic Projects</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7FADB4F3" w14:textId="77777777" w:rsidR="00D37F2D" w:rsidRPr="009011B9" w:rsidRDefault="00D37F2D">
                  <w:pPr>
                    <w:jc w:val="left"/>
                    <w:rPr>
                      <w:sz w:val="18"/>
                      <w:szCs w:val="14"/>
                    </w:rPr>
                  </w:pPr>
                  <w:r w:rsidRPr="009011B9">
                    <w:rPr>
                      <w:sz w:val="18"/>
                      <w:szCs w:val="14"/>
                    </w:rPr>
                    <w:t>Article 6</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4603D333" w14:textId="77777777" w:rsidR="00D37F2D" w:rsidRPr="009011B9" w:rsidRDefault="00D37F2D">
                  <w:pPr>
                    <w:jc w:val="left"/>
                    <w:rPr>
                      <w:sz w:val="18"/>
                      <w:szCs w:val="14"/>
                    </w:rPr>
                  </w:pPr>
                  <w:r w:rsidRPr="009011B9">
                    <w:rPr>
                      <w:sz w:val="18"/>
                      <w:szCs w:val="14"/>
                    </w:rPr>
                    <w:t>Member States</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BCA2E5C" w14:textId="77777777" w:rsidR="00D37F2D" w:rsidRPr="009011B9" w:rsidRDefault="00D37F2D">
                  <w:pPr>
                    <w:jc w:val="left"/>
                    <w:rPr>
                      <w:sz w:val="18"/>
                      <w:szCs w:val="14"/>
                    </w:rPr>
                  </w:pPr>
                  <w:r w:rsidRPr="009011B9">
                    <w:rPr>
                      <w:sz w:val="18"/>
                      <w:szCs w:val="14"/>
                    </w:rPr>
                    <w:t>Commission</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3661494D" w14:textId="77777777" w:rsidR="00D37F2D" w:rsidRPr="009011B9" w:rsidRDefault="00D37F2D">
                  <w:pPr>
                    <w:jc w:val="left"/>
                    <w:rPr>
                      <w:sz w:val="18"/>
                      <w:szCs w:val="14"/>
                    </w:rPr>
                  </w:pPr>
                  <w:r w:rsidRPr="009011B9">
                    <w:rPr>
                      <w:sz w:val="18"/>
                      <w:szCs w:val="14"/>
                    </w:rPr>
                    <w:t>Not defined</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4D45EC8F" w14:textId="77777777" w:rsidR="00D37F2D" w:rsidRPr="009011B9" w:rsidRDefault="00D37F2D">
                  <w:pPr>
                    <w:jc w:val="left"/>
                    <w:rPr>
                      <w:sz w:val="18"/>
                      <w:szCs w:val="14"/>
                    </w:rPr>
                  </w:pPr>
                  <w:r w:rsidRPr="009011B9">
                    <w:rPr>
                      <w:sz w:val="18"/>
                      <w:szCs w:val="14"/>
                    </w:rPr>
                    <w:t>NA</w:t>
                  </w:r>
                </w:p>
              </w:tc>
            </w:tr>
            <w:tr w:rsidR="00D37F2D" w:rsidRPr="00B3633A" w14:paraId="732B1FBC"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6B8A96B8" w14:textId="77777777" w:rsidR="00D37F2D" w:rsidRPr="009011B9" w:rsidRDefault="00D37F2D">
                  <w:pPr>
                    <w:jc w:val="left"/>
                    <w:rPr>
                      <w:sz w:val="18"/>
                      <w:szCs w:val="14"/>
                      <w:lang w:val="en-IE"/>
                    </w:rPr>
                  </w:pPr>
                  <w:r w:rsidRPr="009011B9">
                    <w:rPr>
                      <w:sz w:val="18"/>
                      <w:szCs w:val="14"/>
                      <w:lang w:val="en-IE"/>
                    </w:rPr>
                    <w:t>Project</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3EC4F1CD" w14:textId="77777777" w:rsidR="00D37F2D" w:rsidRPr="009011B9" w:rsidRDefault="00D37F2D">
                  <w:pPr>
                    <w:jc w:val="left"/>
                    <w:rPr>
                      <w:sz w:val="18"/>
                      <w:szCs w:val="14"/>
                    </w:rPr>
                  </w:pPr>
                  <w:r w:rsidRPr="009011B9">
                    <w:rPr>
                      <w:sz w:val="18"/>
                      <w:szCs w:val="14"/>
                    </w:rPr>
                    <w:t>Article 6</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247D211D" w14:textId="77777777" w:rsidR="00D37F2D" w:rsidRPr="009011B9" w:rsidRDefault="00D37F2D">
                  <w:pPr>
                    <w:jc w:val="left"/>
                    <w:rPr>
                      <w:sz w:val="18"/>
                      <w:szCs w:val="14"/>
                    </w:rPr>
                  </w:pPr>
                  <w:r w:rsidRPr="009011B9">
                    <w:rPr>
                      <w:sz w:val="18"/>
                      <w:szCs w:val="14"/>
                    </w:rPr>
                    <w:t>Project promoter</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6F6C0EA1" w14:textId="77777777" w:rsidR="00D37F2D" w:rsidRPr="009011B9" w:rsidRDefault="00D37F2D">
                  <w:pPr>
                    <w:jc w:val="left"/>
                    <w:rPr>
                      <w:sz w:val="18"/>
                      <w:szCs w:val="14"/>
                    </w:rPr>
                  </w:pPr>
                  <w:r w:rsidRPr="009011B9">
                    <w:rPr>
                      <w:sz w:val="18"/>
                      <w:szCs w:val="14"/>
                    </w:rPr>
                    <w:t>Designated authority</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1F7A2011" w14:textId="77777777" w:rsidR="00D37F2D" w:rsidRPr="009011B9" w:rsidRDefault="00D37F2D">
                  <w:pPr>
                    <w:jc w:val="left"/>
                    <w:rPr>
                      <w:sz w:val="18"/>
                      <w:szCs w:val="14"/>
                    </w:rPr>
                  </w:pPr>
                  <w:r w:rsidRPr="009011B9">
                    <w:rPr>
                      <w:sz w:val="18"/>
                      <w:szCs w:val="14"/>
                    </w:rPr>
                    <w:t>at the initiative of the project promoter</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2B2CDD1B" w14:textId="77777777" w:rsidR="00D37F2D" w:rsidRPr="009011B9" w:rsidRDefault="00D37F2D">
                  <w:pPr>
                    <w:jc w:val="left"/>
                    <w:rPr>
                      <w:sz w:val="18"/>
                      <w:szCs w:val="14"/>
                    </w:rPr>
                  </w:pPr>
                </w:p>
              </w:tc>
            </w:tr>
            <w:tr w:rsidR="00D37F2D" w:rsidRPr="00B3633A" w14:paraId="6CF61C87"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586D61B6" w14:textId="77777777" w:rsidR="00D37F2D" w:rsidRPr="009011B9" w:rsidRDefault="00D37F2D">
                  <w:pPr>
                    <w:jc w:val="left"/>
                    <w:rPr>
                      <w:sz w:val="18"/>
                      <w:szCs w:val="14"/>
                      <w:lang w:val="en-IE"/>
                    </w:rPr>
                  </w:pPr>
                  <w:r w:rsidRPr="009011B9">
                    <w:rPr>
                      <w:sz w:val="18"/>
                      <w:szCs w:val="14"/>
                      <w:lang w:val="en-IE"/>
                    </w:rPr>
                    <w:t>Strategic Project</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774A6B0A" w14:textId="77777777" w:rsidR="00D37F2D" w:rsidRPr="009011B9" w:rsidRDefault="00D37F2D">
                  <w:pPr>
                    <w:jc w:val="left"/>
                    <w:rPr>
                      <w:sz w:val="18"/>
                      <w:szCs w:val="14"/>
                    </w:rPr>
                  </w:pPr>
                  <w:r w:rsidRPr="009011B9">
                    <w:rPr>
                      <w:sz w:val="18"/>
                      <w:szCs w:val="14"/>
                    </w:rPr>
                    <w:t>Article 6</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7CF95C5C" w14:textId="77777777" w:rsidR="00D37F2D" w:rsidRPr="009011B9" w:rsidRDefault="00D37F2D">
                  <w:pPr>
                    <w:jc w:val="left"/>
                    <w:rPr>
                      <w:sz w:val="18"/>
                      <w:szCs w:val="14"/>
                    </w:rPr>
                  </w:pPr>
                  <w:r w:rsidRPr="009011B9">
                    <w:rPr>
                      <w:sz w:val="18"/>
                      <w:szCs w:val="14"/>
                    </w:rPr>
                    <w:t>Designated authority</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5592DD6" w14:textId="77777777" w:rsidR="00D37F2D" w:rsidRPr="009011B9" w:rsidRDefault="00D37F2D">
                  <w:pPr>
                    <w:jc w:val="left"/>
                    <w:rPr>
                      <w:sz w:val="18"/>
                      <w:szCs w:val="14"/>
                    </w:rPr>
                  </w:pPr>
                  <w:r w:rsidRPr="009011B9">
                    <w:rPr>
                      <w:sz w:val="18"/>
                      <w:szCs w:val="14"/>
                    </w:rPr>
                    <w:t>Project promoter</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49401A52" w14:textId="77777777" w:rsidR="00D37F2D" w:rsidRPr="009011B9" w:rsidRDefault="00D37F2D">
                  <w:pPr>
                    <w:jc w:val="left"/>
                    <w:rPr>
                      <w:sz w:val="18"/>
                      <w:szCs w:val="14"/>
                    </w:rPr>
                  </w:pPr>
                  <w:r w:rsidRPr="009011B9">
                    <w:rPr>
                      <w:sz w:val="18"/>
                      <w:szCs w:val="14"/>
                    </w:rPr>
                    <w:t>At Project promoter request</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3B3EA2BE" w14:textId="77777777" w:rsidR="00D37F2D" w:rsidRPr="009011B9" w:rsidRDefault="00D37F2D">
                  <w:pPr>
                    <w:jc w:val="left"/>
                    <w:rPr>
                      <w:sz w:val="18"/>
                      <w:szCs w:val="14"/>
                    </w:rPr>
                  </w:pPr>
                  <w:r w:rsidRPr="009011B9">
                    <w:rPr>
                      <w:sz w:val="18"/>
                      <w:szCs w:val="14"/>
                    </w:rPr>
                    <w:t>No deadline set</w:t>
                  </w:r>
                </w:p>
              </w:tc>
            </w:tr>
            <w:tr w:rsidR="00D37F2D" w:rsidRPr="00B3633A" w14:paraId="2A20CD60"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38B14827" w14:textId="77777777" w:rsidR="00D37F2D" w:rsidRPr="009011B9" w:rsidRDefault="00D37F2D">
                  <w:pPr>
                    <w:jc w:val="left"/>
                    <w:rPr>
                      <w:sz w:val="18"/>
                      <w:szCs w:val="14"/>
                      <w:lang w:eastAsia="en-GB"/>
                    </w:rPr>
                  </w:pPr>
                  <w:r w:rsidRPr="009011B9">
                    <w:rPr>
                      <w:sz w:val="18"/>
                      <w:szCs w:val="14"/>
                      <w:lang w:eastAsia="en-GB"/>
                    </w:rPr>
                    <w:t>Status of the highest national significance for Strategic Projects</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0429C33C" w14:textId="77777777" w:rsidR="00D37F2D" w:rsidRPr="009011B9" w:rsidRDefault="00D37F2D">
                  <w:pPr>
                    <w:jc w:val="left"/>
                    <w:rPr>
                      <w:sz w:val="18"/>
                      <w:szCs w:val="14"/>
                    </w:rPr>
                  </w:pPr>
                  <w:r w:rsidRPr="009011B9">
                    <w:rPr>
                      <w:sz w:val="18"/>
                      <w:szCs w:val="14"/>
                    </w:rPr>
                    <w:t>Article 9</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513377B6" w14:textId="77777777" w:rsidR="00D37F2D" w:rsidRPr="009011B9" w:rsidRDefault="00D37F2D">
                  <w:pPr>
                    <w:jc w:val="left"/>
                    <w:rPr>
                      <w:sz w:val="18"/>
                      <w:szCs w:val="14"/>
                    </w:rPr>
                  </w:pPr>
                  <w:r w:rsidRPr="009011B9">
                    <w:rPr>
                      <w:sz w:val="18"/>
                      <w:szCs w:val="14"/>
                    </w:rPr>
                    <w:t>National authorities</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3E8473AF" w14:textId="77777777" w:rsidR="00D37F2D" w:rsidRPr="009011B9" w:rsidRDefault="00D37F2D">
                  <w:pPr>
                    <w:jc w:val="left"/>
                    <w:rPr>
                      <w:sz w:val="18"/>
                      <w:szCs w:val="14"/>
                    </w:rPr>
                  </w:pPr>
                  <w:r w:rsidRPr="009011B9">
                    <w:rPr>
                      <w:sz w:val="18"/>
                      <w:szCs w:val="14"/>
                    </w:rPr>
                    <w:t>Strategic Project promoter</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7A56CFFF" w14:textId="77777777" w:rsidR="00D37F2D" w:rsidRPr="009011B9" w:rsidRDefault="00D37F2D">
                  <w:pPr>
                    <w:jc w:val="left"/>
                    <w:rPr>
                      <w:sz w:val="18"/>
                      <w:szCs w:val="14"/>
                    </w:rPr>
                  </w:pPr>
                  <w:r w:rsidRPr="009011B9">
                    <w:rPr>
                      <w:sz w:val="18"/>
                      <w:szCs w:val="14"/>
                    </w:rPr>
                    <w:t>No deadline set</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6F765827" w14:textId="77777777" w:rsidR="00D37F2D" w:rsidRPr="009011B9" w:rsidRDefault="00D37F2D">
                  <w:pPr>
                    <w:jc w:val="left"/>
                    <w:rPr>
                      <w:sz w:val="18"/>
                      <w:szCs w:val="14"/>
                    </w:rPr>
                  </w:pPr>
                </w:p>
              </w:tc>
            </w:tr>
            <w:tr w:rsidR="00D37F2D" w:rsidRPr="00B3633A" w14:paraId="16105195"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4773A36E" w14:textId="77777777" w:rsidR="00D37F2D" w:rsidRPr="009011B9" w:rsidRDefault="00D37F2D">
                  <w:pPr>
                    <w:jc w:val="left"/>
                    <w:rPr>
                      <w:sz w:val="18"/>
                      <w:szCs w:val="14"/>
                      <w:lang w:eastAsia="en-GB"/>
                    </w:rPr>
                  </w:pPr>
                  <w:r w:rsidRPr="009011B9">
                    <w:rPr>
                      <w:sz w:val="18"/>
                      <w:szCs w:val="14"/>
                      <w:lang w:eastAsia="en-GB"/>
                    </w:rPr>
                    <w:t>Combined environmental assessment</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3A519EB5" w14:textId="77777777" w:rsidR="00D37F2D" w:rsidRPr="009011B9" w:rsidRDefault="00D37F2D">
                  <w:pPr>
                    <w:jc w:val="left"/>
                    <w:rPr>
                      <w:sz w:val="18"/>
                      <w:szCs w:val="14"/>
                    </w:rPr>
                  </w:pPr>
                  <w:r w:rsidRPr="009011B9">
                    <w:rPr>
                      <w:sz w:val="18"/>
                      <w:szCs w:val="14"/>
                    </w:rPr>
                    <w:t>Article 12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842673C" w14:textId="77777777" w:rsidR="00D37F2D" w:rsidRPr="009011B9" w:rsidRDefault="00D37F2D">
                  <w:pPr>
                    <w:jc w:val="left"/>
                    <w:rPr>
                      <w:sz w:val="18"/>
                      <w:szCs w:val="14"/>
                    </w:rPr>
                  </w:pPr>
                  <w:r w:rsidRPr="009011B9">
                    <w:rPr>
                      <w:sz w:val="18"/>
                      <w:szCs w:val="14"/>
                    </w:rPr>
                    <w:t>Competent authority</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567F4EB3" w14:textId="77777777" w:rsidR="00D37F2D" w:rsidRPr="009011B9" w:rsidRDefault="00D37F2D">
                  <w:pPr>
                    <w:jc w:val="left"/>
                    <w:rPr>
                      <w:sz w:val="18"/>
                      <w:szCs w:val="14"/>
                    </w:rPr>
                  </w:pPr>
                  <w:r w:rsidRPr="009011B9">
                    <w:rPr>
                      <w:sz w:val="18"/>
                      <w:szCs w:val="14"/>
                    </w:rPr>
                    <w:t>Strategic Project promoter</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CFB0410" w14:textId="1EEDA1B0" w:rsidR="00D37F2D" w:rsidRPr="009011B9" w:rsidRDefault="00D37F2D">
                  <w:pPr>
                    <w:jc w:val="left"/>
                    <w:rPr>
                      <w:sz w:val="18"/>
                      <w:szCs w:val="14"/>
                    </w:rPr>
                  </w:pPr>
                  <w:r w:rsidRPr="009011B9">
                    <w:rPr>
                      <w:sz w:val="18"/>
                      <w:szCs w:val="14"/>
                    </w:rPr>
                    <w:t xml:space="preserve">Within </w:t>
                  </w:r>
                  <w:r w:rsidR="00292EA9">
                    <w:rPr>
                      <w:sz w:val="18"/>
                      <w:szCs w:val="14"/>
                    </w:rPr>
                    <w:t xml:space="preserve">45 </w:t>
                  </w:r>
                  <w:r w:rsidRPr="009011B9">
                    <w:rPr>
                      <w:sz w:val="18"/>
                      <w:szCs w:val="14"/>
                    </w:rPr>
                    <w:t>days after receiving all necessary information and subject to exceptions</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74D7CE40" w14:textId="77777777" w:rsidR="00D37F2D" w:rsidRPr="009011B9" w:rsidRDefault="00D37F2D">
                  <w:pPr>
                    <w:jc w:val="left"/>
                    <w:rPr>
                      <w:sz w:val="18"/>
                      <w:szCs w:val="14"/>
                    </w:rPr>
                  </w:pPr>
                </w:p>
              </w:tc>
            </w:tr>
            <w:tr w:rsidR="00D37F2D" w:rsidRPr="00B3633A" w14:paraId="74A9BCE2"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0B167D00" w14:textId="77777777" w:rsidR="00D37F2D" w:rsidRPr="009011B9" w:rsidRDefault="00D37F2D">
                  <w:pPr>
                    <w:jc w:val="left"/>
                    <w:rPr>
                      <w:sz w:val="18"/>
                      <w:szCs w:val="14"/>
                      <w:lang w:eastAsia="en-GB"/>
                    </w:rPr>
                  </w:pPr>
                  <w:r w:rsidRPr="009011B9">
                    <w:rPr>
                      <w:sz w:val="18"/>
                      <w:szCs w:val="14"/>
                      <w:lang w:eastAsia="en-GB"/>
                    </w:rPr>
                    <w:t>Spatial planning data</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78C6217E" w14:textId="77777777" w:rsidR="00D37F2D" w:rsidRPr="009011B9" w:rsidRDefault="00D37F2D">
                  <w:pPr>
                    <w:jc w:val="left"/>
                    <w:rPr>
                      <w:sz w:val="18"/>
                      <w:szCs w:val="14"/>
                    </w:rPr>
                  </w:pPr>
                  <w:r w:rsidRPr="009011B9">
                    <w:rPr>
                      <w:sz w:val="18"/>
                      <w:szCs w:val="14"/>
                    </w:rPr>
                    <w:t>Article 13 paragraph 1</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3FFDD53" w14:textId="77777777" w:rsidR="00D37F2D" w:rsidRPr="009011B9" w:rsidRDefault="00D37F2D">
                  <w:pPr>
                    <w:jc w:val="left"/>
                    <w:rPr>
                      <w:sz w:val="18"/>
                      <w:szCs w:val="14"/>
                    </w:rPr>
                  </w:pPr>
                  <w:r w:rsidRPr="009011B9">
                    <w:rPr>
                      <w:sz w:val="18"/>
                      <w:szCs w:val="14"/>
                    </w:rPr>
                    <w:t>Member States</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69DAB169" w14:textId="77777777" w:rsidR="00D37F2D" w:rsidRPr="009011B9" w:rsidRDefault="00D37F2D">
                  <w:pPr>
                    <w:jc w:val="left"/>
                    <w:rPr>
                      <w:sz w:val="18"/>
                      <w:szCs w:val="14"/>
                    </w:rPr>
                  </w:pPr>
                  <w:r w:rsidRPr="009011B9">
                    <w:rPr>
                      <w:sz w:val="18"/>
                      <w:szCs w:val="14"/>
                    </w:rPr>
                    <w:t>General public</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05D4F771" w14:textId="77777777" w:rsidR="00D37F2D" w:rsidRPr="009011B9" w:rsidRDefault="00D37F2D">
                  <w:pPr>
                    <w:jc w:val="left"/>
                    <w:rPr>
                      <w:sz w:val="18"/>
                      <w:szCs w:val="14"/>
                    </w:rPr>
                  </w:pP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56256BE9" w14:textId="77777777" w:rsidR="00D37F2D" w:rsidRPr="009011B9" w:rsidRDefault="00D37F2D">
                  <w:pPr>
                    <w:jc w:val="left"/>
                    <w:rPr>
                      <w:sz w:val="18"/>
                      <w:szCs w:val="14"/>
                    </w:rPr>
                  </w:pPr>
                </w:p>
              </w:tc>
            </w:tr>
            <w:tr w:rsidR="00D37F2D" w:rsidRPr="00B3633A" w14:paraId="0D761A7F"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2EC011E1" w14:textId="77777777" w:rsidR="00D37F2D" w:rsidRPr="009011B9" w:rsidRDefault="00D37F2D">
                  <w:pPr>
                    <w:jc w:val="left"/>
                    <w:rPr>
                      <w:sz w:val="18"/>
                      <w:szCs w:val="14"/>
                      <w:lang w:eastAsia="en-GB"/>
                    </w:rPr>
                  </w:pPr>
                  <w:r w:rsidRPr="009011B9">
                    <w:rPr>
                      <w:sz w:val="20"/>
                      <w:szCs w:val="16"/>
                      <w:lang w:eastAsia="en-GB"/>
                    </w:rPr>
                    <w:t>Combined urbanistic assessments</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197AAE3F" w14:textId="77777777" w:rsidR="00D37F2D" w:rsidRPr="009011B9" w:rsidRDefault="00D37F2D">
                  <w:pPr>
                    <w:jc w:val="left"/>
                    <w:rPr>
                      <w:sz w:val="18"/>
                      <w:szCs w:val="14"/>
                    </w:rPr>
                  </w:pPr>
                  <w:r w:rsidRPr="009011B9">
                    <w:rPr>
                      <w:sz w:val="18"/>
                      <w:szCs w:val="14"/>
                    </w:rPr>
                    <w:t>Article 13 paragraph 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127B61A2" w14:textId="77777777" w:rsidR="00D37F2D" w:rsidRPr="009011B9" w:rsidRDefault="00D37F2D">
                  <w:pPr>
                    <w:jc w:val="left"/>
                    <w:rPr>
                      <w:sz w:val="18"/>
                      <w:szCs w:val="14"/>
                    </w:rPr>
                  </w:pPr>
                  <w:r w:rsidRPr="009011B9">
                    <w:rPr>
                      <w:sz w:val="18"/>
                      <w:szCs w:val="14"/>
                    </w:rPr>
                    <w:t>Member States competent authorities</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225D46EA" w14:textId="77777777" w:rsidR="00D37F2D" w:rsidRPr="009011B9" w:rsidRDefault="00D37F2D">
                  <w:pPr>
                    <w:jc w:val="left"/>
                    <w:rPr>
                      <w:sz w:val="18"/>
                      <w:szCs w:val="14"/>
                    </w:rPr>
                  </w:pPr>
                  <w:r w:rsidRPr="009011B9">
                    <w:rPr>
                      <w:sz w:val="18"/>
                      <w:szCs w:val="14"/>
                    </w:rPr>
                    <w:t>Strategic Project promoter</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F764849" w14:textId="77777777" w:rsidR="00D37F2D" w:rsidRPr="009011B9" w:rsidRDefault="00D37F2D">
                  <w:pPr>
                    <w:jc w:val="left"/>
                    <w:rPr>
                      <w:sz w:val="18"/>
                      <w:szCs w:val="14"/>
                    </w:rPr>
                  </w:pPr>
                  <w:r w:rsidRPr="009011B9">
                    <w:rPr>
                      <w:sz w:val="18"/>
                      <w:szCs w:val="14"/>
                    </w:rPr>
                    <w:t>No deadline set</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27C00B16" w14:textId="77777777" w:rsidR="00D37F2D" w:rsidRPr="009011B9" w:rsidRDefault="00D37F2D">
                  <w:pPr>
                    <w:jc w:val="left"/>
                    <w:rPr>
                      <w:sz w:val="18"/>
                      <w:szCs w:val="14"/>
                    </w:rPr>
                  </w:pPr>
                </w:p>
              </w:tc>
            </w:tr>
            <w:tr w:rsidR="00D37F2D" w:rsidRPr="00B3633A" w14:paraId="69522061"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06E322E7" w14:textId="77777777" w:rsidR="00D37F2D" w:rsidRPr="009011B9" w:rsidRDefault="00D37F2D">
                  <w:pPr>
                    <w:jc w:val="left"/>
                    <w:rPr>
                      <w:sz w:val="20"/>
                      <w:szCs w:val="16"/>
                      <w:lang w:eastAsia="en-GB"/>
                    </w:rPr>
                  </w:pPr>
                  <w:r w:rsidRPr="009011B9">
                    <w:rPr>
                      <w:sz w:val="20"/>
                      <w:szCs w:val="16"/>
                      <w:lang w:eastAsia="en-GB"/>
                    </w:rPr>
                    <w:t>Request for assessment of addressing vulnerability by Strategic Projects</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52BEA433" w14:textId="1D60A519" w:rsidR="00D37F2D" w:rsidRPr="009011B9" w:rsidRDefault="00D37F2D">
                  <w:pPr>
                    <w:jc w:val="left"/>
                    <w:rPr>
                      <w:sz w:val="18"/>
                      <w:szCs w:val="14"/>
                    </w:rPr>
                  </w:pPr>
                  <w:r w:rsidRPr="009011B9">
                    <w:rPr>
                      <w:sz w:val="18"/>
                      <w:szCs w:val="14"/>
                    </w:rPr>
                    <w:t xml:space="preserve">Article 16 paragraph </w:t>
                  </w:r>
                  <w:r w:rsidR="00163C4F">
                    <w:rPr>
                      <w:sz w:val="18"/>
                      <w:szCs w:val="14"/>
                    </w:rPr>
                    <w:t>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76AE1FC7" w14:textId="77777777" w:rsidR="00D37F2D" w:rsidRPr="009011B9" w:rsidRDefault="00D37F2D">
                  <w:pPr>
                    <w:jc w:val="left"/>
                    <w:rPr>
                      <w:sz w:val="18"/>
                      <w:szCs w:val="14"/>
                    </w:rPr>
                  </w:pPr>
                  <w:r w:rsidRPr="009011B9">
                    <w:rPr>
                      <w:sz w:val="18"/>
                      <w:szCs w:val="14"/>
                    </w:rPr>
                    <w:t>Strategic Project promoter</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105FAAD" w14:textId="77777777" w:rsidR="00D37F2D" w:rsidRPr="009011B9" w:rsidRDefault="00D37F2D">
                  <w:pPr>
                    <w:jc w:val="left"/>
                    <w:rPr>
                      <w:sz w:val="18"/>
                      <w:szCs w:val="14"/>
                    </w:rPr>
                  </w:pPr>
                  <w:r w:rsidRPr="009011B9">
                    <w:rPr>
                      <w:sz w:val="18"/>
                      <w:szCs w:val="14"/>
                    </w:rPr>
                    <w:t>Designated authority</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2D6E692F" w14:textId="77777777" w:rsidR="00D37F2D" w:rsidRPr="009011B9" w:rsidRDefault="00D37F2D">
                  <w:pPr>
                    <w:jc w:val="left"/>
                    <w:rPr>
                      <w:sz w:val="18"/>
                      <w:szCs w:val="14"/>
                    </w:rPr>
                  </w:pPr>
                  <w:r w:rsidRPr="009011B9">
                    <w:rPr>
                      <w:sz w:val="18"/>
                      <w:szCs w:val="14"/>
                    </w:rPr>
                    <w:t>At the initiative of the project promoter</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7FC5FB99" w14:textId="77777777" w:rsidR="00D37F2D" w:rsidRPr="009011B9" w:rsidRDefault="00D37F2D">
                  <w:pPr>
                    <w:jc w:val="left"/>
                    <w:rPr>
                      <w:sz w:val="18"/>
                      <w:szCs w:val="14"/>
                    </w:rPr>
                  </w:pPr>
                </w:p>
              </w:tc>
            </w:tr>
            <w:tr w:rsidR="00D37F2D" w:rsidRPr="00B3633A" w14:paraId="7813BD5B"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0EB11690" w14:textId="77777777" w:rsidR="00D37F2D" w:rsidRPr="009011B9" w:rsidRDefault="00D37F2D">
                  <w:pPr>
                    <w:jc w:val="left"/>
                    <w:rPr>
                      <w:sz w:val="20"/>
                      <w:szCs w:val="16"/>
                      <w:lang w:eastAsia="en-GB"/>
                    </w:rPr>
                  </w:pPr>
                  <w:r w:rsidRPr="009011B9">
                    <w:rPr>
                      <w:sz w:val="20"/>
                      <w:szCs w:val="16"/>
                      <w:lang w:eastAsia="en-GB"/>
                    </w:rPr>
                    <w:t>Assessment of addressing  vulnerability by Strategic Projects</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3ABB4650" w14:textId="1FAA607D" w:rsidR="00D37F2D" w:rsidRPr="009011B9" w:rsidRDefault="00D37F2D">
                  <w:pPr>
                    <w:jc w:val="left"/>
                    <w:rPr>
                      <w:sz w:val="18"/>
                      <w:szCs w:val="14"/>
                    </w:rPr>
                  </w:pPr>
                  <w:r w:rsidRPr="009011B9">
                    <w:rPr>
                      <w:sz w:val="18"/>
                      <w:szCs w:val="14"/>
                    </w:rPr>
                    <w:t xml:space="preserve">Article 16 paragraph </w:t>
                  </w:r>
                  <w:r w:rsidR="00163C4F">
                    <w:rPr>
                      <w:sz w:val="18"/>
                      <w:szCs w:val="14"/>
                    </w:rPr>
                    <w:t>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3D854726" w14:textId="77777777" w:rsidR="00D37F2D" w:rsidRPr="009011B9" w:rsidRDefault="00D37F2D">
                  <w:pPr>
                    <w:jc w:val="left"/>
                    <w:rPr>
                      <w:sz w:val="18"/>
                      <w:szCs w:val="14"/>
                    </w:rPr>
                  </w:pPr>
                  <w:r w:rsidRPr="009011B9">
                    <w:rPr>
                      <w:sz w:val="18"/>
                      <w:szCs w:val="14"/>
                    </w:rPr>
                    <w:t>Designated authority</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3D075FB6" w14:textId="77777777" w:rsidR="00D37F2D" w:rsidRPr="009011B9" w:rsidRDefault="00D37F2D">
                  <w:pPr>
                    <w:jc w:val="left"/>
                    <w:rPr>
                      <w:sz w:val="18"/>
                      <w:szCs w:val="14"/>
                    </w:rPr>
                  </w:pPr>
                  <w:r w:rsidRPr="009011B9">
                    <w:rPr>
                      <w:sz w:val="18"/>
                      <w:szCs w:val="14"/>
                    </w:rPr>
                    <w:t>Strategic Project promoter</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5EEF99F7" w14:textId="2AAFEF52" w:rsidR="00D37F2D" w:rsidRPr="009011B9" w:rsidRDefault="00D37F2D">
                  <w:pPr>
                    <w:jc w:val="left"/>
                    <w:rPr>
                      <w:sz w:val="18"/>
                      <w:szCs w:val="14"/>
                    </w:rPr>
                  </w:pPr>
                  <w:r w:rsidRPr="009011B9">
                    <w:rPr>
                      <w:sz w:val="18"/>
                      <w:szCs w:val="14"/>
                    </w:rPr>
                    <w:t xml:space="preserve">Within 15 </w:t>
                  </w:r>
                  <w:r w:rsidR="004E4BCF">
                    <w:rPr>
                      <w:sz w:val="18"/>
                      <w:szCs w:val="14"/>
                    </w:rPr>
                    <w:t xml:space="preserve">working </w:t>
                  </w:r>
                  <w:r w:rsidRPr="009011B9">
                    <w:rPr>
                      <w:sz w:val="18"/>
                      <w:szCs w:val="14"/>
                    </w:rPr>
                    <w:t xml:space="preserve">days </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28F27232" w14:textId="77777777" w:rsidR="00D37F2D" w:rsidRPr="009011B9" w:rsidRDefault="00D37F2D">
                  <w:pPr>
                    <w:jc w:val="left"/>
                    <w:rPr>
                      <w:sz w:val="18"/>
                      <w:szCs w:val="14"/>
                    </w:rPr>
                  </w:pPr>
                </w:p>
              </w:tc>
            </w:tr>
            <w:tr w:rsidR="00D37F2D" w:rsidRPr="00B3633A" w14:paraId="4901F796"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28543A0E" w14:textId="77777777" w:rsidR="00D37F2D" w:rsidRPr="009011B9" w:rsidRDefault="00D37F2D">
                  <w:pPr>
                    <w:jc w:val="left"/>
                    <w:rPr>
                      <w:sz w:val="20"/>
                      <w:szCs w:val="16"/>
                      <w:lang w:eastAsia="en-GB"/>
                    </w:rPr>
                  </w:pPr>
                  <w:r w:rsidRPr="009011B9">
                    <w:rPr>
                      <w:sz w:val="20"/>
                      <w:szCs w:val="16"/>
                      <w:lang w:eastAsia="en-GB"/>
                    </w:rPr>
                    <w:t>Assessment of addressing vulnerability by Strategic Projects</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4243F770" w14:textId="66445BEC" w:rsidR="00D37F2D" w:rsidRPr="009011B9" w:rsidRDefault="00D37F2D">
                  <w:pPr>
                    <w:jc w:val="left"/>
                    <w:rPr>
                      <w:sz w:val="18"/>
                      <w:szCs w:val="14"/>
                    </w:rPr>
                  </w:pPr>
                  <w:r w:rsidRPr="009011B9">
                    <w:rPr>
                      <w:sz w:val="18"/>
                      <w:szCs w:val="14"/>
                    </w:rPr>
                    <w:t xml:space="preserve">Article 16 paragraph </w:t>
                  </w:r>
                  <w:r w:rsidR="00163C4F">
                    <w:rPr>
                      <w:sz w:val="18"/>
                      <w:szCs w:val="14"/>
                    </w:rPr>
                    <w:t>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4478610C" w14:textId="77777777" w:rsidR="00D37F2D" w:rsidRPr="009011B9" w:rsidRDefault="00D37F2D">
                  <w:pPr>
                    <w:jc w:val="left"/>
                    <w:rPr>
                      <w:sz w:val="18"/>
                      <w:szCs w:val="14"/>
                    </w:rPr>
                  </w:pPr>
                  <w:r w:rsidRPr="009011B9">
                    <w:rPr>
                      <w:sz w:val="18"/>
                      <w:szCs w:val="14"/>
                    </w:rPr>
                    <w:t>Designated authority</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592FEFA3" w14:textId="77777777" w:rsidR="00D37F2D" w:rsidRPr="009011B9" w:rsidRDefault="00D37F2D">
                  <w:pPr>
                    <w:jc w:val="left"/>
                    <w:rPr>
                      <w:sz w:val="18"/>
                      <w:szCs w:val="14"/>
                    </w:rPr>
                  </w:pPr>
                  <w:r w:rsidRPr="009011B9">
                    <w:rPr>
                      <w:sz w:val="18"/>
                      <w:szCs w:val="14"/>
                    </w:rPr>
                    <w:t>The Commission</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1F0917BC" w14:textId="77777777" w:rsidR="00D37F2D" w:rsidRPr="009011B9" w:rsidRDefault="00D37F2D">
                  <w:pPr>
                    <w:jc w:val="left"/>
                    <w:rPr>
                      <w:sz w:val="18"/>
                      <w:szCs w:val="14"/>
                    </w:rPr>
                  </w:pPr>
                  <w:r w:rsidRPr="009011B9">
                    <w:rPr>
                      <w:sz w:val="18"/>
                      <w:szCs w:val="14"/>
                    </w:rPr>
                    <w:t>If Strategic project addresses an existing vulnerability in the supply chain.</w:t>
                  </w:r>
                </w:p>
                <w:p w14:paraId="3AE040C4" w14:textId="77777777" w:rsidR="00D37F2D" w:rsidRPr="009011B9" w:rsidRDefault="00D37F2D">
                  <w:pPr>
                    <w:jc w:val="left"/>
                    <w:rPr>
                      <w:sz w:val="18"/>
                      <w:szCs w:val="14"/>
                    </w:rPr>
                  </w:pPr>
                  <w:r w:rsidRPr="009011B9">
                    <w:rPr>
                      <w:sz w:val="18"/>
                      <w:szCs w:val="14"/>
                    </w:rPr>
                    <w:t>No deadline set</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48218541" w14:textId="77777777" w:rsidR="00D37F2D" w:rsidRPr="009011B9" w:rsidRDefault="00D37F2D">
                  <w:pPr>
                    <w:jc w:val="left"/>
                    <w:rPr>
                      <w:sz w:val="18"/>
                      <w:szCs w:val="14"/>
                    </w:rPr>
                  </w:pPr>
                </w:p>
              </w:tc>
            </w:tr>
            <w:tr w:rsidR="00D37F2D" w:rsidRPr="00B3633A" w14:paraId="7CD354C1" w14:textId="77777777">
              <w:trPr>
                <w:trHeight w:val="300"/>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6B8421B0" w14:textId="77777777" w:rsidR="00D37F2D" w:rsidRDefault="00D37F2D">
                  <w:pPr>
                    <w:jc w:val="left"/>
                    <w:rPr>
                      <w:sz w:val="20"/>
                      <w:szCs w:val="16"/>
                      <w:lang w:eastAsia="en-GB"/>
                    </w:rPr>
                  </w:pPr>
                  <w:r>
                    <w:rPr>
                      <w:sz w:val="20"/>
                      <w:szCs w:val="16"/>
                      <w:lang w:eastAsia="en-GB"/>
                    </w:rPr>
                    <w:t>National programmes</w:t>
                  </w:r>
                </w:p>
              </w:tc>
              <w:tc>
                <w:tcPr>
                  <w:tcW w:w="2029" w:type="dxa"/>
                  <w:tcBorders>
                    <w:top w:val="single" w:sz="4" w:space="0" w:color="auto"/>
                    <w:left w:val="single" w:sz="4" w:space="0" w:color="auto"/>
                    <w:bottom w:val="single" w:sz="4" w:space="0" w:color="auto"/>
                    <w:right w:val="single" w:sz="4" w:space="0" w:color="auto"/>
                  </w:tcBorders>
                  <w:shd w:val="clear" w:color="auto" w:fill="auto"/>
                </w:tcPr>
                <w:p w14:paraId="470D41DE" w14:textId="678755A2" w:rsidR="00D37F2D" w:rsidRDefault="00D37F2D">
                  <w:pPr>
                    <w:jc w:val="left"/>
                    <w:rPr>
                      <w:sz w:val="18"/>
                      <w:szCs w:val="14"/>
                    </w:rPr>
                  </w:pPr>
                  <w:r>
                    <w:rPr>
                      <w:sz w:val="18"/>
                      <w:szCs w:val="14"/>
                    </w:rPr>
                    <w:t xml:space="preserve">Article 19 paragraph </w:t>
                  </w:r>
                  <w:r w:rsidR="00163C4F">
                    <w:rPr>
                      <w:sz w:val="18"/>
                      <w:szCs w:val="14"/>
                    </w:rPr>
                    <w:t>2</w:t>
                  </w:r>
                </w:p>
              </w:tc>
              <w:tc>
                <w:tcPr>
                  <w:tcW w:w="1207" w:type="dxa"/>
                  <w:tcBorders>
                    <w:top w:val="single" w:sz="4" w:space="0" w:color="auto"/>
                    <w:left w:val="single" w:sz="4" w:space="0" w:color="auto"/>
                    <w:bottom w:val="single" w:sz="4" w:space="0" w:color="auto"/>
                    <w:right w:val="single" w:sz="4" w:space="0" w:color="auto"/>
                  </w:tcBorders>
                  <w:shd w:val="clear" w:color="auto" w:fill="auto"/>
                </w:tcPr>
                <w:p w14:paraId="62A4AEE6" w14:textId="77777777" w:rsidR="00D37F2D" w:rsidRDefault="00D37F2D">
                  <w:pPr>
                    <w:jc w:val="left"/>
                    <w:rPr>
                      <w:sz w:val="18"/>
                      <w:szCs w:val="14"/>
                    </w:rPr>
                  </w:pPr>
                  <w:r>
                    <w:rPr>
                      <w:sz w:val="18"/>
                      <w:szCs w:val="14"/>
                    </w:rPr>
                    <w:t>Member States</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62D691CF" w14:textId="77777777" w:rsidR="00D37F2D" w:rsidRDefault="00D37F2D">
                  <w:pPr>
                    <w:jc w:val="left"/>
                    <w:rPr>
                      <w:sz w:val="18"/>
                      <w:szCs w:val="14"/>
                    </w:rPr>
                  </w:pPr>
                  <w:r>
                    <w:rPr>
                      <w:sz w:val="18"/>
                      <w:szCs w:val="14"/>
                    </w:rPr>
                    <w:t>Commission</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5CA48D63" w14:textId="77777777" w:rsidR="00D37F2D" w:rsidRPr="00243BE4" w:rsidRDefault="00D37F2D">
                  <w:pPr>
                    <w:jc w:val="left"/>
                    <w:rPr>
                      <w:sz w:val="18"/>
                      <w:szCs w:val="14"/>
                    </w:rPr>
                  </w:pPr>
                  <w:r w:rsidRPr="00F66C9A">
                    <w:rPr>
                      <w:sz w:val="18"/>
                      <w:szCs w:val="14"/>
                    </w:rPr>
                    <w:t>By 6 months after entry into force of this Regulation</w:t>
                  </w: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2FD0EAFA" w14:textId="77777777" w:rsidR="00D37F2D" w:rsidRPr="00137DB8" w:rsidRDefault="00D37F2D">
                  <w:pPr>
                    <w:jc w:val="left"/>
                    <w:rPr>
                      <w:color w:val="FF0000"/>
                      <w:sz w:val="18"/>
                      <w:szCs w:val="14"/>
                    </w:rPr>
                  </w:pPr>
                </w:p>
              </w:tc>
            </w:tr>
          </w:tbl>
          <w:p w14:paraId="52676B72" w14:textId="77777777" w:rsidR="00D37F2D" w:rsidRPr="00A745F5" w:rsidRDefault="00D37F2D">
            <w:pPr>
              <w:rPr>
                <w:color w:val="0000FF"/>
              </w:rPr>
            </w:pPr>
          </w:p>
        </w:tc>
      </w:tr>
    </w:tbl>
    <w:p w14:paraId="488B6652" w14:textId="77777777" w:rsidR="00D37F2D" w:rsidRPr="009347D1" w:rsidRDefault="00D37F2D" w:rsidP="00D37F2D">
      <w:pPr>
        <w:pStyle w:val="ManualHeading2"/>
      </w:pPr>
      <w:bookmarkStart w:id="202" w:name="_Toc167220305"/>
      <w:bookmarkStart w:id="203" w:name="_Toc177549039"/>
      <w:r>
        <w:t>4.3.</w:t>
      </w:r>
      <w:r>
        <w:tab/>
        <w:t>Digital solutions</w:t>
      </w:r>
      <w:bookmarkEnd w:id="202"/>
      <w:bookmarkEnd w:id="203"/>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D37F2D" w14:paraId="30F31DD0" w14:textId="77777777">
        <w:tc>
          <w:tcPr>
            <w:tcW w:w="9067" w:type="dxa"/>
          </w:tcPr>
          <w:p w14:paraId="26E12BC9" w14:textId="77777777" w:rsidR="00D37F2D" w:rsidRPr="001B59E4" w:rsidRDefault="00D37F2D">
            <w:r w:rsidRPr="001B59E4">
              <w:t xml:space="preserve">No new digital solution is foreseen. </w:t>
            </w:r>
          </w:p>
          <w:p w14:paraId="27598940" w14:textId="77777777" w:rsidR="00D37F2D" w:rsidRPr="001B7467" w:rsidRDefault="00D37F2D"/>
        </w:tc>
      </w:tr>
    </w:tbl>
    <w:p w14:paraId="79CB8BED" w14:textId="77777777" w:rsidR="00D37F2D" w:rsidRPr="00B27729" w:rsidRDefault="00D37F2D" w:rsidP="00D37F2D">
      <w:pPr>
        <w:pStyle w:val="ManualHeading2"/>
        <w:rPr>
          <w:rStyle w:val="Emphasis"/>
          <w:b w:val="0"/>
          <w:bCs/>
          <w:i w:val="0"/>
          <w:iCs w:val="0"/>
        </w:rPr>
      </w:pPr>
      <w:bookmarkStart w:id="204" w:name="_Toc167220304"/>
      <w:bookmarkStart w:id="205" w:name="_Toc177549040"/>
      <w:r>
        <w:rPr>
          <w:rStyle w:val="Emphasis"/>
          <w:bCs/>
        </w:rPr>
        <w:t>4.4.</w:t>
      </w:r>
      <w:r>
        <w:tab/>
      </w:r>
      <w:r w:rsidRPr="00B27729">
        <w:rPr>
          <w:rStyle w:val="Emphasis"/>
          <w:bCs/>
        </w:rPr>
        <w:t>Interoperability assessment</w:t>
      </w:r>
      <w:bookmarkEnd w:id="204"/>
      <w:bookmarkEnd w:id="205"/>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D37F2D" w14:paraId="70652F59" w14:textId="77777777">
        <w:trPr>
          <w:trHeight w:val="300"/>
        </w:trPr>
        <w:tc>
          <w:tcPr>
            <w:tcW w:w="9067" w:type="dxa"/>
          </w:tcPr>
          <w:tbl>
            <w:tblPr>
              <w:tblStyle w:val="TableGrid"/>
              <w:tblW w:w="0" w:type="auto"/>
              <w:tblLayout w:type="fixed"/>
              <w:tblLook w:val="04A0" w:firstRow="1" w:lastRow="0" w:firstColumn="1" w:lastColumn="0" w:noHBand="0" w:noVBand="1"/>
            </w:tblPr>
            <w:tblGrid>
              <w:gridCol w:w="1413"/>
              <w:gridCol w:w="2410"/>
              <w:gridCol w:w="1481"/>
              <w:gridCol w:w="3490"/>
            </w:tblGrid>
            <w:tr w:rsidR="00D37F2D" w14:paraId="2CDEB294" w14:textId="77777777">
              <w:tc>
                <w:tcPr>
                  <w:tcW w:w="1413" w:type="dxa"/>
                  <w:shd w:val="clear" w:color="auto" w:fill="DBE5F1" w:themeFill="accent1" w:themeFillTint="33"/>
                </w:tcPr>
                <w:p w14:paraId="10C3FB5C" w14:textId="77777777" w:rsidR="00D37F2D" w:rsidRPr="001D7C2D" w:rsidRDefault="00D37F2D">
                  <w:pPr>
                    <w:framePr w:hSpace="141" w:wrap="around" w:vAnchor="text" w:hAnchor="margin" w:y="36"/>
                  </w:pPr>
                  <w:r w:rsidRPr="001B59E4">
                    <w:t>Reference to the legal provision</w:t>
                  </w:r>
                </w:p>
              </w:tc>
              <w:tc>
                <w:tcPr>
                  <w:tcW w:w="2410" w:type="dxa"/>
                  <w:shd w:val="clear" w:color="auto" w:fill="DBE5F1" w:themeFill="accent1" w:themeFillTint="33"/>
                </w:tcPr>
                <w:p w14:paraId="498EC06D" w14:textId="77777777" w:rsidR="00D37F2D" w:rsidRPr="001B59E4" w:rsidRDefault="00D37F2D">
                  <w:pPr>
                    <w:framePr w:hSpace="141" w:wrap="around" w:vAnchor="text" w:hAnchor="margin" w:y="36"/>
                  </w:pPr>
                  <w:r w:rsidRPr="001B59E4">
                    <w:t>Description of the requirement</w:t>
                  </w:r>
                </w:p>
                <w:p w14:paraId="047904CC" w14:textId="77777777" w:rsidR="00D37F2D" w:rsidRPr="001D7C2D" w:rsidRDefault="00D37F2D">
                  <w:pPr>
                    <w:framePr w:hSpace="141" w:wrap="around" w:vAnchor="text" w:hAnchor="margin" w:y="36"/>
                  </w:pPr>
                </w:p>
              </w:tc>
              <w:tc>
                <w:tcPr>
                  <w:tcW w:w="1481" w:type="dxa"/>
                  <w:shd w:val="clear" w:color="auto" w:fill="DBE5F1" w:themeFill="accent1" w:themeFillTint="33"/>
                </w:tcPr>
                <w:p w14:paraId="31B9A881" w14:textId="77777777" w:rsidR="00D37F2D" w:rsidRPr="001D7C2D" w:rsidRDefault="00D37F2D">
                  <w:pPr>
                    <w:framePr w:hSpace="141" w:wrap="around" w:vAnchor="text" w:hAnchor="margin" w:y="36"/>
                  </w:pPr>
                  <w:r w:rsidRPr="001B59E4">
                    <w:t>Interaction across Member State borders, among EU entities or between EU entities and public sector bodies</w:t>
                  </w:r>
                </w:p>
              </w:tc>
              <w:tc>
                <w:tcPr>
                  <w:tcW w:w="3490" w:type="dxa"/>
                  <w:shd w:val="clear" w:color="auto" w:fill="DBE5F1" w:themeFill="accent1" w:themeFillTint="33"/>
                </w:tcPr>
                <w:p w14:paraId="3A821EA7" w14:textId="77777777" w:rsidR="00D37F2D" w:rsidRPr="001D7C2D" w:rsidRDefault="00D37F2D">
                  <w:pPr>
                    <w:framePr w:hSpace="141" w:wrap="around" w:vAnchor="text" w:hAnchor="margin" w:y="36"/>
                  </w:pPr>
                  <w:r w:rsidRPr="001B59E4">
                    <w:t xml:space="preserve">Effect on ‘cross-border interoperability’ </w:t>
                  </w:r>
                </w:p>
              </w:tc>
            </w:tr>
            <w:tr w:rsidR="00D37F2D" w14:paraId="62CFBDE4" w14:textId="77777777">
              <w:trPr>
                <w:trHeight w:val="2358"/>
              </w:trPr>
              <w:tc>
                <w:tcPr>
                  <w:tcW w:w="1413" w:type="dxa"/>
                </w:tcPr>
                <w:p w14:paraId="76759D4C" w14:textId="77777777" w:rsidR="00D37F2D" w:rsidRPr="001D7C2D" w:rsidRDefault="00D37F2D">
                  <w:pPr>
                    <w:framePr w:hSpace="141" w:wrap="around" w:vAnchor="text" w:hAnchor="margin" w:y="36"/>
                    <w:jc w:val="left"/>
                  </w:pPr>
                  <w:r w:rsidRPr="001B59E4">
                    <w:t xml:space="preserve">Article </w:t>
                  </w:r>
                  <w:r>
                    <w:t>6</w:t>
                  </w:r>
                  <w:r w:rsidRPr="001B59E4">
                    <w:t xml:space="preserve"> paragraph 2</w:t>
                  </w:r>
                </w:p>
              </w:tc>
              <w:tc>
                <w:tcPr>
                  <w:tcW w:w="2410" w:type="dxa"/>
                </w:tcPr>
                <w:p w14:paraId="19205C08" w14:textId="77777777" w:rsidR="00D37F2D" w:rsidRPr="002A7B97" w:rsidRDefault="00D37F2D">
                  <w:pPr>
                    <w:framePr w:hSpace="141" w:wrap="around" w:vAnchor="text" w:hAnchor="margin" w:y="36"/>
                  </w:pPr>
                  <w:r w:rsidRPr="001B59E4">
                    <w:t xml:space="preserve">Member States shall communicate to the Commission which authority is designated for assessing and confirming Strategic Projects; </w:t>
                  </w:r>
                </w:p>
              </w:tc>
              <w:tc>
                <w:tcPr>
                  <w:tcW w:w="4971" w:type="dxa"/>
                  <w:gridSpan w:val="2"/>
                  <w:vMerge w:val="restart"/>
                </w:tcPr>
                <w:p w14:paraId="09775648" w14:textId="77777777" w:rsidR="00D37F2D" w:rsidRPr="001B59E4" w:rsidRDefault="00D37F2D">
                  <w:pPr>
                    <w:framePr w:hSpace="141" w:wrap="around" w:vAnchor="text" w:hAnchor="margin" w:y="36"/>
                    <w:jc w:val="center"/>
                  </w:pPr>
                </w:p>
                <w:p w14:paraId="4235C48C" w14:textId="77777777" w:rsidR="00D37F2D" w:rsidRPr="001B59E4" w:rsidRDefault="00D37F2D">
                  <w:pPr>
                    <w:framePr w:hSpace="141" w:wrap="around" w:vAnchor="text" w:hAnchor="margin" w:y="36"/>
                    <w:jc w:val="center"/>
                  </w:pPr>
                </w:p>
                <w:p w14:paraId="23C21823" w14:textId="77777777" w:rsidR="00D37F2D" w:rsidRPr="001B59E4" w:rsidRDefault="00D37F2D">
                  <w:pPr>
                    <w:framePr w:hSpace="141" w:wrap="around" w:vAnchor="text" w:hAnchor="margin" w:y="36"/>
                    <w:jc w:val="center"/>
                  </w:pPr>
                  <w:r w:rsidRPr="001B59E4">
                    <w:t>No interaction just one simple notification and/or publishing</w:t>
                  </w:r>
                </w:p>
                <w:p w14:paraId="6824B20E" w14:textId="77777777" w:rsidR="00D37F2D" w:rsidRPr="001D7C2D" w:rsidRDefault="00D37F2D">
                  <w:pPr>
                    <w:framePr w:hSpace="141" w:wrap="around" w:vAnchor="text" w:hAnchor="margin" w:y="36"/>
                  </w:pPr>
                </w:p>
              </w:tc>
            </w:tr>
            <w:tr w:rsidR="00D37F2D" w14:paraId="0488F18C" w14:textId="77777777">
              <w:tc>
                <w:tcPr>
                  <w:tcW w:w="1413" w:type="dxa"/>
                </w:tcPr>
                <w:p w14:paraId="56B4C8DD" w14:textId="77777777" w:rsidR="00D37F2D" w:rsidRPr="001D7C2D" w:rsidRDefault="00D37F2D">
                  <w:pPr>
                    <w:framePr w:hSpace="141" w:wrap="around" w:vAnchor="text" w:hAnchor="margin" w:y="36"/>
                    <w:jc w:val="left"/>
                  </w:pPr>
                  <w:r w:rsidRPr="001B59E4">
                    <w:t xml:space="preserve">Article </w:t>
                  </w:r>
                  <w:r>
                    <w:t>6</w:t>
                  </w:r>
                  <w:r w:rsidRPr="001B59E4">
                    <w:t xml:space="preserve"> paragraph </w:t>
                  </w:r>
                  <w:r>
                    <w:t>3</w:t>
                  </w:r>
                </w:p>
              </w:tc>
              <w:tc>
                <w:tcPr>
                  <w:tcW w:w="2410" w:type="dxa"/>
                </w:tcPr>
                <w:p w14:paraId="708ABBD8" w14:textId="77777777" w:rsidR="00D37F2D" w:rsidRPr="001D7C2D" w:rsidRDefault="00D37F2D">
                  <w:pPr>
                    <w:framePr w:hSpace="141" w:wrap="around" w:vAnchor="text" w:hAnchor="margin" w:y="36"/>
                  </w:pPr>
                  <w:r w:rsidRPr="001B59E4">
                    <w:t>EC publishes online the list of MS designated authorities</w:t>
                  </w:r>
                </w:p>
              </w:tc>
              <w:tc>
                <w:tcPr>
                  <w:tcW w:w="4971" w:type="dxa"/>
                  <w:gridSpan w:val="2"/>
                  <w:vMerge/>
                </w:tcPr>
                <w:p w14:paraId="15554D73" w14:textId="77777777" w:rsidR="00D37F2D" w:rsidRPr="001D7C2D" w:rsidRDefault="00D37F2D">
                  <w:pPr>
                    <w:framePr w:hSpace="141" w:wrap="around" w:vAnchor="text" w:hAnchor="margin" w:y="36"/>
                  </w:pPr>
                </w:p>
              </w:tc>
            </w:tr>
          </w:tbl>
          <w:p w14:paraId="14A74740" w14:textId="77777777" w:rsidR="00D37F2D" w:rsidRPr="00EA72C1" w:rsidRDefault="00D37F2D">
            <w:pPr>
              <w:rPr>
                <w:i/>
                <w:iCs/>
                <w:color w:val="215868" w:themeColor="accent5" w:themeShade="80"/>
              </w:rPr>
            </w:pPr>
          </w:p>
        </w:tc>
      </w:tr>
    </w:tbl>
    <w:p w14:paraId="74D66603" w14:textId="77777777" w:rsidR="00D37F2D" w:rsidRPr="001B7467" w:rsidRDefault="00D37F2D" w:rsidP="00D37F2D">
      <w:pPr>
        <w:pStyle w:val="ManualHeading2"/>
      </w:pPr>
      <w:bookmarkStart w:id="206" w:name="_Toc167220306"/>
      <w:bookmarkStart w:id="207" w:name="_Toc177549041"/>
      <w:r>
        <w:t>4.5.</w:t>
      </w:r>
      <w:r>
        <w:tab/>
        <w:t>Measures to support digital</w:t>
      </w:r>
      <w:r w:rsidRPr="001B7467">
        <w:t xml:space="preserve"> </w:t>
      </w:r>
      <w:r>
        <w:t>i</w:t>
      </w:r>
      <w:r w:rsidRPr="001B7467">
        <w:t>mplementation</w:t>
      </w:r>
      <w:bookmarkEnd w:id="206"/>
      <w:bookmarkEnd w:id="207"/>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D37F2D" w14:paraId="09611DA8" w14:textId="77777777">
        <w:tc>
          <w:tcPr>
            <w:tcW w:w="9067" w:type="dxa"/>
          </w:tcPr>
          <w:p w14:paraId="60146485" w14:textId="77777777" w:rsidR="00D37F2D" w:rsidRPr="00B2224C" w:rsidRDefault="00D37F2D">
            <w:pPr>
              <w:rPr>
                <w:color w:val="0000FF"/>
              </w:rPr>
            </w:pPr>
            <w:r w:rsidRPr="001B59E4">
              <w:t xml:space="preserve"> </w:t>
            </w:r>
          </w:p>
        </w:tc>
      </w:tr>
      <w:bookmarkEnd w:id="197"/>
    </w:tbl>
    <w:p w14:paraId="6DBB799D" w14:textId="77777777" w:rsidR="00D37F2D" w:rsidRPr="00D37F2D" w:rsidRDefault="00D37F2D" w:rsidP="00D37F2D"/>
    <w:sectPr w:rsidR="00D37F2D" w:rsidRPr="00D37F2D" w:rsidSect="009A3128">
      <w:headerReference w:type="default" r:id="rId31"/>
      <w:footerReference w:type="default" r:id="rId32"/>
      <w:headerReference w:type="first" r:id="rId33"/>
      <w:footerReference w:type="first" r:id="rId34"/>
      <w:footnotePr>
        <w:numRestart w:val="eachSect"/>
      </w:footnotePr>
      <w:pgSz w:w="11907" w:h="16840" w:code="9"/>
      <w:pgMar w:top="1134" w:right="1418" w:bottom="1134" w:left="1418" w:header="709" w:footer="709"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2253C" w14:textId="77777777" w:rsidR="00DB4AA7" w:rsidRDefault="00DB4AA7" w:rsidP="004C5377">
      <w:pPr>
        <w:spacing w:before="0" w:after="0"/>
      </w:pPr>
      <w:r>
        <w:separator/>
      </w:r>
    </w:p>
  </w:endnote>
  <w:endnote w:type="continuationSeparator" w:id="0">
    <w:p w14:paraId="58F0AF6C" w14:textId="77777777" w:rsidR="00DB4AA7" w:rsidRDefault="00DB4AA7" w:rsidP="004C5377">
      <w:pPr>
        <w:spacing w:before="0" w:after="0"/>
      </w:pPr>
      <w:r>
        <w:continuationSeparator/>
      </w:r>
    </w:p>
  </w:endnote>
  <w:endnote w:type="continuationNotice" w:id="1">
    <w:p w14:paraId="5B915166" w14:textId="77777777" w:rsidR="00DB4AA7" w:rsidRDefault="00DB4AA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Calibri"/>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2DFD2" w14:textId="35C9D9E2" w:rsidR="001D7C2D" w:rsidRPr="009A3128" w:rsidRDefault="009A3128" w:rsidP="009A3128">
    <w:pPr>
      <w:pStyle w:val="Footer"/>
      <w:rPr>
        <w:rFonts w:ascii="Arial" w:hAnsi="Arial" w:cs="Arial"/>
        <w:b/>
        <w:sz w:val="48"/>
      </w:rPr>
    </w:pPr>
    <w:r w:rsidRPr="009A3128">
      <w:rPr>
        <w:rFonts w:ascii="Arial" w:hAnsi="Arial" w:cs="Arial"/>
        <w:b/>
        <w:sz w:val="48"/>
      </w:rPr>
      <w:t>EN</w:t>
    </w:r>
    <w:r w:rsidRPr="009A3128">
      <w:rPr>
        <w:rFonts w:ascii="Arial" w:hAnsi="Arial" w:cs="Arial"/>
        <w:b/>
        <w:sz w:val="48"/>
      </w:rPr>
      <w:tab/>
    </w:r>
    <w:r w:rsidRPr="009A3128">
      <w:rPr>
        <w:rFonts w:ascii="Arial" w:hAnsi="Arial" w:cs="Arial"/>
        <w:b/>
        <w:sz w:val="48"/>
      </w:rPr>
      <w:tab/>
    </w:r>
    <w:r w:rsidRPr="009A3128">
      <w:tab/>
    </w:r>
    <w:r w:rsidRPr="009A312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2DCC6" w14:textId="1CC7251F" w:rsidR="001D7C2D" w:rsidRPr="009A3128" w:rsidRDefault="009A3128" w:rsidP="009A3128">
    <w:pPr>
      <w:pStyle w:val="Footer"/>
      <w:rPr>
        <w:rFonts w:ascii="Arial" w:hAnsi="Arial" w:cs="Arial"/>
        <w:b/>
        <w:sz w:val="48"/>
      </w:rPr>
    </w:pPr>
    <w:r w:rsidRPr="009A3128">
      <w:rPr>
        <w:rFonts w:ascii="Arial" w:hAnsi="Arial" w:cs="Arial"/>
        <w:b/>
        <w:sz w:val="48"/>
      </w:rPr>
      <w:t>EN</w:t>
    </w:r>
    <w:r w:rsidRPr="009A3128">
      <w:rPr>
        <w:rFonts w:ascii="Arial" w:hAnsi="Arial" w:cs="Arial"/>
        <w:b/>
        <w:sz w:val="48"/>
      </w:rPr>
      <w:tab/>
    </w:r>
    <w:r w:rsidRPr="009A3128">
      <w:rPr>
        <w:rFonts w:ascii="Arial" w:hAnsi="Arial" w:cs="Arial"/>
        <w:b/>
        <w:sz w:val="48"/>
      </w:rPr>
      <w:tab/>
    </w:r>
    <w:r w:rsidRPr="009A3128">
      <w:tab/>
    </w:r>
    <w:r w:rsidRPr="009A312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5C466" w14:textId="77777777" w:rsidR="009A3128" w:rsidRPr="009A3128" w:rsidRDefault="009A3128" w:rsidP="009A31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775C" w14:textId="77777777" w:rsidR="00145BE2" w:rsidRPr="00895D62" w:rsidRDefault="00145BE2" w:rsidP="00895D62">
    <w:pPr>
      <w:pStyle w:val="Footer"/>
      <w:rPr>
        <w:rFonts w:ascii="Arial" w:hAnsi="Arial" w:cs="Arial"/>
        <w:b/>
        <w:sz w:val="48"/>
      </w:rPr>
    </w:pPr>
    <w:r w:rsidRPr="00895D62">
      <w:rPr>
        <w:rFonts w:ascii="Arial" w:hAnsi="Arial" w:cs="Arial"/>
        <w:b/>
        <w:sz w:val="48"/>
      </w:rPr>
      <w:t>EN</w:t>
    </w:r>
    <w:r w:rsidRPr="00895D62">
      <w:rPr>
        <w:rFonts w:ascii="Arial" w:hAnsi="Arial" w:cs="Arial"/>
        <w:b/>
        <w:sz w:val="48"/>
      </w:rPr>
      <w:tab/>
    </w:r>
    <w:r w:rsidRPr="00895D62">
      <w:rPr>
        <w:rFonts w:ascii="Arial" w:hAnsi="Arial" w:cs="Arial"/>
        <w:b/>
        <w:sz w:val="48"/>
      </w:rPr>
      <w:tab/>
    </w:r>
    <w:r w:rsidRPr="00895D62">
      <w:tab/>
    </w:r>
    <w:r w:rsidRPr="00895D6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DACD9" w14:textId="5A510F1C" w:rsidR="001D7C2D" w:rsidRPr="009A3128" w:rsidRDefault="009A3128" w:rsidP="009A3128">
    <w:pPr>
      <w:pStyle w:val="Footer"/>
      <w:rPr>
        <w:rFonts w:ascii="Arial" w:hAnsi="Arial" w:cs="Arial"/>
        <w:b/>
        <w:sz w:val="48"/>
      </w:rPr>
    </w:pPr>
    <w:r w:rsidRPr="009A3128">
      <w:rPr>
        <w:rFonts w:ascii="Arial" w:hAnsi="Arial" w:cs="Arial"/>
        <w:b/>
        <w:sz w:val="48"/>
      </w:rPr>
      <w:t>EN</w:t>
    </w:r>
    <w:r w:rsidRPr="009A3128">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rsidRPr="009A3128">
      <w:tab/>
    </w:r>
    <w:r w:rsidRPr="009A312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3E5F1" w14:textId="77777777" w:rsidR="00145BE2" w:rsidRDefault="00145BE2" w:rsidP="009A312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7E42F" w14:textId="77777777" w:rsidR="006B1310" w:rsidRPr="003304E5" w:rsidRDefault="006B13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DDEA" w14:textId="77777777" w:rsidR="00D37F2D" w:rsidRPr="00C37C35" w:rsidRDefault="00D37F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E4120" w14:textId="5EF57924" w:rsidR="009A3128" w:rsidRPr="009A3128" w:rsidRDefault="009A3128" w:rsidP="009A3128">
    <w:pPr>
      <w:pStyle w:val="FooterLandscape"/>
      <w:rPr>
        <w:rFonts w:ascii="Arial" w:hAnsi="Arial" w:cs="Arial"/>
        <w:b/>
        <w:sz w:val="48"/>
      </w:rPr>
    </w:pPr>
    <w:r w:rsidRPr="009A3128">
      <w:rPr>
        <w:rFonts w:ascii="Arial" w:hAnsi="Arial" w:cs="Arial"/>
        <w:b/>
        <w:sz w:val="48"/>
      </w:rPr>
      <w:t>EN</w:t>
    </w:r>
    <w:r w:rsidRPr="009A3128">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rsidRPr="009A3128">
      <w:tab/>
    </w:r>
    <w:r w:rsidRPr="009A3128">
      <w:rPr>
        <w:rFonts w:ascii="Arial" w:hAnsi="Arial" w:cs="Arial"/>
        <w:b/>
        <w:sz w:val="48"/>
      </w:rPr>
      <w:t>EN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F43F8" w14:textId="77777777" w:rsidR="00D37F2D" w:rsidRPr="00C37C35" w:rsidRDefault="00D37F2D" w:rsidP="009A3128">
    <w:pPr>
      <w:pStyle w:val="FooterLandscap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861D0" w14:textId="552BFAE6" w:rsidR="009A3128" w:rsidRPr="009A3128" w:rsidRDefault="009A3128" w:rsidP="009A3128">
    <w:pPr>
      <w:pStyle w:val="Footer"/>
      <w:rPr>
        <w:rFonts w:ascii="Arial" w:hAnsi="Arial" w:cs="Arial"/>
        <w:b/>
        <w:sz w:val="48"/>
      </w:rPr>
    </w:pPr>
    <w:r w:rsidRPr="009A3128">
      <w:rPr>
        <w:rFonts w:ascii="Arial" w:hAnsi="Arial" w:cs="Arial"/>
        <w:b/>
        <w:sz w:val="48"/>
      </w:rPr>
      <w:t>EN</w:t>
    </w:r>
    <w:r w:rsidRPr="009A3128">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rsidRPr="009A3128">
      <w:tab/>
    </w:r>
    <w:r w:rsidRPr="009A3128">
      <w:rPr>
        <w:rFonts w:ascii="Arial" w:hAnsi="Arial" w:cs="Arial"/>
        <w:b/>
        <w:sz w:val="48"/>
      </w:rPr>
      <w:t>EN</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442F3" w14:textId="77777777" w:rsidR="006B1310" w:rsidRPr="00C37C35" w:rsidRDefault="006B1310" w:rsidP="009A3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87BE3" w14:textId="77777777" w:rsidR="00DB4AA7" w:rsidRDefault="00DB4AA7" w:rsidP="004C5377">
      <w:pPr>
        <w:spacing w:before="0" w:after="0"/>
      </w:pPr>
      <w:r>
        <w:separator/>
      </w:r>
    </w:p>
  </w:footnote>
  <w:footnote w:type="continuationSeparator" w:id="0">
    <w:p w14:paraId="38AEAE98" w14:textId="77777777" w:rsidR="00DB4AA7" w:rsidRDefault="00DB4AA7" w:rsidP="004C5377">
      <w:pPr>
        <w:spacing w:before="0" w:after="0"/>
      </w:pPr>
      <w:r>
        <w:continuationSeparator/>
      </w:r>
    </w:p>
  </w:footnote>
  <w:footnote w:type="continuationNotice" w:id="1">
    <w:p w14:paraId="08A60198" w14:textId="77777777" w:rsidR="00DB4AA7" w:rsidRDefault="00DB4AA7">
      <w:pPr>
        <w:spacing w:before="0" w:after="0"/>
      </w:pPr>
    </w:p>
  </w:footnote>
  <w:footnote w:id="2">
    <w:p w14:paraId="223BBE68" w14:textId="77777777" w:rsidR="004C5377" w:rsidRPr="008B582C" w:rsidRDefault="004C5377" w:rsidP="004C5377">
      <w:pPr>
        <w:pStyle w:val="FootnoteText"/>
      </w:pPr>
      <w:r>
        <w:rPr>
          <w:rStyle w:val="FootnoteReference"/>
        </w:rPr>
        <w:footnoteRef/>
      </w:r>
      <w:r>
        <w:tab/>
      </w:r>
      <w:hyperlink r:id="rId1" w:history="1">
        <w:r w:rsidRPr="004A6080">
          <w:rPr>
            <w:rStyle w:val="Hyperlink"/>
          </w:rPr>
          <w:t>Impact assessment report and executive summary accompanying the revision of the general pharmaceutical legislation, annex 5, 2023.</w:t>
        </w:r>
      </w:hyperlink>
    </w:p>
  </w:footnote>
  <w:footnote w:id="3">
    <w:p w14:paraId="6904606A" w14:textId="77777777" w:rsidR="004C5377" w:rsidRPr="00B43A79" w:rsidRDefault="004C5377" w:rsidP="004C5377">
      <w:pPr>
        <w:pStyle w:val="FootnoteText"/>
      </w:pPr>
      <w:r>
        <w:rPr>
          <w:rStyle w:val="FootnoteReference"/>
        </w:rPr>
        <w:footnoteRef/>
      </w:r>
      <w:r>
        <w:tab/>
      </w:r>
      <w:hyperlink r:id="rId2" w:history="1">
        <w:r w:rsidRPr="004A6080">
          <w:rPr>
            <w:rStyle w:val="Hyperlink"/>
          </w:rPr>
          <w:t>IQVIA White paper. Beneath the Surface: Unravelling the True Value of Generic Medicines April 2024</w:t>
        </w:r>
      </w:hyperlink>
    </w:p>
  </w:footnote>
  <w:footnote w:id="4">
    <w:p w14:paraId="67F3AB08" w14:textId="77777777" w:rsidR="004C5377" w:rsidRPr="00C35B3D" w:rsidRDefault="004C5377" w:rsidP="004C5377">
      <w:pPr>
        <w:pStyle w:val="FootnoteText"/>
        <w:rPr>
          <w:lang w:val="en-IE"/>
        </w:rPr>
      </w:pPr>
      <w:r>
        <w:rPr>
          <w:rStyle w:val="FootnoteReference"/>
        </w:rPr>
        <w:footnoteRef/>
      </w:r>
      <w:r>
        <w:tab/>
      </w:r>
      <w:hyperlink r:id="rId3" w:history="1">
        <w:r>
          <w:rPr>
            <w:rStyle w:val="Hyperlink"/>
          </w:rPr>
          <w:t>Generic and hybrid medicines | European Medicines Agency (EMA)</w:t>
        </w:r>
      </w:hyperlink>
    </w:p>
  </w:footnote>
  <w:footnote w:id="5">
    <w:p w14:paraId="09F53AA9" w14:textId="77777777" w:rsidR="004C5377" w:rsidRPr="00A232BB" w:rsidRDefault="004C5377" w:rsidP="004C5377">
      <w:pPr>
        <w:pStyle w:val="FootnoteText"/>
        <w:rPr>
          <w:lang w:val="en-IE"/>
        </w:rPr>
      </w:pPr>
      <w:r>
        <w:rPr>
          <w:rStyle w:val="FootnoteReference"/>
        </w:rPr>
        <w:footnoteRef/>
      </w:r>
      <w:r>
        <w:tab/>
      </w:r>
      <w:hyperlink r:id="rId4" w:history="1">
        <w:r>
          <w:rPr>
            <w:rStyle w:val="Hyperlink"/>
          </w:rPr>
          <w:t>Patent protection in the EU - European Commission</w:t>
        </w:r>
      </w:hyperlink>
    </w:p>
  </w:footnote>
  <w:footnote w:id="6">
    <w:p w14:paraId="1FD81653" w14:textId="77777777" w:rsidR="004C5377" w:rsidRPr="00616C22" w:rsidRDefault="004C5377" w:rsidP="004C5377">
      <w:pPr>
        <w:pStyle w:val="FootnoteText"/>
      </w:pPr>
      <w:r>
        <w:rPr>
          <w:rStyle w:val="FootnoteReference"/>
        </w:rPr>
        <w:footnoteRef/>
      </w:r>
      <w:r>
        <w:tab/>
      </w:r>
      <w:hyperlink r:id="rId5" w:anchor="work-package-5" w:history="1">
        <w:r w:rsidRPr="00D11AC9">
          <w:rPr>
            <w:rStyle w:val="Hyperlink"/>
          </w:rPr>
          <w:t>CHESSMEN (2024) Analysis Report on root-causes.</w:t>
        </w:r>
      </w:hyperlink>
      <w:r>
        <w:t xml:space="preserve"> </w:t>
      </w:r>
    </w:p>
  </w:footnote>
  <w:footnote w:id="7">
    <w:p w14:paraId="3FDD3915" w14:textId="77777777" w:rsidR="004C5377" w:rsidRPr="00CC006A" w:rsidRDefault="004C5377" w:rsidP="004C5377">
      <w:pPr>
        <w:pStyle w:val="FootnoteText"/>
        <w:rPr>
          <w:lang w:val="en-IE"/>
        </w:rPr>
      </w:pPr>
      <w:r>
        <w:rPr>
          <w:rStyle w:val="FootnoteReference"/>
        </w:rPr>
        <w:footnoteRef/>
      </w:r>
      <w:r>
        <w:tab/>
        <w:t xml:space="preserve">See for instance </w:t>
      </w:r>
      <w:r w:rsidRPr="001122DE">
        <w:rPr>
          <w:rStyle w:val="Hyperlink"/>
        </w:rPr>
        <w:t xml:space="preserve">the </w:t>
      </w:r>
      <w:hyperlink r:id="rId6" w:history="1">
        <w:r w:rsidRPr="00CF1A63">
          <w:rPr>
            <w:rStyle w:val="Hyperlink"/>
          </w:rPr>
          <w:t>European Parliament reso</w:t>
        </w:r>
        <w:r w:rsidRPr="00CF1A63">
          <w:rPr>
            <w:rStyle w:val="Hyperlink"/>
            <w:lang w:val="en-IE"/>
          </w:rPr>
          <w:t>lution of 2 March 2017 on EU options for improving access to medicine</w:t>
        </w:r>
      </w:hyperlink>
      <w:r>
        <w:t xml:space="preserve"> and the </w:t>
      </w:r>
      <w:hyperlink r:id="rId7" w:history="1">
        <w:r w:rsidRPr="00173809">
          <w:rPr>
            <w:rStyle w:val="Hyperlink"/>
          </w:rPr>
          <w:t xml:space="preserve">EPSCO </w:t>
        </w:r>
        <w:r w:rsidRPr="00173809">
          <w:rPr>
            <w:rStyle w:val="Hyperlink"/>
            <w:lang w:val="en-IE"/>
          </w:rPr>
          <w:t>Council Conclusions (2021/C 269 I/02)</w:t>
        </w:r>
      </w:hyperlink>
    </w:p>
  </w:footnote>
  <w:footnote w:id="8">
    <w:p w14:paraId="24E3A6AF" w14:textId="77777777" w:rsidR="004C5377" w:rsidRPr="00747596" w:rsidRDefault="004C5377" w:rsidP="004C5377">
      <w:pPr>
        <w:pStyle w:val="FootnoteText"/>
        <w:rPr>
          <w:lang w:val="en-IE"/>
        </w:rPr>
      </w:pPr>
      <w:r>
        <w:rPr>
          <w:rStyle w:val="FootnoteReference"/>
        </w:rPr>
        <w:footnoteRef/>
      </w:r>
      <w:r>
        <w:tab/>
      </w:r>
      <w:hyperlink r:id="rId8" w:history="1">
        <w:r>
          <w:rPr>
            <w:rStyle w:val="Hyperlink"/>
          </w:rPr>
          <w:t>A pharmaceutical strategy for Europe - European Commission (europa.eu)</w:t>
        </w:r>
      </w:hyperlink>
    </w:p>
  </w:footnote>
  <w:footnote w:id="9">
    <w:p w14:paraId="4C7E4910" w14:textId="77777777" w:rsidR="004C5377" w:rsidRPr="006C7E2F" w:rsidRDefault="004C5377" w:rsidP="004C5377">
      <w:pPr>
        <w:pStyle w:val="FootnoteText"/>
        <w:rPr>
          <w:rStyle w:val="Hyperlink"/>
        </w:rPr>
      </w:pPr>
      <w:r>
        <w:rPr>
          <w:rStyle w:val="FootnoteReference"/>
        </w:rPr>
        <w:footnoteRef/>
      </w:r>
      <w:r>
        <w:rPr>
          <w:lang w:val="en-IE"/>
        </w:rPr>
        <w:tab/>
      </w:r>
      <w:hyperlink r:id="rId9" w:history="1">
        <w:r>
          <w:rPr>
            <w:rStyle w:val="Hyperlink"/>
          </w:rPr>
          <w:t>Structured dialogue on security of medicines supply - European Commission (europa.eu)</w:t>
        </w:r>
      </w:hyperlink>
    </w:p>
  </w:footnote>
  <w:footnote w:id="10">
    <w:p w14:paraId="23C5BB36" w14:textId="77777777" w:rsidR="004C5377" w:rsidRPr="006C7E2F" w:rsidRDefault="004C5377" w:rsidP="004C5377">
      <w:pPr>
        <w:pStyle w:val="FootnoteText"/>
        <w:rPr>
          <w:rStyle w:val="Hyperlink"/>
        </w:rPr>
      </w:pPr>
      <w:r w:rsidRPr="006C7E2F">
        <w:rPr>
          <w:rStyle w:val="FootnoteReference"/>
        </w:rPr>
        <w:footnoteRef/>
      </w:r>
      <w:r w:rsidRPr="006C7E2F">
        <w:rPr>
          <w:rStyle w:val="FootnoteReference"/>
        </w:rPr>
        <w:tab/>
      </w:r>
      <w:hyperlink r:id="rId10" w:history="1">
        <w:r w:rsidRPr="00940C55">
          <w:rPr>
            <w:rStyle w:val="Hyperlink"/>
          </w:rPr>
          <w:t>mp_vulnerabilities_global-supply_swd_en.pdf (europa.eu)</w:t>
        </w:r>
      </w:hyperlink>
    </w:p>
  </w:footnote>
  <w:footnote w:id="11">
    <w:p w14:paraId="73ABDCA2" w14:textId="77777777" w:rsidR="004C5377" w:rsidRPr="00F01192" w:rsidRDefault="004C5377" w:rsidP="004C5377">
      <w:pPr>
        <w:pStyle w:val="FootnoteText"/>
      </w:pPr>
      <w:r>
        <w:rPr>
          <w:rStyle w:val="FootnoteReference"/>
        </w:rPr>
        <w:footnoteRef/>
      </w:r>
      <w:r>
        <w:tab/>
      </w:r>
      <w:hyperlink r:id="rId11" w:history="1">
        <w:r>
          <w:rPr>
            <w:rStyle w:val="Hyperlink"/>
          </w:rPr>
          <w:t>Reform of the EU general pharmaceutical legislation (europa.eu)</w:t>
        </w:r>
      </w:hyperlink>
      <w:r w:rsidRPr="00091925">
        <w:rPr>
          <w:rStyle w:val="Hyperlink"/>
        </w:rPr>
        <w:t>:</w:t>
      </w:r>
      <w:r w:rsidRPr="007D10BB">
        <w:rPr>
          <w:lang w:val="en-IE"/>
        </w:rPr>
        <w:t xml:space="preserve"> </w:t>
      </w:r>
      <w:r>
        <w:rPr>
          <w:lang w:val="en-IE"/>
        </w:rPr>
        <w:t>the</w:t>
      </w:r>
      <w:r w:rsidRPr="007D10BB">
        <w:rPr>
          <w:lang w:val="en-IE"/>
        </w:rPr>
        <w:t xml:space="preserve"> proposal</w:t>
      </w:r>
      <w:r>
        <w:rPr>
          <w:lang w:val="en-IE"/>
        </w:rPr>
        <w:t>s</w:t>
      </w:r>
      <w:r w:rsidRPr="007D10BB">
        <w:rPr>
          <w:lang w:val="en-IE"/>
        </w:rPr>
        <w:t xml:space="preserve"> include action</w:t>
      </w:r>
      <w:r>
        <w:rPr>
          <w:lang w:val="en-IE"/>
        </w:rPr>
        <w:t>s</w:t>
      </w:r>
      <w:r w:rsidRPr="007D10BB">
        <w:rPr>
          <w:lang w:val="en-IE"/>
        </w:rPr>
        <w:t xml:space="preserve"> to address systemic shortages and improve security of supply of critical medicines at all </w:t>
      </w:r>
      <w:r w:rsidRPr="00E23550">
        <w:rPr>
          <w:lang w:val="en-IE"/>
        </w:rPr>
        <w:t xml:space="preserve">times by introducing stronger obligations on supply, earlier notification and a stronger role </w:t>
      </w:r>
      <w:r>
        <w:rPr>
          <w:lang w:val="en-IE"/>
        </w:rPr>
        <w:t>for</w:t>
      </w:r>
      <w:r w:rsidRPr="00E23550">
        <w:rPr>
          <w:lang w:val="en-IE"/>
        </w:rPr>
        <w:t xml:space="preserve"> </w:t>
      </w:r>
      <w:r>
        <w:rPr>
          <w:lang w:val="en-IE"/>
        </w:rPr>
        <w:t>EMA</w:t>
      </w:r>
      <w:r w:rsidRPr="00E23550">
        <w:rPr>
          <w:lang w:val="en-IE"/>
        </w:rPr>
        <w:t xml:space="preserve"> in coordinating this with the Member States. </w:t>
      </w:r>
      <w:r>
        <w:rPr>
          <w:lang w:val="en-IE"/>
        </w:rPr>
        <w:t>A</w:t>
      </w:r>
      <w:r w:rsidRPr="00E23550">
        <w:rPr>
          <w:lang w:val="en-IE"/>
        </w:rPr>
        <w:t>ctions are</w:t>
      </w:r>
      <w:r>
        <w:rPr>
          <w:lang w:val="en-IE"/>
        </w:rPr>
        <w:t xml:space="preserve"> also</w:t>
      </w:r>
      <w:r w:rsidRPr="00E23550">
        <w:rPr>
          <w:lang w:val="en-IE"/>
        </w:rPr>
        <w:t xml:space="preserve"> proposed to strengthen the supply chains of critical medicines by introducing a European alert system for shortages and shortage prevention plans for all medicines.</w:t>
      </w:r>
    </w:p>
  </w:footnote>
  <w:footnote w:id="12">
    <w:p w14:paraId="233C20C6" w14:textId="77777777" w:rsidR="004C5377" w:rsidRPr="006A2C04" w:rsidRDefault="004C5377" w:rsidP="004C5377">
      <w:pPr>
        <w:pStyle w:val="FootnoteText"/>
        <w:rPr>
          <w:lang w:val="en-IE"/>
        </w:rPr>
      </w:pPr>
      <w:r>
        <w:rPr>
          <w:rStyle w:val="FootnoteReference"/>
        </w:rPr>
        <w:footnoteRef/>
      </w:r>
      <w:r>
        <w:tab/>
      </w:r>
      <w:hyperlink r:id="rId12" w:history="1">
        <w:r w:rsidRPr="00091925">
          <w:rPr>
            <w:rStyle w:val="Hyperlink"/>
          </w:rPr>
          <w:t>Regulation (EU) 2022/123 of the European Parliament and of the Council of 25 January 2022 on a reinforced role for the European Medicines Agency in crisis preparedness and management for medicinal products and medical devices</w:t>
        </w:r>
      </w:hyperlink>
      <w:r>
        <w:t>.</w:t>
      </w:r>
    </w:p>
  </w:footnote>
  <w:footnote w:id="13">
    <w:p w14:paraId="54C21163" w14:textId="77777777" w:rsidR="004C5377" w:rsidRPr="003A3394" w:rsidRDefault="004C5377" w:rsidP="004C5377">
      <w:pPr>
        <w:pStyle w:val="FootnoteText"/>
        <w:rPr>
          <w:lang w:val="en-IE"/>
        </w:rPr>
      </w:pPr>
      <w:r>
        <w:rPr>
          <w:rStyle w:val="FootnoteReference"/>
        </w:rPr>
        <w:footnoteRef/>
      </w:r>
      <w:r>
        <w:tab/>
      </w:r>
      <w:hyperlink r:id="rId13" w:history="1">
        <w:r>
          <w:rPr>
            <w:rStyle w:val="Hyperlink"/>
          </w:rPr>
          <w:t>Communication_medicines_shortages_EN_0.pdf</w:t>
        </w:r>
      </w:hyperlink>
    </w:p>
  </w:footnote>
  <w:footnote w:id="14">
    <w:p w14:paraId="3421EB6A" w14:textId="77777777" w:rsidR="004C5377" w:rsidRPr="00666B11" w:rsidRDefault="004C5377" w:rsidP="004C5377">
      <w:pPr>
        <w:pStyle w:val="FootnoteText"/>
      </w:pPr>
      <w:r>
        <w:rPr>
          <w:rStyle w:val="FootnoteReference"/>
        </w:rPr>
        <w:footnoteRef/>
      </w:r>
      <w:r>
        <w:tab/>
      </w:r>
      <w:hyperlink r:id="rId14" w:history="1">
        <w:r>
          <w:rPr>
            <w:rStyle w:val="Hyperlink"/>
          </w:rPr>
          <w:t>Union list of critical medicines | European Medicines Agency (EMA)</w:t>
        </w:r>
      </w:hyperlink>
    </w:p>
  </w:footnote>
  <w:footnote w:id="15">
    <w:p w14:paraId="1451234B" w14:textId="77777777" w:rsidR="004C5377" w:rsidRPr="00EA0382" w:rsidRDefault="004C5377" w:rsidP="004C5377">
      <w:pPr>
        <w:pStyle w:val="FootnoteText"/>
        <w:rPr>
          <w:lang w:val="en-IE"/>
        </w:rPr>
      </w:pPr>
      <w:r>
        <w:rPr>
          <w:rStyle w:val="FootnoteReference"/>
        </w:rPr>
        <w:footnoteRef/>
      </w:r>
      <w:r>
        <w:tab/>
      </w:r>
      <w:hyperlink r:id="rId15" w:history="1">
        <w:r>
          <w:rPr>
            <w:rStyle w:val="Hyperlink"/>
          </w:rPr>
          <w:t>Critical Medicines Alliance - European Commission</w:t>
        </w:r>
      </w:hyperlink>
    </w:p>
  </w:footnote>
  <w:footnote w:id="16">
    <w:p w14:paraId="07C3A94D" w14:textId="77777777" w:rsidR="004C5377" w:rsidRPr="00327FE0" w:rsidRDefault="004C5377" w:rsidP="004C5377">
      <w:pPr>
        <w:pStyle w:val="FootnoteText"/>
        <w:rPr>
          <w:lang w:val="hu-HU"/>
        </w:rPr>
      </w:pPr>
      <w:r>
        <w:rPr>
          <w:rStyle w:val="FootnoteReference"/>
        </w:rPr>
        <w:footnoteRef/>
      </w:r>
      <w:r>
        <w:tab/>
      </w:r>
      <w:hyperlink r:id="rId16" w:history="1">
        <w:r w:rsidRPr="00CC006A">
          <w:rPr>
            <w:rStyle w:val="Hyperlink"/>
          </w:rPr>
          <w:t>https://ec.europa.eu/commission/presscorner/detail/en/ip_24_2229</w:t>
        </w:r>
      </w:hyperlink>
    </w:p>
  </w:footnote>
  <w:footnote w:id="17">
    <w:p w14:paraId="78429329" w14:textId="77777777" w:rsidR="004C5377" w:rsidRPr="003F26E6" w:rsidRDefault="004C5377" w:rsidP="004C5377">
      <w:pPr>
        <w:pStyle w:val="FootnoteText"/>
        <w:rPr>
          <w:lang w:val="hu-HU"/>
        </w:rPr>
      </w:pPr>
      <w:r>
        <w:rPr>
          <w:rStyle w:val="FootnoteReference"/>
        </w:rPr>
        <w:footnoteRef/>
      </w:r>
      <w:r w:rsidRPr="00243BE4">
        <w:rPr>
          <w:lang w:val="hu-HU"/>
        </w:rPr>
        <w:tab/>
      </w:r>
      <w:hyperlink r:id="rId17" w:history="1">
        <w:r w:rsidRPr="003F26E6">
          <w:rPr>
            <w:rStyle w:val="Hyperlink"/>
            <w:lang w:val="hu-HU"/>
          </w:rPr>
          <w:t>3da9dfc0-c5e0-4583-a0f1-1652c7c18c3c_en</w:t>
        </w:r>
      </w:hyperlink>
    </w:p>
  </w:footnote>
  <w:footnote w:id="18">
    <w:p w14:paraId="2D1481D5" w14:textId="77777777" w:rsidR="004C5377" w:rsidRPr="003F26E6" w:rsidRDefault="004C5377" w:rsidP="004C5377">
      <w:pPr>
        <w:pStyle w:val="FootnoteText"/>
        <w:rPr>
          <w:lang w:val="hu-HU"/>
        </w:rPr>
      </w:pPr>
      <w:r>
        <w:rPr>
          <w:rStyle w:val="FootnoteReference"/>
        </w:rPr>
        <w:footnoteRef/>
      </w:r>
      <w:r w:rsidRPr="003F26E6">
        <w:rPr>
          <w:lang w:val="hu-HU"/>
        </w:rPr>
        <w:tab/>
      </w:r>
      <w:hyperlink r:id="rId18" w:history="1">
        <w:r w:rsidRPr="003F26E6">
          <w:rPr>
            <w:rStyle w:val="Hyperlink"/>
            <w:lang w:val="hu-HU"/>
          </w:rPr>
          <w:t>https://commission.europa.eu/document/download/b1817a1b-e62e-4949-bbb8-ebf29b54c8bd_en?filename=Mission%20letter%20-%20VARHELYI.pdf</w:t>
        </w:r>
      </w:hyperlink>
    </w:p>
  </w:footnote>
  <w:footnote w:id="19">
    <w:p w14:paraId="06C59EA0" w14:textId="77777777" w:rsidR="004C5377" w:rsidRPr="007E3C7C" w:rsidRDefault="004C5377" w:rsidP="004C5377">
      <w:pPr>
        <w:pStyle w:val="FootnoteText"/>
      </w:pPr>
      <w:r>
        <w:rPr>
          <w:rStyle w:val="FootnoteReference"/>
        </w:rPr>
        <w:footnoteRef/>
      </w:r>
      <w:r>
        <w:tab/>
      </w:r>
      <w:hyperlink r:id="rId19" w:history="1">
        <w:r>
          <w:rPr>
            <w:rStyle w:val="Hyperlink"/>
          </w:rPr>
          <w:t>European Health Union - European Commission</w:t>
        </w:r>
      </w:hyperlink>
    </w:p>
  </w:footnote>
  <w:footnote w:id="20">
    <w:p w14:paraId="66631639" w14:textId="77777777" w:rsidR="004C5377" w:rsidRPr="00264393" w:rsidRDefault="004C5377" w:rsidP="004C5377">
      <w:pPr>
        <w:pStyle w:val="FootnoteText"/>
      </w:pPr>
      <w:r>
        <w:rPr>
          <w:rStyle w:val="FootnoteReference"/>
        </w:rPr>
        <w:footnoteRef/>
      </w:r>
      <w:r>
        <w:tab/>
      </w:r>
      <w:hyperlink r:id="rId20" w:history="1">
        <w:r w:rsidRPr="00F3091A">
          <w:rPr>
            <w:rStyle w:val="Hyperlink"/>
          </w:rPr>
          <w:t>European Critical Raw Materials Act</w:t>
        </w:r>
      </w:hyperlink>
      <w:r>
        <w:t xml:space="preserve"> and </w:t>
      </w:r>
      <w:hyperlink r:id="rId21" w:history="1">
        <w:r w:rsidRPr="00981AF7">
          <w:rPr>
            <w:rStyle w:val="Hyperlink"/>
          </w:rPr>
          <w:t>The Net-Zero Industry Act</w:t>
        </w:r>
      </w:hyperlink>
      <w:r>
        <w:t>, for instance.</w:t>
      </w:r>
    </w:p>
  </w:footnote>
  <w:footnote w:id="21">
    <w:p w14:paraId="02586818" w14:textId="77777777" w:rsidR="004C5377" w:rsidRPr="00CF52A8" w:rsidRDefault="004C5377" w:rsidP="004C5377">
      <w:pPr>
        <w:pStyle w:val="FootnoteText"/>
        <w:rPr>
          <w:lang w:val="en-IE"/>
        </w:rPr>
      </w:pPr>
      <w:r>
        <w:rPr>
          <w:rStyle w:val="FootnoteReference"/>
        </w:rPr>
        <w:footnoteRef/>
      </w:r>
      <w:r>
        <w:rPr>
          <w:lang w:val="en-IE"/>
        </w:rPr>
        <w:tab/>
      </w:r>
      <w:hyperlink r:id="rId22" w:history="1">
        <w:r>
          <w:rPr>
            <w:rStyle w:val="Hyperlink"/>
          </w:rPr>
          <w:t>Orphan medicinal products - European Commission</w:t>
        </w:r>
      </w:hyperlink>
    </w:p>
  </w:footnote>
  <w:footnote w:id="22">
    <w:p w14:paraId="149E1CF7" w14:textId="77777777" w:rsidR="004C5377" w:rsidRPr="00C015DF" w:rsidRDefault="004C5377" w:rsidP="004C5377">
      <w:pPr>
        <w:pStyle w:val="FootnoteText"/>
      </w:pPr>
      <w:r>
        <w:rPr>
          <w:rStyle w:val="FootnoteReference"/>
        </w:rPr>
        <w:footnoteRef/>
      </w:r>
      <w:r>
        <w:tab/>
      </w:r>
      <w:hyperlink r:id="rId23" w:history="1">
        <w:r w:rsidRPr="00661235">
          <w:rPr>
            <w:rStyle w:val="Hyperlink"/>
          </w:rPr>
          <w:t>Consolidated version of the Treaty on European Union (Consolidated Version</w:t>
        </w:r>
      </w:hyperlink>
      <w:r>
        <w:t>)</w:t>
      </w:r>
    </w:p>
  </w:footnote>
  <w:footnote w:id="23">
    <w:p w14:paraId="10C9E4B6" w14:textId="371A9BCE" w:rsidR="004C5377" w:rsidRPr="001507D9" w:rsidRDefault="004C5377" w:rsidP="004C5377">
      <w:pPr>
        <w:pStyle w:val="FootnoteText"/>
      </w:pPr>
      <w:r w:rsidRPr="007E14DA">
        <w:rPr>
          <w:rStyle w:val="FootnoteReference"/>
        </w:rPr>
        <w:footnoteRef/>
      </w:r>
      <w:r w:rsidR="007E14DA">
        <w:tab/>
      </w:r>
      <w:hyperlink r:id="rId24" w:history="1">
        <w:r w:rsidRPr="007E58E9">
          <w:rPr>
            <w:rStyle w:val="Hyperlink"/>
          </w:rPr>
          <w:t>Reform of the EU pharmaceutical legislation - European Commission</w:t>
        </w:r>
      </w:hyperlink>
    </w:p>
  </w:footnote>
  <w:footnote w:id="24">
    <w:p w14:paraId="2C57CE58" w14:textId="77777777" w:rsidR="004C5377" w:rsidRPr="003C5C65" w:rsidRDefault="004C5377" w:rsidP="004C5377">
      <w:pPr>
        <w:pStyle w:val="FootnoteText"/>
      </w:pPr>
      <w:r>
        <w:rPr>
          <w:rStyle w:val="FootnoteReference"/>
        </w:rPr>
        <w:footnoteRef/>
      </w:r>
      <w:r>
        <w:tab/>
      </w:r>
      <w:hyperlink r:id="rId25" w:history="1">
        <w:r>
          <w:rPr>
            <w:rStyle w:val="Hyperlink"/>
          </w:rPr>
          <w:t>A pharmaceutical strategy for Europe - European Commission (europa.eu)</w:t>
        </w:r>
      </w:hyperlink>
    </w:p>
  </w:footnote>
  <w:footnote w:id="25">
    <w:p w14:paraId="3F93D099" w14:textId="77777777" w:rsidR="004C5377" w:rsidRPr="009220C2" w:rsidRDefault="004C5377" w:rsidP="004C5377">
      <w:pPr>
        <w:pStyle w:val="FootnoteText"/>
        <w:rPr>
          <w:lang w:val="en-IE"/>
        </w:rPr>
      </w:pPr>
      <w:r>
        <w:rPr>
          <w:rStyle w:val="FootnoteReference"/>
        </w:rPr>
        <w:footnoteRef/>
      </w:r>
      <w:r>
        <w:tab/>
      </w:r>
      <w:hyperlink r:id="rId26" w:history="1">
        <w:r w:rsidRPr="00B11442">
          <w:rPr>
            <w:rStyle w:val="Hyperlink"/>
            <w:lang w:val="en-IE"/>
          </w:rPr>
          <w:t xml:space="preserve">Regulation </w:t>
        </w:r>
        <w:r w:rsidRPr="00B11442">
          <w:rPr>
            <w:rStyle w:val="Hyperlink"/>
          </w:rPr>
          <w:t>COM(2023) 193 final</w:t>
        </w:r>
      </w:hyperlink>
      <w:r>
        <w:rPr>
          <w:lang w:val="en-IE"/>
        </w:rPr>
        <w:t>, Chapter X</w:t>
      </w:r>
      <w:r>
        <w:t>.</w:t>
      </w:r>
    </w:p>
  </w:footnote>
  <w:footnote w:id="26">
    <w:p w14:paraId="24B65420" w14:textId="77777777" w:rsidR="004C5377" w:rsidRPr="00773250" w:rsidRDefault="004C5377" w:rsidP="004C5377">
      <w:pPr>
        <w:pStyle w:val="FootnoteText"/>
      </w:pPr>
      <w:r>
        <w:rPr>
          <w:rStyle w:val="FootnoteReference"/>
        </w:rPr>
        <w:footnoteRef/>
      </w:r>
      <w:r>
        <w:tab/>
      </w:r>
      <w:hyperlink r:id="rId27" w:history="1">
        <w:r>
          <w:rPr>
            <w:rStyle w:val="Hyperlink"/>
          </w:rPr>
          <w:t>Structured dialogue on security of medicines supply - European Commission</w:t>
        </w:r>
      </w:hyperlink>
    </w:p>
  </w:footnote>
  <w:footnote w:id="27">
    <w:p w14:paraId="01C6219A" w14:textId="77777777" w:rsidR="004C5377" w:rsidRPr="006C7E2F" w:rsidRDefault="004C5377" w:rsidP="004C5377">
      <w:pPr>
        <w:pStyle w:val="FootnoteText"/>
        <w:rPr>
          <w:rStyle w:val="Hyperlink"/>
        </w:rPr>
      </w:pPr>
      <w:r w:rsidRPr="006C7E2F">
        <w:rPr>
          <w:rStyle w:val="FootnoteReference"/>
        </w:rPr>
        <w:footnoteRef/>
      </w:r>
      <w:r w:rsidRPr="006C7E2F">
        <w:rPr>
          <w:rStyle w:val="FootnoteReference"/>
        </w:rPr>
        <w:tab/>
      </w:r>
      <w:hyperlink r:id="rId28" w:history="1">
        <w:r w:rsidRPr="00940C55">
          <w:rPr>
            <w:rStyle w:val="Hyperlink"/>
          </w:rPr>
          <w:t>mp_vulnerabilities_global-supply_swd_en.pdf (europa.eu)</w:t>
        </w:r>
      </w:hyperlink>
    </w:p>
  </w:footnote>
  <w:footnote w:id="28">
    <w:p w14:paraId="2903B97C" w14:textId="77777777" w:rsidR="004C5377" w:rsidRPr="001B2973" w:rsidRDefault="004C5377" w:rsidP="004C5377">
      <w:pPr>
        <w:pStyle w:val="FootnoteText"/>
        <w:rPr>
          <w:lang w:val="en-IE"/>
        </w:rPr>
      </w:pPr>
      <w:r>
        <w:rPr>
          <w:rStyle w:val="FootnoteReference"/>
        </w:rPr>
        <w:footnoteRef/>
      </w:r>
      <w:r>
        <w:tab/>
      </w:r>
      <w:hyperlink r:id="rId29" w:history="1">
        <w:r w:rsidRPr="00091925">
          <w:rPr>
            <w:rStyle w:val="Hyperlink"/>
          </w:rPr>
          <w:t>Regulation (EU) 2022/123 of the European Parliament and of the Council of 25 January 2022 on a reinforced role for the European Medicines Agency in crisis preparedness and management for medicinal products and medical devices</w:t>
        </w:r>
      </w:hyperlink>
      <w:r>
        <w:t>.</w:t>
      </w:r>
    </w:p>
  </w:footnote>
  <w:footnote w:id="29">
    <w:p w14:paraId="0EEF87CB" w14:textId="77777777" w:rsidR="004C5377" w:rsidRPr="002B7347" w:rsidRDefault="004C5377" w:rsidP="004C5377">
      <w:pPr>
        <w:pStyle w:val="FootnoteText"/>
      </w:pPr>
      <w:r>
        <w:rPr>
          <w:rStyle w:val="FootnoteReference"/>
        </w:rPr>
        <w:footnoteRef/>
      </w:r>
      <w:r>
        <w:tab/>
      </w:r>
      <w:hyperlink r:id="rId30" w:history="1">
        <w:r>
          <w:rPr>
            <w:rStyle w:val="Hyperlink"/>
          </w:rPr>
          <w:t>European Shortages Monitoring Platform (ESMP) | European Medicines Agency (EMA)</w:t>
        </w:r>
      </w:hyperlink>
      <w:r>
        <w:t xml:space="preserve"> – Platform fully operational as of January 2025. </w:t>
      </w:r>
    </w:p>
  </w:footnote>
  <w:footnote w:id="30">
    <w:p w14:paraId="163934A4" w14:textId="77777777" w:rsidR="004C5377" w:rsidRPr="00EF40A6" w:rsidRDefault="004C5377" w:rsidP="004C5377">
      <w:pPr>
        <w:pStyle w:val="FootnoteText"/>
        <w:rPr>
          <w:lang w:val="fr-BE"/>
        </w:rPr>
      </w:pPr>
      <w:r>
        <w:rPr>
          <w:rStyle w:val="FootnoteReference"/>
        </w:rPr>
        <w:footnoteRef/>
      </w:r>
      <w:r>
        <w:rPr>
          <w:lang w:val="fr-BE"/>
        </w:rPr>
        <w:tab/>
      </w:r>
      <w:hyperlink r:id="rId31" w:history="1">
        <w:r w:rsidRPr="00EF40A6">
          <w:rPr>
            <w:rStyle w:val="Hyperlink"/>
            <w:lang w:val="fr-BE"/>
          </w:rPr>
          <w:t>Regulation - 2022/2371 - EN - EUR-Lex</w:t>
        </w:r>
      </w:hyperlink>
    </w:p>
  </w:footnote>
  <w:footnote w:id="31">
    <w:p w14:paraId="2BA52C67" w14:textId="77777777" w:rsidR="004C5377" w:rsidRPr="00EF40A6" w:rsidRDefault="004C5377" w:rsidP="004C5377">
      <w:pPr>
        <w:pStyle w:val="FootnoteText"/>
        <w:rPr>
          <w:lang w:val="fr-BE"/>
        </w:rPr>
      </w:pPr>
      <w:r>
        <w:rPr>
          <w:rStyle w:val="FootnoteReference"/>
        </w:rPr>
        <w:footnoteRef/>
      </w:r>
      <w:r>
        <w:rPr>
          <w:lang w:val="fr-BE"/>
        </w:rPr>
        <w:tab/>
      </w:r>
      <w:hyperlink r:id="rId32" w:history="1">
        <w:r w:rsidRPr="00EF40A6">
          <w:rPr>
            <w:rStyle w:val="Hyperlink"/>
            <w:lang w:val="fr-BE"/>
          </w:rPr>
          <w:t>Regulation - 2022/2372 - EN - EUR-Lex</w:t>
        </w:r>
      </w:hyperlink>
    </w:p>
  </w:footnote>
  <w:footnote w:id="32">
    <w:p w14:paraId="7AA5476D" w14:textId="77777777" w:rsidR="004C5377" w:rsidRPr="00A302E2" w:rsidRDefault="004C5377" w:rsidP="004C5377">
      <w:pPr>
        <w:pStyle w:val="FootnoteText"/>
      </w:pPr>
      <w:r>
        <w:rPr>
          <w:rStyle w:val="FootnoteReference"/>
        </w:rPr>
        <w:footnoteRef/>
      </w:r>
      <w:r w:rsidRPr="00A302E2">
        <w:tab/>
      </w:r>
      <w:hyperlink r:id="rId33" w:history="1">
        <w:r w:rsidRPr="00A302E2">
          <w:rPr>
            <w:rStyle w:val="Hyperlink"/>
          </w:rPr>
          <w:t>Regulation - 2021/2282 - EN - EUR-Lex</w:t>
        </w:r>
      </w:hyperlink>
    </w:p>
  </w:footnote>
  <w:footnote w:id="33">
    <w:p w14:paraId="31B222E6" w14:textId="77777777" w:rsidR="004C5377" w:rsidRPr="004C5377" w:rsidRDefault="004C5377" w:rsidP="004C5377">
      <w:pPr>
        <w:pStyle w:val="FootnoteText"/>
        <w:rPr>
          <w:lang w:val="en-IE"/>
        </w:rPr>
      </w:pPr>
      <w:r>
        <w:rPr>
          <w:rStyle w:val="FootnoteReference"/>
        </w:rPr>
        <w:footnoteRef/>
      </w:r>
      <w:r w:rsidRPr="004C5377">
        <w:rPr>
          <w:lang w:val="en-IE"/>
        </w:rPr>
        <w:tab/>
      </w:r>
      <w:hyperlink r:id="rId34" w:history="1">
        <w:r w:rsidRPr="004C5377">
          <w:rPr>
            <w:rStyle w:val="Hyperlink"/>
            <w:lang w:val="en-IE"/>
          </w:rPr>
          <w:t>Critical Medicines Alliance - European Commission</w:t>
        </w:r>
      </w:hyperlink>
    </w:p>
  </w:footnote>
  <w:footnote w:id="34">
    <w:p w14:paraId="19F1A69A" w14:textId="77777777" w:rsidR="004C5377" w:rsidRPr="004A6751" w:rsidRDefault="004C5377" w:rsidP="004C5377">
      <w:pPr>
        <w:pStyle w:val="FootnoteText"/>
      </w:pPr>
      <w:r>
        <w:rPr>
          <w:rStyle w:val="FootnoteReference"/>
        </w:rPr>
        <w:footnoteRef/>
      </w:r>
      <w:r>
        <w:tab/>
      </w:r>
      <w:r w:rsidRPr="004513D8">
        <w:t xml:space="preserve">A </w:t>
      </w:r>
      <w:r>
        <w:t xml:space="preserve">Competitive Compass which includes </w:t>
      </w:r>
      <w:r w:rsidRPr="004513D8">
        <w:t>new plan</w:t>
      </w:r>
      <w:r>
        <w:t>s</w:t>
      </w:r>
      <w:r w:rsidRPr="004513D8">
        <w:t xml:space="preserve"> for Europe's sustainable prosperity and competitiveness</w:t>
      </w:r>
      <w:r>
        <w:t xml:space="preserve">. See also: </w:t>
      </w:r>
      <w:hyperlink r:id="rId35" w:history="1">
        <w:r>
          <w:rPr>
            <w:rStyle w:val="Hyperlink"/>
          </w:rPr>
          <w:t>Competitiveness - European Commission</w:t>
        </w:r>
      </w:hyperlink>
    </w:p>
  </w:footnote>
  <w:footnote w:id="35">
    <w:p w14:paraId="66911BA3" w14:textId="77777777" w:rsidR="004C5377" w:rsidRPr="00347594" w:rsidRDefault="004C5377" w:rsidP="004C5377">
      <w:pPr>
        <w:pStyle w:val="FootnoteText"/>
      </w:pPr>
      <w:r>
        <w:rPr>
          <w:rStyle w:val="FootnoteReference"/>
        </w:rPr>
        <w:footnoteRef/>
      </w:r>
      <w:r>
        <w:tab/>
        <w:t xml:space="preserve">See also </w:t>
      </w:r>
      <w:hyperlink r:id="rId36" w:history="1">
        <w:r w:rsidRPr="001C3FB6">
          <w:rPr>
            <w:rStyle w:val="Hyperlink"/>
          </w:rPr>
          <w:t xml:space="preserve">Chapter 1. Medicines - a strong ecosystem at an important crossroads </w:t>
        </w:r>
        <w:r>
          <w:rPr>
            <w:rStyle w:val="Hyperlink"/>
          </w:rPr>
          <w:t>(</w:t>
        </w:r>
        <w:r w:rsidRPr="001C3FB6">
          <w:rPr>
            <w:rStyle w:val="Hyperlink"/>
          </w:rPr>
          <w:t>Pharmaceutical Strategy for Europe</w:t>
        </w:r>
        <w:r>
          <w:rPr>
            <w:rStyle w:val="Hyperlink"/>
          </w:rPr>
          <w:t>)</w:t>
        </w:r>
        <w:r w:rsidRPr="001C3FB6">
          <w:rPr>
            <w:rStyle w:val="Hyperlink"/>
          </w:rPr>
          <w:t xml:space="preserve">. </w:t>
        </w:r>
      </w:hyperlink>
      <w:r>
        <w:t xml:space="preserve"> </w:t>
      </w:r>
    </w:p>
  </w:footnote>
  <w:footnote w:id="36">
    <w:p w14:paraId="67DE372C" w14:textId="77777777" w:rsidR="004C5377" w:rsidRPr="00BB09A6" w:rsidRDefault="004C5377" w:rsidP="004C5377">
      <w:pPr>
        <w:pStyle w:val="FootnoteText"/>
      </w:pPr>
      <w:r>
        <w:rPr>
          <w:rStyle w:val="FootnoteReference"/>
        </w:rPr>
        <w:footnoteRef/>
      </w:r>
      <w:r>
        <w:tab/>
      </w:r>
      <w:hyperlink r:id="rId37" w:history="1">
        <w:r w:rsidRPr="000A44D0">
          <w:rPr>
            <w:rStyle w:val="Hyperlink"/>
          </w:rPr>
          <w:t>Regulation (EU) 2021/695 of the European Parliament and of the Council of 28 April 2021 establishing Horizon Europe – the Framework Programme for Research and Innovation</w:t>
        </w:r>
      </w:hyperlink>
    </w:p>
  </w:footnote>
  <w:footnote w:id="37">
    <w:p w14:paraId="52F76F98" w14:textId="77777777" w:rsidR="004C5377" w:rsidRPr="004B263A" w:rsidRDefault="004C5377" w:rsidP="004C5377">
      <w:pPr>
        <w:pStyle w:val="FootnoteText"/>
      </w:pPr>
      <w:r>
        <w:rPr>
          <w:rStyle w:val="FootnoteReference"/>
        </w:rPr>
        <w:footnoteRef/>
      </w:r>
      <w:r>
        <w:tab/>
      </w:r>
      <w:hyperlink r:id="rId38" w:history="1">
        <w:r w:rsidRPr="008B1CF8">
          <w:rPr>
            <w:rStyle w:val="Hyperlink"/>
          </w:rPr>
          <w:t>A New Industrial Strategy for Europe</w:t>
        </w:r>
      </w:hyperlink>
    </w:p>
  </w:footnote>
  <w:footnote w:id="38">
    <w:p w14:paraId="79810789" w14:textId="77777777" w:rsidR="004C5377" w:rsidRPr="000D5CE6" w:rsidRDefault="004C5377" w:rsidP="004C5377">
      <w:pPr>
        <w:pStyle w:val="FootnoteText"/>
        <w:rPr>
          <w:lang w:val="en-IE"/>
        </w:rPr>
      </w:pPr>
      <w:r>
        <w:rPr>
          <w:rStyle w:val="FootnoteReference"/>
        </w:rPr>
        <w:footnoteRef/>
      </w:r>
      <w:r>
        <w:tab/>
      </w:r>
      <w:hyperlink r:id="rId39" w:history="1">
        <w:r w:rsidRPr="00A17D43">
          <w:rPr>
            <w:rStyle w:val="Hyperlink"/>
          </w:rPr>
          <w:t>Clean Industrial Deal - European Commission</w:t>
        </w:r>
      </w:hyperlink>
    </w:p>
  </w:footnote>
  <w:footnote w:id="39">
    <w:p w14:paraId="660B137F" w14:textId="77777777" w:rsidR="004C5377" w:rsidRPr="001E110A" w:rsidRDefault="004C5377" w:rsidP="004C5377">
      <w:pPr>
        <w:pStyle w:val="FootnoteText"/>
      </w:pPr>
      <w:r>
        <w:rPr>
          <w:rStyle w:val="FootnoteReference"/>
        </w:rPr>
        <w:footnoteRef/>
      </w:r>
      <w:r>
        <w:tab/>
      </w:r>
      <w:hyperlink r:id="rId40" w:history="1">
        <w:r w:rsidRPr="001E110A">
          <w:rPr>
            <w:rStyle w:val="Hyperlink"/>
          </w:rPr>
          <w:t>EU Financial Regulation - European Commission</w:t>
        </w:r>
      </w:hyperlink>
    </w:p>
  </w:footnote>
  <w:footnote w:id="40">
    <w:p w14:paraId="51F7CB5F" w14:textId="77777777" w:rsidR="004C5377" w:rsidRPr="00E64654" w:rsidRDefault="004C5377" w:rsidP="004C5377">
      <w:pPr>
        <w:pStyle w:val="FootnoteText"/>
        <w:rPr>
          <w:lang w:val="en-IE"/>
        </w:rPr>
      </w:pPr>
      <w:r>
        <w:rPr>
          <w:rStyle w:val="FootnoteReference"/>
        </w:rPr>
        <w:footnoteRef/>
      </w:r>
      <w:r>
        <w:tab/>
      </w:r>
      <w:hyperlink r:id="rId41" w:history="1">
        <w:r>
          <w:rPr>
            <w:rStyle w:val="Hyperlink"/>
          </w:rPr>
          <w:t>Commission launches call for evidence and public consultation on the evaluation of the Public Procurement Directives - European Commission</w:t>
        </w:r>
      </w:hyperlink>
    </w:p>
  </w:footnote>
  <w:footnote w:id="41">
    <w:p w14:paraId="2A41EC5B" w14:textId="77777777" w:rsidR="004C5377" w:rsidRPr="000C36AD" w:rsidRDefault="004C5377" w:rsidP="004C5377">
      <w:pPr>
        <w:pStyle w:val="FootnoteText"/>
      </w:pPr>
      <w:r>
        <w:rPr>
          <w:rStyle w:val="FootnoteReference"/>
        </w:rPr>
        <w:footnoteRef/>
      </w:r>
      <w:r>
        <w:tab/>
      </w:r>
      <w:hyperlink r:id="rId42" w:history="1">
        <w:r w:rsidRPr="000D5CE6">
          <w:rPr>
            <w:rStyle w:val="Hyperlink"/>
          </w:rPr>
          <w:t>Commission simplifies rules on sustainability and EU investments, delivering over €6 billion in administrative relief - European Commission</w:t>
        </w:r>
      </w:hyperlink>
    </w:p>
  </w:footnote>
  <w:footnote w:id="42">
    <w:p w14:paraId="3E1527AA" w14:textId="77777777" w:rsidR="004C5377" w:rsidRPr="006554D0" w:rsidRDefault="004C5377" w:rsidP="004C5377">
      <w:pPr>
        <w:pStyle w:val="FootnoteText"/>
      </w:pPr>
      <w:r>
        <w:rPr>
          <w:rStyle w:val="FootnoteReference"/>
        </w:rPr>
        <w:footnoteRef/>
      </w:r>
      <w:r>
        <w:tab/>
      </w:r>
      <w:hyperlink r:id="rId43" w:history="1">
        <w:r w:rsidRPr="00A1584E">
          <w:rPr>
            <w:rStyle w:val="Hyperlink"/>
          </w:rPr>
          <w:t>Regulation (EU) 2024/1689 of the European Parliament and of the Council of 13 June 2024 laying down harmonised rules on artificial intelligence</w:t>
        </w:r>
      </w:hyperlink>
    </w:p>
  </w:footnote>
  <w:footnote w:id="43">
    <w:p w14:paraId="4C9F7EF9" w14:textId="77777777" w:rsidR="004C5377" w:rsidRPr="00F232FF" w:rsidRDefault="004C5377" w:rsidP="004C5377">
      <w:pPr>
        <w:pStyle w:val="FootnoteText"/>
        <w:rPr>
          <w:lang w:val="en-IE"/>
        </w:rPr>
      </w:pPr>
      <w:r>
        <w:rPr>
          <w:rStyle w:val="FootnoteReference"/>
        </w:rPr>
        <w:footnoteRef/>
      </w:r>
      <w:r>
        <w:tab/>
      </w:r>
      <w:hyperlink r:id="rId44" w:history="1">
        <w:r w:rsidRPr="005252CC">
          <w:rPr>
            <w:rStyle w:val="Hyperlink"/>
          </w:rPr>
          <w:t>Directive (EU) 2022/2555 of the European Parliament and of the Council of 14 December 2022 on measures for a high common level of cybersecurity across the Union, amending Regulation (EU) No 910/2014 and Directive (EU) 2018/1972, and repealing Directive (EU) 2016/1148 (NIS 2 Directive)</w:t>
        </w:r>
      </w:hyperlink>
    </w:p>
  </w:footnote>
  <w:footnote w:id="44">
    <w:p w14:paraId="1DD6E49C" w14:textId="77777777" w:rsidR="004C5377" w:rsidRPr="00E250A4" w:rsidRDefault="004C5377" w:rsidP="004C5377">
      <w:pPr>
        <w:pStyle w:val="FootnoteText"/>
        <w:rPr>
          <w:lang w:val="en-IE"/>
        </w:rPr>
      </w:pPr>
      <w:r>
        <w:rPr>
          <w:rStyle w:val="FootnoteReference"/>
        </w:rPr>
        <w:footnoteRef/>
      </w:r>
      <w:r>
        <w:tab/>
      </w:r>
      <w:hyperlink r:id="rId45" w:history="1">
        <w:r w:rsidRPr="000A7792">
          <w:rPr>
            <w:rStyle w:val="Hyperlink"/>
            <w:rFonts w:eastAsia="Times New Roman"/>
            <w:szCs w:val="24"/>
            <w:lang w:eastAsia="en-GB"/>
          </w:rPr>
          <w:t>Regulation (EU) 2024/903 of the European Parliament and of the Council of 13 March 2024 laying down measures for a high level of public sector interoperability across the Union</w:t>
        </w:r>
        <w:r w:rsidRPr="000A7792">
          <w:rPr>
            <w:rStyle w:val="Hyperlink"/>
          </w:rPr>
          <w:t xml:space="preserve"> (Interoperable Europe Act)</w:t>
        </w:r>
      </w:hyperlink>
    </w:p>
  </w:footnote>
  <w:footnote w:id="45">
    <w:p w14:paraId="580CF974" w14:textId="77777777" w:rsidR="004C5377" w:rsidRPr="005C20B9" w:rsidRDefault="004C5377" w:rsidP="004C5377">
      <w:pPr>
        <w:pStyle w:val="FootnoteText"/>
        <w:rPr>
          <w:lang w:val="en-IE"/>
        </w:rPr>
      </w:pPr>
      <w:r>
        <w:rPr>
          <w:rStyle w:val="FootnoteReference"/>
        </w:rPr>
        <w:footnoteRef/>
      </w:r>
      <w:r>
        <w:tab/>
      </w:r>
      <w:hyperlink r:id="rId46" w:history="1">
        <w:r>
          <w:rPr>
            <w:rStyle w:val="Hyperlink"/>
          </w:rPr>
          <w:t>TED – EU Tenders, the Supplement to the Official Journal - TED</w:t>
        </w:r>
      </w:hyperlink>
    </w:p>
  </w:footnote>
  <w:footnote w:id="46">
    <w:p w14:paraId="04CACD9B" w14:textId="77777777" w:rsidR="004C5377" w:rsidRPr="00E55E61" w:rsidRDefault="004C5377" w:rsidP="004C5377">
      <w:pPr>
        <w:pStyle w:val="FootnoteText"/>
      </w:pPr>
      <w:r>
        <w:rPr>
          <w:rStyle w:val="FootnoteReference"/>
        </w:rPr>
        <w:footnoteRef/>
      </w:r>
      <w:r>
        <w:tab/>
      </w:r>
      <w:hyperlink r:id="rId47" w:history="1">
        <w:r>
          <w:rPr>
            <w:rStyle w:val="Hyperlink"/>
          </w:rPr>
          <w:t>Reform of the EU pharmaceutical legislation - European Commission</w:t>
        </w:r>
      </w:hyperlink>
    </w:p>
  </w:footnote>
  <w:footnote w:id="47">
    <w:p w14:paraId="733E6D73" w14:textId="77777777" w:rsidR="004C5377" w:rsidRPr="0069133B" w:rsidRDefault="004C5377" w:rsidP="004C5377">
      <w:pPr>
        <w:pStyle w:val="FootnoteText"/>
        <w:rPr>
          <w:lang w:val="en-IE"/>
        </w:rPr>
      </w:pPr>
      <w:r>
        <w:rPr>
          <w:rStyle w:val="FootnoteReference"/>
        </w:rPr>
        <w:footnoteRef/>
      </w:r>
      <w:r>
        <w:tab/>
      </w:r>
      <w:hyperlink r:id="rId48" w:anchor=":~:text=the%20preliminary%20conclusions.-,The%20structured%20dialogue%20initiative,compromising%20the%20affordability%20of%20medicines." w:history="1">
        <w:r>
          <w:rPr>
            <w:rStyle w:val="Hyperlink"/>
          </w:rPr>
          <w:t>Structured dialogue on security of medicines supply - European Commission</w:t>
        </w:r>
      </w:hyperlink>
    </w:p>
  </w:footnote>
  <w:footnote w:id="48">
    <w:p w14:paraId="3CF9D32F" w14:textId="77777777" w:rsidR="004C5377" w:rsidRPr="00312356" w:rsidRDefault="004C5377" w:rsidP="004C5377">
      <w:pPr>
        <w:pStyle w:val="FootnoteText"/>
      </w:pPr>
      <w:r>
        <w:rPr>
          <w:rStyle w:val="FootnoteReference"/>
        </w:rPr>
        <w:footnoteRef/>
      </w:r>
      <w:r>
        <w:tab/>
      </w:r>
      <w:hyperlink r:id="rId49" w:history="1">
        <w:r>
          <w:rPr>
            <w:rStyle w:val="Hyperlink"/>
          </w:rPr>
          <w:t>Critical Medicines Alliance - European Commission</w:t>
        </w:r>
      </w:hyperlink>
    </w:p>
  </w:footnote>
  <w:footnote w:id="49">
    <w:p w14:paraId="57277608" w14:textId="77777777" w:rsidR="004C5377" w:rsidRPr="006B504E" w:rsidRDefault="004C5377" w:rsidP="004C5377">
      <w:pPr>
        <w:pStyle w:val="FootnoteText"/>
      </w:pPr>
      <w:r>
        <w:rPr>
          <w:rStyle w:val="FootnoteReference"/>
        </w:rPr>
        <w:footnoteRef/>
      </w:r>
      <w:r>
        <w:tab/>
      </w:r>
      <w:hyperlink r:id="rId50" w:history="1">
        <w:r>
          <w:rPr>
            <w:rStyle w:val="Hyperlink"/>
          </w:rPr>
          <w:t>Reform of the EU pharmaceutical legislation - European Commission</w:t>
        </w:r>
      </w:hyperlink>
    </w:p>
  </w:footnote>
  <w:footnote w:id="50">
    <w:p w14:paraId="1FE80772" w14:textId="77777777" w:rsidR="004C5377" w:rsidRPr="00F9761C" w:rsidRDefault="004C5377" w:rsidP="004C5377">
      <w:pPr>
        <w:pStyle w:val="FootnoteText"/>
      </w:pPr>
      <w:r>
        <w:rPr>
          <w:rStyle w:val="FootnoteReference"/>
        </w:rPr>
        <w:footnoteRef/>
      </w:r>
      <w:r>
        <w:tab/>
      </w:r>
      <w:hyperlink r:id="rId51" w:history="1">
        <w:r>
          <w:rPr>
            <w:rStyle w:val="Hyperlink"/>
          </w:rPr>
          <w:t>Future-proofing pharmaceutical legislation - Publications Office of the EU</w:t>
        </w:r>
      </w:hyperlink>
      <w:r>
        <w:t>.</w:t>
      </w:r>
    </w:p>
  </w:footnote>
  <w:footnote w:id="51">
    <w:p w14:paraId="23726187" w14:textId="77777777" w:rsidR="004C5377" w:rsidRPr="008344B5" w:rsidRDefault="004C5377" w:rsidP="004C5377">
      <w:pPr>
        <w:pStyle w:val="FootnoteText"/>
      </w:pPr>
      <w:r>
        <w:rPr>
          <w:rStyle w:val="FootnoteReference"/>
        </w:rPr>
        <w:footnoteRef/>
      </w:r>
      <w:r>
        <w:tab/>
        <w:t>The list of organisations can be consulted here:</w:t>
      </w:r>
      <w:r>
        <w:tab/>
        <w:t xml:space="preserve"> </w:t>
      </w:r>
      <w:r>
        <w:br/>
      </w:r>
      <w:hyperlink r:id="rId52" w:history="1">
        <w:r w:rsidRPr="009434FE">
          <w:rPr>
            <w:rStyle w:val="Hyperlink"/>
          </w:rPr>
          <w:t>https://health.ec.europa.eu/document/download/bd92f46c-4c55-4fed-8642-81b0aa30ff22_en?filename=structured-dialogue_lp_en.pdf</w:t>
        </w:r>
      </w:hyperlink>
      <w:r>
        <w:t xml:space="preserve"> </w:t>
      </w:r>
    </w:p>
  </w:footnote>
  <w:footnote w:id="52">
    <w:p w14:paraId="76144BF6" w14:textId="77777777" w:rsidR="004C5377" w:rsidRPr="00212D7C" w:rsidRDefault="004C5377" w:rsidP="004C5377">
      <w:pPr>
        <w:pStyle w:val="FootnoteText"/>
        <w:rPr>
          <w:lang w:val="en-IE"/>
        </w:rPr>
      </w:pPr>
      <w:r>
        <w:rPr>
          <w:rStyle w:val="FootnoteReference"/>
        </w:rPr>
        <w:footnoteRef/>
      </w:r>
      <w:r>
        <w:tab/>
      </w:r>
      <w:hyperlink r:id="rId53" w:history="1">
        <w:r>
          <w:rPr>
            <w:rStyle w:val="Hyperlink"/>
          </w:rPr>
          <w:t>Reform of the EU pharmaceutical legislation - European Commission</w:t>
        </w:r>
      </w:hyperlink>
    </w:p>
  </w:footnote>
  <w:footnote w:id="53">
    <w:p w14:paraId="03B306FF" w14:textId="12129CAF" w:rsidR="004C5377" w:rsidRPr="008928B3" w:rsidRDefault="004C5377" w:rsidP="004C5377">
      <w:pPr>
        <w:pStyle w:val="FootnoteText"/>
        <w:rPr>
          <w:color w:val="0000FF"/>
          <w:u w:val="single"/>
        </w:rPr>
      </w:pPr>
      <w:r w:rsidRPr="007E14DA">
        <w:rPr>
          <w:rStyle w:val="FootnoteReference"/>
        </w:rPr>
        <w:footnoteRef/>
      </w:r>
      <w:r w:rsidR="007E14DA">
        <w:tab/>
      </w:r>
      <w:r w:rsidRPr="003F1B13">
        <w:t>See Annex 2 synopsis report (stakeholder consultation) for the reform of the EU pharmaceutical le</w:t>
      </w:r>
      <w:r w:rsidRPr="00AF2995">
        <w:t xml:space="preserve">gislation: </w:t>
      </w:r>
      <w:hyperlink r:id="rId54" w:history="1">
        <w:r w:rsidRPr="00AF2995">
          <w:rPr>
            <w:rStyle w:val="Hyperlink"/>
          </w:rPr>
          <w:t>GP_Annexes 1 to 4 - 6 to 9 - 14 to 16_v28102022</w:t>
        </w:r>
      </w:hyperlink>
    </w:p>
  </w:footnote>
  <w:footnote w:id="54">
    <w:p w14:paraId="06200409" w14:textId="77777777" w:rsidR="004C5377" w:rsidRPr="009C1CDE" w:rsidRDefault="004C5377" w:rsidP="004C5377">
      <w:pPr>
        <w:pStyle w:val="FootnoteText"/>
        <w:rPr>
          <w:highlight w:val="yellow"/>
          <w:lang w:val="en-IE"/>
        </w:rPr>
      </w:pPr>
      <w:r w:rsidRPr="008928B3">
        <w:rPr>
          <w:rStyle w:val="FootnoteReference"/>
        </w:rPr>
        <w:footnoteRef/>
      </w:r>
      <w:r w:rsidRPr="008928B3">
        <w:tab/>
      </w:r>
      <w:hyperlink r:id="rId55" w:anchor="strategic-report" w:history="1">
        <w:r w:rsidRPr="008928B3">
          <w:rPr>
            <w:rStyle w:val="Hyperlink"/>
          </w:rPr>
          <w:t>Critical Medicines Alliance - European Commission</w:t>
        </w:r>
      </w:hyperlink>
    </w:p>
  </w:footnote>
  <w:footnote w:id="55">
    <w:p w14:paraId="154784DF" w14:textId="77777777" w:rsidR="004C5377" w:rsidRPr="003F1B13" w:rsidRDefault="004C5377" w:rsidP="004C5377">
      <w:pPr>
        <w:pStyle w:val="FootnoteText"/>
        <w:rPr>
          <w:lang w:val="en-IE"/>
        </w:rPr>
      </w:pPr>
      <w:r w:rsidRPr="003F1B13">
        <w:rPr>
          <w:rStyle w:val="FootnoteReference"/>
        </w:rPr>
        <w:footnoteRef/>
      </w:r>
      <w:r>
        <w:tab/>
      </w:r>
      <w:r w:rsidRPr="003F1B13">
        <w:t xml:space="preserve">Most economically advantageous tender which allows for more prominence to </w:t>
      </w:r>
      <w:r>
        <w:t>be given to</w:t>
      </w:r>
      <w:r w:rsidRPr="003F1B13">
        <w:t xml:space="preserve"> quality beyond price considerations alone. </w:t>
      </w:r>
    </w:p>
  </w:footnote>
  <w:footnote w:id="56">
    <w:p w14:paraId="73C109F1" w14:textId="77777777" w:rsidR="004C5377" w:rsidRPr="003F1B13" w:rsidRDefault="004C5377" w:rsidP="004C5377">
      <w:pPr>
        <w:pStyle w:val="FootnoteText"/>
        <w:rPr>
          <w:lang w:val="en-IE"/>
        </w:rPr>
      </w:pPr>
      <w:r w:rsidRPr="003F1B13">
        <w:rPr>
          <w:rStyle w:val="FootnoteReference"/>
        </w:rPr>
        <w:footnoteRef/>
      </w:r>
      <w:r>
        <w:tab/>
      </w:r>
      <w:hyperlink r:id="rId56" w:history="1">
        <w:r w:rsidRPr="004A1386">
          <w:rPr>
            <w:color w:val="0000FF"/>
            <w:u w:val="single"/>
          </w:rPr>
          <w:t>Critical Medicines Act</w:t>
        </w:r>
      </w:hyperlink>
    </w:p>
  </w:footnote>
  <w:footnote w:id="57">
    <w:p w14:paraId="4FA765D3" w14:textId="77777777" w:rsidR="004C5377" w:rsidRPr="00E0512C" w:rsidRDefault="004C5377" w:rsidP="004C5377">
      <w:pPr>
        <w:pStyle w:val="FootnoteText"/>
        <w:rPr>
          <w:lang w:val="en-IE"/>
        </w:rPr>
      </w:pPr>
      <w:r w:rsidRPr="003F1B13">
        <w:rPr>
          <w:rStyle w:val="FootnoteReference"/>
        </w:rPr>
        <w:footnoteRef/>
      </w:r>
      <w:r>
        <w:tab/>
      </w:r>
      <w:hyperlink r:id="rId57" w:history="1">
        <w:r w:rsidRPr="003F1B13">
          <w:rPr>
            <w:rStyle w:val="Hyperlink"/>
          </w:rPr>
          <w:t>Union list of critical medicines | European Medicines Agency (EMA)</w:t>
        </w:r>
      </w:hyperlink>
    </w:p>
  </w:footnote>
  <w:footnote w:id="58">
    <w:p w14:paraId="63FA327B" w14:textId="77777777" w:rsidR="004C5377" w:rsidRPr="00004D2C" w:rsidRDefault="004C5377" w:rsidP="004C5377">
      <w:pPr>
        <w:pStyle w:val="FootnoteText"/>
        <w:rPr>
          <w:rStyle w:val="FootnoteReference"/>
        </w:rPr>
      </w:pPr>
      <w:r w:rsidRPr="001B59E4">
        <w:rPr>
          <w:rStyle w:val="FootnoteReference"/>
        </w:rPr>
        <w:footnoteRef/>
      </w:r>
      <w:r>
        <w:tab/>
      </w:r>
      <w:hyperlink r:id="rId58" w:history="1">
        <w:r w:rsidRPr="001262DD">
          <w:rPr>
            <w:rStyle w:val="Hyperlink"/>
          </w:rPr>
          <w:t>Commission assessment shows the need to reinforce resilience of critical medicines supply chains - European Commission</w:t>
        </w:r>
      </w:hyperlink>
    </w:p>
  </w:footnote>
  <w:footnote w:id="59">
    <w:p w14:paraId="106F88EE" w14:textId="77777777" w:rsidR="004C5377" w:rsidRPr="004A6D6B" w:rsidRDefault="004C5377" w:rsidP="004C5377">
      <w:pPr>
        <w:pStyle w:val="FootnoteText"/>
        <w:rPr>
          <w:lang w:val="en-IE"/>
        </w:rPr>
      </w:pPr>
      <w:r>
        <w:rPr>
          <w:rStyle w:val="FootnoteReference"/>
        </w:rPr>
        <w:footnoteRef/>
      </w:r>
      <w:r>
        <w:tab/>
      </w:r>
      <w:hyperlink r:id="rId59" w:history="1">
        <w:r w:rsidRPr="009434FE">
          <w:rPr>
            <w:rStyle w:val="Hyperlink"/>
          </w:rPr>
          <w:t>https://op.europa.eu/s/z1Rz</w:t>
        </w:r>
      </w:hyperlink>
      <w:r>
        <w:t xml:space="preserve"> </w:t>
      </w:r>
    </w:p>
  </w:footnote>
  <w:footnote w:id="60">
    <w:p w14:paraId="21E4C9AF" w14:textId="77777777" w:rsidR="004C5377" w:rsidRPr="001262DD" w:rsidRDefault="004C5377" w:rsidP="004C5377">
      <w:pPr>
        <w:pStyle w:val="FootnoteText"/>
        <w:rPr>
          <w:rStyle w:val="Hyperlink"/>
        </w:rPr>
      </w:pPr>
      <w:r w:rsidRPr="00004D2C">
        <w:rPr>
          <w:rStyle w:val="FootnoteReference"/>
        </w:rPr>
        <w:footnoteRef/>
      </w:r>
      <w:r>
        <w:tab/>
      </w:r>
      <w:hyperlink r:id="rId60" w:history="1">
        <w:r w:rsidRPr="009434FE">
          <w:rPr>
            <w:rStyle w:val="Hyperlink"/>
          </w:rPr>
          <w:t>https://efcg.cefic.org/wp-content/uploads/2025/01/Advancy-Sicos-report-extract-protected.pdf</w:t>
        </w:r>
      </w:hyperlink>
    </w:p>
  </w:footnote>
  <w:footnote w:id="61">
    <w:p w14:paraId="611A1364" w14:textId="77777777" w:rsidR="004C5377" w:rsidRPr="00004D2C" w:rsidRDefault="004C5377" w:rsidP="004C5377">
      <w:pPr>
        <w:pStyle w:val="FootnoteText"/>
      </w:pPr>
      <w:r w:rsidRPr="001B59E4">
        <w:rPr>
          <w:rStyle w:val="FootnoteReference"/>
        </w:rPr>
        <w:footnoteRef/>
      </w:r>
      <w:r>
        <w:tab/>
      </w:r>
      <w:hyperlink r:id="rId61" w:history="1">
        <w:r w:rsidRPr="009434FE">
          <w:rPr>
            <w:rStyle w:val="Hyperlink"/>
          </w:rPr>
          <w:t>https://www.oecd.org/en/publications/shortages-of-medicines-in-oecd-countries_b5d9e15d-en.html</w:t>
        </w:r>
      </w:hyperlink>
    </w:p>
  </w:footnote>
  <w:footnote w:id="62">
    <w:p w14:paraId="4066D4D8" w14:textId="77777777" w:rsidR="004C5377" w:rsidRDefault="004C5377" w:rsidP="004C5377">
      <w:pPr>
        <w:pStyle w:val="FootnoteText"/>
      </w:pPr>
      <w:r>
        <w:rPr>
          <w:rStyle w:val="FootnoteReference"/>
        </w:rPr>
        <w:footnoteRef/>
      </w:r>
      <w:r>
        <w:tab/>
        <w:t>Council Regulation (EU, Euratom) 2024/2093 laying down the multiannual financial framework for years 2021 to 2027, as amended (OJ LI 433, 22.12.2020)</w:t>
      </w:r>
    </w:p>
  </w:footnote>
  <w:footnote w:id="63">
    <w:p w14:paraId="4400436D" w14:textId="77777777" w:rsidR="004C5377" w:rsidRDefault="004C5377" w:rsidP="004C5377">
      <w:pPr>
        <w:pStyle w:val="FootnoteText"/>
      </w:pPr>
      <w:r>
        <w:rPr>
          <w:rStyle w:val="FootnoteReference"/>
        </w:rPr>
        <w:footnoteRef/>
      </w:r>
      <w:r>
        <w:tab/>
        <w:t>Regulation (EU) 2021/522 of the European Parliament and of the Council of 24 March 2021 establishing a Programme for the Union’s action in the field of Health (‘EU4Health Programme’) for the period 2021-2027, and repealing Regulation (EU) No 282/2014, (OJ L 107, 26.3.2021)</w:t>
      </w:r>
    </w:p>
  </w:footnote>
  <w:footnote w:id="64">
    <w:p w14:paraId="59278815" w14:textId="77777777" w:rsidR="004C5377" w:rsidRDefault="004C5377" w:rsidP="004C5377">
      <w:pPr>
        <w:pStyle w:val="FootnoteText"/>
      </w:pPr>
      <w:r>
        <w:rPr>
          <w:rStyle w:val="FootnoteReference"/>
        </w:rPr>
        <w:footnoteRef/>
      </w:r>
      <w:r>
        <w:tab/>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OJ L170, 12.5.2021, p. 1.</w:t>
      </w:r>
    </w:p>
  </w:footnote>
  <w:footnote w:id="65">
    <w:p w14:paraId="5C9C8583" w14:textId="77777777" w:rsidR="004C5377" w:rsidRDefault="004C5377" w:rsidP="004C5377">
      <w:pPr>
        <w:pStyle w:val="FootnoteText"/>
      </w:pPr>
      <w:r>
        <w:rPr>
          <w:rStyle w:val="FootnoteReference"/>
        </w:rPr>
        <w:footnoteRef/>
      </w:r>
      <w:r>
        <w:tab/>
        <w:t>Regulation (EU) 2021/694 of the European Parliament and of the Council of 29 April 2021 establishing the Digital Europe Programme and repealing Decision (EU) 2015/2240, OJ L166, 11.5.2021, p. 1.</w:t>
      </w:r>
    </w:p>
  </w:footnote>
  <w:footnote w:id="66">
    <w:p w14:paraId="7BBAE467" w14:textId="5957142C" w:rsidR="00EE2AB0" w:rsidRDefault="00EE2AB0" w:rsidP="00EE2AB0">
      <w:pPr>
        <w:pStyle w:val="FootnoteText"/>
      </w:pPr>
      <w:r>
        <w:rPr>
          <w:rStyle w:val="FootnoteReference"/>
        </w:rPr>
        <w:footnoteRef/>
      </w:r>
      <w:r>
        <w:tab/>
        <w:t>OJ C , , p. .</w:t>
      </w:r>
    </w:p>
  </w:footnote>
  <w:footnote w:id="67">
    <w:p w14:paraId="4BD94040" w14:textId="77777777" w:rsidR="00917777" w:rsidRPr="005A3EF0" w:rsidRDefault="00917777" w:rsidP="00917777">
      <w:pPr>
        <w:pStyle w:val="FootnoteText"/>
      </w:pPr>
      <w:r>
        <w:rPr>
          <w:rStyle w:val="FootnoteReference"/>
        </w:rPr>
        <w:footnoteRef/>
      </w:r>
      <w:r>
        <w:tab/>
        <w:t xml:space="preserve">Regulation (EU) 2022/123 of the European Parliament and of the Council of 25 January 2022 on a reinforced role for the European Medicines Agency in crisis preparedness and management for medicinal products and </w:t>
      </w:r>
      <w:r w:rsidRPr="005A3EF0">
        <w:t xml:space="preserve">medical devices </w:t>
      </w:r>
      <w:r>
        <w:t>(</w:t>
      </w:r>
      <w:r w:rsidRPr="005A3EF0">
        <w:t>OJ L 20, 31.2.2022, p. 1</w:t>
      </w:r>
      <w:r>
        <w:t>,</w:t>
      </w:r>
      <w:r w:rsidRPr="00184CD2">
        <w:t xml:space="preserve"> </w:t>
      </w:r>
      <w:r w:rsidRPr="00266648">
        <w:t>ELI: </w:t>
      </w:r>
      <w:hyperlink r:id="rId62" w:tooltip="Gives access to this document through its ELI URI." w:history="1">
        <w:r w:rsidRPr="00266648">
          <w:rPr>
            <w:rStyle w:val="Hyperlink"/>
          </w:rPr>
          <w:t>http://data.europa.eu/eli/reg/2022/123/oj</w:t>
        </w:r>
      </w:hyperlink>
      <w:r>
        <w:t>)</w:t>
      </w:r>
    </w:p>
  </w:footnote>
  <w:footnote w:id="68">
    <w:p w14:paraId="6882A267" w14:textId="77777777" w:rsidR="00917777" w:rsidRDefault="00917777" w:rsidP="00917777">
      <w:pPr>
        <w:pStyle w:val="FootnoteText"/>
      </w:pPr>
      <w:r>
        <w:rPr>
          <w:rStyle w:val="FootnoteReference"/>
        </w:rPr>
        <w:footnoteRef/>
      </w:r>
      <w:r>
        <w:tab/>
      </w:r>
      <w:r w:rsidRPr="004F63CD">
        <w:t xml:space="preserve">Regulation </w:t>
      </w:r>
      <w:r>
        <w:t>(EU) …/… o</w:t>
      </w:r>
      <w:r w:rsidRPr="004F63CD">
        <w:t xml:space="preserve">f </w:t>
      </w:r>
      <w:r>
        <w:t>t</w:t>
      </w:r>
      <w:r w:rsidRPr="004F63CD">
        <w:t xml:space="preserve">he European Parliament </w:t>
      </w:r>
      <w:r>
        <w:t>a</w:t>
      </w:r>
      <w:r w:rsidRPr="004F63CD">
        <w:t xml:space="preserve">nd </w:t>
      </w:r>
      <w:r>
        <w:t>o</w:t>
      </w:r>
      <w:r w:rsidRPr="004F63CD">
        <w:t xml:space="preserve">f </w:t>
      </w:r>
      <w:r>
        <w:t>t</w:t>
      </w:r>
      <w:r w:rsidRPr="004F63CD">
        <w:t>he Council laying down Union procedures for the authorisation and supervision of medicinal products for human use and establishing rules governing the European Medicines Agency, amending Regulation (EC) No 1394/2007 and Regulation (EU) No 536/2014 and repealing Regulation (EC) No 726/2004, Regulation (EC) No 141/2000 and Regulation (EC) No 1901/2006</w:t>
      </w:r>
      <w:r>
        <w:t xml:space="preserve"> (OJ … </w:t>
      </w:r>
      <w:r w:rsidRPr="00243BE4">
        <w:rPr>
          <w:i/>
          <w:iCs/>
        </w:rPr>
        <w:t>[OP: Please complete publication references]</w:t>
      </w:r>
      <w:r>
        <w:t>).</w:t>
      </w:r>
    </w:p>
  </w:footnote>
  <w:footnote w:id="69">
    <w:p w14:paraId="1BA57FF9" w14:textId="0D5EE09F" w:rsidR="00BE431F" w:rsidRDefault="00BE431F">
      <w:pPr>
        <w:pStyle w:val="FootnoteText"/>
      </w:pPr>
      <w:r w:rsidRPr="00F41705">
        <w:rPr>
          <w:rStyle w:val="FootnoteReference"/>
        </w:rPr>
        <w:footnoteRef/>
      </w:r>
      <w:r w:rsidR="00F41705">
        <w:tab/>
      </w:r>
      <w:r w:rsidR="00DE77F5" w:rsidRPr="0090624F">
        <w:t xml:space="preserve">Regulation (EU) 2021/522 of the European Parliament and of the Council of 24 March 2021 establishing a Programme for the Union’s action in the field of Health (‘EU4Health Programme’) for the period 2021-2027, and repealing Regulation (EU) No 282/2014, (OJ L 107, 26.3.2021, </w:t>
      </w:r>
      <w:r w:rsidR="00DE77F5">
        <w:t>p.</w:t>
      </w:r>
      <w:r w:rsidR="00F41705">
        <w:t xml:space="preserve"> </w:t>
      </w:r>
      <w:r w:rsidR="00DE77F5">
        <w:t xml:space="preserve">1, </w:t>
      </w:r>
      <w:r w:rsidR="00DE77F5" w:rsidRPr="00BC06ED">
        <w:rPr>
          <w:color w:val="333333"/>
          <w:shd w:val="clear" w:color="auto" w:fill="FFFFFF"/>
        </w:rPr>
        <w:t>ELI: </w:t>
      </w:r>
      <w:hyperlink r:id="rId63" w:tooltip="Gives access to this document through its ELI URI." w:history="1">
        <w:r w:rsidR="00DE77F5" w:rsidRPr="00BC06ED">
          <w:rPr>
            <w:color w:val="337AB7"/>
            <w:u w:val="single"/>
            <w:shd w:val="clear" w:color="auto" w:fill="FFFFFF"/>
          </w:rPr>
          <w:t>http://data.europa.eu/eli/reg/2021/522/oj</w:t>
        </w:r>
      </w:hyperlink>
      <w:r w:rsidR="00DE77F5" w:rsidRPr="0090624F">
        <w:t>)</w:t>
      </w:r>
    </w:p>
  </w:footnote>
  <w:footnote w:id="70">
    <w:p w14:paraId="446068B5" w14:textId="0BDBEE49" w:rsidR="00BE431F" w:rsidRDefault="00BE431F">
      <w:pPr>
        <w:pStyle w:val="FootnoteText"/>
      </w:pPr>
      <w:r w:rsidRPr="00F41705">
        <w:rPr>
          <w:rStyle w:val="FootnoteReference"/>
        </w:rPr>
        <w:footnoteRef/>
      </w:r>
      <w:r w:rsidR="00F41705">
        <w:tab/>
      </w:r>
      <w:r w:rsidR="00140754" w:rsidRPr="00CF4B13">
        <w:t>Regulation (EU) 2021/694 of the European Parliament and of the Council of 29 April 2021 establishing the Digital Europe Programme and repealing Decision (EU) 2015/2240( OJ L166, 11.5.2021, p.</w:t>
      </w:r>
      <w:r w:rsidR="00F41705">
        <w:t xml:space="preserve"> </w:t>
      </w:r>
      <w:r w:rsidR="00140754" w:rsidRPr="00CF4B13">
        <w:t xml:space="preserve">1, </w:t>
      </w:r>
      <w:r w:rsidR="00140754" w:rsidRPr="00BC06ED">
        <w:rPr>
          <w:color w:val="333333"/>
          <w:shd w:val="clear" w:color="auto" w:fill="FFFFFF"/>
        </w:rPr>
        <w:t>ELI: </w:t>
      </w:r>
      <w:hyperlink r:id="rId64" w:tooltip="Gives access to this document through its ELI URI." w:history="1">
        <w:r w:rsidR="00140754" w:rsidRPr="00BC06ED">
          <w:rPr>
            <w:color w:val="23527C"/>
            <w:u w:val="single"/>
            <w:shd w:val="clear" w:color="auto" w:fill="FFFFFF"/>
          </w:rPr>
          <w:t>http://data.europa.eu/eli/reg/2021/694/2023-09-21</w:t>
        </w:r>
      </w:hyperlink>
      <w:r w:rsidR="00140754" w:rsidRPr="00BC06ED">
        <w:t>)</w:t>
      </w:r>
    </w:p>
  </w:footnote>
  <w:footnote w:id="71">
    <w:p w14:paraId="235BC855" w14:textId="6B3C1B6E" w:rsidR="00BE431F" w:rsidRDefault="00BE431F" w:rsidP="00555A38">
      <w:pPr>
        <w:pStyle w:val="FootnoteText"/>
      </w:pPr>
      <w:r w:rsidRPr="00F41705">
        <w:rPr>
          <w:rStyle w:val="FootnoteReference"/>
        </w:rPr>
        <w:footnoteRef/>
      </w:r>
      <w:r w:rsidR="00F41705">
        <w:tab/>
      </w:r>
      <w:r w:rsidR="00BD1757">
        <w:t>Regulation (EU) 2021/695 of the European Parliament and of the council of 28 April 2021 establishing Horizon //Europe – the Framework Programme for Research and Innovation, laying down its rules for participation and dissemination, and repealing Regulations (EU</w:t>
      </w:r>
      <w:r w:rsidR="00BD1757" w:rsidRPr="00CF4B13">
        <w:t>) No 1290/2013 and (EU) No 1291/2013 (OJ L170, 12.5.2021, p. 1</w:t>
      </w:r>
      <w:r w:rsidR="00BD1757" w:rsidRPr="00BC06ED">
        <w:rPr>
          <w:color w:val="333333"/>
          <w:shd w:val="clear" w:color="auto" w:fill="FFFFFF"/>
        </w:rPr>
        <w:t>, ELI: </w:t>
      </w:r>
      <w:hyperlink r:id="rId65" w:tooltip="Gives access to this document through its ELI URI." w:history="1">
        <w:r w:rsidR="00BD1757" w:rsidRPr="00BC06ED">
          <w:rPr>
            <w:color w:val="23527C"/>
            <w:u w:val="single"/>
            <w:shd w:val="clear" w:color="auto" w:fill="FFFFFF"/>
          </w:rPr>
          <w:t>http://data.europa.eu/eli/reg/2021/695/oj</w:t>
        </w:r>
      </w:hyperlink>
      <w:r w:rsidR="00BD1757" w:rsidRPr="00BC06ED">
        <w:t>)</w:t>
      </w:r>
    </w:p>
  </w:footnote>
  <w:footnote w:id="72">
    <w:p w14:paraId="1D0BD149" w14:textId="77777777" w:rsidR="001405E2" w:rsidRPr="00A94DF4" w:rsidRDefault="001405E2" w:rsidP="001405E2">
      <w:pPr>
        <w:pStyle w:val="FootnoteText"/>
      </w:pPr>
      <w:r>
        <w:rPr>
          <w:rStyle w:val="FootnoteReference"/>
        </w:rPr>
        <w:footnoteRef/>
      </w:r>
      <w:r>
        <w:tab/>
      </w:r>
      <w:r w:rsidRPr="00DF5A5B">
        <w:rPr>
          <w:color w:val="333333"/>
          <w:shd w:val="clear" w:color="auto" w:fill="FFFFFF"/>
        </w:rPr>
        <w:t>Regulation (EU) 2024/795 of the European Parliament and of the Council of 29 February 2024 establishing the Strategic Technologies for Europe Platform (STEP), and amending Directive 2003/87/EC and Regulations (EU) 2021/1058, (EU) 2021/1056, (EU) 2021/1057, (EU) No 1303/2013, (EU) No 223/2014, (EU) 2021/1060, (EU) 2021/523, (EU) 2021/695, (EU) 2021/697 and (EU) 2021/241, (OJL 2024/794, 29.2.2024,  ELI: </w:t>
      </w:r>
      <w:hyperlink r:id="rId66" w:tgtFrame="_blank" w:tooltip="Gives access to this document through its ELI URI." w:history="1">
        <w:r w:rsidRPr="00DF5A5B">
          <w:rPr>
            <w:color w:val="23527C"/>
            <w:u w:val="single"/>
          </w:rPr>
          <w:t>http://data.europa.eu/eli/reg/2024/795/oj</w:t>
        </w:r>
      </w:hyperlink>
      <w:r w:rsidRPr="00DF5A5B">
        <w:rPr>
          <w:color w:val="333333"/>
          <w:shd w:val="clear" w:color="auto" w:fill="FFFFFF"/>
        </w:rPr>
        <w:t>)</w:t>
      </w:r>
    </w:p>
  </w:footnote>
  <w:footnote w:id="73">
    <w:p w14:paraId="066F805E" w14:textId="77777777" w:rsidR="00917777" w:rsidRPr="00243BE4" w:rsidRDefault="00917777" w:rsidP="00917777">
      <w:pPr>
        <w:pStyle w:val="FootnoteText"/>
        <w:rPr>
          <w:lang w:val="en-IE"/>
        </w:rPr>
      </w:pPr>
      <w:r w:rsidRPr="00A94DF4">
        <w:rPr>
          <w:rStyle w:val="FootnoteReference"/>
        </w:rPr>
        <w:footnoteRef/>
      </w:r>
      <w:r w:rsidRPr="00A94DF4">
        <w:tab/>
      </w:r>
      <w:hyperlink r:id="rId67" w:history="1">
        <w:r w:rsidRPr="00DF5A5B">
          <w:t>Communication and visibility rules - Publications Office of the EU</w:t>
        </w:r>
      </w:hyperlink>
    </w:p>
  </w:footnote>
  <w:footnote w:id="74">
    <w:p w14:paraId="7E9C4161" w14:textId="77777777" w:rsidR="00917777" w:rsidRDefault="00917777" w:rsidP="00917777">
      <w:pPr>
        <w:pStyle w:val="FootnoteText"/>
      </w:pPr>
      <w:r>
        <w:rPr>
          <w:rStyle w:val="FootnoteReference"/>
        </w:rPr>
        <w:footnoteRef/>
      </w:r>
      <w:r>
        <w:tab/>
      </w:r>
      <w:r w:rsidRPr="00EB5319">
        <w:t>Directive 2014/24/EU of the European Parliament and of the Council of 26 February 2014 on public procurement and repealing Directive 2004/18/EC</w:t>
      </w:r>
      <w:r>
        <w:t xml:space="preserve"> (</w:t>
      </w:r>
      <w:r w:rsidRPr="00654416">
        <w:t>OJ L 94, 28.3.2014, p. 65</w:t>
      </w:r>
      <w:r>
        <w:t xml:space="preserve">, </w:t>
      </w:r>
      <w:r w:rsidRPr="00C33541">
        <w:t>ELI: http://data.europa.eu/eli/dir/2014/24/oj</w:t>
      </w:r>
      <w:r>
        <w:t>).</w:t>
      </w:r>
    </w:p>
  </w:footnote>
  <w:footnote w:id="75">
    <w:p w14:paraId="4B851F06" w14:textId="77777777" w:rsidR="00917777" w:rsidRDefault="00917777" w:rsidP="00917777">
      <w:pPr>
        <w:pStyle w:val="FootnoteText"/>
      </w:pPr>
      <w:r>
        <w:rPr>
          <w:rStyle w:val="FootnoteReference"/>
        </w:rPr>
        <w:footnoteRef/>
      </w:r>
      <w:r>
        <w:tab/>
      </w:r>
      <w:r w:rsidRPr="00717B01">
        <w:rPr>
          <w:lang w:val="en-US"/>
        </w:rPr>
        <w:t xml:space="preserve">Regulation (EU) 2022/2371 of the European Parliament and of the Council of 23 November 2022 on serious cross-border threats to health and repealing Decision No 1082/2013/EU </w:t>
      </w:r>
      <w:r>
        <w:rPr>
          <w:lang w:val="en-US"/>
        </w:rPr>
        <w:t>(</w:t>
      </w:r>
      <w:r w:rsidRPr="00717B01">
        <w:rPr>
          <w:lang w:val="en-US"/>
        </w:rPr>
        <w:t>OJ L 314, 6.12.2022, p. 26</w:t>
      </w:r>
      <w:r>
        <w:rPr>
          <w:lang w:val="en-US"/>
        </w:rPr>
        <w:t xml:space="preserve">,  </w:t>
      </w:r>
      <w:r w:rsidRPr="008F65B1">
        <w:t>ELI: </w:t>
      </w:r>
      <w:hyperlink r:id="rId68" w:tooltip="Gives access to this document through its ELI URI." w:history="1">
        <w:r w:rsidRPr="008F65B1">
          <w:rPr>
            <w:rStyle w:val="Hyperlink"/>
          </w:rPr>
          <w:t>http://data.europa.eu/eli/reg/2022/2371/oj</w:t>
        </w:r>
      </w:hyperlink>
      <w:r>
        <w:rPr>
          <w:lang w:val="en-US"/>
        </w:rPr>
        <w:t>).</w:t>
      </w:r>
    </w:p>
  </w:footnote>
  <w:footnote w:id="76">
    <w:p w14:paraId="4D03FB87" w14:textId="77777777" w:rsidR="00917777" w:rsidRDefault="00917777" w:rsidP="00917777">
      <w:pPr>
        <w:pStyle w:val="FootnoteText"/>
      </w:pPr>
      <w:r>
        <w:rPr>
          <w:rStyle w:val="FootnoteReference"/>
        </w:rPr>
        <w:footnoteRef/>
      </w:r>
      <w:r>
        <w:tab/>
        <w:t xml:space="preserve">Council Regulation (EU) 2016/296 </w:t>
      </w:r>
      <w:r w:rsidRPr="00B3495B">
        <w:t>of 15 March 2016 on the provision of the emergency support within the Union (OJ L 70, 13.3.2016, p.</w:t>
      </w:r>
      <w:r>
        <w:t xml:space="preserve"> </w:t>
      </w:r>
      <w:r w:rsidRPr="00B3495B">
        <w:t xml:space="preserve">1, </w:t>
      </w:r>
      <w:r w:rsidRPr="00EB2786">
        <w:rPr>
          <w:color w:val="333333"/>
          <w:shd w:val="clear" w:color="auto" w:fill="FFFFFF"/>
        </w:rPr>
        <w:t>ELI: </w:t>
      </w:r>
      <w:hyperlink r:id="rId69" w:tooltip="Gives access to this document through its ELI URI." w:history="1">
        <w:r w:rsidRPr="00EB2786">
          <w:rPr>
            <w:color w:val="337AB7"/>
            <w:u w:val="single"/>
            <w:shd w:val="clear" w:color="auto" w:fill="FFFFFF"/>
          </w:rPr>
          <w:t>http://data.europa.eu/eli/reg/2016/369/oj</w:t>
        </w:r>
      </w:hyperlink>
      <w:r>
        <w:t xml:space="preserve">) </w:t>
      </w:r>
    </w:p>
  </w:footnote>
  <w:footnote w:id="77">
    <w:p w14:paraId="2CD5356C" w14:textId="77777777" w:rsidR="00917777" w:rsidRDefault="00917777" w:rsidP="00917777">
      <w:pPr>
        <w:pStyle w:val="FootnoteText"/>
      </w:pPr>
      <w:r>
        <w:rPr>
          <w:rStyle w:val="FootnoteReference"/>
        </w:rPr>
        <w:footnoteRef/>
      </w:r>
      <w:r>
        <w:tab/>
      </w:r>
      <w:r w:rsidRPr="00F50BD0">
        <w:t>Regulation (EU, Euratom) 2024/2509 of the European Parliament and of the Council of 23 September 2024 on the financial rules applicable to the general budget of the Union</w:t>
      </w:r>
      <w:r>
        <w:t xml:space="preserve"> (</w:t>
      </w:r>
      <w:r w:rsidRPr="006C7991">
        <w:t>OJ L, 2024/2509, 26.9.2024, ELI: http://data.europa.eu/eli/reg/2024/2509/oj</w:t>
      </w:r>
      <w:r>
        <w:t>).</w:t>
      </w:r>
    </w:p>
  </w:footnote>
  <w:footnote w:id="78">
    <w:p w14:paraId="68ECDE6B" w14:textId="77777777" w:rsidR="00917777" w:rsidRDefault="00917777" w:rsidP="00917777">
      <w:pPr>
        <w:pStyle w:val="FootnoteText"/>
      </w:pPr>
      <w:r>
        <w:rPr>
          <w:rStyle w:val="FootnoteReference"/>
        </w:rPr>
        <w:footnoteRef/>
      </w:r>
      <w:r>
        <w:tab/>
        <w:t>Council Regulation (EU) 2022/2372 of 24 October 2022 on a framework of measures for ensuring the supply of crisis-relevant medical countermeasures in the event of a public health emergency at Union level (OJ L 314, p</w:t>
      </w:r>
      <w:r w:rsidRPr="001E57C5">
        <w:t>.</w:t>
      </w:r>
      <w:r>
        <w:t xml:space="preserve"> </w:t>
      </w:r>
      <w:r w:rsidRPr="001E57C5">
        <w:t xml:space="preserve">64, ELI: </w:t>
      </w:r>
      <w:hyperlink r:id="rId70" w:tooltip="Gives access to this document through its ELI URI." w:history="1">
        <w:r w:rsidRPr="006053BD">
          <w:rPr>
            <w:color w:val="23527C"/>
            <w:u w:val="single"/>
            <w:shd w:val="clear" w:color="auto" w:fill="FFFFFF"/>
          </w:rPr>
          <w:t>http://data.europa.eu/eli/reg/2022/2372/oj</w:t>
        </w:r>
      </w:hyperlink>
      <w:r w:rsidRPr="006053BD">
        <w:t>)</w:t>
      </w:r>
    </w:p>
  </w:footnote>
  <w:footnote w:id="79">
    <w:p w14:paraId="621DA7E1" w14:textId="77777777" w:rsidR="00917777" w:rsidRPr="00C6242F" w:rsidRDefault="00917777" w:rsidP="00917777">
      <w:pPr>
        <w:pStyle w:val="FootnoteText"/>
        <w:rPr>
          <w:lang w:val="en-IE"/>
        </w:rPr>
      </w:pPr>
      <w:r>
        <w:rPr>
          <w:rStyle w:val="FootnoteReference"/>
        </w:rPr>
        <w:footnoteRef/>
      </w:r>
      <w:r>
        <w:tab/>
      </w:r>
      <w:r w:rsidRPr="00C94092">
        <w:t xml:space="preserve">Regulation </w:t>
      </w:r>
      <w:r>
        <w:t>(EU) …. o</w:t>
      </w:r>
      <w:r w:rsidRPr="00C94092">
        <w:t xml:space="preserve">f </w:t>
      </w:r>
      <w:r>
        <w:t>t</w:t>
      </w:r>
      <w:r w:rsidRPr="00C94092">
        <w:t xml:space="preserve">he European Parliament </w:t>
      </w:r>
      <w:r>
        <w:t>a</w:t>
      </w:r>
      <w:r w:rsidRPr="00C94092">
        <w:t xml:space="preserve">nd </w:t>
      </w:r>
      <w:r>
        <w:t>o</w:t>
      </w:r>
      <w:r w:rsidRPr="00C94092">
        <w:t xml:space="preserve">f </w:t>
      </w:r>
      <w:r>
        <w:t>t</w:t>
      </w:r>
      <w:r w:rsidRPr="00C94092">
        <w:t>he Council laying down Union procedures for the authorisation and supervision of medicinal products for human use and establishing rules governing the European Medicines Agency, amending Regulation (EC) No 1394/2007 and Regulation (EU) No 536/2014 and repealing Regulation (EC) No 726/2004, Regulation (EC) No 141/2000 and Regulation (EC) No 1901/2006</w:t>
      </w:r>
      <w:r>
        <w:t xml:space="preserve"> (OJ …) </w:t>
      </w:r>
      <w:r>
        <w:rPr>
          <w:i/>
          <w:iCs/>
        </w:rPr>
        <w:t>[D.G.: Title according to</w:t>
      </w:r>
      <w:r w:rsidRPr="00C94092">
        <w:rPr>
          <w:i/>
          <w:iCs/>
        </w:rPr>
        <w:t xml:space="preserve"> COM(2023) 193 final</w:t>
      </w:r>
      <w:r>
        <w:rPr>
          <w:i/>
          <w:iCs/>
        </w:rPr>
        <w:t>. Please check against latest version of this draft Regulation]</w:t>
      </w:r>
      <w:r>
        <w:t>.</w:t>
      </w:r>
    </w:p>
    <w:p w14:paraId="26BE49FE" w14:textId="77777777" w:rsidR="00917777" w:rsidRDefault="00917777" w:rsidP="00917777">
      <w:pPr>
        <w:pStyle w:val="FootnoteText"/>
      </w:pPr>
    </w:p>
  </w:footnote>
  <w:footnote w:id="80">
    <w:p w14:paraId="6D295449" w14:textId="77777777" w:rsidR="00917777" w:rsidRPr="00E50E6E" w:rsidRDefault="00917777" w:rsidP="00917777">
      <w:pPr>
        <w:pStyle w:val="FootnoteText"/>
        <w:rPr>
          <w:lang w:val="en-IE"/>
        </w:rPr>
      </w:pPr>
      <w:r>
        <w:rPr>
          <w:rStyle w:val="FootnoteReference"/>
        </w:rPr>
        <w:footnoteRef/>
      </w:r>
      <w:r>
        <w:tab/>
      </w:r>
      <w:r w:rsidRPr="00F1125D">
        <w:t>Council Directive 92/43/EEC of 21 May 1992 on the conservation of natural habitats and of wild fauna and flora</w:t>
      </w:r>
      <w:r>
        <w:t xml:space="preserve"> (</w:t>
      </w:r>
      <w:r w:rsidRPr="002066CB">
        <w:t>OJ L 206, 22.7.1992, p. 7</w:t>
      </w:r>
      <w:r>
        <w:t xml:space="preserve">, </w:t>
      </w:r>
      <w:r w:rsidRPr="002066CB">
        <w:t>ELI: http://data.europa.eu/eli/dir/1992/43/oj</w:t>
      </w:r>
      <w:r>
        <w:t>).</w:t>
      </w:r>
    </w:p>
  </w:footnote>
  <w:footnote w:id="81">
    <w:p w14:paraId="65936B81" w14:textId="77777777" w:rsidR="00917777" w:rsidRDefault="00917777" w:rsidP="00917777">
      <w:pPr>
        <w:pStyle w:val="FootnoteText"/>
      </w:pPr>
      <w:r>
        <w:rPr>
          <w:rStyle w:val="FootnoteReference"/>
        </w:rPr>
        <w:footnoteRef/>
      </w:r>
      <w:r>
        <w:tab/>
      </w:r>
      <w:r w:rsidRPr="00763D2A">
        <w:t>Directive 2000/60/EC of the European Parliament and of the Council of 23 October 2000 establishing a framework for Community action in the field of water policy</w:t>
      </w:r>
      <w:r>
        <w:t xml:space="preserve"> (</w:t>
      </w:r>
      <w:r w:rsidRPr="00763D2A">
        <w:t>OJ L 327, 22.12.2000, p. 1</w:t>
      </w:r>
      <w:r>
        <w:t xml:space="preserve">, </w:t>
      </w:r>
      <w:r w:rsidRPr="00763D2A">
        <w:t>ELI: http://data.europa.eu/eli/dir/2000/60/oj</w:t>
      </w:r>
      <w:r>
        <w:t>).</w:t>
      </w:r>
    </w:p>
  </w:footnote>
  <w:footnote w:id="82">
    <w:p w14:paraId="63901EC9" w14:textId="77777777" w:rsidR="00917777" w:rsidRDefault="00917777" w:rsidP="00917777">
      <w:pPr>
        <w:pStyle w:val="FootnoteText"/>
      </w:pPr>
      <w:r>
        <w:rPr>
          <w:rStyle w:val="FootnoteReference"/>
        </w:rPr>
        <w:footnoteRef/>
      </w:r>
      <w:r>
        <w:tab/>
      </w:r>
      <w:r w:rsidRPr="00197E73">
        <w:t>Directive 2001/42/EC of the European Parliament and of the Council of 27 June 2001 on the assessment of the effects of certain plans and programmes on the environment</w:t>
      </w:r>
      <w:r>
        <w:t xml:space="preserve"> (</w:t>
      </w:r>
      <w:r w:rsidRPr="00173A29">
        <w:t>OJ L 197, 21.7.2001, p. 30</w:t>
      </w:r>
      <w:r>
        <w:t>,</w:t>
      </w:r>
      <w:r w:rsidRPr="00173A29">
        <w:t xml:space="preserve"> ELI: http://data.europa.eu/eli/dir/2001/42/oj</w:t>
      </w:r>
      <w:r>
        <w:t>).</w:t>
      </w:r>
    </w:p>
  </w:footnote>
  <w:footnote w:id="83">
    <w:p w14:paraId="2AF9E694" w14:textId="77777777" w:rsidR="00917777" w:rsidRDefault="00917777" w:rsidP="00917777">
      <w:pPr>
        <w:pStyle w:val="FootnoteText"/>
      </w:pPr>
      <w:r>
        <w:rPr>
          <w:rStyle w:val="FootnoteReference"/>
        </w:rPr>
        <w:footnoteRef/>
      </w:r>
      <w:r>
        <w:tab/>
      </w:r>
      <w:r w:rsidRPr="001E6FC9">
        <w:t>Directive 2008/98/EC of the European Parliament and of the Council of 19 November 2008 on waste and repealing certain Directives</w:t>
      </w:r>
      <w:r>
        <w:t xml:space="preserve"> (</w:t>
      </w:r>
      <w:r w:rsidRPr="000D1962">
        <w:t>OJ L 312, 22.11.2008, p. 3</w:t>
      </w:r>
      <w:r>
        <w:t>,</w:t>
      </w:r>
      <w:r w:rsidRPr="000D1962">
        <w:t xml:space="preserve"> ELI: http://data.europa.eu/eli/dir/2008/98/oj</w:t>
      </w:r>
      <w:r>
        <w:t>).</w:t>
      </w:r>
    </w:p>
  </w:footnote>
  <w:footnote w:id="84">
    <w:p w14:paraId="500F8246" w14:textId="77777777" w:rsidR="00917777" w:rsidRPr="00E50E6E" w:rsidRDefault="00917777" w:rsidP="00917777">
      <w:pPr>
        <w:pStyle w:val="FootnoteText"/>
        <w:rPr>
          <w:lang w:val="en-IE"/>
        </w:rPr>
      </w:pPr>
      <w:r>
        <w:rPr>
          <w:rStyle w:val="FootnoteReference"/>
        </w:rPr>
        <w:footnoteRef/>
      </w:r>
      <w:r>
        <w:tab/>
      </w:r>
      <w:r w:rsidRPr="009E75FA">
        <w:t>Directive 2009/147/EC of the European Parliament and of the Council of 30 November 2009 on the conservation of wild birds</w:t>
      </w:r>
      <w:r>
        <w:t xml:space="preserve"> (</w:t>
      </w:r>
      <w:r w:rsidRPr="0093207C">
        <w:t>OJ L 20, 26.1.2010, p. 7</w:t>
      </w:r>
      <w:r>
        <w:t xml:space="preserve">, </w:t>
      </w:r>
      <w:r w:rsidRPr="0093207C">
        <w:t>ELI: http://data.europa.eu/eli/dir/2009/147/oj</w:t>
      </w:r>
      <w:r>
        <w:t>).</w:t>
      </w:r>
    </w:p>
  </w:footnote>
  <w:footnote w:id="85">
    <w:p w14:paraId="7E058E58" w14:textId="77777777" w:rsidR="00917777" w:rsidRDefault="00917777" w:rsidP="00917777">
      <w:pPr>
        <w:pStyle w:val="FootnoteText"/>
      </w:pPr>
      <w:r>
        <w:rPr>
          <w:rStyle w:val="FootnoteReference"/>
        </w:rPr>
        <w:footnoteRef/>
      </w:r>
      <w:r>
        <w:tab/>
      </w:r>
      <w:r w:rsidRPr="005B2D60">
        <w:t>Directive 2010/75/EU of the European Parliament and of the Council of 24 November 2010 on industrial emissions (integrated pollution prevention and control)</w:t>
      </w:r>
      <w:r>
        <w:t xml:space="preserve"> (</w:t>
      </w:r>
      <w:r w:rsidRPr="005B2D60">
        <w:t>OJ L 334, 17.12.2010, p. 17</w:t>
      </w:r>
      <w:r>
        <w:t xml:space="preserve">, </w:t>
      </w:r>
      <w:r w:rsidRPr="005B2D60">
        <w:t>ELI: http://data.europa.eu/eli/dir/2010/75/oj</w:t>
      </w:r>
      <w:r>
        <w:t>).</w:t>
      </w:r>
    </w:p>
  </w:footnote>
  <w:footnote w:id="86">
    <w:p w14:paraId="3632BAC8" w14:textId="77777777" w:rsidR="00917777" w:rsidRDefault="00917777" w:rsidP="00917777">
      <w:pPr>
        <w:pStyle w:val="FootnoteText"/>
      </w:pPr>
      <w:r>
        <w:rPr>
          <w:rStyle w:val="FootnoteReference"/>
        </w:rPr>
        <w:footnoteRef/>
      </w:r>
      <w:r>
        <w:tab/>
      </w:r>
      <w:r w:rsidRPr="008D0403">
        <w:t>Directive 2011/92/EU of the European Parliament and of the Council of 13 December 2011 on the assessment of the effects of certain public and private projects on the environment</w:t>
      </w:r>
      <w:r>
        <w:t xml:space="preserve"> (</w:t>
      </w:r>
      <w:r w:rsidRPr="008D0403">
        <w:t>OJ L 26, 28.1.2012, p. 1</w:t>
      </w:r>
      <w:r>
        <w:t xml:space="preserve">, </w:t>
      </w:r>
      <w:r w:rsidRPr="008D0403">
        <w:t>ELI: http://data.europa.eu/eli/dir/2011/92/oj</w:t>
      </w:r>
      <w:r>
        <w:t>).</w:t>
      </w:r>
    </w:p>
  </w:footnote>
  <w:footnote w:id="87">
    <w:p w14:paraId="53346B63" w14:textId="77777777" w:rsidR="00917777" w:rsidRDefault="00917777" w:rsidP="00917777">
      <w:pPr>
        <w:pStyle w:val="FootnoteText"/>
      </w:pPr>
      <w:r>
        <w:rPr>
          <w:rStyle w:val="FootnoteReference"/>
        </w:rPr>
        <w:footnoteRef/>
      </w:r>
      <w:r>
        <w:tab/>
      </w:r>
      <w:r w:rsidRPr="009B0A40">
        <w:t>Directive 2012/18/EU of the European Parliament and of the Council of 4 July 2012 on the control of major-accident hazards involving dangerous substances, amending and subsequently repealing Council Directive 96/82/EC</w:t>
      </w:r>
      <w:r>
        <w:t xml:space="preserve"> (</w:t>
      </w:r>
      <w:r w:rsidRPr="00400672">
        <w:t>OJ L 197, 24.7.2012, p. 1</w:t>
      </w:r>
      <w:r>
        <w:t xml:space="preserve">, </w:t>
      </w:r>
      <w:r w:rsidRPr="00400672">
        <w:t>ELI: http://data.europa.eu/eli/dir/2012/18/oj</w:t>
      </w:r>
      <w:r>
        <w:t>).</w:t>
      </w:r>
    </w:p>
  </w:footnote>
  <w:footnote w:id="88">
    <w:p w14:paraId="1D08A1EA" w14:textId="77777777" w:rsidR="00917777" w:rsidRDefault="00917777" w:rsidP="00917777">
      <w:pPr>
        <w:pStyle w:val="FootnoteText"/>
      </w:pPr>
      <w:r>
        <w:rPr>
          <w:rStyle w:val="FootnoteReference"/>
        </w:rPr>
        <w:footnoteRef/>
      </w:r>
      <w:r>
        <w:tab/>
      </w:r>
      <w:r w:rsidRPr="00BF4BA0">
        <w:rPr>
          <w:lang w:val="en-IE"/>
        </w:rPr>
        <w:t>Directive 2014/89/EU of the European Parliament and of the Council of 23</w:t>
      </w:r>
      <w:r w:rsidRPr="00BF4BA0">
        <w:t xml:space="preserve"> </w:t>
      </w:r>
      <w:r w:rsidRPr="00BF4BA0">
        <w:rPr>
          <w:lang w:val="en-IE"/>
        </w:rPr>
        <w:t>ELI: http://data.europa.eu/eli/dir/2014/89/oj July 2014 establishing a framework for maritime spatial planning</w:t>
      </w:r>
      <w:r>
        <w:rPr>
          <w:lang w:val="en-IE"/>
        </w:rPr>
        <w:t xml:space="preserve"> (</w:t>
      </w:r>
      <w:r w:rsidRPr="00BF4BA0">
        <w:rPr>
          <w:lang w:val="en-IE"/>
        </w:rPr>
        <w:t>OJ L 257, 28.8.2014, p. 135</w:t>
      </w:r>
      <w:r>
        <w:rPr>
          <w:lang w:val="en-IE"/>
        </w:rPr>
        <w:t xml:space="preserve">, </w:t>
      </w:r>
      <w:r w:rsidRPr="00462744">
        <w:rPr>
          <w:lang w:val="en-IE"/>
        </w:rPr>
        <w:t>ELI: http://data.europa.eu/eli/dir/2014/89/oj</w:t>
      </w:r>
      <w:r>
        <w:rPr>
          <w:lang w:val="en-IE"/>
        </w:rPr>
        <w:t>).</w:t>
      </w:r>
    </w:p>
  </w:footnote>
  <w:footnote w:id="89">
    <w:p w14:paraId="6F384587" w14:textId="77777777" w:rsidR="00917777" w:rsidRDefault="00917777" w:rsidP="00917777">
      <w:pPr>
        <w:pStyle w:val="FootnoteText"/>
      </w:pPr>
      <w:r w:rsidRPr="00636916">
        <w:rPr>
          <w:rStyle w:val="FootnoteReference"/>
        </w:rPr>
        <w:footnoteRef/>
      </w:r>
      <w:r w:rsidRPr="00636916">
        <w:tab/>
        <w:t xml:space="preserve">Council Regulation (EU, </w:t>
      </w:r>
      <w:r w:rsidRPr="00CF357A">
        <w:t>Euratom</w:t>
      </w:r>
      <w:r w:rsidRPr="00636916">
        <w:t>) 202</w:t>
      </w:r>
      <w:r>
        <w:t>0</w:t>
      </w:r>
      <w:r w:rsidRPr="00636916">
        <w:t>/2093 laying down the</w:t>
      </w:r>
      <w:r>
        <w:t xml:space="preserve"> multiannual financial framework for years 2021 </w:t>
      </w:r>
      <w:r w:rsidRPr="00076AF4">
        <w:t xml:space="preserve">to 2027, as amended (OJ LI 433, 22.12.2020, </w:t>
      </w:r>
      <w:r>
        <w:t xml:space="preserve">p.11, </w:t>
      </w:r>
      <w:r w:rsidRPr="00BC06ED">
        <w:rPr>
          <w:color w:val="333333"/>
          <w:sz w:val="21"/>
          <w:szCs w:val="21"/>
          <w:shd w:val="clear" w:color="auto" w:fill="FFFFFF"/>
        </w:rPr>
        <w:t>ELI: </w:t>
      </w:r>
      <w:hyperlink r:id="rId71" w:tooltip="Gives access to this document through its ELI URI." w:history="1">
        <w:r w:rsidRPr="00BC06ED">
          <w:rPr>
            <w:color w:val="337AB7"/>
            <w:sz w:val="21"/>
            <w:szCs w:val="21"/>
            <w:u w:val="single"/>
            <w:shd w:val="clear" w:color="auto" w:fill="FFFFFF"/>
          </w:rPr>
          <w:t>http://data.europa.eu/eli/reg/2020/2093/oj</w:t>
        </w:r>
      </w:hyperlink>
      <w:r w:rsidRPr="00076AF4">
        <w:t>)</w:t>
      </w:r>
    </w:p>
  </w:footnote>
  <w:footnote w:id="90">
    <w:p w14:paraId="5CD03CBC" w14:textId="77777777" w:rsidR="00917777" w:rsidRDefault="00917777" w:rsidP="00917777">
      <w:pPr>
        <w:pStyle w:val="FootnoteText"/>
      </w:pPr>
      <w:r>
        <w:rPr>
          <w:rStyle w:val="FootnoteReference"/>
        </w:rPr>
        <w:footnoteRef/>
      </w:r>
      <w:r>
        <w:tab/>
      </w:r>
      <w:r w:rsidRPr="0090624F">
        <w:t xml:space="preserve">Regulation (EU) 2021/522 of the European Parliament and of the Council of 24 March 2021 establishing a Programme for the Union’s action in the field of Health (‘EU4Health Programme’) for the period 2021-2027, and repealing Regulation (EU) No 282/2014, (OJ L 107, 26.3.2021, </w:t>
      </w:r>
      <w:r>
        <w:t xml:space="preserve">p.1, </w:t>
      </w:r>
      <w:r w:rsidRPr="00BC06ED">
        <w:rPr>
          <w:color w:val="333333"/>
          <w:shd w:val="clear" w:color="auto" w:fill="FFFFFF"/>
        </w:rPr>
        <w:t>ELI: </w:t>
      </w:r>
      <w:hyperlink r:id="rId72" w:tooltip="Gives access to this document through its ELI URI." w:history="1">
        <w:r w:rsidRPr="00BC06ED">
          <w:rPr>
            <w:color w:val="337AB7"/>
            <w:u w:val="single"/>
            <w:shd w:val="clear" w:color="auto" w:fill="FFFFFF"/>
          </w:rPr>
          <w:t>http://data.europa.eu/eli/reg/2021/522/oj</w:t>
        </w:r>
      </w:hyperlink>
      <w:r w:rsidRPr="0090624F">
        <w:t>)</w:t>
      </w:r>
    </w:p>
  </w:footnote>
  <w:footnote w:id="91">
    <w:p w14:paraId="3BB6D954" w14:textId="77777777" w:rsidR="00917777" w:rsidRPr="00CF4B13" w:rsidRDefault="00917777" w:rsidP="00917777">
      <w:pPr>
        <w:pStyle w:val="FootnoteText"/>
      </w:pPr>
      <w:r>
        <w:rPr>
          <w:rStyle w:val="FootnoteReference"/>
        </w:rPr>
        <w:footnoteRef/>
      </w:r>
      <w:r>
        <w:tab/>
        <w:t>Regulation (EU) 2021/695 of the European Parliament and of the council of 28 April 2021 establishing Horizon //Europe – the Framework Programme for Research and Innovation, laying down its rules for participation and dissemination, and repealing Regulations (EU</w:t>
      </w:r>
      <w:r w:rsidRPr="00CF4B13">
        <w:t>) No 1290/2013 and (EU) No 1291/2013 (OJ L170, 12.5.2021, p. 1</w:t>
      </w:r>
      <w:r w:rsidRPr="00BC06ED">
        <w:rPr>
          <w:color w:val="333333"/>
          <w:shd w:val="clear" w:color="auto" w:fill="FFFFFF"/>
        </w:rPr>
        <w:t>, ELI: </w:t>
      </w:r>
      <w:hyperlink r:id="rId73" w:tooltip="Gives access to this document through its ELI URI." w:history="1">
        <w:r w:rsidRPr="00BC06ED">
          <w:rPr>
            <w:color w:val="23527C"/>
            <w:u w:val="single"/>
            <w:shd w:val="clear" w:color="auto" w:fill="FFFFFF"/>
          </w:rPr>
          <w:t>http://data.europa.eu/eli/reg/2021/695/oj</w:t>
        </w:r>
      </w:hyperlink>
      <w:r w:rsidRPr="00BC06ED">
        <w:t>)</w:t>
      </w:r>
    </w:p>
  </w:footnote>
  <w:footnote w:id="92">
    <w:p w14:paraId="70BC4DF8" w14:textId="77777777" w:rsidR="00917777" w:rsidRDefault="00917777" w:rsidP="00917777">
      <w:pPr>
        <w:pStyle w:val="FootnoteText"/>
      </w:pPr>
      <w:r w:rsidRPr="00CF4B13">
        <w:rPr>
          <w:rStyle w:val="FootnoteReference"/>
        </w:rPr>
        <w:footnoteRef/>
      </w:r>
      <w:r w:rsidRPr="00CF4B13">
        <w:tab/>
        <w:t xml:space="preserve">Regulation (EU) 2021/694 of the European Parliament and of the Council of 29 April 2021 establishing the Digital Europe Programme and repealing Decision (EU) 2015/2240( OJ L166, 11.5.2021, p.1, </w:t>
      </w:r>
      <w:r w:rsidRPr="00BC06ED">
        <w:rPr>
          <w:color w:val="333333"/>
          <w:shd w:val="clear" w:color="auto" w:fill="FFFFFF"/>
        </w:rPr>
        <w:t>ELI: </w:t>
      </w:r>
      <w:hyperlink r:id="rId74" w:tooltip="Gives access to this document through its ELI URI." w:history="1">
        <w:r w:rsidRPr="00BC06ED">
          <w:rPr>
            <w:color w:val="23527C"/>
            <w:u w:val="single"/>
            <w:shd w:val="clear" w:color="auto" w:fill="FFFFFF"/>
          </w:rPr>
          <w:t>http://data.europa.eu/eli/reg/2021/694/2023-09-21</w:t>
        </w:r>
      </w:hyperlink>
      <w:r w:rsidRPr="00BC06ED">
        <w:t>)</w:t>
      </w:r>
    </w:p>
  </w:footnote>
  <w:footnote w:id="93">
    <w:p w14:paraId="030816DD" w14:textId="77777777" w:rsidR="00917777" w:rsidRDefault="00917777" w:rsidP="00917777">
      <w:pPr>
        <w:pStyle w:val="FootnoteText"/>
        <w:jc w:val="left"/>
      </w:pPr>
      <w:r>
        <w:rPr>
          <w:rStyle w:val="FootnoteReference"/>
        </w:rPr>
        <w:footnoteRef/>
      </w:r>
      <w:r>
        <w:tab/>
      </w:r>
      <w:r w:rsidRPr="00B61889">
        <w:rPr>
          <w:color w:val="333333"/>
          <w:sz w:val="19"/>
          <w:szCs w:val="19"/>
          <w:shd w:val="clear" w:color="auto" w:fill="FFFFFF"/>
        </w:rPr>
        <w:t xml:space="preserve">Directive 2014/24/EU of the European </w:t>
      </w:r>
      <w:r w:rsidRPr="00142155">
        <w:rPr>
          <w:color w:val="333333"/>
          <w:shd w:val="clear" w:color="auto" w:fill="FFFFFF"/>
        </w:rPr>
        <w:t>Parliament and of the Council of 26 February 2014 on public procurement and repealing Directive 2004/18/EC (</w:t>
      </w:r>
      <w:hyperlink r:id="rId75" w:history="1">
        <w:r w:rsidRPr="00142155">
          <w:rPr>
            <w:color w:val="337AB7"/>
            <w:u w:val="single"/>
            <w:shd w:val="clear" w:color="auto" w:fill="FFFFFF"/>
          </w:rPr>
          <w:t>OJ L 94, 28.3.2014, p. 65</w:t>
        </w:r>
      </w:hyperlink>
      <w:r w:rsidRPr="00CA170E">
        <w:t>,</w:t>
      </w:r>
      <w:r>
        <w:rPr>
          <w:color w:val="333333"/>
          <w:shd w:val="clear" w:color="auto" w:fill="FFFFFF"/>
        </w:rPr>
        <w:t xml:space="preserve"> </w:t>
      </w:r>
      <w:r w:rsidRPr="00142155">
        <w:rPr>
          <w:color w:val="333333"/>
          <w:shd w:val="clear" w:color="auto" w:fill="FFFFFF"/>
        </w:rPr>
        <w:t>ELI: </w:t>
      </w:r>
      <w:hyperlink r:id="rId76" w:tooltip="Gives access to this document through its ELI URI." w:history="1">
        <w:r w:rsidRPr="00142155">
          <w:rPr>
            <w:color w:val="23527C"/>
            <w:u w:val="single"/>
            <w:shd w:val="clear" w:color="auto" w:fill="FFFFFF"/>
          </w:rPr>
          <w:t>http://data.europa.eu/eli/dir/2014/24/2024-01-01</w:t>
        </w:r>
      </w:hyperlink>
      <w:r>
        <w:t xml:space="preserve"> </w:t>
      </w:r>
      <w:r w:rsidRPr="00B61889">
        <w:rPr>
          <w:color w:val="333333"/>
          <w:sz w:val="19"/>
          <w:szCs w:val="19"/>
          <w:shd w:val="clear" w:color="auto" w:fill="FFFFFF"/>
        </w:rPr>
        <w:t>).</w:t>
      </w:r>
    </w:p>
  </w:footnote>
  <w:footnote w:id="94">
    <w:p w14:paraId="6861C1D2" w14:textId="77777777" w:rsidR="00917777" w:rsidRDefault="00917777" w:rsidP="00917777">
      <w:pPr>
        <w:pStyle w:val="FootnoteText"/>
      </w:pPr>
      <w:r>
        <w:rPr>
          <w:rStyle w:val="FootnoteReference"/>
        </w:rPr>
        <w:footnoteRef/>
      </w:r>
      <w:r>
        <w:tab/>
        <w:t xml:space="preserve">Regulation (EU) 2021/2282 of the European Parliament and the Council of 15 December 2021 on health technology assessment and amending Directive 2011/24/EU (OJ L 458, 22.12.2021, </w:t>
      </w:r>
      <w:r w:rsidRPr="00382940">
        <w:t>ELI: http://data.europa.eu/eli/reg/2021/2282/oj</w:t>
      </w:r>
      <w:r>
        <w:t>)</w:t>
      </w:r>
    </w:p>
  </w:footnote>
  <w:footnote w:id="95">
    <w:p w14:paraId="09559593" w14:textId="77777777" w:rsidR="00917777" w:rsidRDefault="00917777" w:rsidP="00917777">
      <w:pPr>
        <w:pStyle w:val="FootnoteText"/>
      </w:pPr>
      <w:r>
        <w:rPr>
          <w:rStyle w:val="FootnoteReference"/>
        </w:rPr>
        <w:footnoteRef/>
      </w:r>
      <w:r>
        <w:tab/>
        <w:t>Regulation (EU, Euratom) 2024/</w:t>
      </w:r>
      <w:r w:rsidRPr="00FD3CB1">
        <w:t xml:space="preserve">2509 of the European Parliament and of the Council of 23 September 2024 on the financial rules applicable to the general budget of the Union (recast) (OJ L, 26.9.2024, p. 1, </w:t>
      </w:r>
      <w:r w:rsidRPr="00142155">
        <w:rPr>
          <w:color w:val="333333"/>
          <w:shd w:val="clear" w:color="auto" w:fill="FFFFFF"/>
        </w:rPr>
        <w:t>ELI: </w:t>
      </w:r>
      <w:hyperlink r:id="rId77" w:tooltip="Gives access to this document through its ELI URI." w:history="1">
        <w:r w:rsidRPr="00142155">
          <w:rPr>
            <w:color w:val="337AB7"/>
            <w:u w:val="single"/>
            <w:shd w:val="clear" w:color="auto" w:fill="FFFFFF"/>
          </w:rPr>
          <w:t>http://data.europa.eu/eli/reg/2024/2509/oj</w:t>
        </w:r>
      </w:hyperlink>
      <w:r w:rsidRPr="00FD3CB1">
        <w:t>).</w:t>
      </w:r>
    </w:p>
  </w:footnote>
  <w:footnote w:id="96">
    <w:p w14:paraId="3357CB52" w14:textId="77777777" w:rsidR="00917777" w:rsidRDefault="00917777" w:rsidP="00917777">
      <w:pPr>
        <w:pStyle w:val="FootnoteText"/>
      </w:pPr>
      <w:r>
        <w:rPr>
          <w:rStyle w:val="FootnoteReference"/>
        </w:rPr>
        <w:footnoteRef/>
      </w:r>
      <w:r>
        <w:tab/>
        <w:t xml:space="preserve">Regulation (EU) 2021/2282 of the European Parliament and the Council of 15 December 2021 on health technology assessment and amending Directive 2011/24/EU (OJ L 458, 22.12.2021, </w:t>
      </w:r>
      <w:r w:rsidRPr="00382940">
        <w:t>ELI: http://data.europa.eu/eli/reg/2021/2282/oj</w:t>
      </w:r>
      <w:r>
        <w:t>)</w:t>
      </w:r>
    </w:p>
  </w:footnote>
  <w:footnote w:id="97">
    <w:p w14:paraId="4A1FD4FE" w14:textId="77777777" w:rsidR="00D37F2D" w:rsidRDefault="00D37F2D" w:rsidP="00D37F2D">
      <w:pPr>
        <w:pStyle w:val="FootnoteText"/>
      </w:pPr>
      <w:r w:rsidRPr="00760368">
        <w:rPr>
          <w:rStyle w:val="FootnoteReference"/>
        </w:rPr>
        <w:footnoteRef/>
      </w:r>
      <w:r>
        <w:tab/>
        <w:t>As referred to in Article 58(2), point (a) or (b) of the Financial Regulation.</w:t>
      </w:r>
    </w:p>
  </w:footnote>
  <w:footnote w:id="98">
    <w:p w14:paraId="423AE3B3" w14:textId="77777777" w:rsidR="00D37F2D" w:rsidRDefault="00D37F2D" w:rsidP="00D37F2D">
      <w:pPr>
        <w:pStyle w:val="FootnoteText"/>
        <w:jc w:val="left"/>
        <w:rPr>
          <w:szCs w:val="24"/>
        </w:rPr>
      </w:pPr>
      <w:r>
        <w:rPr>
          <w:rStyle w:val="FootnoteReference"/>
        </w:rPr>
        <w:footnoteRef/>
      </w:r>
      <w:r>
        <w:tab/>
        <w:t xml:space="preserve">Details of budget implementation methods and references to the Financial Regulation may be found on the BUDGpedia site: </w:t>
      </w:r>
      <w:hyperlink r:id="rId78" w:history="1">
        <w:r w:rsidRPr="00974254">
          <w:rPr>
            <w:rStyle w:val="Hyperlink"/>
          </w:rPr>
          <w:t>https://myintracomm.ec.europa.eu/corp/budget/financial-rules/budget-implementation/Pages/implementation-methods.aspx</w:t>
        </w:r>
      </w:hyperlink>
      <w:r>
        <w:rPr>
          <w:rStyle w:val="Hyperlink"/>
        </w:rPr>
        <w:t>.</w:t>
      </w:r>
    </w:p>
  </w:footnote>
  <w:footnote w:id="99">
    <w:p w14:paraId="683E122E" w14:textId="77777777" w:rsidR="00D37F2D" w:rsidRDefault="00D37F2D" w:rsidP="00D37F2D">
      <w:pPr>
        <w:pStyle w:val="FootnoteText"/>
        <w:rPr>
          <w:szCs w:val="24"/>
        </w:rPr>
      </w:pPr>
      <w:r>
        <w:rPr>
          <w:rStyle w:val="FootnoteReference"/>
        </w:rPr>
        <w:footnoteRef/>
      </w:r>
      <w:r>
        <w:tab/>
        <w:t>Diff. = Differentiated appropriations / Non-diff. = Non-differentiated appropriations.</w:t>
      </w:r>
    </w:p>
  </w:footnote>
  <w:footnote w:id="100">
    <w:p w14:paraId="304C6BD8" w14:textId="77777777" w:rsidR="00D37F2D" w:rsidRDefault="00D37F2D" w:rsidP="00D37F2D">
      <w:pPr>
        <w:pStyle w:val="FootnoteText"/>
        <w:rPr>
          <w:szCs w:val="24"/>
        </w:rPr>
      </w:pPr>
      <w:r>
        <w:rPr>
          <w:rStyle w:val="FootnoteReference"/>
        </w:rPr>
        <w:footnoteRef/>
      </w:r>
      <w:r>
        <w:tab/>
        <w:t xml:space="preserve">EFTA: European Free Trade Association. </w:t>
      </w:r>
    </w:p>
  </w:footnote>
  <w:footnote w:id="101">
    <w:p w14:paraId="7ED1FDFA" w14:textId="77777777" w:rsidR="00D37F2D" w:rsidRDefault="00D37F2D" w:rsidP="00D37F2D">
      <w:pPr>
        <w:pStyle w:val="FootnoteText"/>
        <w:rPr>
          <w:szCs w:val="24"/>
        </w:rPr>
      </w:pPr>
      <w:r>
        <w:rPr>
          <w:rStyle w:val="FootnoteReference"/>
        </w:rPr>
        <w:footnoteRef/>
      </w:r>
      <w:r>
        <w:tab/>
        <w:t>Candidate countries and, where applicable, potential candidates from the Western Balkans.</w:t>
      </w:r>
    </w:p>
  </w:footnote>
  <w:footnote w:id="102">
    <w:p w14:paraId="59096F15" w14:textId="77777777" w:rsidR="00D37F2D" w:rsidRPr="001004A6" w:rsidRDefault="00D37F2D" w:rsidP="00D37F2D">
      <w:pPr>
        <w:pStyle w:val="FootnoteText"/>
      </w:pPr>
      <w:r w:rsidRPr="00760368">
        <w:rPr>
          <w:rStyle w:val="FootnoteReference"/>
        </w:rPr>
        <w:footnoteRef/>
      </w:r>
      <w:r>
        <w:tab/>
      </w:r>
      <w:r w:rsidRPr="003F0F80">
        <w:rPr>
          <w:color w:val="374151"/>
          <w:sz w:val="18"/>
          <w:szCs w:val="18"/>
        </w:rPr>
        <w:t>The necessary appropriations should be determined using the annual average cost figures available on the appropriate BUDGpedia webpage</w:t>
      </w:r>
      <w:r>
        <w:rPr>
          <w:rFonts w:ascii="Segoe UI" w:hAnsi="Segoe UI" w:cs="Segoe UI"/>
          <w:color w:val="374151"/>
        </w:rPr>
        <w:t>.</w:t>
      </w:r>
    </w:p>
  </w:footnote>
  <w:footnote w:id="103">
    <w:p w14:paraId="59F75DDB" w14:textId="77777777" w:rsidR="00D37F2D" w:rsidRPr="00F94A0A" w:rsidRDefault="00D37F2D" w:rsidP="00D37F2D">
      <w:pPr>
        <w:pStyle w:val="FootnoteText"/>
        <w:rPr>
          <w:lang w:val="en-IE"/>
        </w:rPr>
      </w:pPr>
      <w:r w:rsidRPr="00760368">
        <w:rPr>
          <w:rStyle w:val="FootnoteReference"/>
        </w:rPr>
        <w:footnoteRef/>
      </w:r>
      <w:r>
        <w:tab/>
      </w:r>
      <w:r>
        <w:rPr>
          <w:lang w:val="en-IE"/>
        </w:rPr>
        <w:t>Please specify below the table how many FTEs within the number indicated are already assigned to the management of the action and/or can be redeployed within your DG and what are your net needs.</w:t>
      </w:r>
    </w:p>
  </w:footnote>
  <w:footnote w:id="104">
    <w:p w14:paraId="01D8839D" w14:textId="77777777" w:rsidR="00D37F2D" w:rsidRPr="00243BE4" w:rsidRDefault="00D37F2D" w:rsidP="00D37F2D">
      <w:pPr>
        <w:pStyle w:val="FootnoteText"/>
        <w:jc w:val="left"/>
        <w:rPr>
          <w:lang w:val="en-US"/>
        </w:rPr>
      </w:pPr>
      <w:r w:rsidRPr="007E14DA">
        <w:rPr>
          <w:rStyle w:val="FootnoteReference"/>
        </w:rPr>
        <w:footnoteRef/>
      </w:r>
      <w:r>
        <w:rPr>
          <w:lang w:val="en-US"/>
        </w:rPr>
        <w:tab/>
        <w:t>For the 1</w:t>
      </w:r>
      <w:r w:rsidRPr="00AC141D">
        <w:rPr>
          <w:lang w:val="en-US"/>
        </w:rPr>
        <w:t>st</w:t>
      </w:r>
      <w:r>
        <w:rPr>
          <w:lang w:val="en-US"/>
        </w:rPr>
        <w:t xml:space="preserve"> year the costs of the 1 AD </w:t>
      </w:r>
      <w:r w:rsidRPr="00183CAB">
        <w:rPr>
          <w:lang w:val="en-US"/>
        </w:rPr>
        <w:t xml:space="preserve">for the scientific advice is accounted </w:t>
      </w:r>
      <w:r>
        <w:rPr>
          <w:lang w:val="en-US"/>
        </w:rPr>
        <w:t xml:space="preserve">for </w:t>
      </w:r>
      <w:r w:rsidRPr="00183CAB">
        <w:rPr>
          <w:lang w:val="en-US"/>
        </w:rPr>
        <w:t>50% as it is expected that</w:t>
      </w:r>
      <w:r>
        <w:rPr>
          <w:lang w:val="en-US"/>
        </w:rPr>
        <w:t xml:space="preserve"> </w:t>
      </w:r>
      <w:r w:rsidRPr="00183CAB">
        <w:rPr>
          <w:lang w:val="en-US"/>
        </w:rPr>
        <w:t>implementation of strategic projects will not fully kick in in 2026</w:t>
      </w:r>
      <w:r>
        <w:rPr>
          <w:lang w:val="en-US"/>
        </w:rPr>
        <w:t xml:space="preserve">. For the rest of the FTEs the cost is accounted in full. </w:t>
      </w:r>
    </w:p>
  </w:footnote>
  <w:footnote w:id="105">
    <w:p w14:paraId="6A3DC479" w14:textId="3A37026C" w:rsidR="00D37F2D" w:rsidRPr="00183CAB" w:rsidRDefault="00D37F2D" w:rsidP="00D37F2D">
      <w:pPr>
        <w:pStyle w:val="FootnoteText"/>
        <w:rPr>
          <w:lang w:val="en-US"/>
        </w:rPr>
      </w:pPr>
      <w:r w:rsidRPr="007E14DA">
        <w:rPr>
          <w:rStyle w:val="FootnoteReference"/>
        </w:rPr>
        <w:footnoteRef/>
      </w:r>
      <w:r w:rsidR="007E14DA">
        <w:tab/>
      </w:r>
      <w:r>
        <w:rPr>
          <w:lang w:val="en-US"/>
        </w:rPr>
        <w:t>For the 1</w:t>
      </w:r>
      <w:r w:rsidRPr="00AC141D">
        <w:rPr>
          <w:lang w:val="en-US"/>
        </w:rPr>
        <w:t>st</w:t>
      </w:r>
      <w:r>
        <w:rPr>
          <w:lang w:val="en-US"/>
        </w:rPr>
        <w:t xml:space="preserve"> year the costs of the 1 AD </w:t>
      </w:r>
      <w:r w:rsidRPr="006042E7">
        <w:rPr>
          <w:lang w:val="en-US"/>
        </w:rPr>
        <w:t xml:space="preserve">for the scientific advice is accounted </w:t>
      </w:r>
      <w:r>
        <w:rPr>
          <w:lang w:val="en-US"/>
        </w:rPr>
        <w:t xml:space="preserve">for </w:t>
      </w:r>
      <w:r w:rsidRPr="006042E7">
        <w:rPr>
          <w:lang w:val="en-US"/>
        </w:rPr>
        <w:t>50% as it is expected that</w:t>
      </w:r>
      <w:r>
        <w:rPr>
          <w:lang w:val="en-US"/>
        </w:rPr>
        <w:t xml:space="preserve"> </w:t>
      </w:r>
      <w:r w:rsidRPr="006042E7">
        <w:rPr>
          <w:lang w:val="en-US"/>
        </w:rPr>
        <w:t>implementation of strategic projects will not fully kick in in 2026</w:t>
      </w:r>
      <w:r>
        <w:rPr>
          <w:lang w:val="en-US"/>
        </w:rPr>
        <w:t>. For the rest of the FTEs the cost is accounted in full</w:t>
      </w:r>
    </w:p>
  </w:footnote>
  <w:footnote w:id="106">
    <w:p w14:paraId="5EA736C4" w14:textId="77777777" w:rsidR="00D37F2D" w:rsidRDefault="00D37F2D" w:rsidP="00D37F2D">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098C" w14:textId="77777777" w:rsidR="009A3128" w:rsidRPr="009A3128" w:rsidRDefault="009A3128" w:rsidP="009A31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13F98" w14:textId="77777777" w:rsidR="009A3128" w:rsidRPr="009A3128" w:rsidRDefault="009A3128" w:rsidP="009A31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60130" w14:textId="77777777" w:rsidR="009A3128" w:rsidRPr="009A3128" w:rsidRDefault="009A3128" w:rsidP="009A31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52109" w14:textId="77777777" w:rsidR="00145BE2" w:rsidRDefault="00145B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5C953" w14:textId="77777777" w:rsidR="00145BE2" w:rsidRDefault="00145BE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B87BC" w14:textId="77777777" w:rsidR="009A3128" w:rsidRPr="009A3128" w:rsidRDefault="009A3128" w:rsidP="009A3128">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AEE6F" w14:textId="77777777" w:rsidR="00D37F2D" w:rsidRPr="00C37C35" w:rsidRDefault="00D37F2D" w:rsidP="009A3128">
    <w:pPr>
      <w:pStyle w:val="HeaderLandscap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D9D1" w14:textId="77777777" w:rsidR="009A3128" w:rsidRPr="009A3128" w:rsidRDefault="009A3128" w:rsidP="009A312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60484" w14:textId="77777777" w:rsidR="006B1310" w:rsidRPr="00C37C35" w:rsidRDefault="006B1310" w:rsidP="009A31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pStyle w:val="LegalNumPar3"/>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591401468">
    <w:abstractNumId w:val="0"/>
  </w:num>
  <w:num w:numId="2" w16cid:durableId="1525636558">
    <w:abstractNumId w:val="20"/>
  </w:num>
  <w:num w:numId="3" w16cid:durableId="719669486">
    <w:abstractNumId w:val="8"/>
  </w:num>
  <w:num w:numId="4" w16cid:durableId="1788547964">
    <w:abstractNumId w:val="17"/>
  </w:num>
  <w:num w:numId="5" w16cid:durableId="667053552">
    <w:abstractNumId w:val="16"/>
  </w:num>
  <w:num w:numId="6" w16cid:durableId="1632008470">
    <w:abstractNumId w:val="27"/>
  </w:num>
  <w:num w:numId="7" w16cid:durableId="469250507">
    <w:abstractNumId w:val="24"/>
  </w:num>
  <w:num w:numId="8" w16cid:durableId="428239973">
    <w:abstractNumId w:val="28"/>
  </w:num>
  <w:num w:numId="9" w16cid:durableId="1232157170">
    <w:abstractNumId w:val="29"/>
  </w:num>
  <w:num w:numId="10" w16cid:durableId="2004308667">
    <w:abstractNumId w:val="1"/>
  </w:num>
  <w:num w:numId="11" w16cid:durableId="1953591815">
    <w:abstractNumId w:val="10"/>
  </w:num>
  <w:num w:numId="12" w16cid:durableId="1081219775">
    <w:abstractNumId w:val="2"/>
  </w:num>
  <w:num w:numId="13" w16cid:durableId="716317055">
    <w:abstractNumId w:val="11"/>
  </w:num>
  <w:num w:numId="14" w16cid:durableId="901906901">
    <w:abstractNumId w:val="9"/>
  </w:num>
  <w:num w:numId="15" w16cid:durableId="1219901640">
    <w:abstractNumId w:val="18"/>
  </w:num>
  <w:num w:numId="16" w16cid:durableId="359861386">
    <w:abstractNumId w:val="7"/>
  </w:num>
  <w:num w:numId="17" w16cid:durableId="1471480937">
    <w:abstractNumId w:val="12"/>
    <w:lvlOverride w:ilvl="0">
      <w:startOverride w:val="1"/>
    </w:lvlOverride>
  </w:num>
  <w:num w:numId="18" w16cid:durableId="1383865673">
    <w:abstractNumId w:val="23"/>
    <w:lvlOverride w:ilvl="0">
      <w:startOverride w:val="1"/>
    </w:lvlOverride>
  </w:num>
  <w:num w:numId="19" w16cid:durableId="1261793082">
    <w:abstractNumId w:val="26"/>
    <w:lvlOverride w:ilvl="0">
      <w:startOverride w:val="1"/>
    </w:lvlOverride>
  </w:num>
  <w:num w:numId="20" w16cid:durableId="2016111982">
    <w:abstractNumId w:val="23"/>
  </w:num>
  <w:num w:numId="21" w16cid:durableId="1990209229">
    <w:abstractNumId w:val="12"/>
  </w:num>
  <w:num w:numId="22" w16cid:durableId="2068336785">
    <w:abstractNumId w:val="26"/>
  </w:num>
  <w:num w:numId="23" w16cid:durableId="2100561241">
    <w:abstractNumId w:val="6"/>
  </w:num>
  <w:num w:numId="24" w16cid:durableId="487212575">
    <w:abstractNumId w:val="13"/>
  </w:num>
  <w:num w:numId="25" w16cid:durableId="897011000">
    <w:abstractNumId w:val="14"/>
  </w:num>
  <w:num w:numId="26" w16cid:durableId="379864147">
    <w:abstractNumId w:val="4"/>
  </w:num>
  <w:num w:numId="27" w16cid:durableId="2142071409">
    <w:abstractNumId w:val="25"/>
  </w:num>
  <w:num w:numId="28" w16cid:durableId="1227883475">
    <w:abstractNumId w:val="3"/>
  </w:num>
  <w:num w:numId="29" w16cid:durableId="2125229896">
    <w:abstractNumId w:val="15"/>
  </w:num>
  <w:num w:numId="30" w16cid:durableId="1776704321">
    <w:abstractNumId w:val="21"/>
  </w:num>
  <w:num w:numId="31" w16cid:durableId="1894733579">
    <w:abstractNumId w:val="22"/>
  </w:num>
  <w:num w:numId="32" w16cid:durableId="1543708530">
    <w:abstractNumId w:val="5"/>
  </w:num>
  <w:num w:numId="33" w16cid:durableId="1675063983">
    <w:abstractNumId w:val="19"/>
  </w:num>
  <w:num w:numId="34" w16cid:durableId="84327820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defaultTabStop w:val="720"/>
  <w:hyphenationZone w:val="425"/>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5-03-10 22:17: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ADD9449-E24C-4C60-804E-141F3A027505"/>
    <w:docVar w:name="LW_COVERPAGE_TYPE" w:val="1"/>
    <w:docVar w:name="LW_CreatedUtc" w:val="2025-03-06T16:40:12.2489620Z"/>
    <w:docVar w:name="LW_CROSSREFERENCE" w:val="&lt;UNUSED&gt;"/>
    <w:docVar w:name="LW_DocType" w:val="COM"/>
    <w:docVar w:name="LW_EMISSION" w:val="11.3.2025"/>
    <w:docVar w:name="LW_EMISSION_ISODATE" w:val="2025-03-11"/>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102"/>
    <w:docVar w:name="LW_REF.II.NEW.CP_YEAR" w:val="2025"/>
    <w:docVar w:name="LW_REF.INST.NEW" w:val="COM"/>
    <w:docVar w:name="LW_REF.INST.NEW_ADOPTED" w:val="final"/>
    <w:docVar w:name="LW_REF.INST.NEW_TEXT" w:val="(2025) 1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laying a framework for strengthening the availability and security of supply of critical medicinal products as well as the availability of, and accessibility of, medicinal products of common interest, and amending Regulation (EU) 2024/795"/>
    <w:docVar w:name="LW_TYPE.DOC.CP" w:val="REGULATION OF THE EUROPEAN PARLIAMENT AND OF THE COUNCIL"/>
  </w:docVars>
  <w:rsids>
    <w:rsidRoot w:val="004C5377"/>
    <w:rsid w:val="0000071D"/>
    <w:rsid w:val="00000F3D"/>
    <w:rsid w:val="00004705"/>
    <w:rsid w:val="0000495C"/>
    <w:rsid w:val="00004BF7"/>
    <w:rsid w:val="00004EA1"/>
    <w:rsid w:val="00006E16"/>
    <w:rsid w:val="000148C2"/>
    <w:rsid w:val="00014A86"/>
    <w:rsid w:val="00020536"/>
    <w:rsid w:val="0002064A"/>
    <w:rsid w:val="00020D77"/>
    <w:rsid w:val="00021745"/>
    <w:rsid w:val="00021D4E"/>
    <w:rsid w:val="00023CFF"/>
    <w:rsid w:val="00025FD4"/>
    <w:rsid w:val="00026D8E"/>
    <w:rsid w:val="0003048A"/>
    <w:rsid w:val="0003176E"/>
    <w:rsid w:val="00031ED7"/>
    <w:rsid w:val="00032443"/>
    <w:rsid w:val="00033BC3"/>
    <w:rsid w:val="000344EA"/>
    <w:rsid w:val="00034766"/>
    <w:rsid w:val="00034DB8"/>
    <w:rsid w:val="0003591A"/>
    <w:rsid w:val="00036F81"/>
    <w:rsid w:val="00040560"/>
    <w:rsid w:val="00040C56"/>
    <w:rsid w:val="00042B70"/>
    <w:rsid w:val="000449B6"/>
    <w:rsid w:val="00045678"/>
    <w:rsid w:val="00046C00"/>
    <w:rsid w:val="00046C83"/>
    <w:rsid w:val="00047108"/>
    <w:rsid w:val="00052A1B"/>
    <w:rsid w:val="0005370D"/>
    <w:rsid w:val="000538D7"/>
    <w:rsid w:val="0005782E"/>
    <w:rsid w:val="00060213"/>
    <w:rsid w:val="0006074C"/>
    <w:rsid w:val="00060B05"/>
    <w:rsid w:val="000615F5"/>
    <w:rsid w:val="000616D4"/>
    <w:rsid w:val="0006268B"/>
    <w:rsid w:val="000626FB"/>
    <w:rsid w:val="00063923"/>
    <w:rsid w:val="00064C81"/>
    <w:rsid w:val="000651D9"/>
    <w:rsid w:val="00065801"/>
    <w:rsid w:val="00066950"/>
    <w:rsid w:val="000703BB"/>
    <w:rsid w:val="000716F4"/>
    <w:rsid w:val="00071F7D"/>
    <w:rsid w:val="00072FC5"/>
    <w:rsid w:val="00075A51"/>
    <w:rsid w:val="00075D31"/>
    <w:rsid w:val="00077DFD"/>
    <w:rsid w:val="000826BE"/>
    <w:rsid w:val="00086B96"/>
    <w:rsid w:val="000907D9"/>
    <w:rsid w:val="00090F1E"/>
    <w:rsid w:val="00092AD7"/>
    <w:rsid w:val="000957F0"/>
    <w:rsid w:val="0009586C"/>
    <w:rsid w:val="0009615C"/>
    <w:rsid w:val="00096EEF"/>
    <w:rsid w:val="000A28F2"/>
    <w:rsid w:val="000A3207"/>
    <w:rsid w:val="000A425D"/>
    <w:rsid w:val="000A64B8"/>
    <w:rsid w:val="000A6674"/>
    <w:rsid w:val="000A7B2E"/>
    <w:rsid w:val="000B14D5"/>
    <w:rsid w:val="000B1DC1"/>
    <w:rsid w:val="000B3967"/>
    <w:rsid w:val="000B56BF"/>
    <w:rsid w:val="000B72E5"/>
    <w:rsid w:val="000C1059"/>
    <w:rsid w:val="000C16C6"/>
    <w:rsid w:val="000C1BA9"/>
    <w:rsid w:val="000C1E64"/>
    <w:rsid w:val="000C48ED"/>
    <w:rsid w:val="000C5FBF"/>
    <w:rsid w:val="000C786C"/>
    <w:rsid w:val="000C7CB4"/>
    <w:rsid w:val="000D1861"/>
    <w:rsid w:val="000D3039"/>
    <w:rsid w:val="000D328A"/>
    <w:rsid w:val="000D3A6E"/>
    <w:rsid w:val="000D44F4"/>
    <w:rsid w:val="000D4A8A"/>
    <w:rsid w:val="000D7E12"/>
    <w:rsid w:val="000E10AD"/>
    <w:rsid w:val="000E668F"/>
    <w:rsid w:val="000E6C56"/>
    <w:rsid w:val="000E71DE"/>
    <w:rsid w:val="000F0F7A"/>
    <w:rsid w:val="000F260D"/>
    <w:rsid w:val="000F2898"/>
    <w:rsid w:val="0010152C"/>
    <w:rsid w:val="00102202"/>
    <w:rsid w:val="00104B06"/>
    <w:rsid w:val="001056B3"/>
    <w:rsid w:val="001065F5"/>
    <w:rsid w:val="00110561"/>
    <w:rsid w:val="00110A65"/>
    <w:rsid w:val="00111BA7"/>
    <w:rsid w:val="00113304"/>
    <w:rsid w:val="0011335C"/>
    <w:rsid w:val="00114A53"/>
    <w:rsid w:val="00121939"/>
    <w:rsid w:val="001238EF"/>
    <w:rsid w:val="0012686F"/>
    <w:rsid w:val="00132D14"/>
    <w:rsid w:val="001335F6"/>
    <w:rsid w:val="00133D86"/>
    <w:rsid w:val="00137F2A"/>
    <w:rsid w:val="001405E2"/>
    <w:rsid w:val="00140754"/>
    <w:rsid w:val="001421F7"/>
    <w:rsid w:val="00143FF0"/>
    <w:rsid w:val="0014413B"/>
    <w:rsid w:val="001449E0"/>
    <w:rsid w:val="00144FA3"/>
    <w:rsid w:val="00145BE2"/>
    <w:rsid w:val="00146654"/>
    <w:rsid w:val="001474E8"/>
    <w:rsid w:val="0015121C"/>
    <w:rsid w:val="0015214B"/>
    <w:rsid w:val="001545CA"/>
    <w:rsid w:val="00155A65"/>
    <w:rsid w:val="00156D6A"/>
    <w:rsid w:val="00157DD5"/>
    <w:rsid w:val="00163C4F"/>
    <w:rsid w:val="0016699F"/>
    <w:rsid w:val="00166F19"/>
    <w:rsid w:val="0017063C"/>
    <w:rsid w:val="00173B04"/>
    <w:rsid w:val="00174DCA"/>
    <w:rsid w:val="00176876"/>
    <w:rsid w:val="001779FF"/>
    <w:rsid w:val="00177F36"/>
    <w:rsid w:val="00181117"/>
    <w:rsid w:val="0018211A"/>
    <w:rsid w:val="0018579E"/>
    <w:rsid w:val="00186774"/>
    <w:rsid w:val="001876CE"/>
    <w:rsid w:val="001903B7"/>
    <w:rsid w:val="001922F3"/>
    <w:rsid w:val="00192836"/>
    <w:rsid w:val="00193AA7"/>
    <w:rsid w:val="00195EFB"/>
    <w:rsid w:val="001969D4"/>
    <w:rsid w:val="00197613"/>
    <w:rsid w:val="00197C20"/>
    <w:rsid w:val="00197EA8"/>
    <w:rsid w:val="001A3A3F"/>
    <w:rsid w:val="001A4055"/>
    <w:rsid w:val="001A48BF"/>
    <w:rsid w:val="001A585B"/>
    <w:rsid w:val="001A6A91"/>
    <w:rsid w:val="001B047A"/>
    <w:rsid w:val="001B30C4"/>
    <w:rsid w:val="001B6649"/>
    <w:rsid w:val="001B725B"/>
    <w:rsid w:val="001B74FE"/>
    <w:rsid w:val="001B7931"/>
    <w:rsid w:val="001C00A8"/>
    <w:rsid w:val="001C39B0"/>
    <w:rsid w:val="001C5090"/>
    <w:rsid w:val="001C5EA0"/>
    <w:rsid w:val="001C6098"/>
    <w:rsid w:val="001D02EB"/>
    <w:rsid w:val="001D10B6"/>
    <w:rsid w:val="001D4D26"/>
    <w:rsid w:val="001D7C2D"/>
    <w:rsid w:val="001E1CA0"/>
    <w:rsid w:val="001E24F0"/>
    <w:rsid w:val="001E27C1"/>
    <w:rsid w:val="001E3671"/>
    <w:rsid w:val="001E3D2E"/>
    <w:rsid w:val="001E4F41"/>
    <w:rsid w:val="001F1AFC"/>
    <w:rsid w:val="001F2121"/>
    <w:rsid w:val="001F2AEB"/>
    <w:rsid w:val="001F3BD3"/>
    <w:rsid w:val="001F51F2"/>
    <w:rsid w:val="001F6FB9"/>
    <w:rsid w:val="001F7085"/>
    <w:rsid w:val="001F7FB6"/>
    <w:rsid w:val="002001FC"/>
    <w:rsid w:val="00201531"/>
    <w:rsid w:val="00202C79"/>
    <w:rsid w:val="00203279"/>
    <w:rsid w:val="002043A2"/>
    <w:rsid w:val="00205507"/>
    <w:rsid w:val="002056E8"/>
    <w:rsid w:val="00205C51"/>
    <w:rsid w:val="0020725E"/>
    <w:rsid w:val="002118EA"/>
    <w:rsid w:val="00211D7C"/>
    <w:rsid w:val="00213E11"/>
    <w:rsid w:val="002161F2"/>
    <w:rsid w:val="00222633"/>
    <w:rsid w:val="002228C3"/>
    <w:rsid w:val="002237F7"/>
    <w:rsid w:val="00223DD4"/>
    <w:rsid w:val="002258AF"/>
    <w:rsid w:val="00226530"/>
    <w:rsid w:val="00226856"/>
    <w:rsid w:val="00226C07"/>
    <w:rsid w:val="002307A3"/>
    <w:rsid w:val="00230DA6"/>
    <w:rsid w:val="0023238C"/>
    <w:rsid w:val="002338C8"/>
    <w:rsid w:val="00233DC7"/>
    <w:rsid w:val="00234805"/>
    <w:rsid w:val="00237F4C"/>
    <w:rsid w:val="00240ED0"/>
    <w:rsid w:val="00241B48"/>
    <w:rsid w:val="00242272"/>
    <w:rsid w:val="00244319"/>
    <w:rsid w:val="00244529"/>
    <w:rsid w:val="00247779"/>
    <w:rsid w:val="00251C56"/>
    <w:rsid w:val="002521E5"/>
    <w:rsid w:val="002538E5"/>
    <w:rsid w:val="00253A7F"/>
    <w:rsid w:val="002551BB"/>
    <w:rsid w:val="002565CB"/>
    <w:rsid w:val="0026041C"/>
    <w:rsid w:val="002638C3"/>
    <w:rsid w:val="00263EA2"/>
    <w:rsid w:val="002640F4"/>
    <w:rsid w:val="00264C28"/>
    <w:rsid w:val="00265193"/>
    <w:rsid w:val="00270CA5"/>
    <w:rsid w:val="00270CC5"/>
    <w:rsid w:val="00272909"/>
    <w:rsid w:val="00276B30"/>
    <w:rsid w:val="00277637"/>
    <w:rsid w:val="00277F41"/>
    <w:rsid w:val="00280054"/>
    <w:rsid w:val="00280F10"/>
    <w:rsid w:val="00281838"/>
    <w:rsid w:val="00282CBB"/>
    <w:rsid w:val="00285A14"/>
    <w:rsid w:val="00285BEE"/>
    <w:rsid w:val="00287639"/>
    <w:rsid w:val="00292EA9"/>
    <w:rsid w:val="002932F6"/>
    <w:rsid w:val="0029413C"/>
    <w:rsid w:val="0029533F"/>
    <w:rsid w:val="002967A2"/>
    <w:rsid w:val="00297047"/>
    <w:rsid w:val="002A1CE8"/>
    <w:rsid w:val="002A1E29"/>
    <w:rsid w:val="002A6EAE"/>
    <w:rsid w:val="002A7688"/>
    <w:rsid w:val="002B0F45"/>
    <w:rsid w:val="002B30AF"/>
    <w:rsid w:val="002B4457"/>
    <w:rsid w:val="002B70D0"/>
    <w:rsid w:val="002B7270"/>
    <w:rsid w:val="002C062F"/>
    <w:rsid w:val="002C0F57"/>
    <w:rsid w:val="002C4FA5"/>
    <w:rsid w:val="002C7E63"/>
    <w:rsid w:val="002D10C5"/>
    <w:rsid w:val="002D11D0"/>
    <w:rsid w:val="002D37D1"/>
    <w:rsid w:val="002D4483"/>
    <w:rsid w:val="002D623C"/>
    <w:rsid w:val="002D78A9"/>
    <w:rsid w:val="002D7F3B"/>
    <w:rsid w:val="002E026D"/>
    <w:rsid w:val="002E0845"/>
    <w:rsid w:val="002E499F"/>
    <w:rsid w:val="002E4F02"/>
    <w:rsid w:val="002E5925"/>
    <w:rsid w:val="002E69E6"/>
    <w:rsid w:val="002F0661"/>
    <w:rsid w:val="002F163D"/>
    <w:rsid w:val="002F2E31"/>
    <w:rsid w:val="002F3F7D"/>
    <w:rsid w:val="002F40E8"/>
    <w:rsid w:val="002F729B"/>
    <w:rsid w:val="002F7399"/>
    <w:rsid w:val="00300188"/>
    <w:rsid w:val="00302A3B"/>
    <w:rsid w:val="00302C5A"/>
    <w:rsid w:val="00303F8C"/>
    <w:rsid w:val="00304A76"/>
    <w:rsid w:val="003057BD"/>
    <w:rsid w:val="00305EDC"/>
    <w:rsid w:val="00306367"/>
    <w:rsid w:val="003106E8"/>
    <w:rsid w:val="00310B24"/>
    <w:rsid w:val="003146E8"/>
    <w:rsid w:val="00315502"/>
    <w:rsid w:val="00315F81"/>
    <w:rsid w:val="0031631D"/>
    <w:rsid w:val="00317094"/>
    <w:rsid w:val="00321A62"/>
    <w:rsid w:val="003221CA"/>
    <w:rsid w:val="00323455"/>
    <w:rsid w:val="003271AE"/>
    <w:rsid w:val="0032759E"/>
    <w:rsid w:val="0033329E"/>
    <w:rsid w:val="0033344A"/>
    <w:rsid w:val="00334343"/>
    <w:rsid w:val="00334DD0"/>
    <w:rsid w:val="00335F0E"/>
    <w:rsid w:val="00341ACA"/>
    <w:rsid w:val="003420C2"/>
    <w:rsid w:val="00342124"/>
    <w:rsid w:val="00343238"/>
    <w:rsid w:val="003508E4"/>
    <w:rsid w:val="003509F1"/>
    <w:rsid w:val="003516D8"/>
    <w:rsid w:val="00352C0E"/>
    <w:rsid w:val="00354354"/>
    <w:rsid w:val="003547FE"/>
    <w:rsid w:val="00354A81"/>
    <w:rsid w:val="00354BAF"/>
    <w:rsid w:val="00356074"/>
    <w:rsid w:val="00357E3E"/>
    <w:rsid w:val="00361EF2"/>
    <w:rsid w:val="00362E35"/>
    <w:rsid w:val="00366495"/>
    <w:rsid w:val="00367250"/>
    <w:rsid w:val="00370990"/>
    <w:rsid w:val="00370E90"/>
    <w:rsid w:val="00372BAF"/>
    <w:rsid w:val="00372DE1"/>
    <w:rsid w:val="0037346A"/>
    <w:rsid w:val="00375E99"/>
    <w:rsid w:val="003772E1"/>
    <w:rsid w:val="00377E0B"/>
    <w:rsid w:val="00381731"/>
    <w:rsid w:val="003817C9"/>
    <w:rsid w:val="00383035"/>
    <w:rsid w:val="00385704"/>
    <w:rsid w:val="0038655D"/>
    <w:rsid w:val="003868B3"/>
    <w:rsid w:val="0039140B"/>
    <w:rsid w:val="003950CF"/>
    <w:rsid w:val="00397330"/>
    <w:rsid w:val="003A0ACC"/>
    <w:rsid w:val="003A4924"/>
    <w:rsid w:val="003A5EBB"/>
    <w:rsid w:val="003A79DF"/>
    <w:rsid w:val="003B065E"/>
    <w:rsid w:val="003B0B23"/>
    <w:rsid w:val="003B1169"/>
    <w:rsid w:val="003B13FD"/>
    <w:rsid w:val="003B1B6D"/>
    <w:rsid w:val="003B1EF3"/>
    <w:rsid w:val="003B4D49"/>
    <w:rsid w:val="003B67CC"/>
    <w:rsid w:val="003B7AFA"/>
    <w:rsid w:val="003C149B"/>
    <w:rsid w:val="003C20DF"/>
    <w:rsid w:val="003C2D6E"/>
    <w:rsid w:val="003C33DF"/>
    <w:rsid w:val="003C71C8"/>
    <w:rsid w:val="003C73F3"/>
    <w:rsid w:val="003D18E6"/>
    <w:rsid w:val="003D1F8E"/>
    <w:rsid w:val="003D201B"/>
    <w:rsid w:val="003D46ED"/>
    <w:rsid w:val="003D5A49"/>
    <w:rsid w:val="003D5A60"/>
    <w:rsid w:val="003D63CA"/>
    <w:rsid w:val="003D6ADF"/>
    <w:rsid w:val="003E24AE"/>
    <w:rsid w:val="003E4815"/>
    <w:rsid w:val="003E4FBF"/>
    <w:rsid w:val="003F0CCA"/>
    <w:rsid w:val="003F1AD8"/>
    <w:rsid w:val="003F1BC8"/>
    <w:rsid w:val="003F2919"/>
    <w:rsid w:val="003F30E7"/>
    <w:rsid w:val="003F4000"/>
    <w:rsid w:val="003F5990"/>
    <w:rsid w:val="003F638F"/>
    <w:rsid w:val="003F6BDB"/>
    <w:rsid w:val="003F771F"/>
    <w:rsid w:val="00402491"/>
    <w:rsid w:val="004039CC"/>
    <w:rsid w:val="004050D0"/>
    <w:rsid w:val="004052C7"/>
    <w:rsid w:val="00405E27"/>
    <w:rsid w:val="00406AD1"/>
    <w:rsid w:val="00407733"/>
    <w:rsid w:val="0041134D"/>
    <w:rsid w:val="00414713"/>
    <w:rsid w:val="00414FEE"/>
    <w:rsid w:val="004207A5"/>
    <w:rsid w:val="00420D42"/>
    <w:rsid w:val="004219D4"/>
    <w:rsid w:val="00421D3D"/>
    <w:rsid w:val="004220C8"/>
    <w:rsid w:val="004229F9"/>
    <w:rsid w:val="004237DF"/>
    <w:rsid w:val="00424A8F"/>
    <w:rsid w:val="004253E5"/>
    <w:rsid w:val="0042550F"/>
    <w:rsid w:val="0042648E"/>
    <w:rsid w:val="00426A6D"/>
    <w:rsid w:val="00430448"/>
    <w:rsid w:val="004313F1"/>
    <w:rsid w:val="004329A0"/>
    <w:rsid w:val="004331C9"/>
    <w:rsid w:val="004337FD"/>
    <w:rsid w:val="0043393C"/>
    <w:rsid w:val="00434A26"/>
    <w:rsid w:val="00435703"/>
    <w:rsid w:val="00436D49"/>
    <w:rsid w:val="0043789D"/>
    <w:rsid w:val="00437D28"/>
    <w:rsid w:val="00441253"/>
    <w:rsid w:val="0044190B"/>
    <w:rsid w:val="00443F08"/>
    <w:rsid w:val="00443FFE"/>
    <w:rsid w:val="00444358"/>
    <w:rsid w:val="0044779B"/>
    <w:rsid w:val="00450683"/>
    <w:rsid w:val="004512CD"/>
    <w:rsid w:val="00451A6A"/>
    <w:rsid w:val="00454023"/>
    <w:rsid w:val="00457FFE"/>
    <w:rsid w:val="00460547"/>
    <w:rsid w:val="00461706"/>
    <w:rsid w:val="00461733"/>
    <w:rsid w:val="0046358B"/>
    <w:rsid w:val="00463A2B"/>
    <w:rsid w:val="00463C6B"/>
    <w:rsid w:val="00465308"/>
    <w:rsid w:val="004664E2"/>
    <w:rsid w:val="00467D4F"/>
    <w:rsid w:val="0047134C"/>
    <w:rsid w:val="00472939"/>
    <w:rsid w:val="00473948"/>
    <w:rsid w:val="00474F5E"/>
    <w:rsid w:val="004754E3"/>
    <w:rsid w:val="00476B11"/>
    <w:rsid w:val="004775B4"/>
    <w:rsid w:val="00477803"/>
    <w:rsid w:val="00481D20"/>
    <w:rsid w:val="00483449"/>
    <w:rsid w:val="00483CFD"/>
    <w:rsid w:val="00484893"/>
    <w:rsid w:val="0048638B"/>
    <w:rsid w:val="00487178"/>
    <w:rsid w:val="00487185"/>
    <w:rsid w:val="004936D2"/>
    <w:rsid w:val="00493A28"/>
    <w:rsid w:val="00493B50"/>
    <w:rsid w:val="0049462C"/>
    <w:rsid w:val="00495090"/>
    <w:rsid w:val="004955F1"/>
    <w:rsid w:val="00496232"/>
    <w:rsid w:val="00496737"/>
    <w:rsid w:val="004A0DE1"/>
    <w:rsid w:val="004A12A8"/>
    <w:rsid w:val="004A1600"/>
    <w:rsid w:val="004A2611"/>
    <w:rsid w:val="004A41CD"/>
    <w:rsid w:val="004A5F4B"/>
    <w:rsid w:val="004A713C"/>
    <w:rsid w:val="004B0FED"/>
    <w:rsid w:val="004B4B8D"/>
    <w:rsid w:val="004B7BE1"/>
    <w:rsid w:val="004C1104"/>
    <w:rsid w:val="004C4D45"/>
    <w:rsid w:val="004C5377"/>
    <w:rsid w:val="004C5C26"/>
    <w:rsid w:val="004C5F93"/>
    <w:rsid w:val="004C6851"/>
    <w:rsid w:val="004C7F40"/>
    <w:rsid w:val="004D18DB"/>
    <w:rsid w:val="004D2318"/>
    <w:rsid w:val="004D3628"/>
    <w:rsid w:val="004D4518"/>
    <w:rsid w:val="004D6A4C"/>
    <w:rsid w:val="004D770E"/>
    <w:rsid w:val="004D7C18"/>
    <w:rsid w:val="004E3541"/>
    <w:rsid w:val="004E4BCF"/>
    <w:rsid w:val="004E56F3"/>
    <w:rsid w:val="004E602F"/>
    <w:rsid w:val="004E64B3"/>
    <w:rsid w:val="004E7545"/>
    <w:rsid w:val="004E7756"/>
    <w:rsid w:val="004F109D"/>
    <w:rsid w:val="004F2E74"/>
    <w:rsid w:val="004F2EF9"/>
    <w:rsid w:val="004F2F8D"/>
    <w:rsid w:val="004F31F1"/>
    <w:rsid w:val="004F33A4"/>
    <w:rsid w:val="004F3D73"/>
    <w:rsid w:val="004F615C"/>
    <w:rsid w:val="00501DAF"/>
    <w:rsid w:val="00502AFB"/>
    <w:rsid w:val="00502E07"/>
    <w:rsid w:val="00503541"/>
    <w:rsid w:val="00505D0D"/>
    <w:rsid w:val="0051010E"/>
    <w:rsid w:val="00510AF6"/>
    <w:rsid w:val="00510CBB"/>
    <w:rsid w:val="0051314F"/>
    <w:rsid w:val="005132B9"/>
    <w:rsid w:val="00513679"/>
    <w:rsid w:val="00515479"/>
    <w:rsid w:val="00516504"/>
    <w:rsid w:val="0052354D"/>
    <w:rsid w:val="0052549A"/>
    <w:rsid w:val="0052592C"/>
    <w:rsid w:val="00525B71"/>
    <w:rsid w:val="00531305"/>
    <w:rsid w:val="00531D9E"/>
    <w:rsid w:val="005334F6"/>
    <w:rsid w:val="00534483"/>
    <w:rsid w:val="00534A1D"/>
    <w:rsid w:val="00535FE4"/>
    <w:rsid w:val="00540400"/>
    <w:rsid w:val="0054175D"/>
    <w:rsid w:val="00541B2E"/>
    <w:rsid w:val="00543037"/>
    <w:rsid w:val="005434B9"/>
    <w:rsid w:val="0054574E"/>
    <w:rsid w:val="00546602"/>
    <w:rsid w:val="00547451"/>
    <w:rsid w:val="00550AC3"/>
    <w:rsid w:val="005522FA"/>
    <w:rsid w:val="005535A2"/>
    <w:rsid w:val="005551BF"/>
    <w:rsid w:val="00555A38"/>
    <w:rsid w:val="0055763E"/>
    <w:rsid w:val="005576DE"/>
    <w:rsid w:val="00557B53"/>
    <w:rsid w:val="00561DF6"/>
    <w:rsid w:val="00561EA3"/>
    <w:rsid w:val="00561F5F"/>
    <w:rsid w:val="0056389A"/>
    <w:rsid w:val="00564E1E"/>
    <w:rsid w:val="005654E6"/>
    <w:rsid w:val="0056604C"/>
    <w:rsid w:val="005706D4"/>
    <w:rsid w:val="00570D37"/>
    <w:rsid w:val="005728AA"/>
    <w:rsid w:val="005734DA"/>
    <w:rsid w:val="00574FBA"/>
    <w:rsid w:val="00575955"/>
    <w:rsid w:val="00581554"/>
    <w:rsid w:val="00581BEB"/>
    <w:rsid w:val="00583A2D"/>
    <w:rsid w:val="00584922"/>
    <w:rsid w:val="005850ED"/>
    <w:rsid w:val="005852B1"/>
    <w:rsid w:val="0058596B"/>
    <w:rsid w:val="00585E62"/>
    <w:rsid w:val="005871AD"/>
    <w:rsid w:val="00587F14"/>
    <w:rsid w:val="00591071"/>
    <w:rsid w:val="00591B8B"/>
    <w:rsid w:val="005928AC"/>
    <w:rsid w:val="00593898"/>
    <w:rsid w:val="00593A3C"/>
    <w:rsid w:val="00596544"/>
    <w:rsid w:val="00597638"/>
    <w:rsid w:val="005A05B0"/>
    <w:rsid w:val="005A0A8C"/>
    <w:rsid w:val="005A0F52"/>
    <w:rsid w:val="005A139A"/>
    <w:rsid w:val="005A28D1"/>
    <w:rsid w:val="005A3C83"/>
    <w:rsid w:val="005A57C0"/>
    <w:rsid w:val="005A7394"/>
    <w:rsid w:val="005B03D7"/>
    <w:rsid w:val="005B1EB6"/>
    <w:rsid w:val="005B3071"/>
    <w:rsid w:val="005B3276"/>
    <w:rsid w:val="005B36DD"/>
    <w:rsid w:val="005B3FF0"/>
    <w:rsid w:val="005B4902"/>
    <w:rsid w:val="005B4AAA"/>
    <w:rsid w:val="005B4E50"/>
    <w:rsid w:val="005C0EB3"/>
    <w:rsid w:val="005C15AC"/>
    <w:rsid w:val="005C2308"/>
    <w:rsid w:val="005C4199"/>
    <w:rsid w:val="005C584D"/>
    <w:rsid w:val="005C64DE"/>
    <w:rsid w:val="005D1F00"/>
    <w:rsid w:val="005D23D0"/>
    <w:rsid w:val="005D2563"/>
    <w:rsid w:val="005D292A"/>
    <w:rsid w:val="005D2EFA"/>
    <w:rsid w:val="005D4858"/>
    <w:rsid w:val="005D4CE1"/>
    <w:rsid w:val="005D4FEE"/>
    <w:rsid w:val="005E06DF"/>
    <w:rsid w:val="005E0B2D"/>
    <w:rsid w:val="005E1B9E"/>
    <w:rsid w:val="005E6482"/>
    <w:rsid w:val="005E7B29"/>
    <w:rsid w:val="005F2D78"/>
    <w:rsid w:val="005F331F"/>
    <w:rsid w:val="005F3C63"/>
    <w:rsid w:val="005F434D"/>
    <w:rsid w:val="005F437D"/>
    <w:rsid w:val="005F6783"/>
    <w:rsid w:val="005F72FD"/>
    <w:rsid w:val="005F75FD"/>
    <w:rsid w:val="005F7F14"/>
    <w:rsid w:val="006002E3"/>
    <w:rsid w:val="0060047F"/>
    <w:rsid w:val="00601120"/>
    <w:rsid w:val="00601544"/>
    <w:rsid w:val="006015BE"/>
    <w:rsid w:val="00603433"/>
    <w:rsid w:val="00607034"/>
    <w:rsid w:val="00607239"/>
    <w:rsid w:val="00607745"/>
    <w:rsid w:val="00610E59"/>
    <w:rsid w:val="00611C9F"/>
    <w:rsid w:val="00612A27"/>
    <w:rsid w:val="00613E46"/>
    <w:rsid w:val="006140F0"/>
    <w:rsid w:val="0061521F"/>
    <w:rsid w:val="006161B9"/>
    <w:rsid w:val="00627187"/>
    <w:rsid w:val="00627451"/>
    <w:rsid w:val="006278D7"/>
    <w:rsid w:val="0062796A"/>
    <w:rsid w:val="006303BC"/>
    <w:rsid w:val="006333FF"/>
    <w:rsid w:val="00634D68"/>
    <w:rsid w:val="006350E3"/>
    <w:rsid w:val="00637342"/>
    <w:rsid w:val="00642752"/>
    <w:rsid w:val="0064488A"/>
    <w:rsid w:val="006465ED"/>
    <w:rsid w:val="00647896"/>
    <w:rsid w:val="00650044"/>
    <w:rsid w:val="00651944"/>
    <w:rsid w:val="00651AEC"/>
    <w:rsid w:val="0065405E"/>
    <w:rsid w:val="00654D8C"/>
    <w:rsid w:val="00655EDE"/>
    <w:rsid w:val="00662A98"/>
    <w:rsid w:val="006638E5"/>
    <w:rsid w:val="00665031"/>
    <w:rsid w:val="00665871"/>
    <w:rsid w:val="00666F0F"/>
    <w:rsid w:val="00667C6C"/>
    <w:rsid w:val="00671EF3"/>
    <w:rsid w:val="00673CBD"/>
    <w:rsid w:val="00673E62"/>
    <w:rsid w:val="006756DF"/>
    <w:rsid w:val="0067611C"/>
    <w:rsid w:val="00684A84"/>
    <w:rsid w:val="00687538"/>
    <w:rsid w:val="00690CCA"/>
    <w:rsid w:val="006914FA"/>
    <w:rsid w:val="006918F8"/>
    <w:rsid w:val="00691BE2"/>
    <w:rsid w:val="00691F31"/>
    <w:rsid w:val="006943AA"/>
    <w:rsid w:val="00694E86"/>
    <w:rsid w:val="00695169"/>
    <w:rsid w:val="00697F90"/>
    <w:rsid w:val="006A0224"/>
    <w:rsid w:val="006A0ADB"/>
    <w:rsid w:val="006A2B29"/>
    <w:rsid w:val="006A59C2"/>
    <w:rsid w:val="006A59C5"/>
    <w:rsid w:val="006B1310"/>
    <w:rsid w:val="006B1EDC"/>
    <w:rsid w:val="006B29B0"/>
    <w:rsid w:val="006B2F84"/>
    <w:rsid w:val="006C17F6"/>
    <w:rsid w:val="006D0C69"/>
    <w:rsid w:val="006D234A"/>
    <w:rsid w:val="006D2355"/>
    <w:rsid w:val="006D3773"/>
    <w:rsid w:val="006D3FB4"/>
    <w:rsid w:val="006D40BD"/>
    <w:rsid w:val="006D5739"/>
    <w:rsid w:val="006D582D"/>
    <w:rsid w:val="006D60D4"/>
    <w:rsid w:val="006D695F"/>
    <w:rsid w:val="006D6F54"/>
    <w:rsid w:val="006D73A4"/>
    <w:rsid w:val="006E01DE"/>
    <w:rsid w:val="006E21ED"/>
    <w:rsid w:val="006E3402"/>
    <w:rsid w:val="006E6D05"/>
    <w:rsid w:val="006E7543"/>
    <w:rsid w:val="006F35AA"/>
    <w:rsid w:val="006F3A66"/>
    <w:rsid w:val="006F4658"/>
    <w:rsid w:val="006F46F6"/>
    <w:rsid w:val="006F57C8"/>
    <w:rsid w:val="006F5900"/>
    <w:rsid w:val="006F66CF"/>
    <w:rsid w:val="006F7625"/>
    <w:rsid w:val="007004BE"/>
    <w:rsid w:val="007011FA"/>
    <w:rsid w:val="0070380B"/>
    <w:rsid w:val="007046C4"/>
    <w:rsid w:val="00704AC4"/>
    <w:rsid w:val="0070642E"/>
    <w:rsid w:val="00707D4C"/>
    <w:rsid w:val="00710BD5"/>
    <w:rsid w:val="007125A7"/>
    <w:rsid w:val="00712F25"/>
    <w:rsid w:val="00713BEE"/>
    <w:rsid w:val="00713F56"/>
    <w:rsid w:val="00714DEB"/>
    <w:rsid w:val="00714E56"/>
    <w:rsid w:val="00715178"/>
    <w:rsid w:val="00720806"/>
    <w:rsid w:val="00723D03"/>
    <w:rsid w:val="0072716F"/>
    <w:rsid w:val="00731480"/>
    <w:rsid w:val="00734883"/>
    <w:rsid w:val="00734BC9"/>
    <w:rsid w:val="00736134"/>
    <w:rsid w:val="00741E68"/>
    <w:rsid w:val="00742342"/>
    <w:rsid w:val="007428AE"/>
    <w:rsid w:val="007429DA"/>
    <w:rsid w:val="00743031"/>
    <w:rsid w:val="007435DB"/>
    <w:rsid w:val="00744F34"/>
    <w:rsid w:val="00745DE6"/>
    <w:rsid w:val="00745F4D"/>
    <w:rsid w:val="007476D0"/>
    <w:rsid w:val="007504B2"/>
    <w:rsid w:val="007504C7"/>
    <w:rsid w:val="00751337"/>
    <w:rsid w:val="007529B4"/>
    <w:rsid w:val="007552B9"/>
    <w:rsid w:val="007560C4"/>
    <w:rsid w:val="007562DB"/>
    <w:rsid w:val="00760BB2"/>
    <w:rsid w:val="00761971"/>
    <w:rsid w:val="00761D62"/>
    <w:rsid w:val="007624E5"/>
    <w:rsid w:val="007627E3"/>
    <w:rsid w:val="00763241"/>
    <w:rsid w:val="00765D10"/>
    <w:rsid w:val="0076617B"/>
    <w:rsid w:val="00766A04"/>
    <w:rsid w:val="00766F36"/>
    <w:rsid w:val="00770BBB"/>
    <w:rsid w:val="007714E4"/>
    <w:rsid w:val="007731D9"/>
    <w:rsid w:val="00773331"/>
    <w:rsid w:val="0077495C"/>
    <w:rsid w:val="00775814"/>
    <w:rsid w:val="00776349"/>
    <w:rsid w:val="00777A2F"/>
    <w:rsid w:val="00780015"/>
    <w:rsid w:val="00783C0F"/>
    <w:rsid w:val="00785DA2"/>
    <w:rsid w:val="00787445"/>
    <w:rsid w:val="00787DB9"/>
    <w:rsid w:val="00787F71"/>
    <w:rsid w:val="007920BB"/>
    <w:rsid w:val="0079247B"/>
    <w:rsid w:val="007925B8"/>
    <w:rsid w:val="007932EF"/>
    <w:rsid w:val="00793579"/>
    <w:rsid w:val="00793C41"/>
    <w:rsid w:val="00795236"/>
    <w:rsid w:val="00796E94"/>
    <w:rsid w:val="007A022E"/>
    <w:rsid w:val="007A2AFF"/>
    <w:rsid w:val="007A3DC6"/>
    <w:rsid w:val="007A51A1"/>
    <w:rsid w:val="007A5A04"/>
    <w:rsid w:val="007A6845"/>
    <w:rsid w:val="007A70D1"/>
    <w:rsid w:val="007A70DA"/>
    <w:rsid w:val="007B0169"/>
    <w:rsid w:val="007B1A17"/>
    <w:rsid w:val="007B3418"/>
    <w:rsid w:val="007B4098"/>
    <w:rsid w:val="007B6EBF"/>
    <w:rsid w:val="007C097D"/>
    <w:rsid w:val="007C0F0E"/>
    <w:rsid w:val="007C1BE0"/>
    <w:rsid w:val="007C29B3"/>
    <w:rsid w:val="007C467B"/>
    <w:rsid w:val="007C7855"/>
    <w:rsid w:val="007D1B5D"/>
    <w:rsid w:val="007D3323"/>
    <w:rsid w:val="007D3CF6"/>
    <w:rsid w:val="007D466C"/>
    <w:rsid w:val="007D71C6"/>
    <w:rsid w:val="007D732D"/>
    <w:rsid w:val="007D78C5"/>
    <w:rsid w:val="007E05B0"/>
    <w:rsid w:val="007E0847"/>
    <w:rsid w:val="007E14DA"/>
    <w:rsid w:val="007E234C"/>
    <w:rsid w:val="007E2D0F"/>
    <w:rsid w:val="007E3DB9"/>
    <w:rsid w:val="007E4163"/>
    <w:rsid w:val="007E4330"/>
    <w:rsid w:val="007E51B8"/>
    <w:rsid w:val="007E76F2"/>
    <w:rsid w:val="007F131E"/>
    <w:rsid w:val="007F35BD"/>
    <w:rsid w:val="007F37A9"/>
    <w:rsid w:val="007F3B89"/>
    <w:rsid w:val="007F3DE6"/>
    <w:rsid w:val="007F741C"/>
    <w:rsid w:val="00800BAF"/>
    <w:rsid w:val="00801718"/>
    <w:rsid w:val="00801862"/>
    <w:rsid w:val="0080379C"/>
    <w:rsid w:val="008037E9"/>
    <w:rsid w:val="008039F6"/>
    <w:rsid w:val="00803DB0"/>
    <w:rsid w:val="00805E65"/>
    <w:rsid w:val="008060B5"/>
    <w:rsid w:val="00806687"/>
    <w:rsid w:val="00811AC3"/>
    <w:rsid w:val="00812125"/>
    <w:rsid w:val="00813D0A"/>
    <w:rsid w:val="00814B15"/>
    <w:rsid w:val="008156E2"/>
    <w:rsid w:val="00816DF8"/>
    <w:rsid w:val="00822612"/>
    <w:rsid w:val="00823372"/>
    <w:rsid w:val="00825B2B"/>
    <w:rsid w:val="008268C1"/>
    <w:rsid w:val="00827534"/>
    <w:rsid w:val="00830033"/>
    <w:rsid w:val="00830114"/>
    <w:rsid w:val="008318BC"/>
    <w:rsid w:val="00832224"/>
    <w:rsid w:val="00833F61"/>
    <w:rsid w:val="008354E8"/>
    <w:rsid w:val="00836A37"/>
    <w:rsid w:val="008400A4"/>
    <w:rsid w:val="008410AC"/>
    <w:rsid w:val="008439BD"/>
    <w:rsid w:val="0084578E"/>
    <w:rsid w:val="00846686"/>
    <w:rsid w:val="008524CE"/>
    <w:rsid w:val="00852CF1"/>
    <w:rsid w:val="00853491"/>
    <w:rsid w:val="00854690"/>
    <w:rsid w:val="00860D16"/>
    <w:rsid w:val="00861ADA"/>
    <w:rsid w:val="00862D05"/>
    <w:rsid w:val="008663F0"/>
    <w:rsid w:val="008668BF"/>
    <w:rsid w:val="00866C60"/>
    <w:rsid w:val="0087066C"/>
    <w:rsid w:val="008735DB"/>
    <w:rsid w:val="00874D22"/>
    <w:rsid w:val="00876EE3"/>
    <w:rsid w:val="008802B4"/>
    <w:rsid w:val="00880B0B"/>
    <w:rsid w:val="00882BD8"/>
    <w:rsid w:val="00882C20"/>
    <w:rsid w:val="00882FB1"/>
    <w:rsid w:val="008835B3"/>
    <w:rsid w:val="00883C53"/>
    <w:rsid w:val="00883C58"/>
    <w:rsid w:val="00884779"/>
    <w:rsid w:val="0088689A"/>
    <w:rsid w:val="00891FF2"/>
    <w:rsid w:val="00892138"/>
    <w:rsid w:val="00892BCE"/>
    <w:rsid w:val="00895D62"/>
    <w:rsid w:val="00895EF6"/>
    <w:rsid w:val="008963CE"/>
    <w:rsid w:val="008A1FF5"/>
    <w:rsid w:val="008A2914"/>
    <w:rsid w:val="008A5D3A"/>
    <w:rsid w:val="008A75B5"/>
    <w:rsid w:val="008B0C38"/>
    <w:rsid w:val="008B3B8E"/>
    <w:rsid w:val="008B5281"/>
    <w:rsid w:val="008B56A1"/>
    <w:rsid w:val="008B56CB"/>
    <w:rsid w:val="008B5969"/>
    <w:rsid w:val="008C1A01"/>
    <w:rsid w:val="008C2B92"/>
    <w:rsid w:val="008C354C"/>
    <w:rsid w:val="008C359B"/>
    <w:rsid w:val="008C624A"/>
    <w:rsid w:val="008C6376"/>
    <w:rsid w:val="008C73AA"/>
    <w:rsid w:val="008C7465"/>
    <w:rsid w:val="008D2F39"/>
    <w:rsid w:val="008D45F0"/>
    <w:rsid w:val="008D5403"/>
    <w:rsid w:val="008D64B9"/>
    <w:rsid w:val="008D709A"/>
    <w:rsid w:val="008D75C8"/>
    <w:rsid w:val="008E491A"/>
    <w:rsid w:val="008E4D24"/>
    <w:rsid w:val="008E4D8E"/>
    <w:rsid w:val="008E65CA"/>
    <w:rsid w:val="008E6F6B"/>
    <w:rsid w:val="008F0056"/>
    <w:rsid w:val="008F09EC"/>
    <w:rsid w:val="008F4C0A"/>
    <w:rsid w:val="008F51ED"/>
    <w:rsid w:val="008F5CCC"/>
    <w:rsid w:val="008F7B7E"/>
    <w:rsid w:val="009008CA"/>
    <w:rsid w:val="00902D22"/>
    <w:rsid w:val="00903D17"/>
    <w:rsid w:val="00903D36"/>
    <w:rsid w:val="00904D19"/>
    <w:rsid w:val="00905F34"/>
    <w:rsid w:val="009061D5"/>
    <w:rsid w:val="00906893"/>
    <w:rsid w:val="009077EE"/>
    <w:rsid w:val="009107CE"/>
    <w:rsid w:val="00911F8E"/>
    <w:rsid w:val="009123A7"/>
    <w:rsid w:val="009124A8"/>
    <w:rsid w:val="009135AD"/>
    <w:rsid w:val="00914A06"/>
    <w:rsid w:val="009159C7"/>
    <w:rsid w:val="00917777"/>
    <w:rsid w:val="00917FD4"/>
    <w:rsid w:val="00920172"/>
    <w:rsid w:val="00920680"/>
    <w:rsid w:val="00921C7E"/>
    <w:rsid w:val="0092335E"/>
    <w:rsid w:val="009246A9"/>
    <w:rsid w:val="00926561"/>
    <w:rsid w:val="009266F6"/>
    <w:rsid w:val="00926B20"/>
    <w:rsid w:val="00930487"/>
    <w:rsid w:val="009328E0"/>
    <w:rsid w:val="00933A8E"/>
    <w:rsid w:val="00933AFF"/>
    <w:rsid w:val="00934574"/>
    <w:rsid w:val="009348AB"/>
    <w:rsid w:val="009349C0"/>
    <w:rsid w:val="00935B49"/>
    <w:rsid w:val="009373FC"/>
    <w:rsid w:val="00937D5C"/>
    <w:rsid w:val="00937E79"/>
    <w:rsid w:val="009403DB"/>
    <w:rsid w:val="00941249"/>
    <w:rsid w:val="0094454F"/>
    <w:rsid w:val="009455E9"/>
    <w:rsid w:val="009458A1"/>
    <w:rsid w:val="00946FBB"/>
    <w:rsid w:val="00947195"/>
    <w:rsid w:val="009472C7"/>
    <w:rsid w:val="009505E2"/>
    <w:rsid w:val="00950C0F"/>
    <w:rsid w:val="00952A02"/>
    <w:rsid w:val="00954359"/>
    <w:rsid w:val="009544C4"/>
    <w:rsid w:val="00954867"/>
    <w:rsid w:val="00956486"/>
    <w:rsid w:val="00957D02"/>
    <w:rsid w:val="00957EA2"/>
    <w:rsid w:val="00960169"/>
    <w:rsid w:val="0096069A"/>
    <w:rsid w:val="00963A2F"/>
    <w:rsid w:val="00963A47"/>
    <w:rsid w:val="0096619A"/>
    <w:rsid w:val="00966600"/>
    <w:rsid w:val="00966818"/>
    <w:rsid w:val="00967538"/>
    <w:rsid w:val="00970CB1"/>
    <w:rsid w:val="00971FE6"/>
    <w:rsid w:val="00972BE5"/>
    <w:rsid w:val="00972EC2"/>
    <w:rsid w:val="009735D0"/>
    <w:rsid w:val="009745E8"/>
    <w:rsid w:val="00974837"/>
    <w:rsid w:val="009760A8"/>
    <w:rsid w:val="0097657C"/>
    <w:rsid w:val="00976D89"/>
    <w:rsid w:val="0098140C"/>
    <w:rsid w:val="009870C4"/>
    <w:rsid w:val="009873E9"/>
    <w:rsid w:val="0099382F"/>
    <w:rsid w:val="0099558B"/>
    <w:rsid w:val="009955BD"/>
    <w:rsid w:val="00996CF8"/>
    <w:rsid w:val="009A1072"/>
    <w:rsid w:val="009A2727"/>
    <w:rsid w:val="009A2AA5"/>
    <w:rsid w:val="009A3128"/>
    <w:rsid w:val="009A43DF"/>
    <w:rsid w:val="009A603A"/>
    <w:rsid w:val="009A6A54"/>
    <w:rsid w:val="009B175D"/>
    <w:rsid w:val="009B1F95"/>
    <w:rsid w:val="009B2F14"/>
    <w:rsid w:val="009B4CBF"/>
    <w:rsid w:val="009B50BA"/>
    <w:rsid w:val="009B5C5C"/>
    <w:rsid w:val="009B6550"/>
    <w:rsid w:val="009C13FB"/>
    <w:rsid w:val="009C2DD0"/>
    <w:rsid w:val="009C2ECF"/>
    <w:rsid w:val="009C78F7"/>
    <w:rsid w:val="009C7920"/>
    <w:rsid w:val="009D04BB"/>
    <w:rsid w:val="009D21F4"/>
    <w:rsid w:val="009D2662"/>
    <w:rsid w:val="009D27CA"/>
    <w:rsid w:val="009D300F"/>
    <w:rsid w:val="009D5403"/>
    <w:rsid w:val="009D6895"/>
    <w:rsid w:val="009D7E1C"/>
    <w:rsid w:val="009E4B48"/>
    <w:rsid w:val="009E5788"/>
    <w:rsid w:val="009E58B0"/>
    <w:rsid w:val="009E69F9"/>
    <w:rsid w:val="009E6EB9"/>
    <w:rsid w:val="009F1C91"/>
    <w:rsid w:val="009F20A8"/>
    <w:rsid w:val="009F2CDA"/>
    <w:rsid w:val="009F3264"/>
    <w:rsid w:val="009F3361"/>
    <w:rsid w:val="009F3ED3"/>
    <w:rsid w:val="009F4D88"/>
    <w:rsid w:val="009F71D1"/>
    <w:rsid w:val="00A01494"/>
    <w:rsid w:val="00A018B1"/>
    <w:rsid w:val="00A04F80"/>
    <w:rsid w:val="00A05ADB"/>
    <w:rsid w:val="00A0668C"/>
    <w:rsid w:val="00A06EE4"/>
    <w:rsid w:val="00A07C67"/>
    <w:rsid w:val="00A10011"/>
    <w:rsid w:val="00A1011D"/>
    <w:rsid w:val="00A103D4"/>
    <w:rsid w:val="00A1043E"/>
    <w:rsid w:val="00A122FF"/>
    <w:rsid w:val="00A1264F"/>
    <w:rsid w:val="00A14ADE"/>
    <w:rsid w:val="00A156DC"/>
    <w:rsid w:val="00A17BEE"/>
    <w:rsid w:val="00A2265F"/>
    <w:rsid w:val="00A2340F"/>
    <w:rsid w:val="00A249FC"/>
    <w:rsid w:val="00A27C64"/>
    <w:rsid w:val="00A302D5"/>
    <w:rsid w:val="00A302E2"/>
    <w:rsid w:val="00A329C7"/>
    <w:rsid w:val="00A33257"/>
    <w:rsid w:val="00A368F1"/>
    <w:rsid w:val="00A377D1"/>
    <w:rsid w:val="00A3791F"/>
    <w:rsid w:val="00A41B58"/>
    <w:rsid w:val="00A447C8"/>
    <w:rsid w:val="00A44C2C"/>
    <w:rsid w:val="00A453DE"/>
    <w:rsid w:val="00A45604"/>
    <w:rsid w:val="00A4773E"/>
    <w:rsid w:val="00A47A24"/>
    <w:rsid w:val="00A503B4"/>
    <w:rsid w:val="00A51470"/>
    <w:rsid w:val="00A522BD"/>
    <w:rsid w:val="00A53574"/>
    <w:rsid w:val="00A535D3"/>
    <w:rsid w:val="00A541EF"/>
    <w:rsid w:val="00A5530F"/>
    <w:rsid w:val="00A55BAE"/>
    <w:rsid w:val="00A5688B"/>
    <w:rsid w:val="00A61323"/>
    <w:rsid w:val="00A61ADE"/>
    <w:rsid w:val="00A6311F"/>
    <w:rsid w:val="00A63DBF"/>
    <w:rsid w:val="00A640FD"/>
    <w:rsid w:val="00A646D7"/>
    <w:rsid w:val="00A64E7F"/>
    <w:rsid w:val="00A65130"/>
    <w:rsid w:val="00A66DB7"/>
    <w:rsid w:val="00A672AB"/>
    <w:rsid w:val="00A67512"/>
    <w:rsid w:val="00A67690"/>
    <w:rsid w:val="00A67B40"/>
    <w:rsid w:val="00A7069C"/>
    <w:rsid w:val="00A70948"/>
    <w:rsid w:val="00A7182B"/>
    <w:rsid w:val="00A71FD1"/>
    <w:rsid w:val="00A72905"/>
    <w:rsid w:val="00A73E68"/>
    <w:rsid w:val="00A74BEC"/>
    <w:rsid w:val="00A74E7D"/>
    <w:rsid w:val="00A7630D"/>
    <w:rsid w:val="00A76F20"/>
    <w:rsid w:val="00A77412"/>
    <w:rsid w:val="00A775DB"/>
    <w:rsid w:val="00A77622"/>
    <w:rsid w:val="00A80A45"/>
    <w:rsid w:val="00A8104A"/>
    <w:rsid w:val="00A8151F"/>
    <w:rsid w:val="00A81825"/>
    <w:rsid w:val="00A82D87"/>
    <w:rsid w:val="00A8344C"/>
    <w:rsid w:val="00A84090"/>
    <w:rsid w:val="00A868B4"/>
    <w:rsid w:val="00A86D81"/>
    <w:rsid w:val="00A9079D"/>
    <w:rsid w:val="00A907F1"/>
    <w:rsid w:val="00A90F66"/>
    <w:rsid w:val="00A92B00"/>
    <w:rsid w:val="00A93A56"/>
    <w:rsid w:val="00A93B4C"/>
    <w:rsid w:val="00A94316"/>
    <w:rsid w:val="00A96DD0"/>
    <w:rsid w:val="00AA0B03"/>
    <w:rsid w:val="00AA2394"/>
    <w:rsid w:val="00AA240A"/>
    <w:rsid w:val="00AA4106"/>
    <w:rsid w:val="00AB030B"/>
    <w:rsid w:val="00AB0B8E"/>
    <w:rsid w:val="00AB116D"/>
    <w:rsid w:val="00AB25D0"/>
    <w:rsid w:val="00AB5567"/>
    <w:rsid w:val="00AB5CD5"/>
    <w:rsid w:val="00AC0238"/>
    <w:rsid w:val="00AC3789"/>
    <w:rsid w:val="00AC394F"/>
    <w:rsid w:val="00AC46AA"/>
    <w:rsid w:val="00AC5D6D"/>
    <w:rsid w:val="00AD0328"/>
    <w:rsid w:val="00AD4929"/>
    <w:rsid w:val="00AF3932"/>
    <w:rsid w:val="00AF62F3"/>
    <w:rsid w:val="00B02154"/>
    <w:rsid w:val="00B02B0E"/>
    <w:rsid w:val="00B032AC"/>
    <w:rsid w:val="00B0454E"/>
    <w:rsid w:val="00B05F8A"/>
    <w:rsid w:val="00B06E90"/>
    <w:rsid w:val="00B07D7D"/>
    <w:rsid w:val="00B10BC9"/>
    <w:rsid w:val="00B119B1"/>
    <w:rsid w:val="00B12306"/>
    <w:rsid w:val="00B13911"/>
    <w:rsid w:val="00B14381"/>
    <w:rsid w:val="00B15069"/>
    <w:rsid w:val="00B1519C"/>
    <w:rsid w:val="00B16DD1"/>
    <w:rsid w:val="00B16DE0"/>
    <w:rsid w:val="00B17F3E"/>
    <w:rsid w:val="00B20183"/>
    <w:rsid w:val="00B21973"/>
    <w:rsid w:val="00B24087"/>
    <w:rsid w:val="00B24671"/>
    <w:rsid w:val="00B25CE5"/>
    <w:rsid w:val="00B315FB"/>
    <w:rsid w:val="00B32CAD"/>
    <w:rsid w:val="00B33CB5"/>
    <w:rsid w:val="00B34B5F"/>
    <w:rsid w:val="00B35005"/>
    <w:rsid w:val="00B400C0"/>
    <w:rsid w:val="00B41F4F"/>
    <w:rsid w:val="00B4270C"/>
    <w:rsid w:val="00B43E98"/>
    <w:rsid w:val="00B4502F"/>
    <w:rsid w:val="00B45D66"/>
    <w:rsid w:val="00B463AA"/>
    <w:rsid w:val="00B47C68"/>
    <w:rsid w:val="00B51109"/>
    <w:rsid w:val="00B534B2"/>
    <w:rsid w:val="00B53C9C"/>
    <w:rsid w:val="00B54C04"/>
    <w:rsid w:val="00B56330"/>
    <w:rsid w:val="00B61CEC"/>
    <w:rsid w:val="00B62311"/>
    <w:rsid w:val="00B63F38"/>
    <w:rsid w:val="00B67161"/>
    <w:rsid w:val="00B67E1E"/>
    <w:rsid w:val="00B72734"/>
    <w:rsid w:val="00B75EBE"/>
    <w:rsid w:val="00B77C2E"/>
    <w:rsid w:val="00B81982"/>
    <w:rsid w:val="00B83D02"/>
    <w:rsid w:val="00B83F38"/>
    <w:rsid w:val="00B83F99"/>
    <w:rsid w:val="00B8452E"/>
    <w:rsid w:val="00B8532E"/>
    <w:rsid w:val="00B85C46"/>
    <w:rsid w:val="00B85F8B"/>
    <w:rsid w:val="00B8653E"/>
    <w:rsid w:val="00B86573"/>
    <w:rsid w:val="00B86CFD"/>
    <w:rsid w:val="00B9092F"/>
    <w:rsid w:val="00B9111F"/>
    <w:rsid w:val="00B92018"/>
    <w:rsid w:val="00B9412C"/>
    <w:rsid w:val="00B94CD4"/>
    <w:rsid w:val="00B9503F"/>
    <w:rsid w:val="00B95967"/>
    <w:rsid w:val="00B96EFE"/>
    <w:rsid w:val="00B97443"/>
    <w:rsid w:val="00B978D9"/>
    <w:rsid w:val="00BA13FE"/>
    <w:rsid w:val="00BA225E"/>
    <w:rsid w:val="00BA2DBF"/>
    <w:rsid w:val="00BA3741"/>
    <w:rsid w:val="00BA4D16"/>
    <w:rsid w:val="00BA52B4"/>
    <w:rsid w:val="00BA5317"/>
    <w:rsid w:val="00BB1166"/>
    <w:rsid w:val="00BB358E"/>
    <w:rsid w:val="00BB410F"/>
    <w:rsid w:val="00BC1ABF"/>
    <w:rsid w:val="00BC2DE5"/>
    <w:rsid w:val="00BC3233"/>
    <w:rsid w:val="00BC3A0F"/>
    <w:rsid w:val="00BC3D6D"/>
    <w:rsid w:val="00BC42EC"/>
    <w:rsid w:val="00BC4DA0"/>
    <w:rsid w:val="00BC6DA4"/>
    <w:rsid w:val="00BD13CC"/>
    <w:rsid w:val="00BD1757"/>
    <w:rsid w:val="00BD454D"/>
    <w:rsid w:val="00BD5F3B"/>
    <w:rsid w:val="00BD6528"/>
    <w:rsid w:val="00BE0829"/>
    <w:rsid w:val="00BE1647"/>
    <w:rsid w:val="00BE1AC1"/>
    <w:rsid w:val="00BE1C8E"/>
    <w:rsid w:val="00BE1CAE"/>
    <w:rsid w:val="00BE3D59"/>
    <w:rsid w:val="00BE3E4C"/>
    <w:rsid w:val="00BE431F"/>
    <w:rsid w:val="00BE54B0"/>
    <w:rsid w:val="00BE6D77"/>
    <w:rsid w:val="00BE7D13"/>
    <w:rsid w:val="00BF1FA0"/>
    <w:rsid w:val="00BF2551"/>
    <w:rsid w:val="00BF4B9E"/>
    <w:rsid w:val="00BF6BE7"/>
    <w:rsid w:val="00BF715B"/>
    <w:rsid w:val="00C0095B"/>
    <w:rsid w:val="00C011D3"/>
    <w:rsid w:val="00C0165B"/>
    <w:rsid w:val="00C023FF"/>
    <w:rsid w:val="00C037FA"/>
    <w:rsid w:val="00C04FDA"/>
    <w:rsid w:val="00C11BCF"/>
    <w:rsid w:val="00C12301"/>
    <w:rsid w:val="00C14F23"/>
    <w:rsid w:val="00C15669"/>
    <w:rsid w:val="00C158D0"/>
    <w:rsid w:val="00C16408"/>
    <w:rsid w:val="00C169F8"/>
    <w:rsid w:val="00C172C2"/>
    <w:rsid w:val="00C177EE"/>
    <w:rsid w:val="00C17C6F"/>
    <w:rsid w:val="00C215EC"/>
    <w:rsid w:val="00C21C7A"/>
    <w:rsid w:val="00C22580"/>
    <w:rsid w:val="00C23E78"/>
    <w:rsid w:val="00C2490E"/>
    <w:rsid w:val="00C25ADA"/>
    <w:rsid w:val="00C26126"/>
    <w:rsid w:val="00C278CD"/>
    <w:rsid w:val="00C3082D"/>
    <w:rsid w:val="00C30C54"/>
    <w:rsid w:val="00C338AF"/>
    <w:rsid w:val="00C33F99"/>
    <w:rsid w:val="00C3542C"/>
    <w:rsid w:val="00C37C95"/>
    <w:rsid w:val="00C40667"/>
    <w:rsid w:val="00C40D56"/>
    <w:rsid w:val="00C40FC5"/>
    <w:rsid w:val="00C41180"/>
    <w:rsid w:val="00C422A2"/>
    <w:rsid w:val="00C50F45"/>
    <w:rsid w:val="00C535A5"/>
    <w:rsid w:val="00C5384B"/>
    <w:rsid w:val="00C53ACD"/>
    <w:rsid w:val="00C53EFC"/>
    <w:rsid w:val="00C56F42"/>
    <w:rsid w:val="00C5794F"/>
    <w:rsid w:val="00C62170"/>
    <w:rsid w:val="00C62632"/>
    <w:rsid w:val="00C636A5"/>
    <w:rsid w:val="00C63DED"/>
    <w:rsid w:val="00C65757"/>
    <w:rsid w:val="00C666F4"/>
    <w:rsid w:val="00C67B10"/>
    <w:rsid w:val="00C70707"/>
    <w:rsid w:val="00C7234C"/>
    <w:rsid w:val="00C72F1F"/>
    <w:rsid w:val="00C752B1"/>
    <w:rsid w:val="00C774FD"/>
    <w:rsid w:val="00C809B2"/>
    <w:rsid w:val="00C829BF"/>
    <w:rsid w:val="00C84E2B"/>
    <w:rsid w:val="00C87230"/>
    <w:rsid w:val="00C8799E"/>
    <w:rsid w:val="00C90940"/>
    <w:rsid w:val="00C918C0"/>
    <w:rsid w:val="00C92801"/>
    <w:rsid w:val="00C933A0"/>
    <w:rsid w:val="00C97118"/>
    <w:rsid w:val="00CA1729"/>
    <w:rsid w:val="00CA18BD"/>
    <w:rsid w:val="00CA1F37"/>
    <w:rsid w:val="00CA3D7D"/>
    <w:rsid w:val="00CA7307"/>
    <w:rsid w:val="00CA7BE1"/>
    <w:rsid w:val="00CB1A50"/>
    <w:rsid w:val="00CB20C5"/>
    <w:rsid w:val="00CB37DE"/>
    <w:rsid w:val="00CB756A"/>
    <w:rsid w:val="00CC078F"/>
    <w:rsid w:val="00CC17D6"/>
    <w:rsid w:val="00CC2B49"/>
    <w:rsid w:val="00CC39E6"/>
    <w:rsid w:val="00CC5B98"/>
    <w:rsid w:val="00CD2A89"/>
    <w:rsid w:val="00CD3EAB"/>
    <w:rsid w:val="00CD4D46"/>
    <w:rsid w:val="00CD4FE6"/>
    <w:rsid w:val="00CD54FB"/>
    <w:rsid w:val="00CD6245"/>
    <w:rsid w:val="00CD6FFF"/>
    <w:rsid w:val="00CE00B6"/>
    <w:rsid w:val="00CE1FAC"/>
    <w:rsid w:val="00CE43A2"/>
    <w:rsid w:val="00CE5EF7"/>
    <w:rsid w:val="00CE7B14"/>
    <w:rsid w:val="00CF18D5"/>
    <w:rsid w:val="00CF334B"/>
    <w:rsid w:val="00CF3BDD"/>
    <w:rsid w:val="00CF7552"/>
    <w:rsid w:val="00CF7BE9"/>
    <w:rsid w:val="00D03EE2"/>
    <w:rsid w:val="00D059E4"/>
    <w:rsid w:val="00D061EF"/>
    <w:rsid w:val="00D073DB"/>
    <w:rsid w:val="00D0772F"/>
    <w:rsid w:val="00D108F2"/>
    <w:rsid w:val="00D10B23"/>
    <w:rsid w:val="00D1256B"/>
    <w:rsid w:val="00D13100"/>
    <w:rsid w:val="00D141DA"/>
    <w:rsid w:val="00D1525C"/>
    <w:rsid w:val="00D15FA6"/>
    <w:rsid w:val="00D161D4"/>
    <w:rsid w:val="00D20381"/>
    <w:rsid w:val="00D20413"/>
    <w:rsid w:val="00D21D2A"/>
    <w:rsid w:val="00D24880"/>
    <w:rsid w:val="00D248B0"/>
    <w:rsid w:val="00D317D6"/>
    <w:rsid w:val="00D3205F"/>
    <w:rsid w:val="00D33888"/>
    <w:rsid w:val="00D34FAF"/>
    <w:rsid w:val="00D3516D"/>
    <w:rsid w:val="00D362EB"/>
    <w:rsid w:val="00D36DFA"/>
    <w:rsid w:val="00D371B3"/>
    <w:rsid w:val="00D372CD"/>
    <w:rsid w:val="00D37EAD"/>
    <w:rsid w:val="00D37F2D"/>
    <w:rsid w:val="00D427A7"/>
    <w:rsid w:val="00D42A06"/>
    <w:rsid w:val="00D42F05"/>
    <w:rsid w:val="00D44B6C"/>
    <w:rsid w:val="00D44E0D"/>
    <w:rsid w:val="00D4540D"/>
    <w:rsid w:val="00D46371"/>
    <w:rsid w:val="00D50CAE"/>
    <w:rsid w:val="00D51560"/>
    <w:rsid w:val="00D52991"/>
    <w:rsid w:val="00D53039"/>
    <w:rsid w:val="00D5318A"/>
    <w:rsid w:val="00D53EF2"/>
    <w:rsid w:val="00D55D40"/>
    <w:rsid w:val="00D55F94"/>
    <w:rsid w:val="00D571F8"/>
    <w:rsid w:val="00D6126D"/>
    <w:rsid w:val="00D6214D"/>
    <w:rsid w:val="00D631B5"/>
    <w:rsid w:val="00D63D74"/>
    <w:rsid w:val="00D66388"/>
    <w:rsid w:val="00D66707"/>
    <w:rsid w:val="00D709E5"/>
    <w:rsid w:val="00D709F7"/>
    <w:rsid w:val="00D7299A"/>
    <w:rsid w:val="00D72F98"/>
    <w:rsid w:val="00D73A82"/>
    <w:rsid w:val="00D746D0"/>
    <w:rsid w:val="00D74B5F"/>
    <w:rsid w:val="00D755E7"/>
    <w:rsid w:val="00D758B0"/>
    <w:rsid w:val="00D75BF3"/>
    <w:rsid w:val="00D77422"/>
    <w:rsid w:val="00D77D97"/>
    <w:rsid w:val="00D812EE"/>
    <w:rsid w:val="00D81814"/>
    <w:rsid w:val="00D83AF4"/>
    <w:rsid w:val="00D85DE8"/>
    <w:rsid w:val="00D861CC"/>
    <w:rsid w:val="00D93324"/>
    <w:rsid w:val="00D94860"/>
    <w:rsid w:val="00D95A80"/>
    <w:rsid w:val="00D95E6B"/>
    <w:rsid w:val="00D976B8"/>
    <w:rsid w:val="00DA02F7"/>
    <w:rsid w:val="00DA09E1"/>
    <w:rsid w:val="00DA15D6"/>
    <w:rsid w:val="00DA1960"/>
    <w:rsid w:val="00DA3335"/>
    <w:rsid w:val="00DA48F3"/>
    <w:rsid w:val="00DA5D38"/>
    <w:rsid w:val="00DA60BC"/>
    <w:rsid w:val="00DA7817"/>
    <w:rsid w:val="00DB15FC"/>
    <w:rsid w:val="00DB4AA7"/>
    <w:rsid w:val="00DB537C"/>
    <w:rsid w:val="00DB5D21"/>
    <w:rsid w:val="00DB60BD"/>
    <w:rsid w:val="00DC6678"/>
    <w:rsid w:val="00DD0A2C"/>
    <w:rsid w:val="00DD1C37"/>
    <w:rsid w:val="00DD1E61"/>
    <w:rsid w:val="00DD3E54"/>
    <w:rsid w:val="00DD5130"/>
    <w:rsid w:val="00DD586F"/>
    <w:rsid w:val="00DD6233"/>
    <w:rsid w:val="00DD6A8A"/>
    <w:rsid w:val="00DD72E1"/>
    <w:rsid w:val="00DE3F09"/>
    <w:rsid w:val="00DE4C29"/>
    <w:rsid w:val="00DE520E"/>
    <w:rsid w:val="00DE6012"/>
    <w:rsid w:val="00DE60EC"/>
    <w:rsid w:val="00DE77F5"/>
    <w:rsid w:val="00DF0369"/>
    <w:rsid w:val="00DF195D"/>
    <w:rsid w:val="00DF1E10"/>
    <w:rsid w:val="00DF3C93"/>
    <w:rsid w:val="00DF4CBF"/>
    <w:rsid w:val="00DF5537"/>
    <w:rsid w:val="00DF72C9"/>
    <w:rsid w:val="00DF7B38"/>
    <w:rsid w:val="00E00312"/>
    <w:rsid w:val="00E01DEA"/>
    <w:rsid w:val="00E02122"/>
    <w:rsid w:val="00E034D0"/>
    <w:rsid w:val="00E03922"/>
    <w:rsid w:val="00E06714"/>
    <w:rsid w:val="00E0677C"/>
    <w:rsid w:val="00E073C5"/>
    <w:rsid w:val="00E0784D"/>
    <w:rsid w:val="00E10EA4"/>
    <w:rsid w:val="00E11863"/>
    <w:rsid w:val="00E119A8"/>
    <w:rsid w:val="00E1399D"/>
    <w:rsid w:val="00E171D9"/>
    <w:rsid w:val="00E17BD9"/>
    <w:rsid w:val="00E21143"/>
    <w:rsid w:val="00E2250B"/>
    <w:rsid w:val="00E24219"/>
    <w:rsid w:val="00E24406"/>
    <w:rsid w:val="00E260C2"/>
    <w:rsid w:val="00E305FD"/>
    <w:rsid w:val="00E31264"/>
    <w:rsid w:val="00E326D3"/>
    <w:rsid w:val="00E33940"/>
    <w:rsid w:val="00E366DF"/>
    <w:rsid w:val="00E36FBA"/>
    <w:rsid w:val="00E43672"/>
    <w:rsid w:val="00E44C8E"/>
    <w:rsid w:val="00E51FC1"/>
    <w:rsid w:val="00E52040"/>
    <w:rsid w:val="00E54131"/>
    <w:rsid w:val="00E5561A"/>
    <w:rsid w:val="00E56B85"/>
    <w:rsid w:val="00E57706"/>
    <w:rsid w:val="00E6055B"/>
    <w:rsid w:val="00E625CF"/>
    <w:rsid w:val="00E628D9"/>
    <w:rsid w:val="00E63204"/>
    <w:rsid w:val="00E633FA"/>
    <w:rsid w:val="00E6365A"/>
    <w:rsid w:val="00E64F3A"/>
    <w:rsid w:val="00E65823"/>
    <w:rsid w:val="00E707D6"/>
    <w:rsid w:val="00E712CB"/>
    <w:rsid w:val="00E73E4B"/>
    <w:rsid w:val="00E74A20"/>
    <w:rsid w:val="00E7563E"/>
    <w:rsid w:val="00E75666"/>
    <w:rsid w:val="00E81693"/>
    <w:rsid w:val="00E81812"/>
    <w:rsid w:val="00E82158"/>
    <w:rsid w:val="00E82764"/>
    <w:rsid w:val="00E846F2"/>
    <w:rsid w:val="00E84FE0"/>
    <w:rsid w:val="00E85832"/>
    <w:rsid w:val="00E8590E"/>
    <w:rsid w:val="00E903DF"/>
    <w:rsid w:val="00E9109B"/>
    <w:rsid w:val="00E91BE7"/>
    <w:rsid w:val="00E9274D"/>
    <w:rsid w:val="00E929AA"/>
    <w:rsid w:val="00E93FEB"/>
    <w:rsid w:val="00E94236"/>
    <w:rsid w:val="00E96CDC"/>
    <w:rsid w:val="00EA0B89"/>
    <w:rsid w:val="00EA1F10"/>
    <w:rsid w:val="00EA215D"/>
    <w:rsid w:val="00EA4A76"/>
    <w:rsid w:val="00EA5E03"/>
    <w:rsid w:val="00EB0658"/>
    <w:rsid w:val="00EB2137"/>
    <w:rsid w:val="00EB28DD"/>
    <w:rsid w:val="00EB35F8"/>
    <w:rsid w:val="00EB4A97"/>
    <w:rsid w:val="00EB4A9D"/>
    <w:rsid w:val="00EC04F6"/>
    <w:rsid w:val="00EC3002"/>
    <w:rsid w:val="00EC560C"/>
    <w:rsid w:val="00EC729D"/>
    <w:rsid w:val="00ED194B"/>
    <w:rsid w:val="00ED2136"/>
    <w:rsid w:val="00ED2CB0"/>
    <w:rsid w:val="00ED34E5"/>
    <w:rsid w:val="00ED5AF0"/>
    <w:rsid w:val="00ED5D90"/>
    <w:rsid w:val="00ED5DA5"/>
    <w:rsid w:val="00ED6FB6"/>
    <w:rsid w:val="00ED78B1"/>
    <w:rsid w:val="00ED7F59"/>
    <w:rsid w:val="00EE16F6"/>
    <w:rsid w:val="00EE2AB0"/>
    <w:rsid w:val="00EE5AA3"/>
    <w:rsid w:val="00EE6DC2"/>
    <w:rsid w:val="00EF2B0C"/>
    <w:rsid w:val="00EF4E5E"/>
    <w:rsid w:val="00EF62F0"/>
    <w:rsid w:val="00F00C94"/>
    <w:rsid w:val="00F0290A"/>
    <w:rsid w:val="00F039BF"/>
    <w:rsid w:val="00F040C4"/>
    <w:rsid w:val="00F061D6"/>
    <w:rsid w:val="00F117FF"/>
    <w:rsid w:val="00F11FA1"/>
    <w:rsid w:val="00F1225E"/>
    <w:rsid w:val="00F1414B"/>
    <w:rsid w:val="00F153AA"/>
    <w:rsid w:val="00F155E1"/>
    <w:rsid w:val="00F17BCC"/>
    <w:rsid w:val="00F21E0E"/>
    <w:rsid w:val="00F227EF"/>
    <w:rsid w:val="00F22CF7"/>
    <w:rsid w:val="00F234FD"/>
    <w:rsid w:val="00F24287"/>
    <w:rsid w:val="00F2438D"/>
    <w:rsid w:val="00F24491"/>
    <w:rsid w:val="00F2520C"/>
    <w:rsid w:val="00F30056"/>
    <w:rsid w:val="00F3063D"/>
    <w:rsid w:val="00F31334"/>
    <w:rsid w:val="00F31DD9"/>
    <w:rsid w:val="00F321A3"/>
    <w:rsid w:val="00F3405F"/>
    <w:rsid w:val="00F3553C"/>
    <w:rsid w:val="00F36469"/>
    <w:rsid w:val="00F36AEB"/>
    <w:rsid w:val="00F37910"/>
    <w:rsid w:val="00F41705"/>
    <w:rsid w:val="00F4191C"/>
    <w:rsid w:val="00F4254C"/>
    <w:rsid w:val="00F43925"/>
    <w:rsid w:val="00F4484C"/>
    <w:rsid w:val="00F45112"/>
    <w:rsid w:val="00F452B3"/>
    <w:rsid w:val="00F51597"/>
    <w:rsid w:val="00F52EEC"/>
    <w:rsid w:val="00F53A13"/>
    <w:rsid w:val="00F5498B"/>
    <w:rsid w:val="00F55723"/>
    <w:rsid w:val="00F56E55"/>
    <w:rsid w:val="00F57166"/>
    <w:rsid w:val="00F62938"/>
    <w:rsid w:val="00F62BA6"/>
    <w:rsid w:val="00F64D2E"/>
    <w:rsid w:val="00F66E83"/>
    <w:rsid w:val="00F672C4"/>
    <w:rsid w:val="00F67974"/>
    <w:rsid w:val="00F73DB1"/>
    <w:rsid w:val="00F7403C"/>
    <w:rsid w:val="00F75349"/>
    <w:rsid w:val="00F77A55"/>
    <w:rsid w:val="00F811A9"/>
    <w:rsid w:val="00F8207D"/>
    <w:rsid w:val="00F82269"/>
    <w:rsid w:val="00F83B56"/>
    <w:rsid w:val="00F83D92"/>
    <w:rsid w:val="00F83DCD"/>
    <w:rsid w:val="00F852B0"/>
    <w:rsid w:val="00F85C81"/>
    <w:rsid w:val="00F9076A"/>
    <w:rsid w:val="00F92531"/>
    <w:rsid w:val="00F9371C"/>
    <w:rsid w:val="00F9429B"/>
    <w:rsid w:val="00F958F8"/>
    <w:rsid w:val="00F97611"/>
    <w:rsid w:val="00F97AED"/>
    <w:rsid w:val="00FA018E"/>
    <w:rsid w:val="00FA1686"/>
    <w:rsid w:val="00FA2C15"/>
    <w:rsid w:val="00FA41DD"/>
    <w:rsid w:val="00FA4333"/>
    <w:rsid w:val="00FA6242"/>
    <w:rsid w:val="00FA75AB"/>
    <w:rsid w:val="00FB2372"/>
    <w:rsid w:val="00FB3E36"/>
    <w:rsid w:val="00FB6636"/>
    <w:rsid w:val="00FB6882"/>
    <w:rsid w:val="00FC2B14"/>
    <w:rsid w:val="00FC2E9B"/>
    <w:rsid w:val="00FC387B"/>
    <w:rsid w:val="00FC38F8"/>
    <w:rsid w:val="00FC6841"/>
    <w:rsid w:val="00FD110E"/>
    <w:rsid w:val="00FD1CE7"/>
    <w:rsid w:val="00FD2499"/>
    <w:rsid w:val="00FD51A1"/>
    <w:rsid w:val="00FD54CC"/>
    <w:rsid w:val="00FD64B3"/>
    <w:rsid w:val="00FD7CC7"/>
    <w:rsid w:val="00FE1429"/>
    <w:rsid w:val="00FE29C6"/>
    <w:rsid w:val="00FE4314"/>
    <w:rsid w:val="00FE5601"/>
    <w:rsid w:val="00FE6C0F"/>
    <w:rsid w:val="00FE6E86"/>
    <w:rsid w:val="00FF031A"/>
    <w:rsid w:val="00FF1537"/>
    <w:rsid w:val="00FF34FF"/>
    <w:rsid w:val="00FF58F7"/>
    <w:rsid w:val="00FF677D"/>
    <w:rsid w:val="3EE878DE"/>
    <w:rsid w:val="45100D58"/>
    <w:rsid w:val="5846AB0E"/>
    <w:rsid w:val="6EB4A971"/>
    <w:rsid w:val="7779C70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ED9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4C5377"/>
    <w:pPr>
      <w:numPr>
        <w:numId w:val="2"/>
      </w:numPr>
      <w:tabs>
        <w:tab w:val="num" w:pos="360"/>
      </w:tabs>
      <w:ind w:left="0" w:firstLine="0"/>
    </w:pPr>
    <w:rPr>
      <w:rFonts w:eastAsia="Times New Roman"/>
      <w:lang w:eastAsia="de-DE"/>
    </w:rPr>
  </w:style>
  <w:style w:type="paragraph" w:styleId="ListNumber">
    <w:name w:val="List Number"/>
    <w:basedOn w:val="Normal"/>
    <w:rsid w:val="004C5377"/>
    <w:pPr>
      <w:numPr>
        <w:numId w:val="6"/>
      </w:numPr>
    </w:pPr>
    <w:rPr>
      <w:rFonts w:eastAsia="Times New Roman"/>
      <w:lang w:eastAsia="de-DE"/>
    </w:rPr>
  </w:style>
  <w:style w:type="paragraph" w:customStyle="1" w:styleId="ListBullet1">
    <w:name w:val="List Bullet 1"/>
    <w:basedOn w:val="Normal"/>
    <w:rsid w:val="004C5377"/>
    <w:pPr>
      <w:numPr>
        <w:numId w:val="1"/>
      </w:numPr>
    </w:pPr>
    <w:rPr>
      <w:rFonts w:eastAsia="Times New Roman"/>
      <w:lang w:eastAsia="de-DE"/>
    </w:rPr>
  </w:style>
  <w:style w:type="paragraph" w:customStyle="1" w:styleId="ListDash">
    <w:name w:val="List Dash"/>
    <w:basedOn w:val="Normal"/>
    <w:rsid w:val="004C5377"/>
    <w:pPr>
      <w:numPr>
        <w:numId w:val="3"/>
      </w:numPr>
    </w:pPr>
    <w:rPr>
      <w:rFonts w:eastAsia="Times New Roman"/>
      <w:lang w:eastAsia="de-DE"/>
    </w:rPr>
  </w:style>
  <w:style w:type="paragraph" w:customStyle="1" w:styleId="ListDash1">
    <w:name w:val="List Dash 1"/>
    <w:basedOn w:val="Normal"/>
    <w:rsid w:val="004C5377"/>
    <w:pPr>
      <w:numPr>
        <w:numId w:val="4"/>
      </w:numPr>
    </w:pPr>
    <w:rPr>
      <w:rFonts w:eastAsia="Times New Roman"/>
      <w:lang w:eastAsia="de-DE"/>
    </w:rPr>
  </w:style>
  <w:style w:type="paragraph" w:customStyle="1" w:styleId="ListDash2">
    <w:name w:val="List Dash 2"/>
    <w:basedOn w:val="Normal"/>
    <w:rsid w:val="004C5377"/>
    <w:pPr>
      <w:numPr>
        <w:numId w:val="5"/>
      </w:numPr>
    </w:pPr>
    <w:rPr>
      <w:rFonts w:eastAsia="Times New Roman"/>
      <w:lang w:eastAsia="de-DE"/>
    </w:rPr>
  </w:style>
  <w:style w:type="paragraph" w:customStyle="1" w:styleId="ListNumberLevel2">
    <w:name w:val="List Number (Level 2)"/>
    <w:basedOn w:val="Normal"/>
    <w:rsid w:val="004C5377"/>
    <w:pPr>
      <w:tabs>
        <w:tab w:val="num" w:pos="1417"/>
      </w:tabs>
      <w:ind w:left="1417" w:hanging="708"/>
    </w:pPr>
    <w:rPr>
      <w:rFonts w:eastAsia="Times New Roman"/>
      <w:lang w:eastAsia="de-DE"/>
    </w:rPr>
  </w:style>
  <w:style w:type="paragraph" w:customStyle="1" w:styleId="ListNumberLevel3">
    <w:name w:val="List Number (Level 3)"/>
    <w:basedOn w:val="Normal"/>
    <w:rsid w:val="004C5377"/>
    <w:pPr>
      <w:tabs>
        <w:tab w:val="num" w:pos="2126"/>
      </w:tabs>
      <w:ind w:left="2126" w:hanging="709"/>
    </w:pPr>
    <w:rPr>
      <w:rFonts w:eastAsia="Times New Roman"/>
      <w:lang w:eastAsia="de-DE"/>
    </w:rPr>
  </w:style>
  <w:style w:type="paragraph" w:customStyle="1" w:styleId="ListNumberLevel4">
    <w:name w:val="List Number (Level 4)"/>
    <w:basedOn w:val="Normal"/>
    <w:rsid w:val="004C5377"/>
    <w:pPr>
      <w:numPr>
        <w:ilvl w:val="3"/>
        <w:numId w:val="6"/>
      </w:numPr>
    </w:pPr>
    <w:rPr>
      <w:rFonts w:eastAsia="Times New Roman"/>
      <w:lang w:eastAsia="de-DE"/>
    </w:rPr>
  </w:style>
  <w:style w:type="table" w:styleId="TableGrid">
    <w:name w:val="Table Grid"/>
    <w:basedOn w:val="TableNormal"/>
    <w:rsid w:val="004C537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C5377"/>
    <w:rPr>
      <w:color w:val="0000FF"/>
      <w:u w:val="single"/>
    </w:rPr>
  </w:style>
  <w:style w:type="paragraph" w:styleId="ListBullet">
    <w:name w:val="List Bullet"/>
    <w:basedOn w:val="Normal"/>
    <w:rsid w:val="004C5377"/>
    <w:pPr>
      <w:numPr>
        <w:numId w:val="7"/>
      </w:numPr>
    </w:pPr>
    <w:rPr>
      <w:rFonts w:eastAsia="Times New Roman"/>
      <w:lang w:val="fr-FR" w:eastAsia="en-GB"/>
    </w:rPr>
  </w:style>
  <w:style w:type="paragraph" w:styleId="ListBullet2">
    <w:name w:val="List Bullet 2"/>
    <w:basedOn w:val="Normal"/>
    <w:rsid w:val="004C5377"/>
    <w:pPr>
      <w:numPr>
        <w:numId w:val="8"/>
      </w:numPr>
    </w:pPr>
    <w:rPr>
      <w:rFonts w:eastAsia="Times New Roman"/>
      <w:lang w:val="fr-FR" w:eastAsia="en-GB"/>
    </w:rPr>
  </w:style>
  <w:style w:type="paragraph" w:styleId="ListBullet3">
    <w:name w:val="List Bullet 3"/>
    <w:basedOn w:val="Normal"/>
    <w:rsid w:val="004C5377"/>
    <w:pPr>
      <w:numPr>
        <w:numId w:val="9"/>
      </w:numPr>
    </w:pPr>
    <w:rPr>
      <w:rFonts w:eastAsia="Times New Roman"/>
      <w:lang w:val="fr-FR" w:eastAsia="en-GB"/>
    </w:rPr>
  </w:style>
  <w:style w:type="paragraph" w:styleId="ListNumber2">
    <w:name w:val="List Number 2"/>
    <w:basedOn w:val="Normal"/>
    <w:rsid w:val="004C5377"/>
    <w:pPr>
      <w:numPr>
        <w:numId w:val="13"/>
      </w:numPr>
    </w:pPr>
    <w:rPr>
      <w:rFonts w:eastAsia="Times New Roman"/>
      <w:lang w:val="fr-FR" w:eastAsia="en-GB"/>
    </w:rPr>
  </w:style>
  <w:style w:type="paragraph" w:styleId="ListNumber3">
    <w:name w:val="List Number 3"/>
    <w:basedOn w:val="Normal"/>
    <w:rsid w:val="004C5377"/>
    <w:pPr>
      <w:numPr>
        <w:numId w:val="14"/>
      </w:numPr>
    </w:pPr>
    <w:rPr>
      <w:rFonts w:eastAsia="Times New Roman"/>
      <w:lang w:val="fr-FR" w:eastAsia="en-GB"/>
    </w:rPr>
  </w:style>
  <w:style w:type="paragraph" w:styleId="ListNumber4">
    <w:name w:val="List Number 4"/>
    <w:basedOn w:val="Normal"/>
    <w:rsid w:val="004C5377"/>
    <w:pPr>
      <w:numPr>
        <w:numId w:val="15"/>
      </w:numPr>
    </w:pPr>
    <w:rPr>
      <w:rFonts w:eastAsia="Times New Roman"/>
      <w:lang w:val="fr-FR" w:eastAsia="en-GB"/>
    </w:rPr>
  </w:style>
  <w:style w:type="paragraph" w:customStyle="1" w:styleId="ListDash3">
    <w:name w:val="List Dash 3"/>
    <w:basedOn w:val="Normal"/>
    <w:rsid w:val="004C5377"/>
    <w:pPr>
      <w:numPr>
        <w:numId w:val="10"/>
      </w:numPr>
    </w:pPr>
    <w:rPr>
      <w:rFonts w:eastAsia="Times New Roman"/>
      <w:lang w:val="fr-FR" w:eastAsia="en-GB"/>
    </w:rPr>
  </w:style>
  <w:style w:type="paragraph" w:customStyle="1" w:styleId="ListDash4">
    <w:name w:val="List Dash 4"/>
    <w:basedOn w:val="Normal"/>
    <w:rsid w:val="004C5377"/>
    <w:pPr>
      <w:numPr>
        <w:numId w:val="11"/>
      </w:numPr>
    </w:pPr>
    <w:rPr>
      <w:rFonts w:eastAsia="Times New Roman"/>
      <w:lang w:val="fr-FR" w:eastAsia="en-GB"/>
    </w:rPr>
  </w:style>
  <w:style w:type="paragraph" w:customStyle="1" w:styleId="ListNumber1">
    <w:name w:val="List Number 1"/>
    <w:basedOn w:val="Text1"/>
    <w:rsid w:val="004C5377"/>
    <w:pPr>
      <w:tabs>
        <w:tab w:val="num" w:pos="1560"/>
      </w:tabs>
      <w:ind w:left="1560" w:hanging="709"/>
    </w:pPr>
    <w:rPr>
      <w:rFonts w:eastAsia="Times New Roman"/>
      <w:lang w:val="fr-FR" w:eastAsia="en-GB"/>
    </w:rPr>
  </w:style>
  <w:style w:type="paragraph" w:customStyle="1" w:styleId="ListNumber1Level2">
    <w:name w:val="List Number 1 (Level 2)"/>
    <w:basedOn w:val="Text1"/>
    <w:rsid w:val="004C5377"/>
    <w:pPr>
      <w:numPr>
        <w:ilvl w:val="1"/>
        <w:numId w:val="12"/>
      </w:numPr>
    </w:pPr>
    <w:rPr>
      <w:rFonts w:eastAsia="Times New Roman"/>
      <w:lang w:val="fr-FR" w:eastAsia="en-GB"/>
    </w:rPr>
  </w:style>
  <w:style w:type="paragraph" w:customStyle="1" w:styleId="ListNumber2Level2">
    <w:name w:val="List Number 2 (Level 2)"/>
    <w:basedOn w:val="Text2"/>
    <w:rsid w:val="004C5377"/>
    <w:pPr>
      <w:numPr>
        <w:ilvl w:val="1"/>
        <w:numId w:val="13"/>
      </w:numPr>
    </w:pPr>
    <w:rPr>
      <w:rFonts w:eastAsia="Times New Roman"/>
      <w:lang w:val="fr-FR" w:eastAsia="en-GB"/>
    </w:rPr>
  </w:style>
  <w:style w:type="paragraph" w:customStyle="1" w:styleId="ListNumber3Level2">
    <w:name w:val="List Number 3 (Level 2)"/>
    <w:basedOn w:val="Text3"/>
    <w:rsid w:val="004C5377"/>
    <w:pPr>
      <w:numPr>
        <w:ilvl w:val="1"/>
        <w:numId w:val="14"/>
      </w:numPr>
    </w:pPr>
    <w:rPr>
      <w:rFonts w:eastAsia="Times New Roman"/>
      <w:lang w:val="fr-FR" w:eastAsia="en-GB"/>
    </w:rPr>
  </w:style>
  <w:style w:type="paragraph" w:customStyle="1" w:styleId="ListNumber4Level2">
    <w:name w:val="List Number 4 (Level 2)"/>
    <w:basedOn w:val="Text4"/>
    <w:rsid w:val="004C5377"/>
    <w:pPr>
      <w:numPr>
        <w:ilvl w:val="1"/>
        <w:numId w:val="15"/>
      </w:numPr>
    </w:pPr>
    <w:rPr>
      <w:rFonts w:eastAsia="Times New Roman"/>
      <w:lang w:val="fr-FR" w:eastAsia="en-GB"/>
    </w:rPr>
  </w:style>
  <w:style w:type="paragraph" w:customStyle="1" w:styleId="ListNumber1Level3">
    <w:name w:val="List Number 1 (Level 3)"/>
    <w:basedOn w:val="Text1"/>
    <w:rsid w:val="004C5377"/>
    <w:pPr>
      <w:numPr>
        <w:ilvl w:val="2"/>
        <w:numId w:val="12"/>
      </w:numPr>
    </w:pPr>
    <w:rPr>
      <w:rFonts w:eastAsia="Times New Roman"/>
      <w:lang w:val="fr-FR" w:eastAsia="en-GB"/>
    </w:rPr>
  </w:style>
  <w:style w:type="paragraph" w:customStyle="1" w:styleId="ListNumber2Level3">
    <w:name w:val="List Number 2 (Level 3)"/>
    <w:basedOn w:val="Text2"/>
    <w:rsid w:val="004C5377"/>
    <w:pPr>
      <w:numPr>
        <w:ilvl w:val="2"/>
        <w:numId w:val="13"/>
      </w:numPr>
    </w:pPr>
    <w:rPr>
      <w:rFonts w:eastAsia="Times New Roman"/>
      <w:lang w:val="fr-FR" w:eastAsia="en-GB"/>
    </w:rPr>
  </w:style>
  <w:style w:type="paragraph" w:customStyle="1" w:styleId="ListNumber3Level3">
    <w:name w:val="List Number 3 (Level 3)"/>
    <w:basedOn w:val="Text3"/>
    <w:rsid w:val="004C5377"/>
    <w:pPr>
      <w:numPr>
        <w:ilvl w:val="2"/>
        <w:numId w:val="14"/>
      </w:numPr>
    </w:pPr>
    <w:rPr>
      <w:rFonts w:eastAsia="Times New Roman"/>
      <w:lang w:val="fr-FR" w:eastAsia="en-GB"/>
    </w:rPr>
  </w:style>
  <w:style w:type="paragraph" w:customStyle="1" w:styleId="ListNumber4Level3">
    <w:name w:val="List Number 4 (Level 3)"/>
    <w:basedOn w:val="Text4"/>
    <w:rsid w:val="004C5377"/>
    <w:pPr>
      <w:numPr>
        <w:ilvl w:val="2"/>
        <w:numId w:val="15"/>
      </w:numPr>
    </w:pPr>
    <w:rPr>
      <w:rFonts w:eastAsia="Times New Roman"/>
      <w:lang w:val="fr-FR" w:eastAsia="en-GB"/>
    </w:rPr>
  </w:style>
  <w:style w:type="paragraph" w:customStyle="1" w:styleId="ListNumber1Level4">
    <w:name w:val="List Number 1 (Level 4)"/>
    <w:basedOn w:val="Text1"/>
    <w:rsid w:val="004C5377"/>
    <w:pPr>
      <w:numPr>
        <w:ilvl w:val="3"/>
        <w:numId w:val="12"/>
      </w:numPr>
    </w:pPr>
    <w:rPr>
      <w:rFonts w:eastAsia="Times New Roman"/>
      <w:lang w:val="fr-FR" w:eastAsia="en-GB"/>
    </w:rPr>
  </w:style>
  <w:style w:type="paragraph" w:customStyle="1" w:styleId="ListNumber2Level4">
    <w:name w:val="List Number 2 (Level 4)"/>
    <w:basedOn w:val="Text2"/>
    <w:rsid w:val="004C5377"/>
    <w:pPr>
      <w:numPr>
        <w:ilvl w:val="3"/>
        <w:numId w:val="13"/>
      </w:numPr>
    </w:pPr>
    <w:rPr>
      <w:rFonts w:eastAsia="Times New Roman"/>
      <w:lang w:val="fr-FR" w:eastAsia="en-GB"/>
    </w:rPr>
  </w:style>
  <w:style w:type="paragraph" w:customStyle="1" w:styleId="ListNumber3Level4">
    <w:name w:val="List Number 3 (Level 4)"/>
    <w:basedOn w:val="Text3"/>
    <w:rsid w:val="004C5377"/>
    <w:pPr>
      <w:numPr>
        <w:ilvl w:val="3"/>
        <w:numId w:val="14"/>
      </w:numPr>
    </w:pPr>
    <w:rPr>
      <w:rFonts w:eastAsia="Times New Roman"/>
      <w:lang w:val="fr-FR" w:eastAsia="en-GB"/>
    </w:rPr>
  </w:style>
  <w:style w:type="paragraph" w:customStyle="1" w:styleId="ListNumber4Level4">
    <w:name w:val="List Number 4 (Level 4)"/>
    <w:basedOn w:val="Text4"/>
    <w:rsid w:val="004C5377"/>
    <w:pPr>
      <w:numPr>
        <w:ilvl w:val="3"/>
        <w:numId w:val="15"/>
      </w:numPr>
    </w:pPr>
    <w:rPr>
      <w:rFonts w:eastAsia="Times New Roman"/>
      <w:lang w:val="fr-FR" w:eastAsia="en-GB"/>
    </w:rPr>
  </w:style>
  <w:style w:type="paragraph" w:customStyle="1" w:styleId="Annexetitreacte">
    <w:name w:val="Annexe titre (acte)"/>
    <w:basedOn w:val="Normal"/>
    <w:next w:val="Normal"/>
    <w:rsid w:val="004C5377"/>
    <w:pPr>
      <w:jc w:val="center"/>
    </w:pPr>
    <w:rPr>
      <w:rFonts w:eastAsia="Times New Roman"/>
      <w:b/>
      <w:u w:val="single"/>
      <w:lang w:val="fr-FR" w:eastAsia="en-GB"/>
    </w:rPr>
  </w:style>
  <w:style w:type="paragraph" w:customStyle="1" w:styleId="Annexetitreexposglobal">
    <w:name w:val="Annexe titre (exposé global)"/>
    <w:basedOn w:val="Normal"/>
    <w:next w:val="Normal"/>
    <w:rsid w:val="004C5377"/>
    <w:pPr>
      <w:jc w:val="center"/>
    </w:pPr>
    <w:rPr>
      <w:rFonts w:eastAsia="Times New Roman"/>
      <w:b/>
      <w:u w:val="single"/>
      <w:lang w:val="fr-FR" w:eastAsia="en-GB"/>
    </w:rPr>
  </w:style>
  <w:style w:type="paragraph" w:customStyle="1" w:styleId="Annexetitrefichefinacte">
    <w:name w:val="Annexe titre (fiche fin. acte)"/>
    <w:basedOn w:val="Normal"/>
    <w:next w:val="Normal"/>
    <w:rsid w:val="004C537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4C5377"/>
    <w:pPr>
      <w:jc w:val="center"/>
    </w:pPr>
    <w:rPr>
      <w:rFonts w:eastAsia="Times New Roman"/>
      <w:b/>
      <w:u w:val="single"/>
      <w:lang w:val="fr-FR" w:eastAsia="en-GB"/>
    </w:rPr>
  </w:style>
  <w:style w:type="paragraph" w:customStyle="1" w:styleId="Annexetitreglobale">
    <w:name w:val="Annexe titre (globale)"/>
    <w:basedOn w:val="Normal"/>
    <w:next w:val="Normal"/>
    <w:rsid w:val="004C537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4C5377"/>
    <w:pPr>
      <w:jc w:val="center"/>
    </w:pPr>
    <w:rPr>
      <w:rFonts w:eastAsia="Times New Roman"/>
      <w:b/>
      <w:u w:val="single"/>
      <w:lang w:val="fr-FR" w:eastAsia="en-GB"/>
    </w:rPr>
  </w:style>
  <w:style w:type="paragraph" w:customStyle="1" w:styleId="Langueoriginale">
    <w:name w:val="Langue originale"/>
    <w:basedOn w:val="Normal"/>
    <w:rsid w:val="004C5377"/>
    <w:pPr>
      <w:spacing w:before="360"/>
      <w:jc w:val="center"/>
    </w:pPr>
    <w:rPr>
      <w:rFonts w:eastAsia="Times New Roman"/>
      <w:caps/>
      <w:lang w:val="fr-FR" w:eastAsia="en-GB"/>
    </w:rPr>
  </w:style>
  <w:style w:type="paragraph" w:customStyle="1" w:styleId="Phrasefinale">
    <w:name w:val="Phrase finale"/>
    <w:basedOn w:val="Normal"/>
    <w:next w:val="Normal"/>
    <w:rsid w:val="004C5377"/>
    <w:pPr>
      <w:spacing w:before="360" w:after="0"/>
      <w:jc w:val="center"/>
    </w:pPr>
    <w:rPr>
      <w:rFonts w:eastAsia="Times New Roman"/>
      <w:lang w:val="fr-FR" w:eastAsia="en-GB"/>
    </w:rPr>
  </w:style>
  <w:style w:type="paragraph" w:customStyle="1" w:styleId="Prliminairetitre">
    <w:name w:val="Préliminaire titre"/>
    <w:basedOn w:val="Normal"/>
    <w:next w:val="Normal"/>
    <w:rsid w:val="004C5377"/>
    <w:pPr>
      <w:spacing w:before="360" w:after="360"/>
      <w:jc w:val="center"/>
    </w:pPr>
    <w:rPr>
      <w:rFonts w:eastAsia="Times New Roman"/>
      <w:b/>
      <w:lang w:val="fr-FR" w:eastAsia="en-GB"/>
    </w:rPr>
  </w:style>
  <w:style w:type="paragraph" w:customStyle="1" w:styleId="Prliminairetype">
    <w:name w:val="Préliminaire type"/>
    <w:basedOn w:val="Normal"/>
    <w:next w:val="Normal"/>
    <w:rsid w:val="004C537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4C537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4C537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4C537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4C5377"/>
    <w:pPr>
      <w:spacing w:before="0" w:after="0"/>
      <w:jc w:val="center"/>
    </w:pPr>
    <w:rPr>
      <w:rFonts w:eastAsia="Times New Roman"/>
      <w:b/>
      <w:lang w:val="fr-FR" w:eastAsia="en-GB"/>
    </w:rPr>
  </w:style>
  <w:style w:type="paragraph" w:customStyle="1" w:styleId="Statutprliminaire">
    <w:name w:val="Statut (préliminaire)"/>
    <w:basedOn w:val="Normal"/>
    <w:next w:val="Normal"/>
    <w:rsid w:val="004C537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4C537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4C537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4C537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4C537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4C537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4C537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4C537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4C5377"/>
    <w:pPr>
      <w:jc w:val="center"/>
    </w:pPr>
    <w:rPr>
      <w:rFonts w:eastAsia="Times New Roman"/>
      <w:b/>
      <w:u w:val="single"/>
      <w:lang w:val="fr-FR" w:eastAsia="en-GB"/>
    </w:rPr>
  </w:style>
  <w:style w:type="character" w:styleId="CommentReference">
    <w:name w:val="annotation reference"/>
    <w:rsid w:val="004C5377"/>
    <w:rPr>
      <w:rFonts w:cs="Times New Roman"/>
      <w:sz w:val="16"/>
      <w:szCs w:val="16"/>
    </w:rPr>
  </w:style>
  <w:style w:type="paragraph" w:styleId="CommentText">
    <w:name w:val="annotation text"/>
    <w:basedOn w:val="Normal"/>
    <w:link w:val="CommentTextChar"/>
    <w:rsid w:val="004C5377"/>
    <w:rPr>
      <w:rFonts w:eastAsia="Times New Roman"/>
      <w:sz w:val="20"/>
      <w:szCs w:val="20"/>
      <w:lang w:val="fr-FR" w:eastAsia="en-GB"/>
    </w:rPr>
  </w:style>
  <w:style w:type="character" w:customStyle="1" w:styleId="CommentTextChar">
    <w:name w:val="Comment Text Char"/>
    <w:basedOn w:val="DefaultParagraphFont"/>
    <w:link w:val="CommentText"/>
    <w:rsid w:val="004C537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4C5377"/>
    <w:rPr>
      <w:b/>
      <w:bCs/>
    </w:rPr>
  </w:style>
  <w:style w:type="character" w:customStyle="1" w:styleId="CommentSubjectChar">
    <w:name w:val="Comment Subject Char"/>
    <w:basedOn w:val="CommentTextChar"/>
    <w:link w:val="CommentSubject"/>
    <w:rsid w:val="004C537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C537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4C5377"/>
    <w:rPr>
      <w:rFonts w:ascii="Tahoma" w:eastAsia="Times New Roman" w:hAnsi="Tahoma" w:cs="Tahoma"/>
      <w:sz w:val="16"/>
      <w:szCs w:val="16"/>
      <w:lang w:val="fr-FR" w:eastAsia="en-GB"/>
    </w:rPr>
  </w:style>
  <w:style w:type="paragraph" w:styleId="Caption">
    <w:name w:val="caption"/>
    <w:basedOn w:val="Normal"/>
    <w:next w:val="Normal"/>
    <w:qFormat/>
    <w:rsid w:val="004C5377"/>
    <w:rPr>
      <w:rFonts w:eastAsia="Times New Roman"/>
      <w:b/>
      <w:bCs/>
      <w:sz w:val="20"/>
      <w:szCs w:val="20"/>
      <w:lang w:val="fr-FR" w:eastAsia="en-GB"/>
    </w:rPr>
  </w:style>
  <w:style w:type="paragraph" w:styleId="TableofFigures">
    <w:name w:val="table of figures"/>
    <w:basedOn w:val="Normal"/>
    <w:next w:val="Normal"/>
    <w:rsid w:val="004C5377"/>
    <w:rPr>
      <w:rFonts w:eastAsia="Times New Roman"/>
      <w:lang w:val="fr-FR" w:eastAsia="en-GB"/>
    </w:rPr>
  </w:style>
  <w:style w:type="character" w:styleId="PageNumber">
    <w:name w:val="page number"/>
    <w:rsid w:val="004C5377"/>
  </w:style>
  <w:style w:type="character" w:customStyle="1" w:styleId="tw4winMark">
    <w:name w:val="tw4winMark"/>
    <w:rsid w:val="004C5377"/>
    <w:rPr>
      <w:vanish/>
      <w:color w:val="800080"/>
      <w:vertAlign w:val="subscript"/>
    </w:rPr>
  </w:style>
  <w:style w:type="character" w:styleId="FollowedHyperlink">
    <w:name w:val="FollowedHyperlink"/>
    <w:rsid w:val="004C5377"/>
    <w:rPr>
      <w:color w:val="800080"/>
      <w:u w:val="single"/>
    </w:rPr>
  </w:style>
  <w:style w:type="paragraph" w:customStyle="1" w:styleId="Sous-titreobjet">
    <w:name w:val="Sous-titre objet"/>
    <w:basedOn w:val="Normal"/>
    <w:rsid w:val="004C537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C5377"/>
  </w:style>
  <w:style w:type="paragraph" w:styleId="Revision">
    <w:name w:val="Revision"/>
    <w:hidden/>
    <w:uiPriority w:val="99"/>
    <w:semiHidden/>
    <w:rsid w:val="004C537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4C537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C5377"/>
    <w:rPr>
      <w:rFonts w:ascii="Times New Roman" w:hAnsi="Times New Roman" w:cs="Times New Roman"/>
      <w:b/>
      <w:sz w:val="28"/>
      <w:lang w:val="en-GB"/>
    </w:rPr>
  </w:style>
  <w:style w:type="character" w:customStyle="1" w:styleId="FooterCoverPageChar">
    <w:name w:val="Footer Cover Page Char"/>
    <w:link w:val="FooterCoverPage"/>
    <w:rsid w:val="004C537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4C537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C5377"/>
    <w:rPr>
      <w:rFonts w:ascii="Times New Roman" w:eastAsia="Calibri" w:hAnsi="Times New Roman" w:cs="Times New Roman"/>
      <w:sz w:val="24"/>
      <w:lang w:val="en-GB" w:eastAsia="en-GB"/>
    </w:rPr>
  </w:style>
  <w:style w:type="character" w:customStyle="1" w:styleId="FooterSensitivityChar">
    <w:name w:val="Footer Sensitivity Char"/>
    <w:rsid w:val="004C5377"/>
    <w:rPr>
      <w:rFonts w:ascii="Times New Roman" w:hAnsi="Times New Roman" w:cs="Times New Roman"/>
      <w:b/>
      <w:sz w:val="32"/>
      <w:lang w:val="en-GB"/>
    </w:rPr>
  </w:style>
  <w:style w:type="character" w:customStyle="1" w:styleId="HeaderSensitivityChar">
    <w:name w:val="Header Sensitivity Char"/>
    <w:rsid w:val="004C5377"/>
    <w:rPr>
      <w:rFonts w:ascii="Times New Roman" w:hAnsi="Times New Roman" w:cs="Times New Roman"/>
      <w:b/>
      <w:sz w:val="32"/>
      <w:lang w:val="en-GB"/>
    </w:rPr>
  </w:style>
  <w:style w:type="character" w:customStyle="1" w:styleId="HeaderSensitivityRightChar">
    <w:name w:val="Header Sensitivity Right Char"/>
    <w:rsid w:val="004C5377"/>
    <w:rPr>
      <w:rFonts w:ascii="Times New Roman" w:hAnsi="Times New Roman" w:cs="Times New Roman"/>
      <w:sz w:val="28"/>
      <w:lang w:val="en-GB"/>
    </w:rPr>
  </w:style>
  <w:style w:type="paragraph" w:customStyle="1" w:styleId="LegalNumPar">
    <w:name w:val="LegalNumPar"/>
    <w:basedOn w:val="Normal"/>
    <w:rsid w:val="004C5377"/>
    <w:pPr>
      <w:spacing w:line="360" w:lineRule="auto"/>
      <w:ind w:left="476" w:hanging="476"/>
    </w:pPr>
    <w:rPr>
      <w:rFonts w:eastAsia="Times New Roman"/>
      <w:lang w:eastAsia="en-GB"/>
    </w:rPr>
  </w:style>
  <w:style w:type="paragraph" w:customStyle="1" w:styleId="LegalNumPar2">
    <w:name w:val="LegalNumPar2"/>
    <w:basedOn w:val="Normal"/>
    <w:rsid w:val="004C5377"/>
    <w:pPr>
      <w:spacing w:line="360" w:lineRule="auto"/>
      <w:ind w:left="953" w:hanging="477"/>
    </w:pPr>
    <w:rPr>
      <w:rFonts w:eastAsia="Times New Roman"/>
      <w:lang w:eastAsia="en-GB"/>
    </w:rPr>
  </w:style>
  <w:style w:type="paragraph" w:customStyle="1" w:styleId="LegalNumPar3">
    <w:name w:val="LegalNumPar3"/>
    <w:basedOn w:val="Normal"/>
    <w:rsid w:val="004C537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4C5377"/>
    <w:pPr>
      <w:ind w:left="720"/>
      <w:contextualSpacing/>
    </w:pPr>
    <w:rPr>
      <w:rFonts w:eastAsia="Times New Roman"/>
      <w:lang w:eastAsia="en-GB"/>
    </w:rPr>
  </w:style>
  <w:style w:type="character" w:styleId="UnresolvedMention">
    <w:name w:val="Unresolved Mention"/>
    <w:basedOn w:val="DefaultParagraphFont"/>
    <w:uiPriority w:val="99"/>
    <w:unhideWhenUsed/>
    <w:rsid w:val="004C5377"/>
    <w:rPr>
      <w:color w:val="605E5C"/>
      <w:shd w:val="clear" w:color="auto" w:fill="E1DFDD"/>
    </w:rPr>
  </w:style>
  <w:style w:type="character" w:styleId="Strong">
    <w:name w:val="Strong"/>
    <w:basedOn w:val="DefaultParagraphFont"/>
    <w:qFormat/>
    <w:rsid w:val="004C5377"/>
    <w:rPr>
      <w:b/>
      <w:bCs/>
    </w:rPr>
  </w:style>
  <w:style w:type="character" w:styleId="Emphasis">
    <w:name w:val="Emphasis"/>
    <w:basedOn w:val="DefaultParagraphFont"/>
    <w:qFormat/>
    <w:rsid w:val="004C5377"/>
    <w:rPr>
      <w:i/>
      <w:iCs/>
    </w:rPr>
  </w:style>
  <w:style w:type="character" w:styleId="Mention">
    <w:name w:val="Mention"/>
    <w:basedOn w:val="DefaultParagraphFont"/>
    <w:uiPriority w:val="99"/>
    <w:unhideWhenUsed/>
    <w:rsid w:val="004C5377"/>
    <w:rPr>
      <w:color w:val="2B579A"/>
      <w:shd w:val="clear" w:color="auto" w:fill="E1DFDD"/>
    </w:rPr>
  </w:style>
  <w:style w:type="character" w:customStyle="1" w:styleId="normaltextrun">
    <w:name w:val="normaltextrun"/>
    <w:basedOn w:val="DefaultParagraphFont"/>
    <w:rsid w:val="004C5377"/>
  </w:style>
  <w:style w:type="character" w:customStyle="1" w:styleId="eop">
    <w:name w:val="eop"/>
    <w:basedOn w:val="DefaultParagraphFont"/>
    <w:rsid w:val="004C5377"/>
  </w:style>
  <w:style w:type="character" w:customStyle="1" w:styleId="UnresolvedMention1">
    <w:name w:val="Unresolved Mention1"/>
    <w:basedOn w:val="DefaultParagraphFont"/>
    <w:uiPriority w:val="99"/>
    <w:semiHidden/>
    <w:unhideWhenUsed/>
    <w:rsid w:val="004C5377"/>
    <w:rPr>
      <w:color w:val="605E5C"/>
      <w:shd w:val="clear" w:color="auto" w:fill="E1DFDD"/>
    </w:rPr>
  </w:style>
  <w:style w:type="character" w:customStyle="1" w:styleId="Mention1">
    <w:name w:val="Mention1"/>
    <w:basedOn w:val="DefaultParagraphFont"/>
    <w:uiPriority w:val="99"/>
    <w:unhideWhenUsed/>
    <w:rsid w:val="004C5377"/>
    <w:rPr>
      <w:color w:val="2B579A"/>
      <w:shd w:val="clear" w:color="auto" w:fill="E1DFDD"/>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qFormat/>
    <w:rsid w:val="004C5377"/>
    <w:pPr>
      <w:spacing w:before="0" w:after="160" w:line="240" w:lineRule="exact"/>
    </w:pPr>
    <w:rPr>
      <w:rFonts w:asciiTheme="minorHAnsi" w:hAnsiTheme="minorHAnsi" w:cstheme="minorBidi"/>
      <w:sz w:val="22"/>
      <w:vertAlign w:val="superscript"/>
      <w:lang w:val="en-US"/>
    </w:rPr>
  </w:style>
  <w:style w:type="paragraph" w:styleId="NormalWeb">
    <w:name w:val="Normal (Web)"/>
    <w:basedOn w:val="Normal"/>
    <w:uiPriority w:val="99"/>
    <w:unhideWhenUsed/>
    <w:rsid w:val="004C5377"/>
    <w:pPr>
      <w:spacing w:before="100" w:beforeAutospacing="1" w:after="100" w:afterAutospacing="1"/>
      <w:jc w:val="left"/>
    </w:pPr>
    <w:rPr>
      <w:rFonts w:eastAsia="Times New Roman"/>
      <w:szCs w:val="24"/>
      <w:lang w:eastAsia="en-GB"/>
    </w:rPr>
  </w:style>
  <w:style w:type="paragraph" w:customStyle="1" w:styleId="oj-sti-art">
    <w:name w:val="oj-sti-art"/>
    <w:basedOn w:val="Normal"/>
    <w:rsid w:val="004C5377"/>
    <w:pPr>
      <w:spacing w:before="100" w:beforeAutospacing="1" w:after="100" w:afterAutospacing="1"/>
      <w:jc w:val="left"/>
    </w:pPr>
    <w:rPr>
      <w:rFonts w:eastAsia="Times New Roman"/>
      <w:szCs w:val="24"/>
      <w:lang w:val="fr-BE" w:eastAsia="fr-BE"/>
    </w:rPr>
  </w:style>
  <w:style w:type="paragraph" w:customStyle="1" w:styleId="oj-normal">
    <w:name w:val="oj-normal"/>
    <w:basedOn w:val="Normal"/>
    <w:rsid w:val="004C5377"/>
    <w:pPr>
      <w:spacing w:before="100" w:beforeAutospacing="1" w:after="100" w:afterAutospacing="1"/>
      <w:jc w:val="left"/>
    </w:pPr>
    <w:rPr>
      <w:rFonts w:eastAsia="Times New Roman"/>
      <w:szCs w:val="24"/>
      <w:lang w:val="fr-BE" w:eastAsia="fr-BE"/>
    </w:rPr>
  </w:style>
  <w:style w:type="paragraph" w:customStyle="1" w:styleId="pf0">
    <w:name w:val="pf0"/>
    <w:basedOn w:val="Normal"/>
    <w:rsid w:val="004C5377"/>
    <w:pPr>
      <w:spacing w:before="100" w:beforeAutospacing="1" w:after="100" w:afterAutospacing="1"/>
    </w:pPr>
    <w:rPr>
      <w:rFonts w:eastAsia="Times New Roman"/>
      <w:szCs w:val="24"/>
      <w:lang w:val="fr-BE" w:eastAsia="fr-BE"/>
    </w:rPr>
  </w:style>
  <w:style w:type="paragraph" w:customStyle="1" w:styleId="pf1">
    <w:name w:val="pf1"/>
    <w:basedOn w:val="Normal"/>
    <w:rsid w:val="004C5377"/>
    <w:pPr>
      <w:spacing w:before="100" w:beforeAutospacing="1" w:after="100" w:afterAutospacing="1"/>
    </w:pPr>
    <w:rPr>
      <w:rFonts w:eastAsia="Times New Roman"/>
      <w:szCs w:val="24"/>
      <w:lang w:val="fr-BE" w:eastAsia="fr-BE"/>
    </w:rPr>
  </w:style>
  <w:style w:type="character" w:customStyle="1" w:styleId="cf01">
    <w:name w:val="cf01"/>
    <w:basedOn w:val="DefaultParagraphFont"/>
    <w:rsid w:val="004C5377"/>
    <w:rPr>
      <w:rFonts w:ascii="Segoe UI" w:hAnsi="Segoe UI" w:cs="Segoe UI" w:hint="default"/>
      <w:sz w:val="18"/>
      <w:szCs w:val="18"/>
    </w:rPr>
  </w:style>
  <w:style w:type="character" w:customStyle="1" w:styleId="cf11">
    <w:name w:val="cf11"/>
    <w:basedOn w:val="DefaultParagraphFont"/>
    <w:rsid w:val="004C5377"/>
    <w:rPr>
      <w:rFonts w:ascii="Segoe UI" w:hAnsi="Segoe UI" w:cs="Segoe UI" w:hint="default"/>
      <w:color w:val="0000FF"/>
      <w:sz w:val="18"/>
      <w:szCs w:val="18"/>
    </w:rPr>
  </w:style>
  <w:style w:type="paragraph" w:customStyle="1" w:styleId="BodytextAgency">
    <w:name w:val="Body text (Agency)"/>
    <w:basedOn w:val="Normal"/>
    <w:link w:val="BodytextAgencyChar"/>
    <w:qFormat/>
    <w:rsid w:val="004C5377"/>
    <w:pPr>
      <w:spacing w:before="0" w:after="140" w:line="280" w:lineRule="atLeast"/>
      <w:jc w:val="left"/>
    </w:pPr>
    <w:rPr>
      <w:rFonts w:ascii="Verdana" w:eastAsia="Verdana" w:hAnsi="Verdana"/>
      <w:sz w:val="18"/>
      <w:szCs w:val="18"/>
      <w:lang w:eastAsia="en-GB"/>
    </w:rPr>
  </w:style>
  <w:style w:type="character" w:customStyle="1" w:styleId="BodytextAgencyChar">
    <w:name w:val="Body text (Agency) Char"/>
    <w:link w:val="BodytextAgency"/>
    <w:rsid w:val="004C5377"/>
    <w:rPr>
      <w:rFonts w:ascii="Verdana" w:eastAsia="Verdana" w:hAnsi="Verdana" w:cs="Times New Roman"/>
      <w:sz w:val="18"/>
      <w:szCs w:val="18"/>
      <w:lang w:val="en-GB" w:eastAsia="en-GB"/>
    </w:rPr>
  </w:style>
  <w:style w:type="paragraph" w:styleId="NoSpacing">
    <w:name w:val="No Spacing"/>
    <w:uiPriority w:val="1"/>
    <w:qFormat/>
    <w:rsid w:val="004C5377"/>
    <w:pPr>
      <w:spacing w:after="0" w:line="240" w:lineRule="auto"/>
      <w:jc w:val="both"/>
    </w:pPr>
    <w:rPr>
      <w:rFonts w:ascii="Times New Roman" w:hAnsi="Times New Roman" w:cs="Times New Roman"/>
      <w:sz w:val="24"/>
      <w:lang w:val="en-GB"/>
    </w:rPr>
  </w:style>
  <w:style w:type="paragraph" w:customStyle="1" w:styleId="paragraph">
    <w:name w:val="paragraph"/>
    <w:basedOn w:val="Normal"/>
    <w:rsid w:val="004C5377"/>
    <w:pPr>
      <w:spacing w:before="100" w:beforeAutospacing="1" w:after="100" w:afterAutospacing="1"/>
      <w:jc w:val="left"/>
    </w:pPr>
    <w:rPr>
      <w:rFonts w:eastAsia="Times New Roman"/>
      <w:szCs w:val="24"/>
      <w:lang w:val="fr-BE" w:eastAsia="fr-BE"/>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66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8.xml"/><Relationship Id="rId33"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32"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image" Target="media/image3.png"/><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6" Type="http://schemas.openxmlformats.org/officeDocument/2006/relationships/hyperlink" Target="https://eur-lex.europa.eu/legal-content/EN/TXT/?uri=celex:52023PC0193" TargetMode="External"/><Relationship Id="rId21" Type="http://schemas.openxmlformats.org/officeDocument/2006/relationships/hyperlink" Target="https://single-market-economy.ec.europa.eu/industry/sustainability/net-zero-industry-act_en" TargetMode="External"/><Relationship Id="rId42" Type="http://schemas.openxmlformats.org/officeDocument/2006/relationships/hyperlink" Target="https://finance.ec.europa.eu/publications/commission-simplifies-rules-sustainability-and-eu-investments-delivering-over-eu6-billion_en" TargetMode="External"/><Relationship Id="rId47" Type="http://schemas.openxmlformats.org/officeDocument/2006/relationships/hyperlink" Target="https://health.ec.europa.eu/medicinal-products/pharmaceutical-strategy-europe/reform-eu-pharmaceutical-legislation_en" TargetMode="External"/><Relationship Id="rId63" Type="http://schemas.openxmlformats.org/officeDocument/2006/relationships/hyperlink" Target="http://data.europa.eu/eli/reg/2021/522/oj" TargetMode="External"/><Relationship Id="rId68" Type="http://schemas.openxmlformats.org/officeDocument/2006/relationships/hyperlink" Target="http://data.europa.eu/eli/reg/2022/2371/oj" TargetMode="External"/><Relationship Id="rId16" Type="http://schemas.openxmlformats.org/officeDocument/2006/relationships/hyperlink" Target="https://ec.europa.eu/commission/presscorner/detail/en/ip_24_2229" TargetMode="External"/><Relationship Id="rId11" Type="http://schemas.openxmlformats.org/officeDocument/2006/relationships/hyperlink" Target="https://health.ec.europa.eu/medicinal-products/pharmaceutical-strategy-europe/reform-eu-pharmaceutical-legislation_en" TargetMode="External"/><Relationship Id="rId24" Type="http://schemas.openxmlformats.org/officeDocument/2006/relationships/hyperlink" Target="https://health.ec.europa.eu/medicinal-products/pharmaceutical-strategy-europe/reform-eu-pharmaceutical-legislation_en" TargetMode="External"/><Relationship Id="rId32" Type="http://schemas.openxmlformats.org/officeDocument/2006/relationships/hyperlink" Target="https://eur-lex.europa.eu/eli/reg/2022/2372/oj/eng" TargetMode="External"/><Relationship Id="rId37" Type="http://schemas.openxmlformats.org/officeDocument/2006/relationships/hyperlink" Target="https://eur-lex.europa.eu/eli/reg/2021/695/oj/eng" TargetMode="External"/><Relationship Id="rId40" Type="http://schemas.openxmlformats.org/officeDocument/2006/relationships/hyperlink" Target="https://commission.europa.eu/publications/eu-financial-regulation_en" TargetMode="External"/><Relationship Id="rId45" Type="http://schemas.openxmlformats.org/officeDocument/2006/relationships/hyperlink" Target="https://eur-lex.europa.eu/eli/reg/2024/903/oj/eng" TargetMode="External"/><Relationship Id="rId53" Type="http://schemas.openxmlformats.org/officeDocument/2006/relationships/hyperlink" Target="https://health.ec.europa.eu/medicinal-products/pharmaceutical-strategy-europe/reform-eu-pharmaceutical-legislation_en" TargetMode="External"/><Relationship Id="rId58" Type="http://schemas.openxmlformats.org/officeDocument/2006/relationships/hyperlink" Target="https://health.ec.europa.eu/latest-updates/commission-assessment-shows-need-reinforce-resilience-critical-medicines-supply-chains-2024-07-10_en" TargetMode="External"/><Relationship Id="rId66" Type="http://schemas.openxmlformats.org/officeDocument/2006/relationships/hyperlink" Target="http://data.europa.eu/eli/reg/2024/795/oj" TargetMode="External"/><Relationship Id="rId74" Type="http://schemas.openxmlformats.org/officeDocument/2006/relationships/hyperlink" Target="http://data.europa.eu/eli/reg/2021/694/2023-09-21" TargetMode="External"/><Relationship Id="rId5" Type="http://schemas.openxmlformats.org/officeDocument/2006/relationships/hyperlink" Target="https://www.ja-chessmen.eu/work-packages" TargetMode="External"/><Relationship Id="rId61" Type="http://schemas.openxmlformats.org/officeDocument/2006/relationships/hyperlink" Target="https://www.oecd.org/en/publications/shortages-of-medicines-in-oecd-countries_b5d9e15d-en.html" TargetMode="External"/><Relationship Id="rId19" Type="http://schemas.openxmlformats.org/officeDocument/2006/relationships/hyperlink" Target="https://commission.europa.eu/strategy-and-policy/priorities-2019-2024/promoting-our-european-way-life/european-health-union_en" TargetMode="External"/><Relationship Id="rId14" Type="http://schemas.openxmlformats.org/officeDocument/2006/relationships/hyperlink" Target="https://www.ema.europa.eu/en/human-regulatory-overview/post-authorisation/medicine-shortages-availability-issues/availability-medicines-during-crises/union-list-critical-medicines" TargetMode="External"/><Relationship Id="rId22" Type="http://schemas.openxmlformats.org/officeDocument/2006/relationships/hyperlink" Target="https://health.ec.europa.eu/medicinal-products/orphan-medicinal-products_en" TargetMode="External"/><Relationship Id="rId27" Type="http://schemas.openxmlformats.org/officeDocument/2006/relationships/hyperlink" Target="https://health.ec.europa.eu/medicinal-products/pharmaceutical-strategy-europe/structured-dialogue-security-medicines-supply_en" TargetMode="External"/><Relationship Id="rId30" Type="http://schemas.openxmlformats.org/officeDocument/2006/relationships/hyperlink" Target="https://www.ema.europa.eu/en/human-regulatory-overview/post-authorisation/medicine-shortages-availability-issues/european-shortages-monitoring-platform" TargetMode="External"/><Relationship Id="rId35" Type="http://schemas.openxmlformats.org/officeDocument/2006/relationships/hyperlink" Target="https://commission.europa.eu/priorities-2024-2029/competitiveness_en" TargetMode="External"/><Relationship Id="rId43" Type="http://schemas.openxmlformats.org/officeDocument/2006/relationships/hyperlink" Target="https://eur-lex.europa.eu/eli/reg/2024/1689/oj/eng" TargetMode="External"/><Relationship Id="rId48" Type="http://schemas.openxmlformats.org/officeDocument/2006/relationships/hyperlink" Target="https://health.ec.europa.eu/medicinal-products/pharmaceutical-strategy-europe/structured-dialogue-security-medicines-supply_en" TargetMode="External"/><Relationship Id="rId56" Type="http://schemas.openxmlformats.org/officeDocument/2006/relationships/hyperlink" Target="https://ec.europa.eu/info/law/better-regulation/have-your-say/initiatives/14486-Critical-Medicines-Act_en" TargetMode="External"/><Relationship Id="rId64" Type="http://schemas.openxmlformats.org/officeDocument/2006/relationships/hyperlink" Target="http://data.europa.eu/eli/reg/2021/694/2023-09-21" TargetMode="External"/><Relationship Id="rId69" Type="http://schemas.openxmlformats.org/officeDocument/2006/relationships/hyperlink" Target="http://data.europa.eu/eli/reg/2016/369/oj" TargetMode="External"/><Relationship Id="rId77" Type="http://schemas.openxmlformats.org/officeDocument/2006/relationships/hyperlink" Target="http://data.europa.eu/eli/reg/2024/2509/oj" TargetMode="External"/><Relationship Id="rId8" Type="http://schemas.openxmlformats.org/officeDocument/2006/relationships/hyperlink" Target="https://health.ec.europa.eu/medicinal-products/pharmaceutical-strategy-europe_en" TargetMode="External"/><Relationship Id="rId51" Type="http://schemas.openxmlformats.org/officeDocument/2006/relationships/hyperlink" Target="https://op.europa.eu/en/publication-detail/-/publication/1f8185d5-5325-11ec-91ac-01aa75ed71a1/language-en" TargetMode="External"/><Relationship Id="rId72" Type="http://schemas.openxmlformats.org/officeDocument/2006/relationships/hyperlink" Target="http://data.europa.eu/eli/reg/2021/522/oj" TargetMode="External"/><Relationship Id="rId3" Type="http://schemas.openxmlformats.org/officeDocument/2006/relationships/hyperlink" Target="https://www.ema.europa.eu/en/human-regulatory-overview/marketing-authorisation/generic-hybrid-medicines" TargetMode="External"/><Relationship Id="rId12" Type="http://schemas.openxmlformats.org/officeDocument/2006/relationships/hyperlink" Target="https://eur-lex.europa.eu/legal-content/EN/TXT/?uri=uriserv%3AOJ.L_.2022.020.01.0001.01.ENG" TargetMode="External"/><Relationship Id="rId17" Type="http://schemas.openxmlformats.org/officeDocument/2006/relationships/hyperlink" Target="https://health.ec.europa.eu/document/download/3da9dfc0-c5e0-4583-a0f1-1652c7c18c3c_en?filename=hera_cma_strat-report_en.pdf" TargetMode="External"/><Relationship Id="rId25" Type="http://schemas.openxmlformats.org/officeDocument/2006/relationships/hyperlink" Target="https://health.ec.europa.eu/medicinal-products/pharmaceutical-strategy-europe_en" TargetMode="External"/><Relationship Id="rId33" Type="http://schemas.openxmlformats.org/officeDocument/2006/relationships/hyperlink" Target="https://eur-lex.europa.eu/eli/reg/2021/2282/oj/eng" TargetMode="External"/><Relationship Id="rId38" Type="http://schemas.openxmlformats.org/officeDocument/2006/relationships/hyperlink" Target="https://eur-lex.europa.eu/legal-content/EN/TXT/?uri=celex:52020DC0102" TargetMode="External"/><Relationship Id="rId46" Type="http://schemas.openxmlformats.org/officeDocument/2006/relationships/hyperlink" Target="https://ted.europa.eu/en/" TargetMode="External"/><Relationship Id="rId59" Type="http://schemas.openxmlformats.org/officeDocument/2006/relationships/hyperlink" Target="https://op.europa.eu/s/z1Rz" TargetMode="External"/><Relationship Id="rId67" Type="http://schemas.openxmlformats.org/officeDocument/2006/relationships/hyperlink" Target="https://op.europa.eu/en/publication-detail/-/publication/d1d3df9b-03e9-11ed-acce-01aa75ed71a1/language-en" TargetMode="External"/><Relationship Id="rId20" Type="http://schemas.openxmlformats.org/officeDocument/2006/relationships/hyperlink" Target="https://ec.europa.eu/commission/presscorner/detail/en/ip_23_1661" TargetMode="External"/><Relationship Id="rId41" Type="http://schemas.openxmlformats.org/officeDocument/2006/relationships/hyperlink" Target="https://single-market-economy.ec.europa.eu/news/commission-launches-call-evidence-and-public-consultation-evaluation-public-procurement-directives-2024-12-13_en" TargetMode="External"/><Relationship Id="rId54" Type="http://schemas.openxmlformats.org/officeDocument/2006/relationships/hyperlink" Target="https://health.ec.europa.eu/document/download/783cdcbd-791e-4a92-ae3e-2cb55b7b4414_en?filename=mp_ia_revision-pharma-legislation_annexes_4-6_9-14_en.pdf" TargetMode="External"/><Relationship Id="rId62" Type="http://schemas.openxmlformats.org/officeDocument/2006/relationships/hyperlink" Target="http://data.europa.eu/eli/reg/2022/123/oj" TargetMode="External"/><Relationship Id="rId70" Type="http://schemas.openxmlformats.org/officeDocument/2006/relationships/hyperlink" Target="http://data.europa.eu/eli/reg/2022/2372/oj" TargetMode="External"/><Relationship Id="rId75" Type="http://schemas.openxmlformats.org/officeDocument/2006/relationships/hyperlink" Target="https://eur-lex.europa.eu/legal-content/EN/AUTO/?uri=OJ:L:2014:094:TOC" TargetMode="External"/><Relationship Id="rId1" Type="http://schemas.openxmlformats.org/officeDocument/2006/relationships/hyperlink" Target="https://health.ec.europa.eu/publications/impact-assessment-report-and-executive-summary-accompanying-revision-general-pharmaceutical_en" TargetMode="External"/><Relationship Id="rId6" Type="http://schemas.openxmlformats.org/officeDocument/2006/relationships/hyperlink" Target="https://www.europarl.europa.eu/doceo/document/TA-8-2017-0061_EN.html" TargetMode="External"/><Relationship Id="rId15" Type="http://schemas.openxmlformats.org/officeDocument/2006/relationships/hyperlink" Target="https://health.ec.europa.eu/health-emergency-preparedness-and-response-hera/overview/critical-medicines-alliance_en" TargetMode="External"/><Relationship Id="rId23" Type="http://schemas.openxmlformats.org/officeDocument/2006/relationships/hyperlink" Target="https://eur-lex.europa.eu/legal-content/EN/TXT/?uri=oj:JOC_2012_326_R_TOC" TargetMode="External"/><Relationship Id="rId28" Type="http://schemas.openxmlformats.org/officeDocument/2006/relationships/hyperlink" Target="https://health.ec.europa.eu/system/files/2022-10/mp_vulnerabilities_global-supply_swd_en.pdf" TargetMode="External"/><Relationship Id="rId36" Type="http://schemas.openxmlformats.org/officeDocument/2006/relationships/hyperlink" Target="https://eur-lex.europa.eu/legal-content/EN/TXT/PDF/?uri=CELEX:52020DC0761" TargetMode="External"/><Relationship Id="rId49" Type="http://schemas.openxmlformats.org/officeDocument/2006/relationships/hyperlink" Target="https://health.ec.europa.eu/health-emergency-preparedness-and-response-hera/overview/critical-medicines-alliance_en" TargetMode="External"/><Relationship Id="rId57" Type="http://schemas.openxmlformats.org/officeDocument/2006/relationships/hyperlink" Target="https://www.ema.europa.eu/en/human-regulatory-overview/post-authorisation/medicine-shortages-availability-issues/availability-medicines-during-crises/union-list-critical-medicines" TargetMode="External"/><Relationship Id="rId10" Type="http://schemas.openxmlformats.org/officeDocument/2006/relationships/hyperlink" Target="https://health.ec.europa.eu/system/files/2022-10/mp_vulnerabilities_global-supply_swd_en.pdf" TargetMode="External"/><Relationship Id="rId31" Type="http://schemas.openxmlformats.org/officeDocument/2006/relationships/hyperlink" Target="https://eur-lex.europa.eu/eli/reg/2022/2371/oj/eng" TargetMode="External"/><Relationship Id="rId44" Type="http://schemas.openxmlformats.org/officeDocument/2006/relationships/hyperlink" Target="https://eur-lex.europa.eu/legal-content/EN/TXT/?uri=CELEX%3A32022L2555&amp;qid=1718263585642" TargetMode="External"/><Relationship Id="rId52" Type="http://schemas.openxmlformats.org/officeDocument/2006/relationships/hyperlink" Target="https://health.ec.europa.eu/document/download/bd92f46c-4c55-4fed-8642-81b0aa30ff22_en?filename=structured-dialogue_lp_en.pdf" TargetMode="External"/><Relationship Id="rId60" Type="http://schemas.openxmlformats.org/officeDocument/2006/relationships/hyperlink" Target="https://efcg.cefic.org/wp-content/uploads/2025/01/Advancy-Sicos-report-extract-protected.pdf" TargetMode="External"/><Relationship Id="rId65" Type="http://schemas.openxmlformats.org/officeDocument/2006/relationships/hyperlink" Target="http://data.europa.eu/eli/reg/2021/695/oj" TargetMode="External"/><Relationship Id="rId73" Type="http://schemas.openxmlformats.org/officeDocument/2006/relationships/hyperlink" Target="http://data.europa.eu/eli/reg/2021/695/oj" TargetMode="External"/><Relationship Id="rId78" Type="http://schemas.openxmlformats.org/officeDocument/2006/relationships/hyperlink" Target="https://myintracomm.ec.europa.eu/corp/budget/financial-rules/budget-implementation/Pages/implementation-methods.aspx" TargetMode="External"/><Relationship Id="rId4" Type="http://schemas.openxmlformats.org/officeDocument/2006/relationships/hyperlink" Target="https://single-market-economy.ec.europa.eu/industry/strategy/intellectual-property/patent-protection-eu_en" TargetMode="External"/><Relationship Id="rId9" Type="http://schemas.openxmlformats.org/officeDocument/2006/relationships/hyperlink" Target="https://health.ec.europa.eu/medicinal-products/pharmaceutical-strategy-europe/structured-dialogue-security-medicines-supply_en" TargetMode="External"/><Relationship Id="rId13" Type="http://schemas.openxmlformats.org/officeDocument/2006/relationships/hyperlink" Target="https://commission.europa.eu/system/files/2023-10/Communication_medicines_shortages_EN_0.pdf" TargetMode="External"/><Relationship Id="rId18" Type="http://schemas.openxmlformats.org/officeDocument/2006/relationships/hyperlink" Target="https://commission.europa.eu/document/download/b1817a1b-e62e-4949-bbb8-ebf29b54c8bd_en?filename=Mission%20letter%20-%20VARHELYI.pdf" TargetMode="External"/><Relationship Id="rId39" Type="http://schemas.openxmlformats.org/officeDocument/2006/relationships/hyperlink" Target="https://commission.europa.eu/topics/eu-competitiveness/clean-industrial-deal_en" TargetMode="External"/><Relationship Id="rId34" Type="http://schemas.openxmlformats.org/officeDocument/2006/relationships/hyperlink" Target="https://health.ec.europa.eu/health-emergency-preparedness-and-response-hera/overview/critical-medicines-alliance_en" TargetMode="External"/><Relationship Id="rId50" Type="http://schemas.openxmlformats.org/officeDocument/2006/relationships/hyperlink" Target="https://health.ec.europa.eu/medicinal-products/pharmaceutical-strategy-europe/reform-eu-pharmaceutical-legislation_en" TargetMode="External"/><Relationship Id="rId55" Type="http://schemas.openxmlformats.org/officeDocument/2006/relationships/hyperlink" Target="https://health.ec.europa.eu/health-emergency-preparedness-and-response-hera/overview/critical-medicines-alliance_en" TargetMode="External"/><Relationship Id="rId76" Type="http://schemas.openxmlformats.org/officeDocument/2006/relationships/hyperlink" Target="http://data.europa.eu/eli/dir/2014/24/2024-01-01" TargetMode="External"/><Relationship Id="rId7" Type="http://schemas.openxmlformats.org/officeDocument/2006/relationships/hyperlink" Target="https://data.consilium.europa.eu/doc/document/ST-9750-2021-INIT/en/pdf" TargetMode="External"/><Relationship Id="rId71" Type="http://schemas.openxmlformats.org/officeDocument/2006/relationships/hyperlink" Target="http://data.europa.eu/eli/reg/2020/2093/oj" TargetMode="External"/><Relationship Id="rId2" Type="http://schemas.openxmlformats.org/officeDocument/2006/relationships/hyperlink" Target="https://www.iqvia.com/-/media/iqvia/pdfs/library/white-papers/iqvia-true-value-of-generic-medicines-04-24-forweb.pdf" TargetMode="External"/><Relationship Id="rId29" Type="http://schemas.openxmlformats.org/officeDocument/2006/relationships/hyperlink" Target="https://eur-lex.europa.eu/legal-content/EN/TXT/?uri=uriserv%3AOJ.L_.2022.020.01.0001.01.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A097C0D8CB854C8C55A6C28E332560" ma:contentTypeVersion="4" ma:contentTypeDescription="Create a new document." ma:contentTypeScope="" ma:versionID="f548d2d038b955108b4f58ebe2f3a254">
  <xsd:schema xmlns:xsd="http://www.w3.org/2001/XMLSchema" xmlns:xs="http://www.w3.org/2001/XMLSchema" xmlns:p="http://schemas.microsoft.com/office/2006/metadata/properties" xmlns:ns2="f169fe71-bc85-47a7-b401-02373f13cbab" targetNamespace="http://schemas.microsoft.com/office/2006/metadata/properties" ma:root="true" ma:fieldsID="35c02513ffc13f57453046f57696dc4e" ns2:_="">
    <xsd:import namespace="f169fe71-bc85-47a7-b401-02373f13cb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9fe71-bc85-47a7-b401-02373f13c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8D4F70-9553-40E2-AD1A-05F5A5164AD7}">
  <ds:schemaRefs>
    <ds:schemaRef ds:uri="http://schemas.openxmlformats.org/officeDocument/2006/bibliography"/>
  </ds:schemaRefs>
</ds:datastoreItem>
</file>

<file path=customXml/itemProps2.xml><?xml version="1.0" encoding="utf-8"?>
<ds:datastoreItem xmlns:ds="http://schemas.openxmlformats.org/officeDocument/2006/customXml" ds:itemID="{2EF50C73-E8B0-478C-B0DB-141B016E9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9fe71-bc85-47a7-b401-02373f13c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5C6FA0-E089-4C5C-945D-CC150E9C61E3}">
  <ds:schemaRefs>
    <ds:schemaRef ds:uri="http://schemas.microsoft.com/sharepoint/v3/contenttype/forms"/>
  </ds:schemaRefs>
</ds:datastoreItem>
</file>

<file path=customXml/itemProps4.xml><?xml version="1.0" encoding="utf-8"?>
<ds:datastoreItem xmlns:ds="http://schemas.openxmlformats.org/officeDocument/2006/customXml" ds:itemID="{D0F828BA-0761-4D76-BBD0-AFCB167329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Pages>
  <Words>23988</Words>
  <Characters>139612</Characters>
  <Application>Microsoft Office Word</Application>
  <DocSecurity>0</DocSecurity>
  <Lines>3773</Lines>
  <Paragraphs>1947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161653</CharactersWithSpaces>
  <SharedDoc>false</SharedDoc>
  <HLinks>
    <vt:vector size="468" baseType="variant">
      <vt:variant>
        <vt:i4>262150</vt:i4>
      </vt:variant>
      <vt:variant>
        <vt:i4>234</vt:i4>
      </vt:variant>
      <vt:variant>
        <vt:i4>0</vt:i4>
      </vt:variant>
      <vt:variant>
        <vt:i4>5</vt:i4>
      </vt:variant>
      <vt:variant>
        <vt:lpwstr>https://myintracomm.ec.europa.eu/corp/budget/financial-rules/budget-implementation/Pages/implementation-methods.aspx</vt:lpwstr>
      </vt:variant>
      <vt:variant>
        <vt:lpwstr/>
      </vt:variant>
      <vt:variant>
        <vt:i4>7209056</vt:i4>
      </vt:variant>
      <vt:variant>
        <vt:i4>231</vt:i4>
      </vt:variant>
      <vt:variant>
        <vt:i4>0</vt:i4>
      </vt:variant>
      <vt:variant>
        <vt:i4>5</vt:i4>
      </vt:variant>
      <vt:variant>
        <vt:lpwstr>http://data.europa.eu/eli/reg/2024/2509/oj</vt:lpwstr>
      </vt:variant>
      <vt:variant>
        <vt:lpwstr/>
      </vt:variant>
      <vt:variant>
        <vt:i4>1048603</vt:i4>
      </vt:variant>
      <vt:variant>
        <vt:i4>228</vt:i4>
      </vt:variant>
      <vt:variant>
        <vt:i4>0</vt:i4>
      </vt:variant>
      <vt:variant>
        <vt:i4>5</vt:i4>
      </vt:variant>
      <vt:variant>
        <vt:lpwstr>http://data.europa.eu/eli/dir/2014/24/2024-01-01</vt:lpwstr>
      </vt:variant>
      <vt:variant>
        <vt:lpwstr/>
      </vt:variant>
      <vt:variant>
        <vt:i4>7340151</vt:i4>
      </vt:variant>
      <vt:variant>
        <vt:i4>225</vt:i4>
      </vt:variant>
      <vt:variant>
        <vt:i4>0</vt:i4>
      </vt:variant>
      <vt:variant>
        <vt:i4>5</vt:i4>
      </vt:variant>
      <vt:variant>
        <vt:lpwstr>https://eur-lex.europa.eu/legal-content/EN/AUTO/?uri=OJ:L:2014:094:TOC</vt:lpwstr>
      </vt:variant>
      <vt:variant>
        <vt:lpwstr/>
      </vt:variant>
      <vt:variant>
        <vt:i4>524299</vt:i4>
      </vt:variant>
      <vt:variant>
        <vt:i4>222</vt:i4>
      </vt:variant>
      <vt:variant>
        <vt:i4>0</vt:i4>
      </vt:variant>
      <vt:variant>
        <vt:i4>5</vt:i4>
      </vt:variant>
      <vt:variant>
        <vt:lpwstr>http://data.europa.eu/eli/reg/2021/694/2023-09-21</vt:lpwstr>
      </vt:variant>
      <vt:variant>
        <vt:lpwstr/>
      </vt:variant>
      <vt:variant>
        <vt:i4>4194325</vt:i4>
      </vt:variant>
      <vt:variant>
        <vt:i4>219</vt:i4>
      </vt:variant>
      <vt:variant>
        <vt:i4>0</vt:i4>
      </vt:variant>
      <vt:variant>
        <vt:i4>5</vt:i4>
      </vt:variant>
      <vt:variant>
        <vt:lpwstr>http://data.europa.eu/eli/reg/2021/695/oj</vt:lpwstr>
      </vt:variant>
      <vt:variant>
        <vt:lpwstr/>
      </vt:variant>
      <vt:variant>
        <vt:i4>4456478</vt:i4>
      </vt:variant>
      <vt:variant>
        <vt:i4>216</vt:i4>
      </vt:variant>
      <vt:variant>
        <vt:i4>0</vt:i4>
      </vt:variant>
      <vt:variant>
        <vt:i4>5</vt:i4>
      </vt:variant>
      <vt:variant>
        <vt:lpwstr>http://data.europa.eu/eli/reg/2021/522/oj</vt:lpwstr>
      </vt:variant>
      <vt:variant>
        <vt:lpwstr/>
      </vt:variant>
      <vt:variant>
        <vt:i4>6488175</vt:i4>
      </vt:variant>
      <vt:variant>
        <vt:i4>213</vt:i4>
      </vt:variant>
      <vt:variant>
        <vt:i4>0</vt:i4>
      </vt:variant>
      <vt:variant>
        <vt:i4>5</vt:i4>
      </vt:variant>
      <vt:variant>
        <vt:lpwstr>http://data.europa.eu/eli/reg/2020/2093/oj</vt:lpwstr>
      </vt:variant>
      <vt:variant>
        <vt:lpwstr/>
      </vt:variant>
      <vt:variant>
        <vt:i4>7274605</vt:i4>
      </vt:variant>
      <vt:variant>
        <vt:i4>210</vt:i4>
      </vt:variant>
      <vt:variant>
        <vt:i4>0</vt:i4>
      </vt:variant>
      <vt:variant>
        <vt:i4>5</vt:i4>
      </vt:variant>
      <vt:variant>
        <vt:lpwstr>http://data.europa.eu/eli/reg/2022/2372/oj</vt:lpwstr>
      </vt:variant>
      <vt:variant>
        <vt:lpwstr/>
      </vt:variant>
      <vt:variant>
        <vt:i4>5111833</vt:i4>
      </vt:variant>
      <vt:variant>
        <vt:i4>204</vt:i4>
      </vt:variant>
      <vt:variant>
        <vt:i4>0</vt:i4>
      </vt:variant>
      <vt:variant>
        <vt:i4>5</vt:i4>
      </vt:variant>
      <vt:variant>
        <vt:lpwstr>http://data.europa.eu/eli/reg/2016/369/oj</vt:lpwstr>
      </vt:variant>
      <vt:variant>
        <vt:lpwstr/>
      </vt:variant>
      <vt:variant>
        <vt:i4>7274606</vt:i4>
      </vt:variant>
      <vt:variant>
        <vt:i4>201</vt:i4>
      </vt:variant>
      <vt:variant>
        <vt:i4>0</vt:i4>
      </vt:variant>
      <vt:variant>
        <vt:i4>5</vt:i4>
      </vt:variant>
      <vt:variant>
        <vt:lpwstr>http://data.europa.eu/eli/reg/2022/2371/oj</vt:lpwstr>
      </vt:variant>
      <vt:variant>
        <vt:lpwstr/>
      </vt:variant>
      <vt:variant>
        <vt:i4>1769548</vt:i4>
      </vt:variant>
      <vt:variant>
        <vt:i4>198</vt:i4>
      </vt:variant>
      <vt:variant>
        <vt:i4>0</vt:i4>
      </vt:variant>
      <vt:variant>
        <vt:i4>5</vt:i4>
      </vt:variant>
      <vt:variant>
        <vt:lpwstr>https://op.europa.eu/en/publication-detail/-/publication/d1d3df9b-03e9-11ed-acce-01aa75ed71a1/language-en</vt:lpwstr>
      </vt:variant>
      <vt:variant>
        <vt:lpwstr/>
      </vt:variant>
      <vt:variant>
        <vt:i4>4456469</vt:i4>
      </vt:variant>
      <vt:variant>
        <vt:i4>195</vt:i4>
      </vt:variant>
      <vt:variant>
        <vt:i4>0</vt:i4>
      </vt:variant>
      <vt:variant>
        <vt:i4>5</vt:i4>
      </vt:variant>
      <vt:variant>
        <vt:lpwstr>http://data.europa.eu/eli/reg/2024/795/oj</vt:lpwstr>
      </vt:variant>
      <vt:variant>
        <vt:lpwstr/>
      </vt:variant>
      <vt:variant>
        <vt:i4>4194325</vt:i4>
      </vt:variant>
      <vt:variant>
        <vt:i4>192</vt:i4>
      </vt:variant>
      <vt:variant>
        <vt:i4>0</vt:i4>
      </vt:variant>
      <vt:variant>
        <vt:i4>5</vt:i4>
      </vt:variant>
      <vt:variant>
        <vt:lpwstr>http://data.europa.eu/eli/reg/2021/695/oj</vt:lpwstr>
      </vt:variant>
      <vt:variant>
        <vt:lpwstr/>
      </vt:variant>
      <vt:variant>
        <vt:i4>524299</vt:i4>
      </vt:variant>
      <vt:variant>
        <vt:i4>189</vt:i4>
      </vt:variant>
      <vt:variant>
        <vt:i4>0</vt:i4>
      </vt:variant>
      <vt:variant>
        <vt:i4>5</vt:i4>
      </vt:variant>
      <vt:variant>
        <vt:lpwstr>http://data.europa.eu/eli/reg/2021/694/2023-09-21</vt:lpwstr>
      </vt:variant>
      <vt:variant>
        <vt:lpwstr/>
      </vt:variant>
      <vt:variant>
        <vt:i4>4456478</vt:i4>
      </vt:variant>
      <vt:variant>
        <vt:i4>186</vt:i4>
      </vt:variant>
      <vt:variant>
        <vt:i4>0</vt:i4>
      </vt:variant>
      <vt:variant>
        <vt:i4>5</vt:i4>
      </vt:variant>
      <vt:variant>
        <vt:lpwstr>http://data.europa.eu/eli/reg/2021/522/oj</vt:lpwstr>
      </vt:variant>
      <vt:variant>
        <vt:lpwstr/>
      </vt:variant>
      <vt:variant>
        <vt:i4>4325406</vt:i4>
      </vt:variant>
      <vt:variant>
        <vt:i4>183</vt:i4>
      </vt:variant>
      <vt:variant>
        <vt:i4>0</vt:i4>
      </vt:variant>
      <vt:variant>
        <vt:i4>5</vt:i4>
      </vt:variant>
      <vt:variant>
        <vt:lpwstr>http://data.europa.eu/eli/reg/2022/123/oj</vt:lpwstr>
      </vt:variant>
      <vt:variant>
        <vt:lpwstr/>
      </vt:variant>
      <vt:variant>
        <vt:i4>393324</vt:i4>
      </vt:variant>
      <vt:variant>
        <vt:i4>180</vt:i4>
      </vt:variant>
      <vt:variant>
        <vt:i4>0</vt:i4>
      </vt:variant>
      <vt:variant>
        <vt:i4>5</vt:i4>
      </vt:variant>
      <vt:variant>
        <vt:lpwstr>https://www.oecd.org/en/publications/shortages-of-medicines-in-oecd-countries_b5d9e15d-en.html</vt:lpwstr>
      </vt:variant>
      <vt:variant>
        <vt:lpwstr/>
      </vt:variant>
      <vt:variant>
        <vt:i4>5636190</vt:i4>
      </vt:variant>
      <vt:variant>
        <vt:i4>177</vt:i4>
      </vt:variant>
      <vt:variant>
        <vt:i4>0</vt:i4>
      </vt:variant>
      <vt:variant>
        <vt:i4>5</vt:i4>
      </vt:variant>
      <vt:variant>
        <vt:lpwstr>https://efcg.cefic.org/wp-content/uploads/2025/01/Advancy-Sicos-report-extract-protected.pdf</vt:lpwstr>
      </vt:variant>
      <vt:variant>
        <vt:lpwstr/>
      </vt:variant>
      <vt:variant>
        <vt:i4>2490414</vt:i4>
      </vt:variant>
      <vt:variant>
        <vt:i4>174</vt:i4>
      </vt:variant>
      <vt:variant>
        <vt:i4>0</vt:i4>
      </vt:variant>
      <vt:variant>
        <vt:i4>5</vt:i4>
      </vt:variant>
      <vt:variant>
        <vt:lpwstr>https://op.europa.eu/s/z1Rz</vt:lpwstr>
      </vt:variant>
      <vt:variant>
        <vt:lpwstr/>
      </vt:variant>
      <vt:variant>
        <vt:i4>3145805</vt:i4>
      </vt:variant>
      <vt:variant>
        <vt:i4>171</vt:i4>
      </vt:variant>
      <vt:variant>
        <vt:i4>0</vt:i4>
      </vt:variant>
      <vt:variant>
        <vt:i4>5</vt:i4>
      </vt:variant>
      <vt:variant>
        <vt:lpwstr>https://health.ec.europa.eu/latest-updates/commission-assessment-shows-need-reinforce-resilience-critical-medicines-supply-chains-2024-07-10_en</vt:lpwstr>
      </vt:variant>
      <vt:variant>
        <vt:lpwstr/>
      </vt:variant>
      <vt:variant>
        <vt:i4>7340131</vt:i4>
      </vt:variant>
      <vt:variant>
        <vt:i4>168</vt:i4>
      </vt:variant>
      <vt:variant>
        <vt:i4>0</vt:i4>
      </vt:variant>
      <vt:variant>
        <vt:i4>5</vt:i4>
      </vt:variant>
      <vt:variant>
        <vt:lpwstr>https://www.ema.europa.eu/en/human-regulatory-overview/post-authorisation/medicine-shortages-availability-issues/availability-medicines-during-crises/union-list-critical-medicines</vt:lpwstr>
      </vt:variant>
      <vt:variant>
        <vt:lpwstr/>
      </vt:variant>
      <vt:variant>
        <vt:i4>1179705</vt:i4>
      </vt:variant>
      <vt:variant>
        <vt:i4>165</vt:i4>
      </vt:variant>
      <vt:variant>
        <vt:i4>0</vt:i4>
      </vt:variant>
      <vt:variant>
        <vt:i4>5</vt:i4>
      </vt:variant>
      <vt:variant>
        <vt:lpwstr>https://ec.europa.eu/info/law/better-regulation/have-your-say/initiatives/14486-Critical-Medicines-Act_en</vt:lpwstr>
      </vt:variant>
      <vt:variant>
        <vt:lpwstr/>
      </vt:variant>
      <vt:variant>
        <vt:i4>7012354</vt:i4>
      </vt:variant>
      <vt:variant>
        <vt:i4>162</vt:i4>
      </vt:variant>
      <vt:variant>
        <vt:i4>0</vt:i4>
      </vt:variant>
      <vt:variant>
        <vt:i4>5</vt:i4>
      </vt:variant>
      <vt:variant>
        <vt:lpwstr>https://health.ec.europa.eu/health-emergency-preparedness-and-response-hera/overview/critical-medicines-alliance_en</vt:lpwstr>
      </vt:variant>
      <vt:variant>
        <vt:lpwstr>strategic-report</vt:lpwstr>
      </vt:variant>
      <vt:variant>
        <vt:i4>4522017</vt:i4>
      </vt:variant>
      <vt:variant>
        <vt:i4>159</vt:i4>
      </vt:variant>
      <vt:variant>
        <vt:i4>0</vt:i4>
      </vt:variant>
      <vt:variant>
        <vt:i4>5</vt:i4>
      </vt:variant>
      <vt:variant>
        <vt:lpwstr>https://health.ec.europa.eu/document/download/783cdcbd-791e-4a92-ae3e-2cb55b7b4414_en?filename=mp_ia_revision-pharma-legislation_annexes_4-6_9-14_en.pdf</vt:lpwstr>
      </vt:variant>
      <vt:variant>
        <vt:lpwstr/>
      </vt:variant>
      <vt:variant>
        <vt:i4>1704037</vt:i4>
      </vt:variant>
      <vt:variant>
        <vt:i4>156</vt:i4>
      </vt:variant>
      <vt:variant>
        <vt:i4>0</vt:i4>
      </vt:variant>
      <vt:variant>
        <vt:i4>5</vt:i4>
      </vt:variant>
      <vt:variant>
        <vt:lpwstr>https://health.ec.europa.eu/medicinal-products/pharmaceutical-strategy-europe/reform-eu-pharmaceutical-legislation_en</vt:lpwstr>
      </vt:variant>
      <vt:variant>
        <vt:lpwstr/>
      </vt:variant>
      <vt:variant>
        <vt:i4>8060992</vt:i4>
      </vt:variant>
      <vt:variant>
        <vt:i4>153</vt:i4>
      </vt:variant>
      <vt:variant>
        <vt:i4>0</vt:i4>
      </vt:variant>
      <vt:variant>
        <vt:i4>5</vt:i4>
      </vt:variant>
      <vt:variant>
        <vt:lpwstr>https://health.ec.europa.eu/document/download/bd92f46c-4c55-4fed-8642-81b0aa30ff22_en?filename=structured-dialogue_lp_en.pdf</vt:lpwstr>
      </vt:variant>
      <vt:variant>
        <vt:lpwstr/>
      </vt:variant>
      <vt:variant>
        <vt:i4>4915218</vt:i4>
      </vt:variant>
      <vt:variant>
        <vt:i4>150</vt:i4>
      </vt:variant>
      <vt:variant>
        <vt:i4>0</vt:i4>
      </vt:variant>
      <vt:variant>
        <vt:i4>5</vt:i4>
      </vt:variant>
      <vt:variant>
        <vt:lpwstr>https://op.europa.eu/en/publication-detail/-/publication/1f8185d5-5325-11ec-91ac-01aa75ed71a1/language-en</vt:lpwstr>
      </vt:variant>
      <vt:variant>
        <vt:lpwstr/>
      </vt:variant>
      <vt:variant>
        <vt:i4>1704037</vt:i4>
      </vt:variant>
      <vt:variant>
        <vt:i4>147</vt:i4>
      </vt:variant>
      <vt:variant>
        <vt:i4>0</vt:i4>
      </vt:variant>
      <vt:variant>
        <vt:i4>5</vt:i4>
      </vt:variant>
      <vt:variant>
        <vt:lpwstr>https://health.ec.europa.eu/medicinal-products/pharmaceutical-strategy-europe/reform-eu-pharmaceutical-legislation_en</vt:lpwstr>
      </vt:variant>
      <vt:variant>
        <vt:lpwstr/>
      </vt:variant>
      <vt:variant>
        <vt:i4>2162691</vt:i4>
      </vt:variant>
      <vt:variant>
        <vt:i4>144</vt:i4>
      </vt:variant>
      <vt:variant>
        <vt:i4>0</vt:i4>
      </vt:variant>
      <vt:variant>
        <vt:i4>5</vt:i4>
      </vt:variant>
      <vt:variant>
        <vt:lpwstr>https://health.ec.europa.eu/health-emergency-preparedness-and-response-hera/overview/critical-medicines-alliance_en</vt:lpwstr>
      </vt:variant>
      <vt:variant>
        <vt:lpwstr/>
      </vt:variant>
      <vt:variant>
        <vt:i4>7536732</vt:i4>
      </vt:variant>
      <vt:variant>
        <vt:i4>141</vt:i4>
      </vt:variant>
      <vt:variant>
        <vt:i4>0</vt:i4>
      </vt:variant>
      <vt:variant>
        <vt:i4>5</vt:i4>
      </vt:variant>
      <vt:variant>
        <vt:lpwstr>https://health.ec.europa.eu/medicinal-products/pharmaceutical-strategy-europe/structured-dialogue-security-medicines-supply_en</vt:lpwstr>
      </vt:variant>
      <vt:variant>
        <vt:lpwstr>:~:text=the%20preliminary%20conclusions.-,The%20structured%20dialogue%20initiative,compromising%20the%20affordability%20of%20medicines.</vt:lpwstr>
      </vt:variant>
      <vt:variant>
        <vt:i4>1704037</vt:i4>
      </vt:variant>
      <vt:variant>
        <vt:i4>138</vt:i4>
      </vt:variant>
      <vt:variant>
        <vt:i4>0</vt:i4>
      </vt:variant>
      <vt:variant>
        <vt:i4>5</vt:i4>
      </vt:variant>
      <vt:variant>
        <vt:lpwstr>https://health.ec.europa.eu/medicinal-products/pharmaceutical-strategy-europe/reform-eu-pharmaceutical-legislation_en</vt:lpwstr>
      </vt:variant>
      <vt:variant>
        <vt:lpwstr/>
      </vt:variant>
      <vt:variant>
        <vt:i4>327689</vt:i4>
      </vt:variant>
      <vt:variant>
        <vt:i4>135</vt:i4>
      </vt:variant>
      <vt:variant>
        <vt:i4>0</vt:i4>
      </vt:variant>
      <vt:variant>
        <vt:i4>5</vt:i4>
      </vt:variant>
      <vt:variant>
        <vt:lpwstr>https://ted.europa.eu/en/</vt:lpwstr>
      </vt:variant>
      <vt:variant>
        <vt:lpwstr/>
      </vt:variant>
      <vt:variant>
        <vt:i4>1704025</vt:i4>
      </vt:variant>
      <vt:variant>
        <vt:i4>132</vt:i4>
      </vt:variant>
      <vt:variant>
        <vt:i4>0</vt:i4>
      </vt:variant>
      <vt:variant>
        <vt:i4>5</vt:i4>
      </vt:variant>
      <vt:variant>
        <vt:lpwstr>https://eur-lex.europa.eu/eli/reg/2024/903/oj/eng</vt:lpwstr>
      </vt:variant>
      <vt:variant>
        <vt:lpwstr/>
      </vt:variant>
      <vt:variant>
        <vt:i4>6160392</vt:i4>
      </vt:variant>
      <vt:variant>
        <vt:i4>129</vt:i4>
      </vt:variant>
      <vt:variant>
        <vt:i4>0</vt:i4>
      </vt:variant>
      <vt:variant>
        <vt:i4>5</vt:i4>
      </vt:variant>
      <vt:variant>
        <vt:lpwstr>https://eur-lex.europa.eu/legal-content/EN/TXT/?uri=CELEX%3A32022L2555&amp;qid=1718263585642</vt:lpwstr>
      </vt:variant>
      <vt:variant>
        <vt:lpwstr/>
      </vt:variant>
      <vt:variant>
        <vt:i4>7340136</vt:i4>
      </vt:variant>
      <vt:variant>
        <vt:i4>126</vt:i4>
      </vt:variant>
      <vt:variant>
        <vt:i4>0</vt:i4>
      </vt:variant>
      <vt:variant>
        <vt:i4>5</vt:i4>
      </vt:variant>
      <vt:variant>
        <vt:lpwstr>https://eur-lex.europa.eu/eli/reg/2024/1689/oj/eng</vt:lpwstr>
      </vt:variant>
      <vt:variant>
        <vt:lpwstr/>
      </vt:variant>
      <vt:variant>
        <vt:i4>1245308</vt:i4>
      </vt:variant>
      <vt:variant>
        <vt:i4>123</vt:i4>
      </vt:variant>
      <vt:variant>
        <vt:i4>0</vt:i4>
      </vt:variant>
      <vt:variant>
        <vt:i4>5</vt:i4>
      </vt:variant>
      <vt:variant>
        <vt:lpwstr>https://finance.ec.europa.eu/publications/commission-simplifies-rules-sustainability-and-eu-investments-delivering-over-eu6-billion_en</vt:lpwstr>
      </vt:variant>
      <vt:variant>
        <vt:lpwstr/>
      </vt:variant>
      <vt:variant>
        <vt:i4>6422551</vt:i4>
      </vt:variant>
      <vt:variant>
        <vt:i4>120</vt:i4>
      </vt:variant>
      <vt:variant>
        <vt:i4>0</vt:i4>
      </vt:variant>
      <vt:variant>
        <vt:i4>5</vt:i4>
      </vt:variant>
      <vt:variant>
        <vt:lpwstr>https://single-market-economy.ec.europa.eu/news/commission-launches-call-evidence-and-public-consultation-evaluation-public-procurement-directives-2024-12-13_en</vt:lpwstr>
      </vt:variant>
      <vt:variant>
        <vt:lpwstr/>
      </vt:variant>
      <vt:variant>
        <vt:i4>2883658</vt:i4>
      </vt:variant>
      <vt:variant>
        <vt:i4>117</vt:i4>
      </vt:variant>
      <vt:variant>
        <vt:i4>0</vt:i4>
      </vt:variant>
      <vt:variant>
        <vt:i4>5</vt:i4>
      </vt:variant>
      <vt:variant>
        <vt:lpwstr>https://commission.europa.eu/publications/eu-financial-regulation_en</vt:lpwstr>
      </vt:variant>
      <vt:variant>
        <vt:lpwstr/>
      </vt:variant>
      <vt:variant>
        <vt:i4>3801170</vt:i4>
      </vt:variant>
      <vt:variant>
        <vt:i4>114</vt:i4>
      </vt:variant>
      <vt:variant>
        <vt:i4>0</vt:i4>
      </vt:variant>
      <vt:variant>
        <vt:i4>5</vt:i4>
      </vt:variant>
      <vt:variant>
        <vt:lpwstr>https://commission.europa.eu/topics/eu-competitiveness/clean-industrial-deal_en</vt:lpwstr>
      </vt:variant>
      <vt:variant>
        <vt:lpwstr/>
      </vt:variant>
      <vt:variant>
        <vt:i4>21</vt:i4>
      </vt:variant>
      <vt:variant>
        <vt:i4>111</vt:i4>
      </vt:variant>
      <vt:variant>
        <vt:i4>0</vt:i4>
      </vt:variant>
      <vt:variant>
        <vt:i4>5</vt:i4>
      </vt:variant>
      <vt:variant>
        <vt:lpwstr>https://eur-lex.europa.eu/legal-content/EN/TXT/?uri=celex:52020DC0102</vt:lpwstr>
      </vt:variant>
      <vt:variant>
        <vt:lpwstr/>
      </vt:variant>
      <vt:variant>
        <vt:i4>1441872</vt:i4>
      </vt:variant>
      <vt:variant>
        <vt:i4>108</vt:i4>
      </vt:variant>
      <vt:variant>
        <vt:i4>0</vt:i4>
      </vt:variant>
      <vt:variant>
        <vt:i4>5</vt:i4>
      </vt:variant>
      <vt:variant>
        <vt:lpwstr>https://eur-lex.europa.eu/eli/reg/2021/695/oj/eng</vt:lpwstr>
      </vt:variant>
      <vt:variant>
        <vt:lpwstr/>
      </vt:variant>
      <vt:variant>
        <vt:i4>1048664</vt:i4>
      </vt:variant>
      <vt:variant>
        <vt:i4>105</vt:i4>
      </vt:variant>
      <vt:variant>
        <vt:i4>0</vt:i4>
      </vt:variant>
      <vt:variant>
        <vt:i4>5</vt:i4>
      </vt:variant>
      <vt:variant>
        <vt:lpwstr>https://eur-lex.europa.eu/legal-content/EN/TXT/PDF/?uri=CELEX:52020DC0761</vt:lpwstr>
      </vt:variant>
      <vt:variant>
        <vt:lpwstr/>
      </vt:variant>
      <vt:variant>
        <vt:i4>6422547</vt:i4>
      </vt:variant>
      <vt:variant>
        <vt:i4>102</vt:i4>
      </vt:variant>
      <vt:variant>
        <vt:i4>0</vt:i4>
      </vt:variant>
      <vt:variant>
        <vt:i4>5</vt:i4>
      </vt:variant>
      <vt:variant>
        <vt:lpwstr>https://commission.europa.eu/priorities-2024-2029/competitiveness_en</vt:lpwstr>
      </vt:variant>
      <vt:variant>
        <vt:lpwstr/>
      </vt:variant>
      <vt:variant>
        <vt:i4>2162691</vt:i4>
      </vt:variant>
      <vt:variant>
        <vt:i4>99</vt:i4>
      </vt:variant>
      <vt:variant>
        <vt:i4>0</vt:i4>
      </vt:variant>
      <vt:variant>
        <vt:i4>5</vt:i4>
      </vt:variant>
      <vt:variant>
        <vt:lpwstr>https://health.ec.europa.eu/health-emergency-preparedness-and-response-hera/overview/critical-medicines-alliance_en</vt:lpwstr>
      </vt:variant>
      <vt:variant>
        <vt:lpwstr/>
      </vt:variant>
      <vt:variant>
        <vt:i4>7733351</vt:i4>
      </vt:variant>
      <vt:variant>
        <vt:i4>96</vt:i4>
      </vt:variant>
      <vt:variant>
        <vt:i4>0</vt:i4>
      </vt:variant>
      <vt:variant>
        <vt:i4>5</vt:i4>
      </vt:variant>
      <vt:variant>
        <vt:lpwstr>https://eur-lex.europa.eu/eli/reg/2021/2282/oj/eng</vt:lpwstr>
      </vt:variant>
      <vt:variant>
        <vt:lpwstr/>
      </vt:variant>
      <vt:variant>
        <vt:i4>7995494</vt:i4>
      </vt:variant>
      <vt:variant>
        <vt:i4>93</vt:i4>
      </vt:variant>
      <vt:variant>
        <vt:i4>0</vt:i4>
      </vt:variant>
      <vt:variant>
        <vt:i4>5</vt:i4>
      </vt:variant>
      <vt:variant>
        <vt:lpwstr>https://eur-lex.europa.eu/eli/reg/2022/2372/oj/eng</vt:lpwstr>
      </vt:variant>
      <vt:variant>
        <vt:lpwstr/>
      </vt:variant>
      <vt:variant>
        <vt:i4>7995493</vt:i4>
      </vt:variant>
      <vt:variant>
        <vt:i4>90</vt:i4>
      </vt:variant>
      <vt:variant>
        <vt:i4>0</vt:i4>
      </vt:variant>
      <vt:variant>
        <vt:i4>5</vt:i4>
      </vt:variant>
      <vt:variant>
        <vt:lpwstr>https://eur-lex.europa.eu/eli/reg/2022/2371/oj/eng</vt:lpwstr>
      </vt:variant>
      <vt:variant>
        <vt:lpwstr/>
      </vt:variant>
      <vt:variant>
        <vt:i4>3735589</vt:i4>
      </vt:variant>
      <vt:variant>
        <vt:i4>87</vt:i4>
      </vt:variant>
      <vt:variant>
        <vt:i4>0</vt:i4>
      </vt:variant>
      <vt:variant>
        <vt:i4>5</vt:i4>
      </vt:variant>
      <vt:variant>
        <vt:lpwstr>https://www.ema.europa.eu/en/human-regulatory-overview/post-authorisation/medicine-shortages-availability-issues/european-shortages-monitoring-platform</vt:lpwstr>
      </vt:variant>
      <vt:variant>
        <vt:lpwstr/>
      </vt:variant>
      <vt:variant>
        <vt:i4>2883678</vt:i4>
      </vt:variant>
      <vt:variant>
        <vt:i4>84</vt:i4>
      </vt:variant>
      <vt:variant>
        <vt:i4>0</vt:i4>
      </vt:variant>
      <vt:variant>
        <vt:i4>5</vt:i4>
      </vt:variant>
      <vt:variant>
        <vt:lpwstr>https://eur-lex.europa.eu/legal-content/EN/TXT/?uri=uriserv%3AOJ.L_.2022.020.01.0001.01.ENG</vt:lpwstr>
      </vt:variant>
      <vt:variant>
        <vt:lpwstr/>
      </vt:variant>
      <vt:variant>
        <vt:i4>1507405</vt:i4>
      </vt:variant>
      <vt:variant>
        <vt:i4>81</vt:i4>
      </vt:variant>
      <vt:variant>
        <vt:i4>0</vt:i4>
      </vt:variant>
      <vt:variant>
        <vt:i4>5</vt:i4>
      </vt:variant>
      <vt:variant>
        <vt:lpwstr>https://health.ec.europa.eu/system/files/2022-10/mp_vulnerabilities_global-supply_swd_en.pdf</vt:lpwstr>
      </vt:variant>
      <vt:variant>
        <vt:lpwstr/>
      </vt:variant>
      <vt:variant>
        <vt:i4>5439591</vt:i4>
      </vt:variant>
      <vt:variant>
        <vt:i4>78</vt:i4>
      </vt:variant>
      <vt:variant>
        <vt:i4>0</vt:i4>
      </vt:variant>
      <vt:variant>
        <vt:i4>5</vt:i4>
      </vt:variant>
      <vt:variant>
        <vt:lpwstr>https://health.ec.europa.eu/medicinal-products/pharmaceutical-strategy-europe/structured-dialogue-security-medicines-supply_en</vt:lpwstr>
      </vt:variant>
      <vt:variant>
        <vt:lpwstr/>
      </vt:variant>
      <vt:variant>
        <vt:i4>1900566</vt:i4>
      </vt:variant>
      <vt:variant>
        <vt:i4>75</vt:i4>
      </vt:variant>
      <vt:variant>
        <vt:i4>0</vt:i4>
      </vt:variant>
      <vt:variant>
        <vt:i4>5</vt:i4>
      </vt:variant>
      <vt:variant>
        <vt:lpwstr>https://eur-lex.europa.eu/legal-content/EN/TXT/?uri=celex:52023PC0193</vt:lpwstr>
      </vt:variant>
      <vt:variant>
        <vt:lpwstr/>
      </vt:variant>
      <vt:variant>
        <vt:i4>3473493</vt:i4>
      </vt:variant>
      <vt:variant>
        <vt:i4>72</vt:i4>
      </vt:variant>
      <vt:variant>
        <vt:i4>0</vt:i4>
      </vt:variant>
      <vt:variant>
        <vt:i4>5</vt:i4>
      </vt:variant>
      <vt:variant>
        <vt:lpwstr>https://health.ec.europa.eu/medicinal-products/pharmaceutical-strategy-europe_en</vt:lpwstr>
      </vt:variant>
      <vt:variant>
        <vt:lpwstr/>
      </vt:variant>
      <vt:variant>
        <vt:i4>1704037</vt:i4>
      </vt:variant>
      <vt:variant>
        <vt:i4>69</vt:i4>
      </vt:variant>
      <vt:variant>
        <vt:i4>0</vt:i4>
      </vt:variant>
      <vt:variant>
        <vt:i4>5</vt:i4>
      </vt:variant>
      <vt:variant>
        <vt:lpwstr>https://health.ec.europa.eu/medicinal-products/pharmaceutical-strategy-europe/reform-eu-pharmaceutical-legislation_en</vt:lpwstr>
      </vt:variant>
      <vt:variant>
        <vt:lpwstr/>
      </vt:variant>
      <vt:variant>
        <vt:i4>3932257</vt:i4>
      </vt:variant>
      <vt:variant>
        <vt:i4>66</vt:i4>
      </vt:variant>
      <vt:variant>
        <vt:i4>0</vt:i4>
      </vt:variant>
      <vt:variant>
        <vt:i4>5</vt:i4>
      </vt:variant>
      <vt:variant>
        <vt:lpwstr>https://eur-lex.europa.eu/legal-content/EN/TXT/?uri=oj:JOC_2012_326_R_TOC</vt:lpwstr>
      </vt:variant>
      <vt:variant>
        <vt:lpwstr/>
      </vt:variant>
      <vt:variant>
        <vt:i4>3932232</vt:i4>
      </vt:variant>
      <vt:variant>
        <vt:i4>63</vt:i4>
      </vt:variant>
      <vt:variant>
        <vt:i4>0</vt:i4>
      </vt:variant>
      <vt:variant>
        <vt:i4>5</vt:i4>
      </vt:variant>
      <vt:variant>
        <vt:lpwstr>https://health.ec.europa.eu/medicinal-products/orphan-medicinal-products_en</vt:lpwstr>
      </vt:variant>
      <vt:variant>
        <vt:lpwstr/>
      </vt:variant>
      <vt:variant>
        <vt:i4>3538967</vt:i4>
      </vt:variant>
      <vt:variant>
        <vt:i4>60</vt:i4>
      </vt:variant>
      <vt:variant>
        <vt:i4>0</vt:i4>
      </vt:variant>
      <vt:variant>
        <vt:i4>5</vt:i4>
      </vt:variant>
      <vt:variant>
        <vt:lpwstr>https://single-market-economy.ec.europa.eu/industry/sustainability/net-zero-industry-act_en</vt:lpwstr>
      </vt:variant>
      <vt:variant>
        <vt:lpwstr/>
      </vt:variant>
      <vt:variant>
        <vt:i4>7864419</vt:i4>
      </vt:variant>
      <vt:variant>
        <vt:i4>57</vt:i4>
      </vt:variant>
      <vt:variant>
        <vt:i4>0</vt:i4>
      </vt:variant>
      <vt:variant>
        <vt:i4>5</vt:i4>
      </vt:variant>
      <vt:variant>
        <vt:lpwstr>https://ec.europa.eu/commission/presscorner/detail/en/ip_23_1661</vt:lpwstr>
      </vt:variant>
      <vt:variant>
        <vt:lpwstr/>
      </vt:variant>
      <vt:variant>
        <vt:i4>1179753</vt:i4>
      </vt:variant>
      <vt:variant>
        <vt:i4>54</vt:i4>
      </vt:variant>
      <vt:variant>
        <vt:i4>0</vt:i4>
      </vt:variant>
      <vt:variant>
        <vt:i4>5</vt:i4>
      </vt:variant>
      <vt:variant>
        <vt:lpwstr>https://commission.europa.eu/strategy-and-policy/priorities-2019-2024/promoting-our-european-way-life/european-health-union_en</vt:lpwstr>
      </vt:variant>
      <vt:variant>
        <vt:lpwstr/>
      </vt:variant>
      <vt:variant>
        <vt:i4>5767272</vt:i4>
      </vt:variant>
      <vt:variant>
        <vt:i4>51</vt:i4>
      </vt:variant>
      <vt:variant>
        <vt:i4>0</vt:i4>
      </vt:variant>
      <vt:variant>
        <vt:i4>5</vt:i4>
      </vt:variant>
      <vt:variant>
        <vt:lpwstr>https://commission.europa.eu/document/download/b1817a1b-e62e-4949-bbb8-ebf29b54c8bd_en?filename=Mission%20letter%20-%20VARHELYI.pdf</vt:lpwstr>
      </vt:variant>
      <vt:variant>
        <vt:lpwstr/>
      </vt:variant>
      <vt:variant>
        <vt:i4>7471224</vt:i4>
      </vt:variant>
      <vt:variant>
        <vt:i4>48</vt:i4>
      </vt:variant>
      <vt:variant>
        <vt:i4>0</vt:i4>
      </vt:variant>
      <vt:variant>
        <vt:i4>5</vt:i4>
      </vt:variant>
      <vt:variant>
        <vt:lpwstr>https://health.ec.europa.eu/document/download/3da9dfc0-c5e0-4583-a0f1-1652c7c18c3c_en?filename=hera_cma_strat-report_en.pdf</vt:lpwstr>
      </vt:variant>
      <vt:variant>
        <vt:lpwstr/>
      </vt:variant>
      <vt:variant>
        <vt:i4>7602275</vt:i4>
      </vt:variant>
      <vt:variant>
        <vt:i4>45</vt:i4>
      </vt:variant>
      <vt:variant>
        <vt:i4>0</vt:i4>
      </vt:variant>
      <vt:variant>
        <vt:i4>5</vt:i4>
      </vt:variant>
      <vt:variant>
        <vt:lpwstr>https://ec.europa.eu/commission/presscorner/detail/en/ip_24_2229</vt:lpwstr>
      </vt:variant>
      <vt:variant>
        <vt:lpwstr/>
      </vt:variant>
      <vt:variant>
        <vt:i4>2162691</vt:i4>
      </vt:variant>
      <vt:variant>
        <vt:i4>42</vt:i4>
      </vt:variant>
      <vt:variant>
        <vt:i4>0</vt:i4>
      </vt:variant>
      <vt:variant>
        <vt:i4>5</vt:i4>
      </vt:variant>
      <vt:variant>
        <vt:lpwstr>https://health.ec.europa.eu/health-emergency-preparedness-and-response-hera/overview/critical-medicines-alliance_en</vt:lpwstr>
      </vt:variant>
      <vt:variant>
        <vt:lpwstr/>
      </vt:variant>
      <vt:variant>
        <vt:i4>7340131</vt:i4>
      </vt:variant>
      <vt:variant>
        <vt:i4>39</vt:i4>
      </vt:variant>
      <vt:variant>
        <vt:i4>0</vt:i4>
      </vt:variant>
      <vt:variant>
        <vt:i4>5</vt:i4>
      </vt:variant>
      <vt:variant>
        <vt:lpwstr>https://www.ema.europa.eu/en/human-regulatory-overview/post-authorisation/medicine-shortages-availability-issues/availability-medicines-during-crises/union-list-critical-medicines</vt:lpwstr>
      </vt:variant>
      <vt:variant>
        <vt:lpwstr/>
      </vt:variant>
      <vt:variant>
        <vt:i4>3276847</vt:i4>
      </vt:variant>
      <vt:variant>
        <vt:i4>36</vt:i4>
      </vt:variant>
      <vt:variant>
        <vt:i4>0</vt:i4>
      </vt:variant>
      <vt:variant>
        <vt:i4>5</vt:i4>
      </vt:variant>
      <vt:variant>
        <vt:lpwstr>https://commission.europa.eu/system/files/2023-10/Communication_medicines_shortages_EN_0.pdf</vt:lpwstr>
      </vt:variant>
      <vt:variant>
        <vt:lpwstr/>
      </vt:variant>
      <vt:variant>
        <vt:i4>2883678</vt:i4>
      </vt:variant>
      <vt:variant>
        <vt:i4>33</vt:i4>
      </vt:variant>
      <vt:variant>
        <vt:i4>0</vt:i4>
      </vt:variant>
      <vt:variant>
        <vt:i4>5</vt:i4>
      </vt:variant>
      <vt:variant>
        <vt:lpwstr>https://eur-lex.europa.eu/legal-content/EN/TXT/?uri=uriserv%3AOJ.L_.2022.020.01.0001.01.ENG</vt:lpwstr>
      </vt:variant>
      <vt:variant>
        <vt:lpwstr/>
      </vt:variant>
      <vt:variant>
        <vt:i4>1704037</vt:i4>
      </vt:variant>
      <vt:variant>
        <vt:i4>30</vt:i4>
      </vt:variant>
      <vt:variant>
        <vt:i4>0</vt:i4>
      </vt:variant>
      <vt:variant>
        <vt:i4>5</vt:i4>
      </vt:variant>
      <vt:variant>
        <vt:lpwstr>https://health.ec.europa.eu/medicinal-products/pharmaceutical-strategy-europe/reform-eu-pharmaceutical-legislation_en</vt:lpwstr>
      </vt:variant>
      <vt:variant>
        <vt:lpwstr/>
      </vt:variant>
      <vt:variant>
        <vt:i4>1507405</vt:i4>
      </vt:variant>
      <vt:variant>
        <vt:i4>27</vt:i4>
      </vt:variant>
      <vt:variant>
        <vt:i4>0</vt:i4>
      </vt:variant>
      <vt:variant>
        <vt:i4>5</vt:i4>
      </vt:variant>
      <vt:variant>
        <vt:lpwstr>https://health.ec.europa.eu/system/files/2022-10/mp_vulnerabilities_global-supply_swd_en.pdf</vt:lpwstr>
      </vt:variant>
      <vt:variant>
        <vt:lpwstr/>
      </vt:variant>
      <vt:variant>
        <vt:i4>5439591</vt:i4>
      </vt:variant>
      <vt:variant>
        <vt:i4>24</vt:i4>
      </vt:variant>
      <vt:variant>
        <vt:i4>0</vt:i4>
      </vt:variant>
      <vt:variant>
        <vt:i4>5</vt:i4>
      </vt:variant>
      <vt:variant>
        <vt:lpwstr>https://health.ec.europa.eu/medicinal-products/pharmaceutical-strategy-europe/structured-dialogue-security-medicines-supply_en</vt:lpwstr>
      </vt:variant>
      <vt:variant>
        <vt:lpwstr/>
      </vt:variant>
      <vt:variant>
        <vt:i4>3473493</vt:i4>
      </vt:variant>
      <vt:variant>
        <vt:i4>21</vt:i4>
      </vt:variant>
      <vt:variant>
        <vt:i4>0</vt:i4>
      </vt:variant>
      <vt:variant>
        <vt:i4>5</vt:i4>
      </vt:variant>
      <vt:variant>
        <vt:lpwstr>https://health.ec.europa.eu/medicinal-products/pharmaceutical-strategy-europe_en</vt:lpwstr>
      </vt:variant>
      <vt:variant>
        <vt:lpwstr/>
      </vt:variant>
      <vt:variant>
        <vt:i4>6422639</vt:i4>
      </vt:variant>
      <vt:variant>
        <vt:i4>18</vt:i4>
      </vt:variant>
      <vt:variant>
        <vt:i4>0</vt:i4>
      </vt:variant>
      <vt:variant>
        <vt:i4>5</vt:i4>
      </vt:variant>
      <vt:variant>
        <vt:lpwstr>https://data.consilium.europa.eu/doc/document/ST-9750-2021-INIT/en/pdf</vt:lpwstr>
      </vt:variant>
      <vt:variant>
        <vt:lpwstr/>
      </vt:variant>
      <vt:variant>
        <vt:i4>327717</vt:i4>
      </vt:variant>
      <vt:variant>
        <vt:i4>15</vt:i4>
      </vt:variant>
      <vt:variant>
        <vt:i4>0</vt:i4>
      </vt:variant>
      <vt:variant>
        <vt:i4>5</vt:i4>
      </vt:variant>
      <vt:variant>
        <vt:lpwstr>https://www.europarl.europa.eu/doceo/document/TA-8-2017-0061_EN.html</vt:lpwstr>
      </vt:variant>
      <vt:variant>
        <vt:lpwstr/>
      </vt:variant>
      <vt:variant>
        <vt:i4>7471150</vt:i4>
      </vt:variant>
      <vt:variant>
        <vt:i4>12</vt:i4>
      </vt:variant>
      <vt:variant>
        <vt:i4>0</vt:i4>
      </vt:variant>
      <vt:variant>
        <vt:i4>5</vt:i4>
      </vt:variant>
      <vt:variant>
        <vt:lpwstr>https://www.ja-chessmen.eu/work-packages</vt:lpwstr>
      </vt:variant>
      <vt:variant>
        <vt:lpwstr>work-package-5</vt:lpwstr>
      </vt:variant>
      <vt:variant>
        <vt:i4>4325439</vt:i4>
      </vt:variant>
      <vt:variant>
        <vt:i4>9</vt:i4>
      </vt:variant>
      <vt:variant>
        <vt:i4>0</vt:i4>
      </vt:variant>
      <vt:variant>
        <vt:i4>5</vt:i4>
      </vt:variant>
      <vt:variant>
        <vt:lpwstr>https://single-market-economy.ec.europa.eu/industry/strategy/intellectual-property/patent-protection-eu_en</vt:lpwstr>
      </vt:variant>
      <vt:variant>
        <vt:lpwstr/>
      </vt:variant>
      <vt:variant>
        <vt:i4>2097248</vt:i4>
      </vt:variant>
      <vt:variant>
        <vt:i4>6</vt:i4>
      </vt:variant>
      <vt:variant>
        <vt:i4>0</vt:i4>
      </vt:variant>
      <vt:variant>
        <vt:i4>5</vt:i4>
      </vt:variant>
      <vt:variant>
        <vt:lpwstr>https://www.ema.europa.eu/en/human-regulatory-overview/marketing-authorisation/generic-hybrid-medicines</vt:lpwstr>
      </vt:variant>
      <vt:variant>
        <vt:lpwstr/>
      </vt:variant>
      <vt:variant>
        <vt:i4>1245250</vt:i4>
      </vt:variant>
      <vt:variant>
        <vt:i4>3</vt:i4>
      </vt:variant>
      <vt:variant>
        <vt:i4>0</vt:i4>
      </vt:variant>
      <vt:variant>
        <vt:i4>5</vt:i4>
      </vt:variant>
      <vt:variant>
        <vt:lpwstr>https://www.iqvia.com/-/media/iqvia/pdfs/library/white-papers/iqvia-true-value-of-generic-medicines-04-24-forweb.pdf</vt:lpwstr>
      </vt:variant>
      <vt:variant>
        <vt:lpwstr/>
      </vt:variant>
      <vt:variant>
        <vt:i4>3342424</vt:i4>
      </vt:variant>
      <vt:variant>
        <vt:i4>0</vt:i4>
      </vt:variant>
      <vt:variant>
        <vt:i4>0</vt:i4>
      </vt:variant>
      <vt:variant>
        <vt:i4>5</vt:i4>
      </vt:variant>
      <vt:variant>
        <vt:lpwstr>https://health.ec.europa.eu/publications/impact-assessment-report-and-executive-summary-accompanying-revision-general-pharmaceutical_en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2025-03-10T21:10:00Z</dcterms:created>
  <dcterms:modified xsi:type="dcterms:W3CDTF">2025-03-10T21:17:00Z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9.1, Build 20240808</vt:lpwstr>
  </property>
  <property fmtid="{D5CDD505-2E9C-101B-9397-08002B2CF9AE}" pid="3" name="MSIP_Label_6bd9ddd1-4d20-43f6-abfa-fc3c07406f94_Enabled">
    <vt:lpwstr>true</vt:lpwstr>
  </property>
  <property fmtid="{D5CDD505-2E9C-101B-9397-08002B2CF9AE}" pid="4" name="MSIP_Label_6bd9ddd1-4d20-43f6-abfa-fc3c07406f94_SetDate">
    <vt:lpwstr>2025-03-08T11:07:46Z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5250ac7f-6eb5-4a99-bfcf-f4c283c22192</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ContentTypeId">
    <vt:lpwstr>0x0101000DA097C0D8CB854C8C55A6C28E332560</vt:lpwstr>
  </property>
  <property fmtid="{D5CDD505-2E9C-101B-9397-08002B2CF9AE}" pid="16" name="DQCStatus">
    <vt:lpwstr>Green (DQC version 03)</vt:lpwstr>
  </property>
</Properties>
</file>