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9A99E7" w14:textId="1140FD48" w:rsidR="004C5377" w:rsidRPr="00922C2A" w:rsidRDefault="00492C75" w:rsidP="00492C75">
      <w:pPr>
        <w:pStyle w:val="Pagedecouverture"/>
        <w:rPr>
          <w:noProof/>
        </w:rPr>
      </w:pPr>
      <w:r>
        <w:rPr>
          <w:noProof/>
        </w:rPr>
        <w:pict w14:anchorId="39E586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56D9A1F-A3A9-4C23-BFE9-DA8C3DCD2E2E" style="width:455.25pt;height:414pt">
            <v:imagedata r:id="rId11" o:title=""/>
          </v:shape>
        </w:pict>
      </w:r>
    </w:p>
    <w:p w14:paraId="650EFF58" w14:textId="77777777" w:rsidR="004C5377" w:rsidRPr="00922C2A" w:rsidRDefault="004C5377" w:rsidP="004C5377">
      <w:pPr>
        <w:rPr>
          <w:noProof/>
        </w:rPr>
        <w:sectPr w:rsidR="004C5377" w:rsidRPr="00922C2A" w:rsidSect="00492C75">
          <w:footerReference w:type="even" r:id="rId12"/>
          <w:footerReference w:type="default" r:id="rId13"/>
          <w:footnotePr>
            <w:numRestart w:val="eachSect"/>
          </w:footnotePr>
          <w:pgSz w:w="11907" w:h="16839"/>
          <w:pgMar w:top="1134" w:right="1417" w:bottom="1134" w:left="1417" w:header="709" w:footer="709" w:gutter="0"/>
          <w:pgNumType w:start="0"/>
          <w:cols w:space="720"/>
          <w:docGrid w:linePitch="360"/>
        </w:sectPr>
      </w:pPr>
    </w:p>
    <w:p w14:paraId="034012B9" w14:textId="77777777" w:rsidR="00922C2A" w:rsidRPr="00922C2A" w:rsidRDefault="00922C2A" w:rsidP="00922C2A">
      <w:pPr>
        <w:pStyle w:val="Exposdesmotifstitre"/>
        <w:rPr>
          <w:noProof/>
        </w:rPr>
      </w:pPr>
      <w:bookmarkStart w:id="0" w:name="_GoBack"/>
      <w:bookmarkEnd w:id="0"/>
      <w:r w:rsidRPr="00922C2A">
        <w:rPr>
          <w:noProof/>
        </w:rPr>
        <w:lastRenderedPageBreak/>
        <w:t>EXPOSÉ DES MOTIFS</w:t>
      </w:r>
    </w:p>
    <w:p w14:paraId="4C1AFC27" w14:textId="77777777" w:rsidR="00922C2A" w:rsidRPr="00922C2A" w:rsidRDefault="00922C2A" w:rsidP="00922C2A">
      <w:pPr>
        <w:pStyle w:val="ManualHeading1"/>
        <w:rPr>
          <w:noProof/>
        </w:rPr>
      </w:pPr>
      <w:r w:rsidRPr="00922C2A">
        <w:rPr>
          <w:noProof/>
        </w:rPr>
        <w:t>1.</w:t>
      </w:r>
      <w:r w:rsidRPr="00922C2A">
        <w:rPr>
          <w:noProof/>
        </w:rPr>
        <w:tab/>
        <w:t>CONTEXTE DE LA PROPOSITION</w:t>
      </w:r>
    </w:p>
    <w:p w14:paraId="42483FCF" w14:textId="77777777" w:rsidR="00922C2A" w:rsidRPr="00922C2A" w:rsidRDefault="00922C2A" w:rsidP="00922C2A">
      <w:pPr>
        <w:pStyle w:val="ManualHeading2"/>
        <w:rPr>
          <w:rFonts w:eastAsia="Arial Unicode MS"/>
          <w:noProof/>
        </w:rPr>
      </w:pPr>
      <w:r w:rsidRPr="00922C2A">
        <w:rPr>
          <w:noProof/>
          <w:color w:val="000000"/>
          <w:u w:color="000000"/>
          <w:bdr w:val="nil"/>
        </w:rPr>
        <w:t>•</w:t>
      </w:r>
      <w:r w:rsidRPr="00922C2A">
        <w:rPr>
          <w:noProof/>
          <w:color w:val="000000"/>
          <w:u w:color="000000"/>
          <w:bdr w:val="nil"/>
        </w:rPr>
        <w:tab/>
      </w:r>
      <w:r w:rsidRPr="00922C2A">
        <w:rPr>
          <w:noProof/>
        </w:rPr>
        <w:t>Justification et objectifs de la proposition</w:t>
      </w:r>
    </w:p>
    <w:p w14:paraId="68C4B84C" w14:textId="77777777" w:rsidR="00922C2A" w:rsidRPr="00922C2A" w:rsidRDefault="00922C2A" w:rsidP="00922C2A">
      <w:pPr>
        <w:rPr>
          <w:noProof/>
        </w:rPr>
      </w:pPr>
      <w:r w:rsidRPr="00922C2A">
        <w:rPr>
          <w:noProof/>
        </w:rPr>
        <w:t>L’Union dispose d’un secteur pharmaceutique robuste et concurrentiel, qui se démarque comme l’un des principaux acteurs mondiaux de la production de médicaments et un contributeur majeur de l’économie de l’Union, employant directement quelque 800 000 personnes</w:t>
      </w:r>
      <w:r w:rsidRPr="00922C2A">
        <w:rPr>
          <w:rStyle w:val="FootnoteReference"/>
          <w:noProof/>
        </w:rPr>
        <w:footnoteReference w:id="2"/>
      </w:r>
      <w:r w:rsidRPr="00922C2A">
        <w:rPr>
          <w:noProof/>
        </w:rPr>
        <w:t>. Ce secteur est particulièrement réputé dans le domaine de la recherche et du développement de médicaments innovants. Néanmoins, le paysage de la fabrication pharmaceutique a évolué ces dernières années. Dans l’Union, la production pharmaceutique s’est concentrée sur des produits plus complexes nécessitant des infrastructures de haute technologie, une main-d’œuvre qualifiée et des procédés sophistiqués. La production d’intrants pour les médicaments génériques a été graduellement délocalisée hors d’Europe. Dans le même temps, presque 70 % des médicaments délivrés en Europe sont des génériques</w:t>
      </w:r>
      <w:r w:rsidRPr="00922C2A">
        <w:rPr>
          <w:rStyle w:val="FootnoteReference"/>
          <w:noProof/>
        </w:rPr>
        <w:footnoteReference w:id="3"/>
      </w:r>
      <w:r w:rsidRPr="00922C2A">
        <w:rPr>
          <w:noProof/>
        </w:rPr>
        <w:t>.</w:t>
      </w:r>
    </w:p>
    <w:p w14:paraId="5DDF1C1E" w14:textId="77777777" w:rsidR="00922C2A" w:rsidRPr="00922C2A" w:rsidRDefault="00922C2A" w:rsidP="00922C2A">
      <w:pPr>
        <w:rPr>
          <w:noProof/>
        </w:rPr>
      </w:pPr>
      <w:r w:rsidRPr="00922C2A">
        <w:rPr>
          <w:noProof/>
        </w:rPr>
        <w:t>L’Union est confrontée à des défis croissants pour garantir un approvisionnement stable et résilient en médicaments essentiels à la santé des patients européens. Les événements mondiaux récents, notamment la pandémie de COVID</w:t>
      </w:r>
      <w:r w:rsidRPr="00922C2A">
        <w:rPr>
          <w:noProof/>
        </w:rPr>
        <w:noBreakHyphen/>
        <w:t xml:space="preserve">19 et la guerre menée par la Russie contre l’Ukraine, ont mis en évidence les vulnérabilités des chaînes d’approvisionnement pharmaceutique de l’Union. Les pénuries de médicaments critiques présentent des risques considérables pour les patients et la santé publique et compromettent le fonctionnement des systèmes de santé. </w:t>
      </w:r>
    </w:p>
    <w:p w14:paraId="534682F0" w14:textId="77777777" w:rsidR="00922C2A" w:rsidRPr="00922C2A" w:rsidRDefault="00922C2A" w:rsidP="00922C2A">
      <w:pPr>
        <w:rPr>
          <w:noProof/>
        </w:rPr>
      </w:pPr>
      <w:r w:rsidRPr="00922C2A">
        <w:rPr>
          <w:noProof/>
        </w:rPr>
        <w:t xml:space="preserve">Complexes et multiples, les causes profondes des pénuries touchent l’ensemble de la chaîne de valeur pharmaceutique, qu’il s’agisse de problèmes de qualité et de fabrication, de décisions commerciales, de complexité des chaînes d’approvisionnement ou de compétitivité du secteur. Plus précisément, les pénuries de médicaments résultent de perturbations de la chaîne d’approvisionnement causées par un manque de diversification des principaux fournisseurs et de vulnérabilités qui affectent la fourniture d’ingrédients et de composants essentiels. </w:t>
      </w:r>
    </w:p>
    <w:p w14:paraId="531A1B6F" w14:textId="77777777" w:rsidR="00922C2A" w:rsidRPr="00922C2A" w:rsidRDefault="00922C2A" w:rsidP="00922C2A">
      <w:pPr>
        <w:rPr>
          <w:noProof/>
        </w:rPr>
      </w:pPr>
      <w:r w:rsidRPr="00922C2A">
        <w:rPr>
          <w:noProof/>
        </w:rPr>
        <w:t>Si l’on examine les causes des pénuries de médicaments critiques, qui sont des médicaments pour lesquels il n’existe pas de solutions de remplacement appropriées et pour lesquels un approvisionnement insuffisant causerait de graves préjudices aux patients ou ferait peser un risque sur leur santé, il est important de faire la distinction entre les médicaments non protégés par un brevet ou génériques</w:t>
      </w:r>
      <w:r w:rsidRPr="00922C2A">
        <w:rPr>
          <w:rStyle w:val="FootnoteReference"/>
          <w:noProof/>
        </w:rPr>
        <w:footnoteReference w:id="4"/>
      </w:r>
      <w:r w:rsidRPr="00922C2A">
        <w:rPr>
          <w:noProof/>
        </w:rPr>
        <w:t xml:space="preserve"> et les médicaments innovants ou sous brevet</w:t>
      </w:r>
      <w:r w:rsidRPr="00922C2A">
        <w:rPr>
          <w:rStyle w:val="FootnoteReference"/>
          <w:noProof/>
        </w:rPr>
        <w:footnoteReference w:id="5"/>
      </w:r>
      <w:r w:rsidRPr="00922C2A">
        <w:rPr>
          <w:noProof/>
        </w:rPr>
        <w:t xml:space="preserve">. Certaines dynamiques du marché, observables pour les médicaments génériques, ne s’appliquent pas nécessairement aux médicaments innovants. Les systèmes de santé de l’Union ont de plus en plus recours aux médicaments génériques et ont tendance à les acquérir sur la base du coût </w:t>
      </w:r>
      <w:r w:rsidRPr="00922C2A">
        <w:rPr>
          <w:i/>
          <w:noProof/>
        </w:rPr>
        <w:t>le plus bas</w:t>
      </w:r>
      <w:r w:rsidRPr="00922C2A">
        <w:rPr>
          <w:noProof/>
        </w:rPr>
        <w:t xml:space="preserve"> afin de réduire la charge pesant sur les budgets de santé nationaux. </w:t>
      </w:r>
    </w:p>
    <w:p w14:paraId="2B9B60E5" w14:textId="77777777" w:rsidR="00922C2A" w:rsidRPr="00922C2A" w:rsidRDefault="00922C2A" w:rsidP="00922C2A">
      <w:pPr>
        <w:rPr>
          <w:noProof/>
        </w:rPr>
      </w:pPr>
      <w:r w:rsidRPr="00922C2A">
        <w:rPr>
          <w:noProof/>
        </w:rPr>
        <w:t xml:space="preserve">Il a été constaté que les défis industriels avaient une incidence sur la disponibilité des médicaments critiques dans l’Union, notamment le manque d’investissements dans les capacités de production européennes, ce qui a contribué à accroître la dépendance à l'égard des approvisionnements en provenance de pays tiers. La fragmentation des pratiques de passation de marchés entre les États membres constitue un défi et ne contribue pas à créer les conditions les plus favorables aux investissements. En outre, les pénuries de main-d’œuvre et le besoin en compétences spécialisées dans la fabrication pharmaceutique exercent une pression supplémentaire sur la capacité de l’industrie à garantir un approvisionnement stable en médicaments critiques. </w:t>
      </w:r>
    </w:p>
    <w:p w14:paraId="02E0F66E" w14:textId="77777777" w:rsidR="00922C2A" w:rsidRPr="00922C2A" w:rsidRDefault="00922C2A" w:rsidP="00922C2A">
      <w:pPr>
        <w:rPr>
          <w:noProof/>
        </w:rPr>
      </w:pPr>
      <w:r w:rsidRPr="00922C2A">
        <w:rPr>
          <w:noProof/>
        </w:rPr>
        <w:t>La pandémie de COVID</w:t>
      </w:r>
      <w:r w:rsidRPr="00922C2A">
        <w:rPr>
          <w:noProof/>
        </w:rPr>
        <w:noBreakHyphen/>
        <w:t xml:space="preserve">19 a clairement mis en évidence d’importantes vulnérabilités dans la chaîne d’approvisionnement pharmaceutique de l’Union, en particulier la forte dépendance à l'égard des sources étrangères pour les substances actives. Les restrictions à l’exportation imposées par certains pays pendant la pandémie ont révélé des limites à la capacité de l’Europe à produire de manière indépendante certains médicaments, mettant ainsi en péril la santé publique dans l’ensemble de l’Union. Cette situation a mis en évidence l’importance cruciale de la sécurité économique, car les perturbations des chaînes d’approvisionnement mondiales — que ce soit en raison de pandémies, de tensions géopolitiques ou d’autres facteurs — peuvent avoir de graves répercussions sur la sécurité nationale et régionale, la résilience économique et la santé publique. </w:t>
      </w:r>
    </w:p>
    <w:p w14:paraId="0B5A8725" w14:textId="77777777" w:rsidR="00922C2A" w:rsidRPr="00922C2A" w:rsidRDefault="00922C2A" w:rsidP="00922C2A">
      <w:pPr>
        <w:rPr>
          <w:noProof/>
        </w:rPr>
      </w:pPr>
      <w:r w:rsidRPr="00922C2A">
        <w:rPr>
          <w:noProof/>
        </w:rPr>
        <w:t>La pandémie a révélé à quel point certains secteurs, en particulier les médicaments, sont essentiels au maintien de la sécurité économique de l’Union. Alors que l’Europe est confrontée à des tensions géopolitiques croissantes et à des perturbations mondiales susceptibles de devenir plus fréquentes, il est essentiel de garantir la stabilité et la fiabilité des chaînes d’approvisionnement critiques, notamment pour les médicaments. En remédiant à ces vulnérabilités, l’Union peut améliorer sa préparation et sa résilience, préserver le bien-être et la santé publique de ses citoyens et renforcer sa sécurité globale.</w:t>
      </w:r>
    </w:p>
    <w:p w14:paraId="2AFF5E3A" w14:textId="77777777" w:rsidR="00922C2A" w:rsidRPr="00922C2A" w:rsidRDefault="00922C2A" w:rsidP="00922C2A">
      <w:pPr>
        <w:rPr>
          <w:noProof/>
        </w:rPr>
      </w:pPr>
      <w:r w:rsidRPr="00922C2A">
        <w:rPr>
          <w:noProof/>
        </w:rPr>
        <w:t>Une enquête menée dans le cadre de l’action commune des États membres sur les pénuries (CHESSMEN)</w:t>
      </w:r>
      <w:r w:rsidRPr="00922C2A">
        <w:rPr>
          <w:rStyle w:val="FootnoteReference"/>
          <w:noProof/>
        </w:rPr>
        <w:footnoteReference w:id="6"/>
      </w:r>
      <w:r w:rsidRPr="00922C2A">
        <w:rPr>
          <w:noProof/>
        </w:rPr>
        <w:t>, financée par le programme «L’UE pour la santé» (EU4Health), a révélé que plus de 50 % des pénuries signalées étaient dues à des problèmes de fabrication, catégorie qui comprend les pénuries liées à la disponibilité des substances actives.</w:t>
      </w:r>
    </w:p>
    <w:p w14:paraId="21CEA1FE" w14:textId="77777777" w:rsidR="00922C2A" w:rsidRPr="00922C2A" w:rsidRDefault="00922C2A" w:rsidP="00922C2A">
      <w:pPr>
        <w:keepNext/>
        <w:jc w:val="center"/>
        <w:rPr>
          <w:noProof/>
        </w:rPr>
      </w:pPr>
      <w:r w:rsidRPr="00922C2A">
        <w:rPr>
          <w:noProof/>
          <w:lang w:val="en-GB" w:eastAsia="en-GB"/>
        </w:rPr>
        <w:drawing>
          <wp:inline distT="0" distB="0" distL="0" distR="0" wp14:anchorId="78F6EE98" wp14:editId="342C242C">
            <wp:extent cx="4215130" cy="2867215"/>
            <wp:effectExtent l="0" t="0" r="0" b="9525"/>
            <wp:docPr id="1302242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5851" r="-6" b="11661"/>
                    <a:stretch/>
                  </pic:blipFill>
                  <pic:spPr bwMode="auto">
                    <a:xfrm>
                      <a:off x="0" y="0"/>
                      <a:ext cx="4215600" cy="2867535"/>
                    </a:xfrm>
                    <a:prstGeom prst="rect">
                      <a:avLst/>
                    </a:prstGeom>
                    <a:noFill/>
                    <a:ln>
                      <a:noFill/>
                    </a:ln>
                    <a:extLst>
                      <a:ext uri="{53640926-AAD7-44D8-BBD7-CCE9431645EC}">
                        <a14:shadowObscured xmlns:a14="http://schemas.microsoft.com/office/drawing/2010/main"/>
                      </a:ext>
                    </a:extLst>
                  </pic:spPr>
                </pic:pic>
              </a:graphicData>
            </a:graphic>
          </wp:inline>
        </w:drawing>
      </w:r>
    </w:p>
    <w:p w14:paraId="0F294A15" w14:textId="77777777" w:rsidR="00922C2A" w:rsidRPr="00922C2A" w:rsidRDefault="00922C2A" w:rsidP="00922C2A">
      <w:pPr>
        <w:pStyle w:val="Caption"/>
        <w:jc w:val="center"/>
        <w:rPr>
          <w:i/>
          <w:noProof/>
          <w:sz w:val="18"/>
          <w:szCs w:val="18"/>
          <w:u w:val="single"/>
        </w:rPr>
      </w:pPr>
      <w:r w:rsidRPr="00922C2A">
        <w:rPr>
          <w:noProof/>
          <w:sz w:val="18"/>
        </w:rPr>
        <w:t>Figure </w:t>
      </w:r>
      <w:r w:rsidRPr="00922C2A">
        <w:rPr>
          <w:noProof/>
          <w:sz w:val="18"/>
        </w:rPr>
        <w:fldChar w:fldCharType="begin"/>
      </w:r>
      <w:r w:rsidRPr="00922C2A">
        <w:rPr>
          <w:noProof/>
          <w:sz w:val="18"/>
        </w:rPr>
        <w:instrText xml:space="preserve"> SEQ Figure \* ARABIC </w:instrText>
      </w:r>
      <w:r w:rsidRPr="00922C2A">
        <w:rPr>
          <w:noProof/>
          <w:sz w:val="18"/>
        </w:rPr>
        <w:fldChar w:fldCharType="separate"/>
      </w:r>
      <w:r w:rsidRPr="00922C2A">
        <w:rPr>
          <w:noProof/>
          <w:sz w:val="18"/>
        </w:rPr>
        <w:t>1</w:t>
      </w:r>
      <w:r w:rsidRPr="00922C2A">
        <w:rPr>
          <w:noProof/>
          <w:sz w:val="18"/>
        </w:rPr>
        <w:fldChar w:fldCharType="end"/>
      </w:r>
      <w:r w:rsidRPr="00922C2A">
        <w:rPr>
          <w:noProof/>
          <w:sz w:val="18"/>
        </w:rPr>
        <w:t>: Causes profondes des pénuries de médicaments en 2022 et 2023 dans les pays de l’UE</w:t>
      </w:r>
      <w:r w:rsidRPr="00922C2A">
        <w:rPr>
          <w:i/>
          <w:noProof/>
          <w:sz w:val="18"/>
        </w:rPr>
        <w:t>/</w:t>
      </w:r>
      <w:r w:rsidRPr="00922C2A">
        <w:rPr>
          <w:noProof/>
          <w:sz w:val="18"/>
        </w:rPr>
        <w:t>EEE, regroupées selon la classification du groupe de travail des points de contact uniques (PCU)  (action conjointe CHESSMEN)</w:t>
      </w:r>
    </w:p>
    <w:p w14:paraId="3E0BB752" w14:textId="77777777" w:rsidR="00922C2A" w:rsidRPr="00922C2A" w:rsidRDefault="00922C2A" w:rsidP="00922C2A">
      <w:pPr>
        <w:jc w:val="center"/>
        <w:rPr>
          <w:noProof/>
        </w:rPr>
      </w:pPr>
    </w:p>
    <w:p w14:paraId="6284A302" w14:textId="77777777" w:rsidR="00922C2A" w:rsidRPr="00922C2A" w:rsidRDefault="00922C2A" w:rsidP="00922C2A">
      <w:pPr>
        <w:rPr>
          <w:noProof/>
        </w:rPr>
      </w:pPr>
      <w:r w:rsidRPr="00922C2A">
        <w:rPr>
          <w:noProof/>
        </w:rPr>
        <w:t>En outre, l’accès à certains médicaments tels que ceux destinés au traitement des maladies rares, peut varier considérablement d’un État membre à l’autre. Divers facteurs, dont la taille du marché, font que les entreprises ne commercialisent pas les médicaments de la même façon sur tout le territoire de l’Union. En conséquence, il se peut que les patients dans l’ensemble de l’Union ne bénéficient pas d’un accès égal aux médicaments dont ils ont besoin et que des défaillances du marché subsistent, y compris dans le cadre du développement d’antimicrobiens prioritaires susceptibles de contribuer à lutter contre la résistance aux antimicrobiens. </w:t>
      </w:r>
    </w:p>
    <w:p w14:paraId="156E808F" w14:textId="77777777" w:rsidR="00922C2A" w:rsidRPr="00922C2A" w:rsidRDefault="00922C2A" w:rsidP="00922C2A">
      <w:pPr>
        <w:rPr>
          <w:noProof/>
        </w:rPr>
      </w:pPr>
      <w:r w:rsidRPr="00922C2A">
        <w:rPr>
          <w:noProof/>
        </w:rPr>
        <w:t>Les pénuries de médicaments figurent à l’ordre du jour politique de l’Union depuis près d’une décennie</w:t>
      </w:r>
      <w:r w:rsidRPr="00922C2A">
        <w:rPr>
          <w:rStyle w:val="FootnoteReference"/>
          <w:noProof/>
        </w:rPr>
        <w:footnoteReference w:id="7"/>
      </w:r>
      <w:r w:rsidRPr="00922C2A">
        <w:rPr>
          <w:noProof/>
        </w:rPr>
        <w:t xml:space="preserve">. La </w:t>
      </w:r>
      <w:r w:rsidRPr="00922C2A">
        <w:rPr>
          <w:b/>
          <w:noProof/>
        </w:rPr>
        <w:t>stratégie pharmaceutique pour l’Europe</w:t>
      </w:r>
      <w:r w:rsidRPr="00922C2A">
        <w:rPr>
          <w:noProof/>
        </w:rPr>
        <w:t xml:space="preserve"> en 2020</w:t>
      </w:r>
      <w:r w:rsidRPr="00922C2A">
        <w:rPr>
          <w:rStyle w:val="FootnoteReference"/>
          <w:noProof/>
        </w:rPr>
        <w:footnoteReference w:id="8"/>
      </w:r>
      <w:r w:rsidRPr="00922C2A">
        <w:rPr>
          <w:noProof/>
        </w:rPr>
        <w:t xml:space="preserve"> a reconnu la nécessité de créer un cadre pharmaceutique réglementaire à l’épreuve du temps et d’apporter un soutien supplémentaire à l’industrie pharmaceutique pour promouvoir la recherche, l’innovation et les technologies qui répondent aux besoins thérapeutiques des patients tout en leur garantissant un accès abordable aux médicaments. </w:t>
      </w:r>
    </w:p>
    <w:p w14:paraId="4B46B8F4" w14:textId="77777777" w:rsidR="00922C2A" w:rsidRPr="00922C2A" w:rsidRDefault="00922C2A" w:rsidP="00922C2A">
      <w:pPr>
        <w:rPr>
          <w:noProof/>
        </w:rPr>
      </w:pPr>
      <w:r w:rsidRPr="00922C2A">
        <w:rPr>
          <w:noProof/>
        </w:rPr>
        <w:t xml:space="preserve">La stratégie pharmaceutique comprenait également le lancement d’un </w:t>
      </w:r>
      <w:r w:rsidRPr="00922C2A">
        <w:rPr>
          <w:b/>
          <w:noProof/>
        </w:rPr>
        <w:t>dialogue structuré</w:t>
      </w:r>
      <w:r w:rsidRPr="00922C2A">
        <w:rPr>
          <w:rStyle w:val="FootnoteReference"/>
          <w:noProof/>
        </w:rPr>
        <w:footnoteReference w:id="9"/>
      </w:r>
      <w:r w:rsidRPr="00922C2A">
        <w:rPr>
          <w:noProof/>
        </w:rPr>
        <w:t xml:space="preserve"> sur la dimension industrielle de la sécurité d’approvisionnement. À partir de 2021, cette initiative a rassemblé des parties intéressées de l’industrie pharmaceutique (y compris des fabricants de substances actives), des grossistes, des professionnels de la santé et des patients, ainsi que des autorités des États membres. </w:t>
      </w:r>
    </w:p>
    <w:p w14:paraId="73323BA9" w14:textId="77777777" w:rsidR="00922C2A" w:rsidRPr="00922C2A" w:rsidRDefault="00922C2A" w:rsidP="00922C2A">
      <w:pPr>
        <w:rPr>
          <w:noProof/>
        </w:rPr>
      </w:pPr>
      <w:r w:rsidRPr="00922C2A">
        <w:rPr>
          <w:noProof/>
        </w:rPr>
        <w:t xml:space="preserve">Par la suite, la Commission a publié en 2022 un </w:t>
      </w:r>
      <w:r w:rsidRPr="00922C2A">
        <w:rPr>
          <w:b/>
          <w:noProof/>
        </w:rPr>
        <w:t>document de travail des services de la Commission sur les vulnérabilités des chaînes d’approvisionnement mondiales en médicaments</w:t>
      </w:r>
      <w:r w:rsidRPr="00922C2A">
        <w:rPr>
          <w:rStyle w:val="FootnoteReference"/>
          <w:noProof/>
        </w:rPr>
        <w:footnoteReference w:id="10"/>
      </w:r>
      <w:r w:rsidRPr="00922C2A">
        <w:rPr>
          <w:noProof/>
        </w:rPr>
        <w:t>, qui présentait les principales conclusions du dialogue structuré dans le but d’éclairer l’élaboration de nouvelles actions visant à améliorer la sécurité de l’approvisionnement et la disponibilité des médicaments critiques, des substances actives et des matières premières et de départ pour les produits pharmaceutiques.</w:t>
      </w:r>
    </w:p>
    <w:p w14:paraId="6927A61F" w14:textId="77777777" w:rsidR="00922C2A" w:rsidRPr="00922C2A" w:rsidRDefault="00922C2A" w:rsidP="00922C2A">
      <w:pPr>
        <w:rPr>
          <w:noProof/>
        </w:rPr>
      </w:pPr>
      <w:r w:rsidRPr="00922C2A">
        <w:rPr>
          <w:noProof/>
        </w:rPr>
        <w:t xml:space="preserve">Des mesures supplémentaires ont été prises depuis lors pour relever les défis susmentionnés, notamment celui de garantir la sécurité de la chaîne d’approvisionnement en médicaments critiques. Ces mesures concernent en particulier la proposition de </w:t>
      </w:r>
      <w:r w:rsidRPr="00922C2A">
        <w:rPr>
          <w:b/>
          <w:noProof/>
        </w:rPr>
        <w:t>révision de la législation pharmaceutique générale de l’UE</w:t>
      </w:r>
      <w:r w:rsidRPr="00922C2A">
        <w:rPr>
          <w:rStyle w:val="FootnoteReference"/>
          <w:noProof/>
        </w:rPr>
        <w:footnoteReference w:id="11"/>
      </w:r>
      <w:r w:rsidRPr="00922C2A">
        <w:rPr>
          <w:noProof/>
        </w:rPr>
        <w:t>, qui est en cours de négociation par les colégislateurs et le mandat élargi de l’Agence européenne des médicaments (EMA)</w:t>
      </w:r>
      <w:r w:rsidRPr="00922C2A">
        <w:rPr>
          <w:rStyle w:val="FootnoteReference"/>
          <w:noProof/>
        </w:rPr>
        <w:footnoteReference w:id="12"/>
      </w:r>
      <w:r w:rsidRPr="00922C2A">
        <w:rPr>
          <w:noProof/>
        </w:rPr>
        <w:t xml:space="preserve">. </w:t>
      </w:r>
    </w:p>
    <w:p w14:paraId="311CEA79" w14:textId="77777777" w:rsidR="00922C2A" w:rsidRPr="00922C2A" w:rsidRDefault="00922C2A" w:rsidP="00922C2A">
      <w:pPr>
        <w:rPr>
          <w:noProof/>
          <w:color w:val="000000"/>
        </w:rPr>
      </w:pPr>
      <w:r w:rsidRPr="00922C2A">
        <w:rPr>
          <w:rStyle w:val="Strong"/>
          <w:noProof/>
          <w:color w:val="000000"/>
        </w:rPr>
        <w:t>En 2023, la Commission a publié une communication sur la lutte contre les pénuries de médicaments dans l’UE</w:t>
      </w:r>
      <w:r w:rsidRPr="00922C2A">
        <w:rPr>
          <w:rStyle w:val="FootnoteReference"/>
          <w:noProof/>
          <w:color w:val="000000"/>
        </w:rPr>
        <w:footnoteReference w:id="13"/>
      </w:r>
      <w:r w:rsidRPr="00922C2A">
        <w:rPr>
          <w:rStyle w:val="Strong"/>
          <w:noProof/>
          <w:color w:val="000000"/>
        </w:rPr>
        <w:t>, qui définit un certain nombre d’actions visant à mieux prévenir et atténuer les pénuries de médicaments critiques dans l’Union.</w:t>
      </w:r>
      <w:r w:rsidRPr="00922C2A">
        <w:rPr>
          <w:noProof/>
          <w:color w:val="000000"/>
        </w:rPr>
        <w:t xml:space="preserve"> Alors que les entreprises pharmaceutiques sont chargées de garantir un approvisionnement suffisant en médicaments pour répondre aux besoins des patients, les États membres assurent la surveillance de l’approvisionnement en médicaments sur leur territoire. La majorité des pénuries sont gérées et résolues au niveau national. Toutefois, afin de prévenir et d’atténuer les pénuries critiques qui ne peuvent être résolues au niveau national et lors desquelles aucun médicament de substitution n’est disponible, une action coordonnée est nécessaire pour relever les défis d’approvisionnement et rendre les chaînes d’approvisionnement en médicaments en Europe plus résilientes à long terme. </w:t>
      </w:r>
    </w:p>
    <w:p w14:paraId="3D5BFD6C" w14:textId="77777777" w:rsidR="00922C2A" w:rsidRPr="00922C2A" w:rsidRDefault="00922C2A" w:rsidP="00922C2A">
      <w:pPr>
        <w:rPr>
          <w:noProof/>
          <w:color w:val="000000"/>
        </w:rPr>
      </w:pPr>
      <w:r w:rsidRPr="00922C2A">
        <w:rPr>
          <w:noProof/>
          <w:color w:val="000000"/>
        </w:rPr>
        <w:t xml:space="preserve">La communication de 2023 met donc particulièrement l’accent sur </w:t>
      </w:r>
      <w:r w:rsidRPr="00922C2A">
        <w:rPr>
          <w:rStyle w:val="Strong"/>
          <w:noProof/>
          <w:color w:val="000000"/>
        </w:rPr>
        <w:t>les médicaments les plus critiques</w:t>
      </w:r>
      <w:r w:rsidRPr="00922C2A">
        <w:rPr>
          <w:rStyle w:val="Emphasis"/>
          <w:noProof/>
          <w:color w:val="000000"/>
        </w:rPr>
        <w:t>,</w:t>
      </w:r>
      <w:r w:rsidRPr="00922C2A">
        <w:rPr>
          <w:rStyle w:val="Strong"/>
          <w:i/>
          <w:noProof/>
          <w:color w:val="000000"/>
        </w:rPr>
        <w:t xml:space="preserve"> </w:t>
      </w:r>
      <w:r w:rsidRPr="00922C2A">
        <w:rPr>
          <w:noProof/>
          <w:color w:val="000000"/>
        </w:rPr>
        <w:t xml:space="preserve">pour lesquels la sécurité de l’approvisionnement dans l’Union doit être assurée à tout moment. Elle a souligné la nécessité de publier une </w:t>
      </w:r>
      <w:r w:rsidRPr="00922C2A">
        <w:rPr>
          <w:rStyle w:val="Strong"/>
          <w:noProof/>
          <w:color w:val="000000"/>
        </w:rPr>
        <w:t xml:space="preserve">liste de l’Union des médicaments critiques avant l’adoption de la législation pharmaceutique révisée de l’UE. </w:t>
      </w:r>
      <w:r w:rsidRPr="00922C2A">
        <w:rPr>
          <w:noProof/>
          <w:color w:val="000000"/>
        </w:rPr>
        <w:t>La première liste de l’Union des médicaments critiques,</w:t>
      </w:r>
      <w:r w:rsidRPr="00922C2A">
        <w:rPr>
          <w:noProof/>
          <w:color w:val="000000" w:themeColor="text1"/>
        </w:rPr>
        <w:t xml:space="preserve"> établie en combinant les critères de gravité de la maladie et de disponibilité de médicaments de substitution,</w:t>
      </w:r>
      <w:r w:rsidRPr="00922C2A">
        <w:rPr>
          <w:noProof/>
        </w:rPr>
        <w:t xml:space="preserve"> </w:t>
      </w:r>
      <w:r w:rsidRPr="00922C2A">
        <w:rPr>
          <w:noProof/>
          <w:color w:val="000000"/>
        </w:rPr>
        <w:t>a été publiée par la Commission européenne, l’EMA et les directeurs des agences des médicaments des États membres en décembre 2023 et révisée en décembre 2024</w:t>
      </w:r>
      <w:r w:rsidRPr="00922C2A">
        <w:rPr>
          <w:rStyle w:val="FootnoteReference"/>
          <w:noProof/>
          <w:color w:val="000000"/>
        </w:rPr>
        <w:footnoteReference w:id="14"/>
      </w:r>
      <w:r w:rsidRPr="00922C2A">
        <w:rPr>
          <w:noProof/>
        </w:rPr>
        <w:t>.</w:t>
      </w:r>
      <w:r w:rsidRPr="00922C2A">
        <w:rPr>
          <w:noProof/>
          <w:color w:val="000000"/>
        </w:rPr>
        <w:t xml:space="preserve"> Elle fournit une première liste à partir de laquelle analyser les vulnérabilités de la chaîne d’approvisionnement de ces médicaments et les domaines dans lesquels des mesures supplémentaires sont nécessaires pour renforcer ces chaînes d’approvisionnement. La liste inclut plus de 270 substances actives, englobant les traitements pour diverses maladies telles que les infections, les maladies cardiovasculaires, les troubles mentaux et le cancer.</w:t>
      </w:r>
    </w:p>
    <w:p w14:paraId="0D15ED6E" w14:textId="77777777" w:rsidR="00922C2A" w:rsidRPr="00922C2A" w:rsidRDefault="00922C2A" w:rsidP="00922C2A">
      <w:pPr>
        <w:rPr>
          <w:noProof/>
        </w:rPr>
      </w:pPr>
      <w:r w:rsidRPr="00922C2A">
        <w:rPr>
          <w:noProof/>
        </w:rPr>
        <w:t>En tant que mesure essentielle pour renforcer la sécurité de l’approvisionnement en médicaments critiques, la Commission a également annoncé, dans sa communication, le lancement d’une «</w:t>
      </w:r>
      <w:r w:rsidRPr="00922C2A">
        <w:rPr>
          <w:b/>
          <w:noProof/>
        </w:rPr>
        <w:t>Alliance pour les médicaments critiques</w:t>
      </w:r>
      <w:r w:rsidRPr="00922C2A">
        <w:rPr>
          <w:noProof/>
        </w:rPr>
        <w:t>»</w:t>
      </w:r>
      <w:r w:rsidRPr="00922C2A">
        <w:rPr>
          <w:rStyle w:val="FootnoteReference"/>
          <w:noProof/>
        </w:rPr>
        <w:footnoteReference w:id="15"/>
      </w:r>
      <w:r w:rsidRPr="00922C2A">
        <w:rPr>
          <w:noProof/>
        </w:rPr>
        <w:t>. L'Alliance a été officiellement lancée en avril 2024</w:t>
      </w:r>
      <w:r w:rsidRPr="00922C2A">
        <w:rPr>
          <w:rStyle w:val="FootnoteReference"/>
          <w:noProof/>
        </w:rPr>
        <w:footnoteReference w:id="16"/>
      </w:r>
      <w:r w:rsidRPr="00922C2A">
        <w:rPr>
          <w:noProof/>
        </w:rPr>
        <w:t xml:space="preserve"> et applique une approche utilisée avec succès par la Commission dans d’autres domaines (batteries, semi-conducteurs, matières premières critiques). Le principal objectif de l’Alliance était de recenser les défis résultant des vulnérabilités et les actions et instruments les plus appropriés pour remédier aux vulnérabilités des chaînes d’approvisionnement en médicaments critiques, avec pour objectif de santé publique principal celui de réduire le risque de pénurie de ces médicaments critiques. L’Alliance a réuni plus de 300 organisations (allant des communautés scientifiques et des patients aux prestataires de soins de santé, à l’industrie et aux pouvoirs publics). À la suite de consultations intensives avec ses membres en 2024, l’Alliance a publié le 28 février 2025 son rapport stratégique comprenant une série de recommandations</w:t>
      </w:r>
      <w:r w:rsidRPr="00922C2A">
        <w:rPr>
          <w:rStyle w:val="FootnoteReference"/>
          <w:noProof/>
        </w:rPr>
        <w:footnoteReference w:id="17"/>
      </w:r>
      <w:r w:rsidRPr="00922C2A">
        <w:rPr>
          <w:noProof/>
        </w:rPr>
        <w:t>.</w:t>
      </w:r>
    </w:p>
    <w:p w14:paraId="1D425C98" w14:textId="77777777" w:rsidR="00922C2A" w:rsidRPr="00922C2A" w:rsidRDefault="00922C2A" w:rsidP="00922C2A">
      <w:pPr>
        <w:tabs>
          <w:tab w:val="left" w:pos="3261"/>
        </w:tabs>
        <w:rPr>
          <w:noProof/>
        </w:rPr>
      </w:pPr>
      <w:r w:rsidRPr="00922C2A">
        <w:rPr>
          <w:noProof/>
        </w:rPr>
        <w:t xml:space="preserve">La présente proposition de règlement répond à l’engagement politique de la présidente von der Leyen de présenter un </w:t>
      </w:r>
      <w:r w:rsidRPr="00922C2A">
        <w:rPr>
          <w:b/>
          <w:noProof/>
        </w:rPr>
        <w:t>règlement sur les médicaments critiques</w:t>
      </w:r>
      <w:r w:rsidRPr="00922C2A">
        <w:rPr>
          <w:noProof/>
        </w:rPr>
        <w:t xml:space="preserve"> afin de remédier aux graves pénuries de médicaments et de réduire les dépendances liées aux médicaments et ingrédients critiques, ainsi que de garantir l’approvisionnement en médicaments abordables</w:t>
      </w:r>
      <w:r w:rsidRPr="00922C2A">
        <w:rPr>
          <w:rStyle w:val="FootnoteReference"/>
          <w:noProof/>
        </w:rPr>
        <w:footnoteReference w:id="18"/>
      </w:r>
      <w:r w:rsidRPr="00922C2A">
        <w:rPr>
          <w:noProof/>
        </w:rPr>
        <w:t>. Le règlement proposé constituera une étape importante dans l’achèvement de l’</w:t>
      </w:r>
      <w:r w:rsidRPr="00922C2A">
        <w:rPr>
          <w:b/>
          <w:noProof/>
        </w:rPr>
        <w:t>Union européenne de la santé</w:t>
      </w:r>
      <w:r w:rsidRPr="00922C2A">
        <w:rPr>
          <w:noProof/>
        </w:rPr>
        <w:t>; il s’appuie sur 1) les mesures proposées dans le cadre de la révision en cours de la législation pharmaceutique de l’UE; 2) le mandat élargi de l’EMA en matière de préparation aux crises et de gestion des médicaments; 3) des actions clés visant l’achèvement d’une Union européenne de la santé dans laquelle tous les États membres de l’UE se préparent et réagissent ensemble aux crises sanitaires et dans laquelle des fournitures médicales sont accessibles, abordables et innovantes</w:t>
      </w:r>
      <w:r w:rsidRPr="00922C2A">
        <w:rPr>
          <w:rStyle w:val="FootnoteReference"/>
          <w:noProof/>
        </w:rPr>
        <w:footnoteReference w:id="19"/>
      </w:r>
      <w:r w:rsidRPr="00922C2A">
        <w:rPr>
          <w:noProof/>
        </w:rPr>
        <w:t>; et 4) de nouvelles mesures de politique industrielle récemment entrées en vigueur dans d’autres domaines «critiques»</w:t>
      </w:r>
      <w:r w:rsidRPr="00922C2A">
        <w:rPr>
          <w:rStyle w:val="FootnoteReference"/>
          <w:noProof/>
        </w:rPr>
        <w:footnoteReference w:id="20"/>
      </w:r>
      <w:r w:rsidRPr="00922C2A">
        <w:rPr>
          <w:noProof/>
        </w:rPr>
        <w:t xml:space="preserve">. </w:t>
      </w:r>
    </w:p>
    <w:p w14:paraId="15E6FF93" w14:textId="77777777" w:rsidR="00922C2A" w:rsidRPr="00922C2A" w:rsidRDefault="00922C2A" w:rsidP="00922C2A">
      <w:pPr>
        <w:spacing w:before="0" w:after="200" w:line="276" w:lineRule="auto"/>
        <w:jc w:val="left"/>
        <w:rPr>
          <w:i/>
          <w:iCs/>
          <w:noProof/>
        </w:rPr>
      </w:pPr>
      <w:r w:rsidRPr="00922C2A">
        <w:rPr>
          <w:i/>
          <w:noProof/>
        </w:rPr>
        <w:t>Champ d’application et objectifs</w:t>
      </w:r>
    </w:p>
    <w:p w14:paraId="59E76166" w14:textId="77777777" w:rsidR="00922C2A" w:rsidRPr="00922C2A" w:rsidRDefault="00922C2A" w:rsidP="00922C2A">
      <w:pPr>
        <w:tabs>
          <w:tab w:val="left" w:pos="3261"/>
        </w:tabs>
        <w:rPr>
          <w:noProof/>
        </w:rPr>
      </w:pPr>
      <w:r w:rsidRPr="00922C2A">
        <w:rPr>
          <w:noProof/>
        </w:rPr>
        <w:t xml:space="preserve">Compte tenu de la situation géopolitique actuelle et de l’importance d’une industrie pharmaceutique européenne viable pour la sécurité économique de l’Union, la proposition de règlement vise à compléter les mesures présentées dans le cadre de la révision de la législation pharmaceutique de l’UE afin de remédier aux vulnérabilités de la chaîne d’approvisionnement des médicaments critiques et de soutenir la sécurité de l’approvisionnement et la disponibilité de ces médicaments. </w:t>
      </w:r>
    </w:p>
    <w:p w14:paraId="1C906C56" w14:textId="77777777" w:rsidR="00922C2A" w:rsidRPr="00922C2A" w:rsidRDefault="00922C2A" w:rsidP="00922C2A">
      <w:pPr>
        <w:tabs>
          <w:tab w:val="left" w:pos="3261"/>
        </w:tabs>
        <w:rPr>
          <w:noProof/>
        </w:rPr>
      </w:pPr>
      <w:r w:rsidRPr="00922C2A">
        <w:rPr>
          <w:noProof/>
        </w:rPr>
        <w:t xml:space="preserve">Le champ d’application de la proposition de règlement est principalement axé sur les médicaments critiques figurant sur la liste de l’Union des médicaments critiques, qui est officiellement établie dans la proposition de règlement pharmaceutique. À la suite de la communication de 2023, une première liste de l’Union des médicaments critiques a été établie avec l’expertise des directeurs des agences des médicaments des États membres, de la Commission européenne et de l’EMA, en consultation avec les principales parties intéressées, y compris les organisations de patients et les associations sectorielles. Cette liste a été publiée pour la première fois en décembre 2023 et mise à jour un an plus tard. </w:t>
      </w:r>
    </w:p>
    <w:p w14:paraId="6B98D065" w14:textId="77777777" w:rsidR="00922C2A" w:rsidRPr="00922C2A" w:rsidRDefault="00922C2A" w:rsidP="00922C2A">
      <w:pPr>
        <w:tabs>
          <w:tab w:val="left" w:pos="3261"/>
        </w:tabs>
        <w:rPr>
          <w:noProof/>
        </w:rPr>
      </w:pPr>
      <w:r w:rsidRPr="00922C2A">
        <w:rPr>
          <w:noProof/>
        </w:rPr>
        <w:t>La proposition de règlement introduit également des mesures visant à améliorer l’accès à d’autres médicaments d’intérêt commun et leur disponibilité, afin que les patients dans l’ensemble de l’Union puissent bénéficier de ces médicaments lorsqu’ils en ont besoin et là où ils en ont besoin. Ces médicaments peuvent inclure des médicaments destinés au traitement des maladies rares (médicaments orphelins)</w:t>
      </w:r>
      <w:r w:rsidRPr="00922C2A">
        <w:rPr>
          <w:rStyle w:val="FootnoteReference"/>
          <w:noProof/>
        </w:rPr>
        <w:footnoteReference w:id="21"/>
      </w:r>
      <w:r w:rsidRPr="00922C2A">
        <w:rPr>
          <w:noProof/>
        </w:rPr>
        <w:t xml:space="preserve"> ou de nouveaux antimicrobiens. </w:t>
      </w:r>
    </w:p>
    <w:p w14:paraId="607F9286" w14:textId="77777777" w:rsidR="00922C2A" w:rsidRPr="00922C2A" w:rsidRDefault="00922C2A" w:rsidP="00922C2A">
      <w:pPr>
        <w:spacing w:before="0" w:after="200" w:line="276" w:lineRule="auto"/>
        <w:jc w:val="left"/>
        <w:rPr>
          <w:i/>
          <w:iCs/>
          <w:noProof/>
        </w:rPr>
      </w:pPr>
      <w:r w:rsidRPr="00922C2A">
        <w:rPr>
          <w:i/>
          <w:noProof/>
        </w:rPr>
        <w:t>Objectifs généraux et spécifiques</w:t>
      </w:r>
    </w:p>
    <w:p w14:paraId="192504CF" w14:textId="77777777" w:rsidR="00922C2A" w:rsidRPr="00922C2A" w:rsidRDefault="00922C2A" w:rsidP="00922C2A">
      <w:pPr>
        <w:rPr>
          <w:noProof/>
        </w:rPr>
      </w:pPr>
      <w:r w:rsidRPr="00922C2A">
        <w:rPr>
          <w:noProof/>
        </w:rPr>
        <w:t>L’objectif général du présent règlement est de renforcer la sécurité de l’approvisionnement et la disponibilité des médicaments critiques au sein de l’Union, garantissant ainsi un niveau élevé de protection de la santé publique et soutenant la sécurité de l’Union, et d’améliorer la disponibilité et l’accessibilité d’autres médicaments spécifiques, lorsque le fonctionnement du marché ne garantit pas suffisamment leur disponibilité et leur accessibilité pour les patients, tout en tenant dûment compte de l’opportunité de garantir le caractère abordable des médicaments.</w:t>
      </w:r>
    </w:p>
    <w:p w14:paraId="3C3642C8" w14:textId="77777777" w:rsidR="00922C2A" w:rsidRPr="00922C2A" w:rsidRDefault="00922C2A" w:rsidP="00922C2A">
      <w:pPr>
        <w:rPr>
          <w:noProof/>
        </w:rPr>
      </w:pPr>
      <w:bookmarkStart w:id="1" w:name="_Hlk191981698"/>
      <w:r w:rsidRPr="00922C2A">
        <w:rPr>
          <w:noProof/>
        </w:rPr>
        <w:t>Les objectifs spécifiques de l’initiative sont les suivants:</w:t>
      </w:r>
    </w:p>
    <w:p w14:paraId="08ACB45F" w14:textId="77777777" w:rsidR="00922C2A" w:rsidRPr="00922C2A" w:rsidRDefault="00922C2A" w:rsidP="00922C2A">
      <w:pPr>
        <w:pStyle w:val="Tiret0"/>
        <w:numPr>
          <w:ilvl w:val="0"/>
          <w:numId w:val="18"/>
        </w:numPr>
        <w:rPr>
          <w:noProof/>
        </w:rPr>
      </w:pPr>
      <w:r w:rsidRPr="00922C2A">
        <w:rPr>
          <w:noProof/>
        </w:rPr>
        <w:t>faciliter les investissements dans les capacités de production de médicaments critiques, de leurs substances actives et d’autres intrants essentiels dans l’Union;</w:t>
      </w:r>
    </w:p>
    <w:p w14:paraId="64905F73" w14:textId="77777777" w:rsidR="00922C2A" w:rsidRPr="00922C2A" w:rsidRDefault="00922C2A" w:rsidP="00922C2A">
      <w:pPr>
        <w:pStyle w:val="Tiret0"/>
        <w:rPr>
          <w:noProof/>
        </w:rPr>
      </w:pPr>
      <w:r w:rsidRPr="00922C2A">
        <w:rPr>
          <w:noProof/>
        </w:rPr>
        <w:t>réduire le risque de ruptures d’approvisionnement et renforcer la disponibilité en encourageant la diversification et la résilience de la chaîne d’approvisionnement dans les procédures de passation de marchés publics pour les médicaments critiques et d’autres médicaments d’intérêt commun;</w:t>
      </w:r>
    </w:p>
    <w:p w14:paraId="11AAAECC" w14:textId="77777777" w:rsidR="00922C2A" w:rsidRPr="00922C2A" w:rsidRDefault="00922C2A" w:rsidP="00922C2A">
      <w:pPr>
        <w:pStyle w:val="Tiret0"/>
        <w:rPr>
          <w:noProof/>
        </w:rPr>
      </w:pPr>
      <w:r w:rsidRPr="00922C2A">
        <w:rPr>
          <w:noProof/>
        </w:rPr>
        <w:t xml:space="preserve">tirer parti de la demande agrégée des États membres participants au moyen de procédures de passation collaborative de marchés; </w:t>
      </w:r>
    </w:p>
    <w:p w14:paraId="5C0090CA" w14:textId="77777777" w:rsidR="00922C2A" w:rsidRPr="00922C2A" w:rsidRDefault="00922C2A" w:rsidP="00922C2A">
      <w:pPr>
        <w:pStyle w:val="Tiret0"/>
        <w:rPr>
          <w:noProof/>
        </w:rPr>
      </w:pPr>
      <w:r w:rsidRPr="00922C2A">
        <w:rPr>
          <w:noProof/>
        </w:rPr>
        <w:t>soutenir la diversification des chaînes d’approvisionnement en facilitant également la conclusion de partenariats stratégiques.</w:t>
      </w:r>
    </w:p>
    <w:bookmarkEnd w:id="1"/>
    <w:p w14:paraId="1CBF7691" w14:textId="77777777" w:rsidR="00922C2A" w:rsidRPr="00922C2A" w:rsidRDefault="00922C2A" w:rsidP="00922C2A">
      <w:pPr>
        <w:pStyle w:val="ManualHeading2"/>
        <w:rPr>
          <w:rFonts w:eastAsia="Arial Unicode MS"/>
          <w:noProof/>
          <w:color w:val="000000"/>
          <w:u w:color="000000"/>
          <w:bdr w:val="nil"/>
        </w:rPr>
      </w:pPr>
      <w:r w:rsidRPr="00922C2A">
        <w:rPr>
          <w:noProof/>
          <w:color w:val="000000"/>
          <w:u w:color="000000"/>
          <w:bdr w:val="nil"/>
        </w:rPr>
        <w:t>•</w:t>
      </w:r>
      <w:r w:rsidRPr="00922C2A">
        <w:rPr>
          <w:noProof/>
          <w:color w:val="000000"/>
          <w:u w:color="000000"/>
          <w:bdr w:val="nil"/>
        </w:rPr>
        <w:tab/>
      </w:r>
      <w:r w:rsidRPr="00922C2A">
        <w:rPr>
          <w:noProof/>
        </w:rPr>
        <w:t>Cohérence avec les dispositions existantes dans le domaine d’action</w:t>
      </w:r>
    </w:p>
    <w:p w14:paraId="783462B4" w14:textId="77777777" w:rsidR="00922C2A" w:rsidRPr="00922C2A" w:rsidRDefault="00922C2A" w:rsidP="00922C2A">
      <w:pPr>
        <w:rPr>
          <w:noProof/>
        </w:rPr>
      </w:pPr>
      <w:r w:rsidRPr="00922C2A">
        <w:rPr>
          <w:noProof/>
        </w:rPr>
        <w:t>La proposition vise à assurer la cohérence avec plusieurs dispositions et initiatives existantes de l’Union dans les domaines de la santé et des produits pharmaceutiques, garantissant ainsi un niveau élevé de protection de la santé humaine dans la définition et la mise en œuvre de la politique de l’Union</w:t>
      </w:r>
      <w:r w:rsidRPr="00922C2A">
        <w:rPr>
          <w:rStyle w:val="FootnoteReference"/>
          <w:noProof/>
        </w:rPr>
        <w:footnoteReference w:id="22"/>
      </w:r>
      <w:r w:rsidRPr="00922C2A">
        <w:rPr>
          <w:noProof/>
        </w:rPr>
        <w:t>.</w:t>
      </w:r>
    </w:p>
    <w:p w14:paraId="0CBB7EEB" w14:textId="77777777" w:rsidR="00922C2A" w:rsidRPr="00922C2A" w:rsidRDefault="00922C2A" w:rsidP="00922C2A">
      <w:pPr>
        <w:rPr>
          <w:noProof/>
        </w:rPr>
      </w:pPr>
      <w:r w:rsidRPr="00922C2A">
        <w:rPr>
          <w:noProof/>
        </w:rPr>
        <w:t xml:space="preserve">Le règlement proposé complète la </w:t>
      </w:r>
      <w:r w:rsidRPr="00922C2A">
        <w:rPr>
          <w:b/>
          <w:noProof/>
        </w:rPr>
        <w:t>révision en cours de la législation pharmaceutique de l’UE</w:t>
      </w:r>
      <w:r w:rsidRPr="00922C2A">
        <w:rPr>
          <w:rStyle w:val="FootnoteReference"/>
          <w:b/>
          <w:bCs/>
          <w:noProof/>
        </w:rPr>
        <w:footnoteReference w:id="23"/>
      </w:r>
      <w:r w:rsidRPr="00922C2A">
        <w:rPr>
          <w:noProof/>
        </w:rPr>
        <w:t xml:space="preserve"> et les principales actions de la </w:t>
      </w:r>
      <w:r w:rsidRPr="00922C2A">
        <w:rPr>
          <w:b/>
          <w:noProof/>
        </w:rPr>
        <w:t>stratégie pharmaceutique pour l’Europe</w:t>
      </w:r>
      <w:r w:rsidRPr="00922C2A">
        <w:rPr>
          <w:rStyle w:val="FootnoteReference"/>
          <w:noProof/>
        </w:rPr>
        <w:footnoteReference w:id="24"/>
      </w:r>
      <w:r w:rsidRPr="00922C2A">
        <w:rPr>
          <w:noProof/>
        </w:rPr>
        <w:t>. Il s’aligne sur ses objectifs consistant à renforcer l’accès aux médicaments, à améliorer la sécurité de l’approvisionnement et à remédier aux pénuries, tout en tenant dûment compte du caractère abordable des médicaments. Il complète les principales dispositions relatives à la disponibilité et à la sécurité de l’approvisionnement en médicaments, telles que proposées dans la nouvelle législation pharmaceutique</w:t>
      </w:r>
      <w:r w:rsidRPr="00922C2A">
        <w:rPr>
          <w:rStyle w:val="FootnoteReference"/>
          <w:noProof/>
        </w:rPr>
        <w:footnoteReference w:id="25"/>
      </w:r>
      <w:r w:rsidRPr="00922C2A">
        <w:rPr>
          <w:noProof/>
        </w:rPr>
        <w:t xml:space="preserve">. Alors que le cadre pharmaceutique révisé de l’UE renforce les obligations des titulaires d’autorisations de mise sur le marché afin de prévenir les pénuries et introduit des actions coordonnées au niveau européen pour atténuer les pénuries critiques, la présente proposition de règlement crée les conditions nécessaires — investissements, coordination des marchés publics — pour réduire de manière proactive les dépendances et renforcer la capacité de production de l’Union. </w:t>
      </w:r>
    </w:p>
    <w:p w14:paraId="1000A3AA" w14:textId="77777777" w:rsidR="00922C2A" w:rsidRPr="00922C2A" w:rsidRDefault="00922C2A" w:rsidP="00922C2A">
      <w:pPr>
        <w:rPr>
          <w:noProof/>
        </w:rPr>
      </w:pPr>
      <w:r w:rsidRPr="00922C2A">
        <w:rPr>
          <w:noProof/>
        </w:rPr>
        <w:t>Le règlement proposé respecte le principe «une fois pour toutes» en évitant la duplication des dispositions et des exigences relatives à la collecte de données pour le recensement des médicaments critiques et l’évaluation des vulnérabilités de la chaîne d’approvisionnement. Il s’appuie sur la liste de l’Union des médicaments critiques établie à l’article 131 de la proposition de règlement pharmaceutique. En outre, le règlement proposé s’appuie sur le cadre de collecte de données et la méthode de recensement des vulnérabilités dans les chaînes d’approvisionnement en médicaments critiques dont l’élaboration est proposée dans le cadre de la législation pharmaceutique de l’UE. Cela garantit que l’évaluation des vulnérabilités de la chaîne d’approvisionnement repose sur une méthode harmonisée et scientifiquement solide mise au point au niveau de l’Union.</w:t>
      </w:r>
    </w:p>
    <w:p w14:paraId="03935D45" w14:textId="77777777" w:rsidR="00922C2A" w:rsidRPr="00922C2A" w:rsidRDefault="00922C2A" w:rsidP="00922C2A">
      <w:pPr>
        <w:rPr>
          <w:noProof/>
        </w:rPr>
      </w:pPr>
      <w:r w:rsidRPr="00922C2A">
        <w:rPr>
          <w:noProof/>
        </w:rPr>
        <w:t xml:space="preserve">En outre, le règlement proposé s’appuie sur les résultats du </w:t>
      </w:r>
      <w:r w:rsidRPr="00922C2A">
        <w:rPr>
          <w:b/>
          <w:noProof/>
        </w:rPr>
        <w:t>dialogue structuré sur les produits pharmaceutiques</w:t>
      </w:r>
      <w:r w:rsidRPr="00922C2A">
        <w:rPr>
          <w:rStyle w:val="FootnoteReference"/>
          <w:noProof/>
        </w:rPr>
        <w:footnoteReference w:id="26"/>
      </w:r>
      <w:r w:rsidRPr="00922C2A">
        <w:rPr>
          <w:noProof/>
        </w:rPr>
        <w:t xml:space="preserve"> et sur le document de travail des services de la Commission sur les vulnérabilités des chaînes d’approvisionnement mondiales en médicaments</w:t>
      </w:r>
      <w:r w:rsidRPr="00922C2A">
        <w:rPr>
          <w:rStyle w:val="FootnoteReference"/>
          <w:noProof/>
        </w:rPr>
        <w:footnoteReference w:id="27"/>
      </w:r>
      <w:r w:rsidRPr="00922C2A">
        <w:rPr>
          <w:noProof/>
        </w:rPr>
        <w:t>, avec des mesures visant à remédier aux vulnérabilités de la chaîne d’approvisionnement pharmaceutique.</w:t>
      </w:r>
    </w:p>
    <w:p w14:paraId="476DCF7F" w14:textId="77777777" w:rsidR="00922C2A" w:rsidRPr="00922C2A" w:rsidRDefault="00922C2A" w:rsidP="00922C2A">
      <w:pPr>
        <w:rPr>
          <w:noProof/>
        </w:rPr>
      </w:pPr>
      <w:r w:rsidRPr="00922C2A">
        <w:rPr>
          <w:noProof/>
        </w:rPr>
        <w:t xml:space="preserve">Le règlement proposé s’appuie également sur le </w:t>
      </w:r>
      <w:r w:rsidRPr="00922C2A">
        <w:rPr>
          <w:b/>
          <w:noProof/>
        </w:rPr>
        <w:t>mandat élargi de l’EMA</w:t>
      </w:r>
      <w:r w:rsidRPr="00922C2A">
        <w:rPr>
          <w:rStyle w:val="FootnoteReference"/>
          <w:noProof/>
        </w:rPr>
        <w:footnoteReference w:id="28"/>
      </w:r>
      <w:r w:rsidRPr="00922C2A">
        <w:rPr>
          <w:noProof/>
        </w:rPr>
        <w:t xml:space="preserve">. À cet égard, le lancement de la </w:t>
      </w:r>
      <w:r w:rsidRPr="00922C2A">
        <w:rPr>
          <w:b/>
          <w:noProof/>
        </w:rPr>
        <w:t>plateforme européenne de surveillance des pénuries</w:t>
      </w:r>
      <w:r w:rsidRPr="00922C2A">
        <w:rPr>
          <w:rStyle w:val="FootnoteReference"/>
          <w:noProof/>
        </w:rPr>
        <w:footnoteReference w:id="29"/>
      </w:r>
      <w:r w:rsidRPr="00922C2A">
        <w:rPr>
          <w:noProof/>
        </w:rPr>
        <w:t xml:space="preserve"> était une exigence essentielle de ce mandat élargi afin de renforcer la surveillance des pénuries dans l’ensemble de l’Union. Cette plateforme permettra aux titulaires d’autorisations de mise sur le marché et aux autorités nationales compétentes de soumettre des données sur l’offre, la demande et la disponibilité de médicaments autorisés au niveau central et national dans les situations de crise et de préparation. La plateforme sera encore élargie dans le cadre de la révision de la législation pharmaceutique de l’UE.</w:t>
      </w:r>
    </w:p>
    <w:p w14:paraId="5ABE1426" w14:textId="77777777" w:rsidR="00922C2A" w:rsidRPr="00922C2A" w:rsidRDefault="00922C2A" w:rsidP="00922C2A">
      <w:pPr>
        <w:rPr>
          <w:b/>
          <w:noProof/>
        </w:rPr>
      </w:pPr>
      <w:r w:rsidRPr="00922C2A">
        <w:rPr>
          <w:noProof/>
        </w:rPr>
        <w:t xml:space="preserve">Les mesures prévues dans la proposition de règlement en ce qui concerne les passations collaboratives de marchés complètent les </w:t>
      </w:r>
      <w:r w:rsidRPr="00922C2A">
        <w:rPr>
          <w:b/>
          <w:noProof/>
        </w:rPr>
        <w:t>outils de passation collaborative de marchés existants</w:t>
      </w:r>
      <w:r w:rsidRPr="00922C2A">
        <w:rPr>
          <w:noProof/>
        </w:rPr>
        <w:t xml:space="preserve"> au titre du règlement (UE) 2022/2371 concernant les menaces transfrontières graves pour la santé</w:t>
      </w:r>
      <w:r w:rsidRPr="00922C2A">
        <w:rPr>
          <w:rStyle w:val="FootnoteReference"/>
          <w:noProof/>
        </w:rPr>
        <w:footnoteReference w:id="30"/>
      </w:r>
      <w:r w:rsidRPr="00922C2A">
        <w:rPr>
          <w:noProof/>
        </w:rPr>
        <w:t xml:space="preserve"> et</w:t>
      </w:r>
      <w:r w:rsidRPr="00922C2A">
        <w:rPr>
          <w:b/>
          <w:noProof/>
        </w:rPr>
        <w:t xml:space="preserve"> </w:t>
      </w:r>
      <w:r w:rsidRPr="00922C2A">
        <w:rPr>
          <w:noProof/>
        </w:rPr>
        <w:t>du règlement (UE) 2022/2372 relatif à un cadre de mesures visant à garantir la fourniture des contre-mesures médicales nécessaires en cas de crise dans l’éventualité d’une urgence de santé publique au niveau de l’Union</w:t>
      </w:r>
      <w:r w:rsidRPr="00922C2A">
        <w:rPr>
          <w:rStyle w:val="FootnoteReference"/>
          <w:noProof/>
        </w:rPr>
        <w:footnoteReference w:id="31"/>
      </w:r>
      <w:r w:rsidRPr="00922C2A">
        <w:rPr>
          <w:noProof/>
        </w:rPr>
        <w:t xml:space="preserve">. Les mesures relatives aux passations collaboratives de marchés pour les médicaments d’intérêt commun s’appuient également sur les évaluations cliniques communes et la coopération volontaire entre les États membres au titre du règlement (UE) 2021/2282 concernant </w:t>
      </w:r>
      <w:r w:rsidRPr="00922C2A">
        <w:rPr>
          <w:b/>
          <w:noProof/>
        </w:rPr>
        <w:t>l’évaluation des technologies de la santé</w:t>
      </w:r>
      <w:r w:rsidRPr="00922C2A">
        <w:rPr>
          <w:rStyle w:val="FootnoteReference"/>
          <w:b/>
          <w:bCs/>
          <w:noProof/>
        </w:rPr>
        <w:footnoteReference w:id="32"/>
      </w:r>
      <w:r w:rsidRPr="00922C2A">
        <w:rPr>
          <w:noProof/>
        </w:rPr>
        <w:t>.</w:t>
      </w:r>
    </w:p>
    <w:p w14:paraId="4917EDEA" w14:textId="77777777" w:rsidR="00922C2A" w:rsidRPr="00922C2A" w:rsidRDefault="00922C2A" w:rsidP="00922C2A">
      <w:pPr>
        <w:rPr>
          <w:noProof/>
        </w:rPr>
      </w:pPr>
      <w:r w:rsidRPr="00922C2A">
        <w:rPr>
          <w:noProof/>
        </w:rPr>
        <w:t>La proposition de règlement tient compte des travaux de l’A</w:t>
      </w:r>
      <w:r w:rsidRPr="00922C2A">
        <w:rPr>
          <w:b/>
          <w:noProof/>
        </w:rPr>
        <w:t>lliance pour les médicaments critiques</w:t>
      </w:r>
      <w:r w:rsidRPr="00922C2A">
        <w:rPr>
          <w:rStyle w:val="FootnoteReference"/>
          <w:noProof/>
        </w:rPr>
        <w:footnoteReference w:id="33"/>
      </w:r>
      <w:r w:rsidRPr="00922C2A">
        <w:rPr>
          <w:noProof/>
        </w:rPr>
        <w:t>, en mettant l’accent sur la lutte contre les vulnérabilités dans les chaînes d’approvisionnement en médicaments critiques.</w:t>
      </w:r>
    </w:p>
    <w:p w14:paraId="360F0A5E" w14:textId="77777777" w:rsidR="00922C2A" w:rsidRPr="00922C2A" w:rsidRDefault="00922C2A" w:rsidP="00922C2A">
      <w:pPr>
        <w:rPr>
          <w:rFonts w:eastAsia="Times New Roman"/>
          <w:noProof/>
        </w:rPr>
      </w:pPr>
      <w:r w:rsidRPr="00922C2A">
        <w:rPr>
          <w:noProof/>
        </w:rPr>
        <w:t>Enfin, la présente proposition tient compte de toutes les possibilités de financement disponibles au titre du CFP actuel qui peuvent soutenir ses objectifs.</w:t>
      </w:r>
    </w:p>
    <w:p w14:paraId="7A0D8240" w14:textId="77777777" w:rsidR="00922C2A" w:rsidRPr="00922C2A" w:rsidRDefault="00922C2A" w:rsidP="00922C2A">
      <w:pPr>
        <w:pStyle w:val="ManualHeading2"/>
        <w:rPr>
          <w:rFonts w:eastAsia="Arial Unicode MS"/>
          <w:noProof/>
        </w:rPr>
      </w:pPr>
      <w:r w:rsidRPr="00922C2A">
        <w:rPr>
          <w:noProof/>
          <w:color w:val="000000"/>
          <w:u w:color="000000"/>
          <w:bdr w:val="nil"/>
        </w:rPr>
        <w:t>•</w:t>
      </w:r>
      <w:r w:rsidRPr="00922C2A">
        <w:rPr>
          <w:noProof/>
          <w:color w:val="000000"/>
          <w:u w:color="000000"/>
          <w:bdr w:val="nil"/>
        </w:rPr>
        <w:tab/>
      </w:r>
      <w:r w:rsidRPr="00922C2A">
        <w:rPr>
          <w:noProof/>
        </w:rPr>
        <w:t>Cohérence avec les autres politiques de l’Union</w:t>
      </w:r>
    </w:p>
    <w:p w14:paraId="734AC3BD" w14:textId="77777777" w:rsidR="00922C2A" w:rsidRPr="00922C2A" w:rsidRDefault="00922C2A" w:rsidP="00922C2A">
      <w:pPr>
        <w:rPr>
          <w:noProof/>
        </w:rPr>
      </w:pPr>
      <w:r w:rsidRPr="00922C2A">
        <w:rPr>
          <w:noProof/>
        </w:rPr>
        <w:t xml:space="preserve">La présente proposition est cohérente avec la </w:t>
      </w:r>
      <w:r w:rsidRPr="00922C2A">
        <w:rPr>
          <w:b/>
          <w:noProof/>
        </w:rPr>
        <w:t>politique de l’Union en matière d’innovation et de compétitivité, en particulier avec la boussole pour la compétitivité</w:t>
      </w:r>
      <w:r w:rsidRPr="00922C2A">
        <w:rPr>
          <w:rStyle w:val="FootnoteReference"/>
          <w:noProof/>
        </w:rPr>
        <w:footnoteReference w:id="34"/>
      </w:r>
      <w:r w:rsidRPr="00922C2A">
        <w:rPr>
          <w:noProof/>
        </w:rPr>
        <w:t>. Cette communication cite le règlement proposé comme l’une des actions phares du pilier nº 3 (réduire les dépendances excessives et renforcer la sécurité). Elle mentionne également les médicaments critiques comme l’un des domaines sélectionnés possibles pour les projets pilotes pour lesquels la Commission proposera de coordonner les politiques de l’UE et des États membres. Le règlement proposé aura une incidence positive indirecte sur la compétitivité de l’UE en favorisant un environnement de marché plus stable et plus prévisible, en encourageant les investissements et en soutenant l’innovation dans le secteur pharmaceutique, qui a traditionnellement joué un rôle fondamental dans la compétitivité de l’UE</w:t>
      </w:r>
      <w:r w:rsidRPr="00922C2A">
        <w:rPr>
          <w:rStyle w:val="FootnoteReference"/>
          <w:noProof/>
        </w:rPr>
        <w:footnoteReference w:id="35"/>
      </w:r>
      <w:r w:rsidRPr="00922C2A">
        <w:rPr>
          <w:noProof/>
        </w:rPr>
        <w:t xml:space="preserve">. Les dispositions du règlement proposé peuvent être soutenues par des </w:t>
      </w:r>
      <w:r w:rsidRPr="00922C2A">
        <w:rPr>
          <w:b/>
          <w:noProof/>
        </w:rPr>
        <w:t>partenariats Horizon Europe</w:t>
      </w:r>
      <w:r w:rsidRPr="00922C2A">
        <w:rPr>
          <w:rStyle w:val="FootnoteReference"/>
          <w:noProof/>
        </w:rPr>
        <w:footnoteReference w:id="36"/>
      </w:r>
      <w:r w:rsidRPr="00922C2A">
        <w:rPr>
          <w:noProof/>
        </w:rPr>
        <w:t xml:space="preserve">, qui financent des domaines tels que la recherche et l’innovation en ce qui concerne les technologies susceptibles de devenir des catalyseurs essentiels du processus de production. </w:t>
      </w:r>
    </w:p>
    <w:p w14:paraId="1644187B" w14:textId="77777777" w:rsidR="00922C2A" w:rsidRPr="00922C2A" w:rsidRDefault="00922C2A" w:rsidP="00922C2A">
      <w:pPr>
        <w:rPr>
          <w:noProof/>
        </w:rPr>
      </w:pPr>
      <w:r w:rsidRPr="00922C2A">
        <w:rPr>
          <w:noProof/>
        </w:rPr>
        <w:t xml:space="preserve">En outre, la </w:t>
      </w:r>
      <w:r w:rsidRPr="00922C2A">
        <w:rPr>
          <w:b/>
          <w:noProof/>
        </w:rPr>
        <w:t>stratégie industrielle pour l’Europe</w:t>
      </w:r>
      <w:r w:rsidRPr="00922C2A">
        <w:rPr>
          <w:rStyle w:val="FootnoteReference"/>
          <w:noProof/>
        </w:rPr>
        <w:footnoteReference w:id="37"/>
      </w:r>
      <w:r w:rsidRPr="00922C2A">
        <w:rPr>
          <w:noProof/>
        </w:rPr>
        <w:t xml:space="preserve"> vise à renforcer la résilience du marché unique et à remédier aux dépendances stratégiques de l’UE. Le règlement proposé soutient ces objectifs en renforçant la résilience de la chaîne d’approvisionnement pharmaceutique et en réduisant la dépendance à l’égard de sources non européennes pour les médicaments critiques et les principes pharmaceutiques actifs. Le règlement proposé est également cohérent avec la communication de la Commission sur un </w:t>
      </w:r>
      <w:r w:rsidRPr="00922C2A">
        <w:rPr>
          <w:b/>
          <w:noProof/>
        </w:rPr>
        <w:t>pacte pour une industrie propre</w:t>
      </w:r>
      <w:r w:rsidRPr="00922C2A">
        <w:rPr>
          <w:rStyle w:val="FootnoteReference"/>
          <w:b/>
          <w:bCs/>
          <w:noProof/>
        </w:rPr>
        <w:footnoteReference w:id="38"/>
      </w:r>
      <w:r w:rsidRPr="00922C2A">
        <w:rPr>
          <w:noProof/>
        </w:rPr>
        <w:t>, qui définit des actions concrètes pour faire de la décarbonation un moteur de croissance, en particulier pour les industries à forte intensité énergétique. Il s’agit notamment de mesures axées sur la demande visant à créer les conditions propices à la prospérité des entreprises, similaires à celles proposées dans le présent règlement. </w:t>
      </w:r>
    </w:p>
    <w:p w14:paraId="4D6BF309" w14:textId="77777777" w:rsidR="00922C2A" w:rsidRPr="00922C2A" w:rsidRDefault="00922C2A" w:rsidP="00922C2A">
      <w:pPr>
        <w:spacing w:before="100" w:beforeAutospacing="1" w:after="100" w:afterAutospacing="1"/>
        <w:rPr>
          <w:noProof/>
        </w:rPr>
      </w:pPr>
      <w:r w:rsidRPr="00922C2A">
        <w:rPr>
          <w:noProof/>
        </w:rPr>
        <w:t xml:space="preserve">Le </w:t>
      </w:r>
      <w:r w:rsidRPr="00922C2A">
        <w:rPr>
          <w:b/>
          <w:noProof/>
        </w:rPr>
        <w:t>règlement financier de l’UE</w:t>
      </w:r>
      <w:r w:rsidRPr="00922C2A">
        <w:rPr>
          <w:noProof/>
        </w:rPr>
        <w:t xml:space="preserve"> constitue le principal point de référence pour les principes et procédures régissant le budget de l’Union, y compris en ce qui concerne la passation conjointe de marchés et la passation de marchés pour le compte ou au nom des États membres. L’année dernière, la refonte du règlement financier est entrée en vigueur</w:t>
      </w:r>
      <w:r w:rsidRPr="00922C2A">
        <w:rPr>
          <w:rStyle w:val="FootnoteReference"/>
          <w:noProof/>
        </w:rPr>
        <w:footnoteReference w:id="39"/>
      </w:r>
      <w:r w:rsidRPr="00922C2A">
        <w:rPr>
          <w:noProof/>
        </w:rPr>
        <w:t xml:space="preserve">. Le règlement proposé prévoit une base sectorielle pour ces types de marchés publics qui visent les médicaments critiques et d’autres médicaments d’intérêt commun, en étant compatible avec le cadre procédural établi dans le règlement financier, mais en fixant des conditions spécifiques dans lesquelles la passation conjointe de marchés et la passation de marchés pour le compte ou au nom des États membres peuvent être lancées. Ces conditions spécifiques liées à un certain seuil d’États membres participant à la procédure et aux critères d’éligibilité en ce qui concerne les médicaments, reflètent l’évaluation des domaines dans lesquels l’intervention de la Commission serait la plus appropriée à la lumière des objectifs du règlement. </w:t>
      </w:r>
    </w:p>
    <w:p w14:paraId="41577DA1" w14:textId="77777777" w:rsidR="00922C2A" w:rsidRPr="00922C2A" w:rsidRDefault="00922C2A" w:rsidP="00922C2A">
      <w:pPr>
        <w:spacing w:before="100" w:beforeAutospacing="1" w:after="100" w:afterAutospacing="1"/>
        <w:rPr>
          <w:noProof/>
        </w:rPr>
      </w:pPr>
      <w:r w:rsidRPr="00922C2A">
        <w:rPr>
          <w:noProof/>
        </w:rPr>
        <w:t xml:space="preserve">Une évaluation des </w:t>
      </w:r>
      <w:r w:rsidRPr="00922C2A">
        <w:rPr>
          <w:b/>
          <w:noProof/>
        </w:rPr>
        <w:t>directives sur la passation des marchés publics par l’UE</w:t>
      </w:r>
      <w:r w:rsidRPr="00922C2A">
        <w:rPr>
          <w:noProof/>
        </w:rPr>
        <w:t xml:space="preserve"> est en cours</w:t>
      </w:r>
      <w:r w:rsidRPr="00922C2A">
        <w:rPr>
          <w:rStyle w:val="FootnoteReference"/>
          <w:rFonts w:eastAsia="Times New Roman"/>
          <w:noProof/>
          <w:lang w:eastAsia="en-GB"/>
        </w:rPr>
        <w:footnoteReference w:id="40"/>
      </w:r>
      <w:r w:rsidRPr="00922C2A">
        <w:rPr>
          <w:noProof/>
        </w:rPr>
        <w:t xml:space="preserve"> et la Commission présentera une proposition de révision du cadre en 2026. Elle permettra d’établir des critères de durabilité, de résilience et de préférence européenne dans les marchés publics de l’UE pour les secteurs stratégiques. Le règlement proposé introduirait des mesures relatives aux marchés publics nationaux de certains produits pharmaceutiques, conformément aux objectifs de cette révision à venir, afin de contribuer à garantir la sécurité de l’approvisionnement et de permettre la préférence pour les produits européens dans le cadre des procédures de passation de marchés publics pour les médicaments critiques et d’autres médicaments d’intérêt commun, dans la mesure où cela est nécessaire et conforme aux engagements internationaux de l’Union.</w:t>
      </w:r>
    </w:p>
    <w:p w14:paraId="547B6FC4" w14:textId="77777777" w:rsidR="00922C2A" w:rsidRPr="00922C2A" w:rsidRDefault="00922C2A" w:rsidP="00922C2A">
      <w:pPr>
        <w:spacing w:before="100" w:beforeAutospacing="1" w:after="100" w:afterAutospacing="1"/>
        <w:rPr>
          <w:noProof/>
        </w:rPr>
      </w:pPr>
      <w:r w:rsidRPr="00922C2A">
        <w:rPr>
          <w:noProof/>
        </w:rPr>
        <w:t xml:space="preserve">La proposition de règlement est cohérente avec les efforts plus larges déployés pour moderniser et adapter la législation de l’UE aux défis actuels, étant donné qu’elle vise à réduire les charges administratives et à faciliter les procédures d’octroi des permis pour les projets stratégiques. Elle est conforme à la </w:t>
      </w:r>
      <w:r w:rsidRPr="00922C2A">
        <w:rPr>
          <w:b/>
          <w:noProof/>
        </w:rPr>
        <w:t>proposition «omnibus»</w:t>
      </w:r>
      <w:r w:rsidRPr="00922C2A">
        <w:rPr>
          <w:rStyle w:val="FootnoteReference"/>
          <w:noProof/>
        </w:rPr>
        <w:footnoteReference w:id="41"/>
      </w:r>
      <w:r w:rsidRPr="00922C2A">
        <w:rPr>
          <w:noProof/>
        </w:rPr>
        <w:t xml:space="preserve"> et vise à remédier aux vulnérabilités des chaînes d’approvisionnement en médicaments sans alourdir la charge globale pesant sur l’industrie.</w:t>
      </w:r>
    </w:p>
    <w:p w14:paraId="1E7B89B9" w14:textId="77777777" w:rsidR="00922C2A" w:rsidRPr="00922C2A" w:rsidRDefault="00922C2A" w:rsidP="00922C2A">
      <w:pPr>
        <w:spacing w:before="100" w:beforeAutospacing="1" w:after="100" w:afterAutospacing="1"/>
        <w:rPr>
          <w:rFonts w:eastAsia="Times New Roman"/>
          <w:i/>
          <w:iCs/>
          <w:noProof/>
          <w:szCs w:val="24"/>
        </w:rPr>
      </w:pPr>
      <w:r w:rsidRPr="00922C2A">
        <w:rPr>
          <w:i/>
          <w:noProof/>
        </w:rPr>
        <w:t>Numérique</w:t>
      </w:r>
    </w:p>
    <w:p w14:paraId="045F37AE" w14:textId="77777777" w:rsidR="00922C2A" w:rsidRPr="00922C2A" w:rsidRDefault="00922C2A" w:rsidP="00922C2A">
      <w:pPr>
        <w:spacing w:before="100" w:beforeAutospacing="1" w:after="100" w:afterAutospacing="1"/>
        <w:rPr>
          <w:rFonts w:eastAsia="Times New Roman"/>
          <w:noProof/>
          <w:szCs w:val="24"/>
        </w:rPr>
      </w:pPr>
      <w:r w:rsidRPr="00922C2A">
        <w:rPr>
          <w:noProof/>
        </w:rPr>
        <w:t>Le règlement proposé est aligné sur les grandes initiatives numériques européennes récentes [</w:t>
      </w:r>
      <w:r w:rsidRPr="00922C2A">
        <w:rPr>
          <w:b/>
          <w:noProof/>
        </w:rPr>
        <w:t>intelligence artificielle (IA)</w:t>
      </w:r>
      <w:r w:rsidRPr="00922C2A">
        <w:rPr>
          <w:noProof/>
        </w:rPr>
        <w:t xml:space="preserve"> et </w:t>
      </w:r>
      <w:r w:rsidRPr="00922C2A">
        <w:rPr>
          <w:b/>
          <w:noProof/>
        </w:rPr>
        <w:t>directive SRI 2</w:t>
      </w:r>
      <w:r w:rsidRPr="00922C2A">
        <w:rPr>
          <w:noProof/>
        </w:rPr>
        <w:t>] qui visent à promouvoir un échange de données sécurisé et interopérable, l’utilisation de technologies de pointe et un niveau élevé commun de cybersécurité dans l’ensemble de l’Union. Le règlement sur l’IA</w:t>
      </w:r>
      <w:r w:rsidRPr="00922C2A">
        <w:rPr>
          <w:rStyle w:val="FootnoteReference"/>
          <w:rFonts w:eastAsia="Times New Roman"/>
          <w:noProof/>
          <w:szCs w:val="24"/>
          <w:lang w:eastAsia="en-GB"/>
        </w:rPr>
        <w:footnoteReference w:id="42"/>
      </w:r>
      <w:r w:rsidRPr="00922C2A">
        <w:rPr>
          <w:noProof/>
        </w:rPr>
        <w:t xml:space="preserve"> et la directive SRI 2</w:t>
      </w:r>
      <w:r w:rsidRPr="00922C2A">
        <w:rPr>
          <w:rStyle w:val="FootnoteReference"/>
          <w:rFonts w:eastAsia="Times New Roman"/>
          <w:noProof/>
          <w:lang w:eastAsia="en-GB"/>
        </w:rPr>
        <w:footnoteReference w:id="43"/>
      </w:r>
      <w:r w:rsidRPr="00922C2A">
        <w:rPr>
          <w:noProof/>
        </w:rPr>
        <w:t xml:space="preserve"> fournissent des cadres pour une utilisation responsable de l’IA et un niveau élevé commun de cybersécurité. </w:t>
      </w:r>
    </w:p>
    <w:p w14:paraId="53E7CDE6" w14:textId="77777777" w:rsidR="00922C2A" w:rsidRPr="00922C2A" w:rsidRDefault="00922C2A" w:rsidP="00922C2A">
      <w:pPr>
        <w:spacing w:before="100" w:beforeAutospacing="1" w:after="100" w:afterAutospacing="1"/>
        <w:rPr>
          <w:rFonts w:eastAsia="Times New Roman"/>
          <w:noProof/>
          <w:szCs w:val="24"/>
        </w:rPr>
      </w:pPr>
      <w:r w:rsidRPr="00922C2A">
        <w:rPr>
          <w:noProof/>
        </w:rPr>
        <w:t xml:space="preserve">En outre, le </w:t>
      </w:r>
      <w:r w:rsidRPr="00922C2A">
        <w:rPr>
          <w:b/>
          <w:noProof/>
        </w:rPr>
        <w:t>règlement pour une Europe interopérable</w:t>
      </w:r>
      <w:r w:rsidRPr="00922C2A">
        <w:rPr>
          <w:rStyle w:val="FootnoteReference"/>
          <w:rFonts w:eastAsia="Times New Roman"/>
          <w:noProof/>
          <w:szCs w:val="24"/>
          <w:lang w:eastAsia="en-GB"/>
        </w:rPr>
        <w:footnoteReference w:id="44"/>
      </w:r>
      <w:r w:rsidRPr="00922C2A">
        <w:rPr>
          <w:noProof/>
        </w:rPr>
        <w:t xml:space="preserve">, ainsi que des outils spécifiques tels que la </w:t>
      </w:r>
      <w:r w:rsidRPr="00922C2A">
        <w:rPr>
          <w:b/>
          <w:noProof/>
        </w:rPr>
        <w:t>boîte à outils du cadre d’interopérabilité européen (EIF)</w:t>
      </w:r>
      <w:r w:rsidRPr="00922C2A">
        <w:rPr>
          <w:noProof/>
        </w:rPr>
        <w:t xml:space="preserve"> et les composants réutilisables, favorisent l’échange de données normalisé entre les États membres. Le portail Tenders Electronic Daily («TED»)</w:t>
      </w:r>
      <w:r w:rsidRPr="00922C2A">
        <w:rPr>
          <w:rStyle w:val="FootnoteReference"/>
          <w:rFonts w:eastAsia="Times New Roman"/>
          <w:noProof/>
          <w:szCs w:val="24"/>
          <w:lang w:eastAsia="en-GB"/>
        </w:rPr>
        <w:footnoteReference w:id="45"/>
      </w:r>
      <w:r w:rsidRPr="00922C2A">
        <w:rPr>
          <w:noProof/>
        </w:rPr>
        <w:t xml:space="preserve"> récemment remanié sert d’outil efficace pour le partage et le suivi des procédures de passation de marchés. </w:t>
      </w:r>
    </w:p>
    <w:p w14:paraId="7ED2D987" w14:textId="77777777" w:rsidR="00922C2A" w:rsidRPr="00922C2A" w:rsidRDefault="00922C2A" w:rsidP="00922C2A">
      <w:pPr>
        <w:pStyle w:val="ManualHeading1"/>
        <w:rPr>
          <w:noProof/>
        </w:rPr>
      </w:pPr>
      <w:r w:rsidRPr="00922C2A">
        <w:rPr>
          <w:noProof/>
        </w:rPr>
        <w:t>2.</w:t>
      </w:r>
      <w:r w:rsidRPr="00922C2A">
        <w:rPr>
          <w:noProof/>
        </w:rPr>
        <w:tab/>
        <w:t>BASE JURIDIQUE, SUBSIDIARITÉ ET PROPORTIONNALITÉ</w:t>
      </w:r>
    </w:p>
    <w:p w14:paraId="79EFFC3C" w14:textId="77777777" w:rsidR="00922C2A" w:rsidRPr="00922C2A" w:rsidRDefault="00922C2A" w:rsidP="00922C2A">
      <w:pPr>
        <w:pStyle w:val="ManualHeading2"/>
        <w:rPr>
          <w:rFonts w:eastAsia="Arial Unicode MS"/>
          <w:noProof/>
          <w:u w:color="000000"/>
          <w:bdr w:val="nil"/>
        </w:rPr>
      </w:pPr>
      <w:r w:rsidRPr="00922C2A">
        <w:rPr>
          <w:noProof/>
          <w:u w:color="000000"/>
          <w:bdr w:val="nil"/>
        </w:rPr>
        <w:t>•</w:t>
      </w:r>
      <w:r w:rsidRPr="00922C2A">
        <w:rPr>
          <w:noProof/>
          <w:u w:color="000000"/>
          <w:bdr w:val="nil"/>
        </w:rPr>
        <w:tab/>
        <w:t>Base juridique</w:t>
      </w:r>
    </w:p>
    <w:p w14:paraId="06AC9518" w14:textId="77777777" w:rsidR="00922C2A" w:rsidRPr="00922C2A" w:rsidRDefault="00922C2A" w:rsidP="00922C2A">
      <w:pPr>
        <w:rPr>
          <w:noProof/>
        </w:rPr>
      </w:pPr>
      <w:r w:rsidRPr="00922C2A">
        <w:rPr>
          <w:noProof/>
        </w:rPr>
        <w:t>La proposition se fonde sur l’article 114 du traité sur le fonctionnement de l’Union européenne (TFUE). Cela est cohérent avec la base juridique de la législation pharmaceutique existante de l’Union. L’article 114, paragraphe 1, a pour objet l’établissement et le fonctionnement du marché intérieur. Conformément à l’article 114, paragraphe 3, TFUE, la proposition prend pour base un niveau de protection élevé de la santé.</w:t>
      </w:r>
    </w:p>
    <w:p w14:paraId="25E0609C" w14:textId="77777777" w:rsidR="00922C2A" w:rsidRPr="00922C2A" w:rsidRDefault="00922C2A" w:rsidP="00922C2A">
      <w:pPr>
        <w:pStyle w:val="ManualHeading2"/>
        <w:rPr>
          <w:rFonts w:eastAsia="Arial Unicode MS"/>
          <w:noProof/>
          <w:u w:color="000000"/>
          <w:bdr w:val="nil"/>
        </w:rPr>
      </w:pPr>
      <w:r w:rsidRPr="00922C2A">
        <w:rPr>
          <w:noProof/>
          <w:u w:color="000000"/>
          <w:bdr w:val="nil"/>
        </w:rPr>
        <w:t>•</w:t>
      </w:r>
      <w:r w:rsidRPr="00922C2A">
        <w:rPr>
          <w:noProof/>
          <w:u w:color="000000"/>
          <w:bdr w:val="nil"/>
        </w:rPr>
        <w:tab/>
        <w:t xml:space="preserve">Subsidiarité (en cas de compétence non exclusive) </w:t>
      </w:r>
    </w:p>
    <w:p w14:paraId="2BE6FE90" w14:textId="77777777" w:rsidR="00922C2A" w:rsidRPr="00922C2A" w:rsidRDefault="00922C2A" w:rsidP="00922C2A">
      <w:pPr>
        <w:rPr>
          <w:noProof/>
        </w:rPr>
      </w:pPr>
      <w:r w:rsidRPr="00922C2A">
        <w:rPr>
          <w:noProof/>
        </w:rPr>
        <w:t>Les objectifs de la présente proposition ne peuvent pas être atteints de manière suffisante par les États membres agissant individuellement, étant donné que les problèmes liés aux pénuries de médicaments et aux vulnérabilités de la chaîne d’approvisionnement dépassent les frontières nationales. Une action au niveau de l’Union est nécessaire pour garantir une réponse coordonnée et efficace à ces questions transfrontalières. La proposition tient compte de ce principe dans la conception des actions individuelles, en particulier lors de la passation de marchés de médicaments critiques et d’autres médicaments d’intérêt commun.</w:t>
      </w:r>
    </w:p>
    <w:p w14:paraId="57C0B580" w14:textId="77777777" w:rsidR="00922C2A" w:rsidRPr="00922C2A" w:rsidRDefault="00922C2A" w:rsidP="00922C2A">
      <w:pPr>
        <w:pStyle w:val="ManualHeading2"/>
        <w:rPr>
          <w:rFonts w:eastAsia="Arial Unicode MS"/>
          <w:noProof/>
          <w:u w:color="000000"/>
          <w:bdr w:val="nil"/>
        </w:rPr>
      </w:pPr>
      <w:r w:rsidRPr="00922C2A">
        <w:rPr>
          <w:noProof/>
          <w:u w:color="000000"/>
          <w:bdr w:val="nil"/>
        </w:rPr>
        <w:t>•</w:t>
      </w:r>
      <w:r w:rsidRPr="00922C2A">
        <w:rPr>
          <w:noProof/>
          <w:u w:color="000000"/>
          <w:bdr w:val="nil"/>
        </w:rPr>
        <w:tab/>
        <w:t>Proportionnalité</w:t>
      </w:r>
    </w:p>
    <w:p w14:paraId="16FFCB84" w14:textId="77777777" w:rsidR="00922C2A" w:rsidRPr="00922C2A" w:rsidRDefault="00922C2A" w:rsidP="00922C2A">
      <w:pPr>
        <w:rPr>
          <w:noProof/>
        </w:rPr>
      </w:pPr>
      <w:r w:rsidRPr="00922C2A">
        <w:rPr>
          <w:noProof/>
        </w:rPr>
        <w:t xml:space="preserve">La proposition cible les médicaments critiques pour lesquels il est démontré qu’il est nécessaire d’intervenir, et l’intervention sélectionnée peut conduire à une réduction effective du risque de pénurie. Des mesures spécifiques s’appliquent également à d’autres médicaments d’intérêt commun touchés par des problèmes d’accès au marché dans les États membres. </w:t>
      </w:r>
    </w:p>
    <w:p w14:paraId="6E2F3C86" w14:textId="77777777" w:rsidR="00922C2A" w:rsidRPr="00922C2A" w:rsidRDefault="00922C2A" w:rsidP="00922C2A">
      <w:pPr>
        <w:pStyle w:val="ManualHeading2"/>
        <w:rPr>
          <w:rFonts w:eastAsia="Arial Unicode MS"/>
          <w:noProof/>
          <w:u w:color="000000"/>
          <w:bdr w:val="nil"/>
        </w:rPr>
      </w:pPr>
      <w:r w:rsidRPr="00922C2A">
        <w:rPr>
          <w:noProof/>
          <w:u w:color="000000"/>
          <w:bdr w:val="nil"/>
        </w:rPr>
        <w:t>•</w:t>
      </w:r>
      <w:r w:rsidRPr="00922C2A">
        <w:rPr>
          <w:noProof/>
          <w:u w:color="000000"/>
          <w:bdr w:val="nil"/>
        </w:rPr>
        <w:tab/>
        <w:t>Choix de l’instrument</w:t>
      </w:r>
    </w:p>
    <w:p w14:paraId="2531DC03" w14:textId="77777777" w:rsidR="00922C2A" w:rsidRPr="00922C2A" w:rsidRDefault="00922C2A" w:rsidP="00922C2A">
      <w:pPr>
        <w:rPr>
          <w:noProof/>
        </w:rPr>
      </w:pPr>
      <w:r w:rsidRPr="00922C2A">
        <w:rPr>
          <w:noProof/>
        </w:rPr>
        <w:t xml:space="preserve">La proposition prend la forme d’un règlement du Parlement européen et du Conseil. Le choix d’un règlement plutôt que d’une directive est motivé par la nécessité d’une application immédiate et uniforme dans l’ensemble de l’Union. Ce choix garantit la sécurité juridique en réduisant au minimum le risque d’interprétations et de mises en œuvre divergentes par les États membres. En outre, les incidences transfrontières de cette législation nécessitent une approche cohérente et uniforme pouvant être mise en œuvre au moyen d’un règlement. </w:t>
      </w:r>
    </w:p>
    <w:p w14:paraId="04D23855" w14:textId="77777777" w:rsidR="00922C2A" w:rsidRPr="00922C2A" w:rsidRDefault="00922C2A" w:rsidP="00922C2A">
      <w:pPr>
        <w:pStyle w:val="ManualHeading1"/>
        <w:rPr>
          <w:noProof/>
        </w:rPr>
      </w:pPr>
      <w:r w:rsidRPr="00922C2A">
        <w:rPr>
          <w:noProof/>
        </w:rPr>
        <w:t>3.</w:t>
      </w:r>
      <w:r w:rsidRPr="00922C2A">
        <w:rPr>
          <w:noProof/>
        </w:rPr>
        <w:tab/>
        <w:t>RÉSULTATS DES ÉVALUATIONS EX</w:t>
      </w:r>
      <w:r w:rsidRPr="00922C2A">
        <w:rPr>
          <w:i/>
          <w:noProof/>
        </w:rPr>
        <w:t xml:space="preserve"> </w:t>
      </w:r>
      <w:r w:rsidRPr="00922C2A">
        <w:rPr>
          <w:noProof/>
        </w:rPr>
        <w:t>POST, DES CONSULTATIONS DES PARTIES INTÉRESSÉES ET DES ANALYSES D’IMPACT</w:t>
      </w:r>
    </w:p>
    <w:p w14:paraId="0FC7D52C" w14:textId="77777777" w:rsidR="00922C2A" w:rsidRPr="00922C2A" w:rsidRDefault="00922C2A" w:rsidP="00922C2A">
      <w:pPr>
        <w:rPr>
          <w:noProof/>
        </w:rPr>
      </w:pPr>
      <w:r w:rsidRPr="00922C2A">
        <w:rPr>
          <w:noProof/>
        </w:rPr>
        <w:t xml:space="preserve">Le problème croissant des pénuries de médicaments constitue une menace immédiate et alarmante pour la santé publique. En l’absence d’une action rapide pour remédier aux vulnérabilités de l’approvisionnement en médicaments critiques, les ruptures d’approvisionnement pourraient avoir de graves conséquences sur les soins prodigués aux patients, notamment entraîner des retards dans les traitements pour des affections potentiellement mortelles. Notre forte dépendance à l’égard de fournisseurs de pays tiers, la fragilité des chaînes d’approvisionnement mondiales et les tensions géopolitiques exacerbent le risque de pénuries, ce qui en fait un défi urgent. </w:t>
      </w:r>
    </w:p>
    <w:p w14:paraId="0049A69F" w14:textId="77777777" w:rsidR="00922C2A" w:rsidRPr="00922C2A" w:rsidRDefault="00922C2A" w:rsidP="00922C2A">
      <w:pPr>
        <w:rPr>
          <w:noProof/>
        </w:rPr>
      </w:pPr>
      <w:r w:rsidRPr="00922C2A">
        <w:rPr>
          <w:noProof/>
        </w:rPr>
        <w:t>Un volume important de données probantes et de nombreuses contributions de parties intéressées au sujet des pénuries de médicaments et des médicaments critiques ont été réunies et analysées en vue de la réforme de la législation pharmaceutique</w:t>
      </w:r>
      <w:r w:rsidRPr="00922C2A">
        <w:rPr>
          <w:rStyle w:val="FootnoteReference"/>
          <w:noProof/>
        </w:rPr>
        <w:footnoteReference w:id="46"/>
      </w:r>
      <w:r w:rsidRPr="00922C2A">
        <w:rPr>
          <w:noProof/>
        </w:rPr>
        <w:t>. En outre, des consultations approfondies des parties intéressées ont été menées en amont de la proposition de règlement, dans le cadre du dialogue structuré sur la sécurité de l’approvisionnement en médicaments</w:t>
      </w:r>
      <w:r w:rsidRPr="00922C2A">
        <w:rPr>
          <w:rStyle w:val="FootnoteReference"/>
          <w:noProof/>
        </w:rPr>
        <w:footnoteReference w:id="47"/>
      </w:r>
      <w:r w:rsidRPr="00922C2A">
        <w:rPr>
          <w:noProof/>
        </w:rPr>
        <w:t xml:space="preserve"> et de l’Alliance pour les médicaments critiques</w:t>
      </w:r>
      <w:r w:rsidRPr="00922C2A">
        <w:rPr>
          <w:rStyle w:val="FootnoteReference"/>
          <w:noProof/>
        </w:rPr>
        <w:footnoteReference w:id="48"/>
      </w:r>
      <w:r w:rsidRPr="00922C2A">
        <w:rPr>
          <w:noProof/>
        </w:rPr>
        <w:t xml:space="preserve">. </w:t>
      </w:r>
    </w:p>
    <w:p w14:paraId="2489C6A1" w14:textId="77777777" w:rsidR="00922C2A" w:rsidRPr="00922C2A" w:rsidRDefault="00922C2A" w:rsidP="00922C2A">
      <w:pPr>
        <w:rPr>
          <w:noProof/>
        </w:rPr>
      </w:pPr>
      <w:r w:rsidRPr="00922C2A">
        <w:rPr>
          <w:noProof/>
        </w:rPr>
        <w:t>Étant donné que la sécurité de l’approvisionnement et la lutte contre les pénuries de médicaments ont été au cœur des activités de collecte de données probantes pour les initiatives susmentionnées, et compte tenu de la nécessité impérieuse d’une action urgente, aucune analyse d’impact spécifique ni consultation publique en ligne n’ont pu être menées ex</w:t>
      </w:r>
      <w:r w:rsidRPr="00922C2A">
        <w:rPr>
          <w:i/>
          <w:noProof/>
        </w:rPr>
        <w:t xml:space="preserve"> </w:t>
      </w:r>
      <w:r w:rsidRPr="00922C2A">
        <w:rPr>
          <w:noProof/>
        </w:rPr>
        <w:t xml:space="preserve">ante pour la présente proposition de règlement. </w:t>
      </w:r>
    </w:p>
    <w:p w14:paraId="5495D00D" w14:textId="77777777" w:rsidR="00922C2A" w:rsidRPr="00922C2A" w:rsidRDefault="00922C2A" w:rsidP="00922C2A">
      <w:pPr>
        <w:rPr>
          <w:noProof/>
        </w:rPr>
      </w:pPr>
      <w:r w:rsidRPr="00922C2A">
        <w:rPr>
          <w:noProof/>
        </w:rPr>
        <w:t>L’</w:t>
      </w:r>
      <w:r w:rsidRPr="00922C2A">
        <w:rPr>
          <w:i/>
          <w:noProof/>
        </w:rPr>
        <w:t>évaluation</w:t>
      </w:r>
      <w:r w:rsidRPr="00922C2A">
        <w:rPr>
          <w:noProof/>
        </w:rPr>
        <w:t xml:space="preserve"> de la législation pharmaceutique de l’UE</w:t>
      </w:r>
      <w:r w:rsidRPr="00922C2A">
        <w:rPr>
          <w:rStyle w:val="FootnoteReference"/>
          <w:noProof/>
        </w:rPr>
        <w:footnoteReference w:id="49"/>
      </w:r>
      <w:r w:rsidRPr="00922C2A">
        <w:rPr>
          <w:noProof/>
        </w:rPr>
        <w:t xml:space="preserve"> a mis en évidence le fait que les pénuries de médicaments constituent un problème croissant dans l’Union et qu’elles se sont aggravées depuis la pandémie de COVID</w:t>
      </w:r>
      <w:r w:rsidRPr="00922C2A">
        <w:rPr>
          <w:noProof/>
        </w:rPr>
        <w:noBreakHyphen/>
        <w:t>19. Dans l’ensemble, le nombre de pénuries signalées dans l’Union a fortement augmenté. Ces pénuries font peser une charge importante sur les systèmes de santé et les professionnels de la santé, exposant les patients à un risque de soins non optimaux et les systèmes de santé à un risque de coûts des soins de santé plus élevés</w:t>
      </w:r>
      <w:r w:rsidRPr="00922C2A">
        <w:rPr>
          <w:rStyle w:val="FootnoteReference"/>
          <w:noProof/>
        </w:rPr>
        <w:footnoteReference w:id="50"/>
      </w:r>
      <w:r w:rsidRPr="00922C2A">
        <w:rPr>
          <w:noProof/>
        </w:rPr>
        <w:t xml:space="preserve">. </w:t>
      </w:r>
    </w:p>
    <w:p w14:paraId="125B687A" w14:textId="77777777" w:rsidR="00922C2A" w:rsidRPr="00922C2A" w:rsidRDefault="00922C2A" w:rsidP="00922C2A">
      <w:pPr>
        <w:rPr>
          <w:i/>
          <w:iCs/>
          <w:noProof/>
        </w:rPr>
      </w:pPr>
      <w:r w:rsidRPr="00922C2A">
        <w:rPr>
          <w:i/>
          <w:noProof/>
        </w:rPr>
        <w:t>Éléments de preuve à l’appui</w:t>
      </w:r>
    </w:p>
    <w:p w14:paraId="57C3DD6C" w14:textId="77777777" w:rsidR="00922C2A" w:rsidRPr="00922C2A" w:rsidRDefault="00922C2A" w:rsidP="00922C2A">
      <w:pPr>
        <w:rPr>
          <w:noProof/>
        </w:rPr>
      </w:pPr>
      <w:r w:rsidRPr="00922C2A">
        <w:rPr>
          <w:noProof/>
        </w:rPr>
        <w:t>L’analyse et les éléments de preuve à l’appui, y compris les études commandées par la Commission, seront résumés dans un document de travail des services de la Commission et publiés dans un délai de trois mois à compter de la publication de la proposition.</w:t>
      </w:r>
    </w:p>
    <w:p w14:paraId="10124E8E" w14:textId="77777777" w:rsidR="00922C2A" w:rsidRPr="00922C2A" w:rsidRDefault="00922C2A" w:rsidP="00922C2A">
      <w:pPr>
        <w:pStyle w:val="ManualHeading2"/>
        <w:rPr>
          <w:rFonts w:eastAsia="Arial Unicode MS"/>
          <w:noProof/>
          <w:u w:color="000000"/>
          <w:bdr w:val="nil"/>
        </w:rPr>
      </w:pPr>
      <w:r w:rsidRPr="00922C2A">
        <w:rPr>
          <w:noProof/>
          <w:u w:color="000000"/>
          <w:bdr w:val="nil"/>
        </w:rPr>
        <w:t>•</w:t>
      </w:r>
      <w:r w:rsidRPr="00922C2A">
        <w:rPr>
          <w:noProof/>
          <w:u w:color="000000"/>
          <w:bdr w:val="nil"/>
        </w:rPr>
        <w:tab/>
        <w:t>Évaluations ex</w:t>
      </w:r>
      <w:r w:rsidRPr="00922C2A">
        <w:rPr>
          <w:i/>
          <w:noProof/>
          <w:u w:color="000000"/>
          <w:bdr w:val="nil"/>
        </w:rPr>
        <w:t xml:space="preserve"> </w:t>
      </w:r>
      <w:r w:rsidRPr="00922C2A">
        <w:rPr>
          <w:noProof/>
          <w:u w:color="000000"/>
          <w:bdr w:val="nil"/>
        </w:rPr>
        <w:t>post/bilans de qualité de la législation existante</w:t>
      </w:r>
    </w:p>
    <w:p w14:paraId="295C5AA7" w14:textId="77777777" w:rsidR="00922C2A" w:rsidRPr="00922C2A" w:rsidRDefault="00922C2A" w:rsidP="00922C2A">
      <w:pPr>
        <w:rPr>
          <w:noProof/>
        </w:rPr>
      </w:pPr>
      <w:r w:rsidRPr="00922C2A">
        <w:rPr>
          <w:noProof/>
        </w:rPr>
        <w:t>Sans objet</w:t>
      </w:r>
    </w:p>
    <w:p w14:paraId="570E93EE" w14:textId="77777777" w:rsidR="00922C2A" w:rsidRPr="00922C2A" w:rsidRDefault="00922C2A" w:rsidP="00922C2A">
      <w:pPr>
        <w:pStyle w:val="ManualHeading2"/>
        <w:rPr>
          <w:rFonts w:eastAsia="Arial Unicode MS"/>
          <w:noProof/>
          <w:u w:color="000000"/>
          <w:bdr w:val="nil"/>
        </w:rPr>
      </w:pPr>
      <w:r w:rsidRPr="00922C2A">
        <w:rPr>
          <w:noProof/>
          <w:u w:color="000000"/>
          <w:bdr w:val="nil"/>
        </w:rPr>
        <w:t>•</w:t>
      </w:r>
      <w:r w:rsidRPr="00922C2A">
        <w:rPr>
          <w:noProof/>
          <w:u w:color="000000"/>
          <w:bdr w:val="nil"/>
        </w:rPr>
        <w:tab/>
      </w:r>
      <w:r w:rsidRPr="00922C2A">
        <w:rPr>
          <w:noProof/>
        </w:rPr>
        <w:t>Consultation des parties intéressées</w:t>
      </w:r>
    </w:p>
    <w:p w14:paraId="654DF470" w14:textId="77777777" w:rsidR="00922C2A" w:rsidRPr="00922C2A" w:rsidRDefault="00922C2A" w:rsidP="00922C2A">
      <w:pPr>
        <w:rPr>
          <w:noProof/>
        </w:rPr>
      </w:pPr>
      <w:r w:rsidRPr="00922C2A">
        <w:rPr>
          <w:noProof/>
        </w:rPr>
        <w:t>En février 2021, la Commission a réuni les parties intéressées dans le cadre d’un dialogue structuré sur la sécurité de l’approvisionnement en médicaments</w:t>
      </w:r>
      <w:r w:rsidRPr="00922C2A">
        <w:rPr>
          <w:rStyle w:val="FootnoteReference"/>
          <w:noProof/>
        </w:rPr>
        <w:footnoteReference w:id="51"/>
      </w:r>
      <w:r w:rsidRPr="00922C2A">
        <w:rPr>
          <w:noProof/>
        </w:rPr>
        <w:t xml:space="preserve">. Parmi les participants à ce dialogue figuraient: i) des acteurs des chaînes d’approvisionnement en médicaments critiques; ii) des autorités publiques; iii) des organisations non gouvernementales de patients et de santé; et iv) la communauté scientifique. Ce dialogue a permis d’approfondir encore la compréhension des chaînes d’approvisionnement pharmaceutiques mondiales. </w:t>
      </w:r>
    </w:p>
    <w:p w14:paraId="7AA76ADD" w14:textId="77777777" w:rsidR="00922C2A" w:rsidRPr="00922C2A" w:rsidRDefault="00922C2A" w:rsidP="00922C2A">
      <w:pPr>
        <w:rPr>
          <w:noProof/>
        </w:rPr>
      </w:pPr>
      <w:r w:rsidRPr="00922C2A">
        <w:rPr>
          <w:noProof/>
        </w:rPr>
        <w:t xml:space="preserve">Les consultations en vue de la </w:t>
      </w:r>
      <w:r w:rsidRPr="00922C2A">
        <w:rPr>
          <w:b/>
          <w:noProof/>
        </w:rPr>
        <w:t>réforme pharmaceutique de l’UE</w:t>
      </w:r>
      <w:r w:rsidRPr="00922C2A">
        <w:rPr>
          <w:noProof/>
        </w:rPr>
        <w:t xml:space="preserve"> dans le domaine des pénuries ont également permis d’examiner le point de vue des parties intéressées sur ce sujet</w:t>
      </w:r>
      <w:r w:rsidRPr="00922C2A">
        <w:rPr>
          <w:rStyle w:val="FootnoteReference"/>
          <w:noProof/>
        </w:rPr>
        <w:footnoteReference w:id="52"/>
      </w:r>
      <w:r w:rsidRPr="00922C2A">
        <w:rPr>
          <w:noProof/>
        </w:rPr>
        <w:t>. Ces consultations ont confirmé que les parties intéressées (en particulier les organisations de la société civile et les professionnels de la santé) considèrent les pénuries de médicaments comme un enjeu majeur. Dans les enquêtes ciblées, la société civile, les autorités publiques et les parties intéressées des services de santé ont estimé que le domaine dans lequel la législation était la moins efficace était celui des questions liées à la sécurité de l’approvisionnement et aux pénuries de médicaments. Elles ont également donné leur avis sur les mesures stratégiques, telles que les plans de prévention des pénuries, un système de surveillance des pénuries au niveau de l’UE ou la notification des pénuries. En outre, un atelier de validation consacré aux chaînes d’approvisionnement a été organisé en avril 2022. Au cours de cet atelier, diverses parties intéressées ont expliqué que la diversification de la chaîne d’approvisionnement était difficile et pas toujours réalisable en raison de la difficulté de trouver d’autres fournisseurs en amont de la chaîne d’approvisionnement</w:t>
      </w:r>
      <w:r w:rsidRPr="00922C2A">
        <w:rPr>
          <w:rStyle w:val="FootnoteReference"/>
          <w:noProof/>
        </w:rPr>
        <w:footnoteReference w:id="53"/>
      </w:r>
      <w:r w:rsidRPr="00922C2A">
        <w:rPr>
          <w:noProof/>
        </w:rPr>
        <w:t xml:space="preserve">. </w:t>
      </w:r>
    </w:p>
    <w:p w14:paraId="03BB9BFF" w14:textId="77777777" w:rsidR="00922C2A" w:rsidRPr="00922C2A" w:rsidRDefault="00922C2A" w:rsidP="00922C2A">
      <w:pPr>
        <w:rPr>
          <w:noProof/>
        </w:rPr>
      </w:pPr>
      <w:r w:rsidRPr="00922C2A">
        <w:rPr>
          <w:noProof/>
        </w:rPr>
        <w:t>Plus de 300 acteurs des chaînes d’approvisionnement en médicaments critiques, en tant que membres de l’A</w:t>
      </w:r>
      <w:r w:rsidRPr="00922C2A">
        <w:rPr>
          <w:b/>
          <w:noProof/>
        </w:rPr>
        <w:t>lliance pour les médicaments critiques</w:t>
      </w:r>
      <w:r w:rsidRPr="00922C2A">
        <w:rPr>
          <w:noProof/>
        </w:rPr>
        <w:t>, qui comprend des représentants de l’industrie, des associations professionnelles, des organisations de patients, des organisations de professions médicales et des États membres, ont été consultées sur des sujets clés présentant un intérêt pour le renforcement de la chaîne d’approvisionnement en médicaments critiques. Après le lancement de l’Alliance en 2024, des discussions techniques ont eu lieu au niveau des groupes de travail tout au long de l’année, dans le but d’élaborer des recommandations d’actions pour renforcer les capacités de production et diversifier la chaîne d’approvisionnement au moyen de partenariats avec des pays tiers partageant les mêmes valeurs. Les résultats de ces recommandations, compilés par le comité de pilotage dans son rapport stratégique</w:t>
      </w:r>
      <w:r w:rsidRPr="00922C2A">
        <w:rPr>
          <w:rStyle w:val="FootnoteReference"/>
          <w:noProof/>
        </w:rPr>
        <w:footnoteReference w:id="54"/>
      </w:r>
      <w:r w:rsidRPr="00922C2A">
        <w:rPr>
          <w:noProof/>
        </w:rPr>
        <w:t>, prévoient des actions concernant l'évaluation des vulnérabilités, les incitations à investir dans les capacités de production, les stocks d’urgence et les méthodes de passation de marchés, ainsi que le recours aux  partenariats avec des pays tiers. En particulier, l’Alliance recommande: i) l’établissement d’une liste européenne des médicaments vulnérables critiques; ii) la mise en œuvre d’un plan d’investissement européen visant à renforcer les capacités de production de médicaments critiques en Europe en combinant des programmes de financement de l’Union et des aides d’État; iii) la mise en œuvre d’un cadre global, harmonisé et équilibré sur les stocks d’urgence; iv) la promotion de pratiques vertueuses en matière de passation de marchés publics par l'application de critères spécifiques pour l’offre économiquement la plus avantageuse</w:t>
      </w:r>
      <w:r w:rsidRPr="00922C2A">
        <w:rPr>
          <w:rStyle w:val="FootnoteReference"/>
          <w:noProof/>
        </w:rPr>
        <w:footnoteReference w:id="55"/>
      </w:r>
      <w:r w:rsidRPr="00922C2A">
        <w:rPr>
          <w:noProof/>
        </w:rPr>
        <w:t xml:space="preserve"> et le recours plus fréquent aux passations conjointes de marchés; et v) la promotion de conditions de concurrence équitables sur le plan des normes environnementales et sociales, et d’une concurrence loyale entre les médicaments critiques fabriqués dans l’Union et ceux fabriqués dans le reste du monde. En ce qui concerne les partenariats avec des pays tiers, l’Alliance recommande spécifiquement d’utiliser la méthode mise au point pour évaluer les perspectives des pays pour différents types de partenariats. Enfin, l’Alliance recommande que le groupe de pilotage sur les pénuries de médicaments formalise la possibilité de s’adresser aux juridictions de pays tiers, dans le cadre du mécanisme de solidarité volontaire.</w:t>
      </w:r>
    </w:p>
    <w:p w14:paraId="4F5C34EA" w14:textId="77777777" w:rsidR="00922C2A" w:rsidRPr="00922C2A" w:rsidRDefault="00922C2A" w:rsidP="00922C2A">
      <w:pPr>
        <w:rPr>
          <w:noProof/>
        </w:rPr>
      </w:pPr>
      <w:r w:rsidRPr="00922C2A">
        <w:rPr>
          <w:noProof/>
        </w:rPr>
        <w:t xml:space="preserve">Une consultation générale sur la proposition de règlement a été lancée dans le cadre d’un </w:t>
      </w:r>
      <w:r w:rsidRPr="00922C2A">
        <w:rPr>
          <w:b/>
          <w:noProof/>
        </w:rPr>
        <w:t>appel à contributions</w:t>
      </w:r>
      <w:r w:rsidRPr="00922C2A">
        <w:rPr>
          <w:noProof/>
        </w:rPr>
        <w:t xml:space="preserve"> publié le 30 janvier 2025</w:t>
      </w:r>
      <w:r w:rsidRPr="00922C2A">
        <w:rPr>
          <w:rStyle w:val="FootnoteReference"/>
          <w:noProof/>
        </w:rPr>
        <w:footnoteReference w:id="56"/>
      </w:r>
      <w:r w:rsidRPr="00922C2A">
        <w:rPr>
          <w:noProof/>
        </w:rPr>
        <w:t xml:space="preserve">. </w:t>
      </w:r>
    </w:p>
    <w:p w14:paraId="1F66E674" w14:textId="77777777" w:rsidR="00922C2A" w:rsidRPr="00922C2A" w:rsidRDefault="00922C2A" w:rsidP="00922C2A">
      <w:pPr>
        <w:rPr>
          <w:noProof/>
        </w:rPr>
      </w:pPr>
      <w:r w:rsidRPr="00922C2A">
        <w:rPr>
          <w:noProof/>
        </w:rPr>
        <w:t xml:space="preserve">La Commission a reçu 121 contributions valables, présentées par des associations professionnelles (26 %), des entreprises (25 %), des organisations non gouvernementales (22 %), des citoyens de l’UE (5 %), des pouvoirs publics (5 %), des syndicats (4 %), des organisations de consommateurs (2 %), des établissements universitaires/de recherche (1 %) et d’autres répondants (9 %). </w:t>
      </w:r>
    </w:p>
    <w:p w14:paraId="49A3A3C4" w14:textId="77777777" w:rsidR="00922C2A" w:rsidRPr="00922C2A" w:rsidRDefault="00922C2A" w:rsidP="00922C2A">
      <w:pPr>
        <w:rPr>
          <w:noProof/>
        </w:rPr>
      </w:pPr>
      <w:r w:rsidRPr="00922C2A">
        <w:rPr>
          <w:noProof/>
        </w:rPr>
        <w:t>Les réponses provenaient de 22 pays (dont cinq pays tiers). Parmi ces pays, la Belgique est le plus représenté (32 %), étant donné que la plupart des associations professionnelles et organisations de la société civile européennes ont leur siège dans ce pays. Elle est suivie de l’Allemagne (15 %), de la France (7 %), de l’Italie (6 %) et de l’Espagne (5 %).</w:t>
      </w:r>
    </w:p>
    <w:p w14:paraId="25CE75D0" w14:textId="77777777" w:rsidR="00922C2A" w:rsidRPr="00922C2A" w:rsidRDefault="00922C2A" w:rsidP="00922C2A">
      <w:pPr>
        <w:rPr>
          <w:noProof/>
        </w:rPr>
      </w:pPr>
      <w:r w:rsidRPr="00922C2A">
        <w:rPr>
          <w:noProof/>
        </w:rPr>
        <w:t>Une grande majorité des réponses étaient favorables à la proposition d’un règlement sur les médicaments critiques par la Commission, considérant que le règlement est comme un outil essentiel pour remédier aux pénuries de médicaments critiques. Parmi les préoccupations majeures des différents groupes de parties intéressées, entreprises et associations professionnelles ont été cités la dépendance persistante à l’égard de fournisseurs de pays tiers, en particulier pour les principes pharmaceutiques actifs (PPA), et le risque accru de pénurie de médicaments qui en résulte. Les répondants se sont félicités de l’engagement de la Commission européenne pour la sécurisation des chaînes d’approvisionnement et ont appelé à la mise en place d’un cadre juridique complet favorisant la production de PPA dans l’Union, associé à un meilleur accès aux mécanismes de financement. Afin de garantir la transparence, la responsabilité et l’efficacité, de nombreuses ONG ont proposé la réalisation régulière d'évaluations des risques et d'analyses des vulnérabilités des chaînes d’approvisionnement pharmaceutiques, ainsi que la mise en place d’un système de surveillance coordonné qui tienne compte des systèmes nationaux existants de manière à éviter les doubles emplois. Les pouvoirs publics, en particulier, ont soutenu la passation conjointe de marchés volontaire pour les médicaments critiques. Les réponses de divers groupes de parties intéressées ont souligné la nécessité de remédier à la fragmentation découlant des exigences nationales en matière de constitution de stocks. L’importance de partenariats mondiaux visant à maintenir des chaînes d’approvisionnement solides a été largement mise en exergue. Une analyse plus détaillée des réponses sera incluse dans le document de travail des services de la Commission qui sera publié d’ici au deuxième trimestre de 2025. La Commission a également commandé à un contractant externe une étude sur la proposition de règlement, qui comprend des consultations ciblées avec diverses parties intéressées.</w:t>
      </w:r>
    </w:p>
    <w:p w14:paraId="7C8A7DB5" w14:textId="77777777" w:rsidR="00922C2A" w:rsidRPr="00922C2A" w:rsidRDefault="00922C2A" w:rsidP="00922C2A">
      <w:pPr>
        <w:pStyle w:val="ManualHeading2"/>
        <w:rPr>
          <w:noProof/>
        </w:rPr>
      </w:pPr>
      <w:r w:rsidRPr="00922C2A">
        <w:rPr>
          <w:noProof/>
          <w:u w:color="000000"/>
          <w:bdr w:val="nil"/>
        </w:rPr>
        <w:t>•</w:t>
      </w:r>
      <w:r w:rsidRPr="00922C2A">
        <w:rPr>
          <w:noProof/>
          <w:u w:color="000000"/>
          <w:bdr w:val="nil"/>
        </w:rPr>
        <w:tab/>
        <w:t>Obtention et utilisation</w:t>
      </w:r>
      <w:r w:rsidRPr="00922C2A">
        <w:rPr>
          <w:noProof/>
        </w:rPr>
        <w:t xml:space="preserve"> d’expertise</w:t>
      </w:r>
    </w:p>
    <w:p w14:paraId="68057E17" w14:textId="77777777" w:rsidR="00922C2A" w:rsidRPr="00922C2A" w:rsidRDefault="00922C2A" w:rsidP="00922C2A">
      <w:pPr>
        <w:rPr>
          <w:noProof/>
        </w:rPr>
      </w:pPr>
      <w:r w:rsidRPr="00922C2A">
        <w:rPr>
          <w:b/>
          <w:noProof/>
        </w:rPr>
        <w:t>La liste de l’Union des médicaments critiques</w:t>
      </w:r>
      <w:r w:rsidRPr="00922C2A">
        <w:rPr>
          <w:rStyle w:val="FootnoteReference"/>
          <w:b/>
          <w:bCs/>
          <w:noProof/>
        </w:rPr>
        <w:footnoteReference w:id="57"/>
      </w:r>
      <w:r w:rsidRPr="00922C2A">
        <w:rPr>
          <w:noProof/>
        </w:rPr>
        <w:t xml:space="preserve"> a été établie avec l’expertise des directeurs des agences des médicaments des États membres, de la Commission européenne et de l’EMA, en consultation avec les principales parties intéressées, y compris les organisations de patients et les associations sectorielles. Publiée pour la première fois en décembre 2023 et mise à jour un an plus tard, la liste contient 276 substances actives utilisées dans les médicaments à usage humain qui sont jugées critiques selon une méthode convenue, fondée sur deux critères clés:</w:t>
      </w:r>
    </w:p>
    <w:p w14:paraId="35C32394" w14:textId="77777777" w:rsidR="00922C2A" w:rsidRPr="00922C2A" w:rsidRDefault="00922C2A" w:rsidP="00922C2A">
      <w:pPr>
        <w:pStyle w:val="Point0"/>
        <w:rPr>
          <w:noProof/>
        </w:rPr>
      </w:pPr>
      <w:r w:rsidRPr="00922C2A">
        <w:rPr>
          <w:noProof/>
        </w:rPr>
        <w:t>•</w:t>
      </w:r>
      <w:r w:rsidRPr="00922C2A">
        <w:rPr>
          <w:noProof/>
        </w:rPr>
        <w:tab/>
        <w:t>l’indication thérapeutique du médicament ciblant une affection grave;</w:t>
      </w:r>
    </w:p>
    <w:p w14:paraId="1A38BBD6" w14:textId="77777777" w:rsidR="00922C2A" w:rsidRPr="00922C2A" w:rsidRDefault="00922C2A" w:rsidP="00922C2A">
      <w:pPr>
        <w:pStyle w:val="Point0"/>
        <w:rPr>
          <w:noProof/>
        </w:rPr>
      </w:pPr>
      <w:r w:rsidRPr="00922C2A">
        <w:rPr>
          <w:noProof/>
        </w:rPr>
        <w:t>•</w:t>
      </w:r>
      <w:r w:rsidRPr="00922C2A">
        <w:rPr>
          <w:noProof/>
        </w:rPr>
        <w:tab/>
        <w:t>la disponibilité limitée de solutions de remplacement appropriées.</w:t>
      </w:r>
    </w:p>
    <w:p w14:paraId="0D8AB6C5" w14:textId="77777777" w:rsidR="00922C2A" w:rsidRPr="00922C2A" w:rsidRDefault="00922C2A" w:rsidP="00922C2A">
      <w:pPr>
        <w:rPr>
          <w:noProof/>
        </w:rPr>
      </w:pPr>
      <w:r w:rsidRPr="00922C2A">
        <w:rPr>
          <w:noProof/>
        </w:rPr>
        <w:t>Les médicaments sont inscrits sur la liste de l’Union s’ils satisfont aux critères susmentionnés concernant leur statut critique et s’ils répondent à des critères supplémentaires, tels que le nombre d’États membres considérant le médicament comme étant critique ou le statut de mise sur le marché du médicament. Il est important de noter que l’inscription sur la liste n’indique pas nécessairement une pénurie imminente, mais qu’elle donne la priorité aux efforts de prévention pour ces médicaments critiques.</w:t>
      </w:r>
    </w:p>
    <w:p w14:paraId="1D92559F" w14:textId="77777777" w:rsidR="00922C2A" w:rsidRPr="00922C2A" w:rsidRDefault="00922C2A" w:rsidP="00922C2A">
      <w:pPr>
        <w:rPr>
          <w:noProof/>
        </w:rPr>
      </w:pPr>
      <w:r w:rsidRPr="00922C2A">
        <w:rPr>
          <w:noProof/>
        </w:rPr>
        <w:t>La Commission a procédé à une évaluation technique des vulnérabilités de la chaîne d’approvisionnement des médicaments critiques</w:t>
      </w:r>
      <w:r w:rsidRPr="00922C2A">
        <w:rPr>
          <w:rStyle w:val="FootnoteReference"/>
          <w:noProof/>
        </w:rPr>
        <w:footnoteReference w:id="58"/>
      </w:r>
      <w:r w:rsidRPr="00922C2A">
        <w:rPr>
          <w:noProof/>
        </w:rPr>
        <w:t>. Cette analyse s’est concentrée sur une sélection de onze médicaments critiques figurant sur la liste de l’Union. Parmi les problèmes recensés par le projet pilote figuraient la forte dépendance à l’égard des fournisseurs de substances actives de pays tiers pour quatre des onze molécules et les risques découlant de la concentration sur le marché. Le projet pilote a mis en évidence la nécessité de renforcer la résilience, par exemple en diversifiant les sources d’approvisionnement, en augmentant la flexibilité des capacités de production et en élaborant des cadres solides de gestion des risques afin de gérer efficacement la variabilité économique et du marché. Les résultats de cet exercice pilote ont également révélé certaines limites, telles que le manque de base juridique pour la collecte de données et le partage d’informations, l’absence de format et de normes harmonisés pour les données, entraînant des problèmes d’interopérabilité, et la réticence des entreprises pharmaceutiques à partager des données commerciales hautement sensibles.</w:t>
      </w:r>
    </w:p>
    <w:p w14:paraId="11EB7521" w14:textId="77777777" w:rsidR="00922C2A" w:rsidRPr="00922C2A" w:rsidRDefault="00922C2A" w:rsidP="00922C2A">
      <w:pPr>
        <w:rPr>
          <w:rFonts w:eastAsia="Times New Roman"/>
          <w:noProof/>
        </w:rPr>
      </w:pPr>
      <w:r w:rsidRPr="00922C2A">
        <w:rPr>
          <w:b/>
          <w:noProof/>
        </w:rPr>
        <w:t>Études</w:t>
      </w:r>
      <w:r w:rsidRPr="00922C2A">
        <w:rPr>
          <w:noProof/>
        </w:rPr>
        <w:t xml:space="preserve">: une étude par un contractant externe est en cours et se concentre sur l’évaluation des options stratégiques dans trois grands volets d’action: le volet horizontal (champ d’application, gouvernance, données); les conditions propices aux investissements dans les médicaments critiques; les mesures axées sur la demande. Le rapport intermédiaire de l’étude a été pris en considération lors de l’élaboration de la présente proposition de règlement, et d’autres résultats de l’étude alimenteront le document de travail des services de la Commission qui sera publié d’ici au deuxième trimestre de 2025 afin de fournir l’analyse et tous les éléments de preuve à l’appui de la présente proposition. </w:t>
      </w:r>
    </w:p>
    <w:p w14:paraId="10F92797" w14:textId="77777777" w:rsidR="00922C2A" w:rsidRPr="00922C2A" w:rsidRDefault="00922C2A" w:rsidP="00922C2A">
      <w:pPr>
        <w:rPr>
          <w:rFonts w:eastAsia="Times New Roman"/>
          <w:noProof/>
        </w:rPr>
      </w:pPr>
      <w:r w:rsidRPr="00922C2A">
        <w:rPr>
          <w:noProof/>
        </w:rPr>
        <w:t>L’étude sur les meilleures pratiques en matière de passation de marchés publics de médicaments</w:t>
      </w:r>
      <w:r w:rsidRPr="00922C2A">
        <w:rPr>
          <w:rStyle w:val="FootnoteReference"/>
          <w:rFonts w:eastAsia="Times New Roman"/>
          <w:noProof/>
          <w:lang w:eastAsia="en-GB"/>
        </w:rPr>
        <w:footnoteReference w:id="59"/>
      </w:r>
      <w:r w:rsidRPr="00922C2A">
        <w:rPr>
          <w:noProof/>
        </w:rPr>
        <w:t xml:space="preserve">, publiée en 2022, a cartographié et analysé les pratiques en matière de marchés publics de médicaments dans 32 pays européens. Le rapport présente des conclusions sur les formes organisationnelles de passation de marchés et l’utilisation de différentes formes de procédures et de techniques (y compris le recours à différentes exigences en matière de passation de marchés, telles que l’offre économiquement la plus avantageuse). Les incidences possibles des marchés publics de médicaments sur l’accès aux médicaments, le caractère abordable et la disponibilité des médicaments ainsi que sur la sécurité de l’approvisionnement ont été évaluées. </w:t>
      </w:r>
    </w:p>
    <w:p w14:paraId="417092F6" w14:textId="77777777" w:rsidR="00922C2A" w:rsidRPr="00922C2A" w:rsidRDefault="00922C2A" w:rsidP="00922C2A">
      <w:pPr>
        <w:rPr>
          <w:rFonts w:eastAsia="Times New Roman"/>
          <w:noProof/>
        </w:rPr>
      </w:pPr>
      <w:r w:rsidRPr="00922C2A">
        <w:rPr>
          <w:noProof/>
        </w:rPr>
        <w:t>Dans le cadre des travaux de l’Alliance, plusieurs études ont également été utilisées comme éléments de preuve pour l’élaboration des recommandations, notamment l’étude d’Advancy intitulée «Strengthening API production industry in France and Europe» (Renforcer l’industrie de production de PPA en France et en Europe)</w:t>
      </w:r>
      <w:r w:rsidRPr="00922C2A">
        <w:rPr>
          <w:rStyle w:val="FootnoteReference"/>
          <w:noProof/>
        </w:rPr>
        <w:footnoteReference w:id="60"/>
      </w:r>
      <w:r w:rsidRPr="00922C2A">
        <w:rPr>
          <w:noProof/>
        </w:rPr>
        <w:t>. Cette étude met en évidence l’important déficit de compétitivité auquel est confronté le secteur pharmaceutique européen, en particulier dans la production de médicaments et de substances actives essentiels. En outre, l'Alliance s'est également fondée sur le rapport de l’OCDE intitulé «Shortages of medicines in OECD countries»</w:t>
      </w:r>
      <w:r w:rsidRPr="00922C2A">
        <w:rPr>
          <w:rStyle w:val="FootnoteReference"/>
          <w:noProof/>
        </w:rPr>
        <w:footnoteReference w:id="61"/>
      </w:r>
      <w:r w:rsidRPr="00922C2A">
        <w:rPr>
          <w:noProof/>
          <w:vertAlign w:val="superscript"/>
        </w:rPr>
        <w:t xml:space="preserve"> </w:t>
      </w:r>
      <w:r w:rsidRPr="00922C2A">
        <w:rPr>
          <w:noProof/>
        </w:rPr>
        <w:t>(Pénuries de médicaments dans les pays de l’OCDE); cette étude a examiné la nature et l’ampleur des pénuries de médicaments avant la pandémie de COVID</w:t>
      </w:r>
      <w:r w:rsidRPr="00922C2A">
        <w:rPr>
          <w:noProof/>
        </w:rPr>
        <w:noBreakHyphen/>
        <w:t>19 ainsi que les raisons de ce problème mondial. Elle conclut qu’il est nécessaire d’adopter une approche multipartite à l’échelle mondiale, associant tous les acteurs concernés, y compris au-delà du secteur des soins de santé.</w:t>
      </w:r>
    </w:p>
    <w:p w14:paraId="16C2CFAC" w14:textId="77777777" w:rsidR="00922C2A" w:rsidRPr="00922C2A" w:rsidRDefault="00922C2A" w:rsidP="00922C2A">
      <w:pPr>
        <w:pStyle w:val="ManualHeading2"/>
        <w:rPr>
          <w:rFonts w:eastAsia="Arial Unicode MS"/>
          <w:noProof/>
          <w:u w:color="000000"/>
          <w:bdr w:val="nil"/>
        </w:rPr>
      </w:pPr>
      <w:r w:rsidRPr="00922C2A">
        <w:rPr>
          <w:noProof/>
          <w:u w:color="000000"/>
          <w:bdr w:val="nil"/>
        </w:rPr>
        <w:t>•</w:t>
      </w:r>
      <w:r w:rsidRPr="00922C2A">
        <w:rPr>
          <w:noProof/>
          <w:u w:color="000000"/>
          <w:bdr w:val="nil"/>
        </w:rPr>
        <w:tab/>
        <w:t>Analyse d’impact</w:t>
      </w:r>
    </w:p>
    <w:p w14:paraId="4AA5A6F7" w14:textId="77777777" w:rsidR="00922C2A" w:rsidRPr="00922C2A" w:rsidRDefault="00922C2A" w:rsidP="00922C2A">
      <w:pPr>
        <w:spacing w:before="0" w:after="0"/>
        <w:rPr>
          <w:rFonts w:eastAsia="Times New Roman"/>
          <w:noProof/>
        </w:rPr>
      </w:pPr>
      <w:r w:rsidRPr="00922C2A">
        <w:rPr>
          <w:noProof/>
        </w:rPr>
        <w:t>Dans la mesure où il est urgent de relever les défis stratégiques recensés, la proposition de règlement ne comportera pas d’analyse d’impact. Toutefois, ses dispositions reposent sur les analyses existantes, les consultations des parties intéressées et les enseignements tirés d’initiatives antérieures afin de garantir une approche proportionnée et fondée sur des données probantes. Afin d’évaluer plus avant les incidences attendues, un document de travail des services de la Commission sera publié dans les trois mois suivant l’adoption de la proposition, qui fournira un résumé des éléments de preuve disponibles sur les incidences attendues du règlement proposé et l’analyse qui sous-tend la proposition.</w:t>
      </w:r>
    </w:p>
    <w:p w14:paraId="50033562" w14:textId="77777777" w:rsidR="00922C2A" w:rsidRPr="00922C2A" w:rsidRDefault="00922C2A" w:rsidP="00922C2A">
      <w:pPr>
        <w:pStyle w:val="ManualHeading2"/>
        <w:rPr>
          <w:rFonts w:eastAsia="Arial Unicode MS"/>
          <w:noProof/>
          <w:u w:color="000000"/>
          <w:bdr w:val="nil"/>
        </w:rPr>
      </w:pPr>
      <w:r w:rsidRPr="00922C2A">
        <w:rPr>
          <w:noProof/>
          <w:u w:color="000000"/>
          <w:bdr w:val="nil"/>
        </w:rPr>
        <w:t>•</w:t>
      </w:r>
      <w:r w:rsidRPr="00922C2A">
        <w:rPr>
          <w:noProof/>
          <w:u w:color="000000"/>
          <w:bdr w:val="nil"/>
        </w:rPr>
        <w:tab/>
        <w:t>Réglementation affûtée et simplification</w:t>
      </w:r>
    </w:p>
    <w:p w14:paraId="2623E0C5" w14:textId="77777777" w:rsidR="00922C2A" w:rsidRPr="00922C2A" w:rsidRDefault="00922C2A" w:rsidP="00922C2A">
      <w:pPr>
        <w:rPr>
          <w:noProof/>
        </w:rPr>
      </w:pPr>
      <w:r w:rsidRPr="00922C2A">
        <w:rPr>
          <w:noProof/>
        </w:rPr>
        <w:t xml:space="preserve">La proposition ne prévoit pas de charge réglementaire supplémentaire importante. Pour les entreprises qui élaborent un projet stratégique, elle facilitera la création ou le développement de capacités de production de médicaments critiques, de leurs substances actives et d’intrants essentiels dans l’UE en accélérant les procédures d’octroi des permis, en rationalisant les évaluations environnementales et en apportant un soutien ciblé si nécessaire. Pour les administrations publiques nationales, certaines obligations d’information sont prévues en ce qui concerne le soutien financier apporté aux projets stratégiques, les programmes nationaux visant à garantir la durabilité et la résilience dans le cadre de la passation de marchés publics et les initiatives en matière de passation collaborative de marchés. Néanmoins, le règlement proposé générera également de nouvelles synergies et garantira une coordination et une collaboration efficaces entre les États membres afin d’atteindre l’objectif stratégique de l’Union consistant à renforcer la sécurité de l’approvisionnement et la disponibilité des médicaments critiques. </w:t>
      </w:r>
    </w:p>
    <w:p w14:paraId="4972BC2F" w14:textId="77777777" w:rsidR="00922C2A" w:rsidRPr="00922C2A" w:rsidRDefault="00922C2A" w:rsidP="00922C2A">
      <w:pPr>
        <w:pStyle w:val="ManualHeading2"/>
        <w:rPr>
          <w:rFonts w:eastAsia="Arial Unicode MS"/>
          <w:noProof/>
          <w:u w:color="000000"/>
          <w:bdr w:val="nil"/>
        </w:rPr>
      </w:pPr>
      <w:r w:rsidRPr="00922C2A">
        <w:rPr>
          <w:noProof/>
          <w:u w:color="000000"/>
          <w:bdr w:val="nil"/>
        </w:rPr>
        <w:t>•</w:t>
      </w:r>
      <w:r w:rsidRPr="00922C2A">
        <w:rPr>
          <w:noProof/>
          <w:u w:color="000000"/>
          <w:bdr w:val="nil"/>
        </w:rPr>
        <w:tab/>
        <w:t>Droits fondamentaux</w:t>
      </w:r>
    </w:p>
    <w:p w14:paraId="51AA3003" w14:textId="77777777" w:rsidR="00922C2A" w:rsidRPr="00922C2A" w:rsidRDefault="00922C2A" w:rsidP="00922C2A">
      <w:pPr>
        <w:rPr>
          <w:noProof/>
        </w:rPr>
      </w:pPr>
      <w:r w:rsidRPr="00922C2A">
        <w:rPr>
          <w:noProof/>
        </w:rPr>
        <w:t>La proposition contribue à assurer un niveau élevé de protection de la santé publique et est, par conséquent, en accord avec l’article 35 de la charte des droits fondamentaux de l’Union européenne (ci-après la «Charte»).</w:t>
      </w:r>
      <w:r w:rsidRPr="00922C2A">
        <w:rPr>
          <w:noProof/>
          <w:color w:val="000000"/>
          <w:shd w:val="clear" w:color="auto" w:fill="FFFFFF"/>
        </w:rPr>
        <w:t xml:space="preserve"> </w:t>
      </w:r>
      <w:r w:rsidRPr="00922C2A">
        <w:rPr>
          <w:noProof/>
        </w:rPr>
        <w:t>L’article 16 de la Charte prévoit la liberté d’entreprise. Les mesures envisagées dans le cadre de la présente proposition soutiennent la création ou l’extension des capacités de production et stimulent la demande de médicaments critiques et d’autres médicaments d’intérêt commun avec des chaînes d’approvisionnement résilientes, ce qui peut renforcer la liberté d’entreprise conformément au droit de l’Union et aux droits et pratiques nationaux.</w:t>
      </w:r>
    </w:p>
    <w:p w14:paraId="0900D43C" w14:textId="77777777" w:rsidR="00922C2A" w:rsidRPr="00922C2A" w:rsidRDefault="00922C2A" w:rsidP="00922C2A">
      <w:pPr>
        <w:pStyle w:val="ManualHeading1"/>
        <w:rPr>
          <w:noProof/>
        </w:rPr>
      </w:pPr>
      <w:r w:rsidRPr="00922C2A">
        <w:rPr>
          <w:noProof/>
        </w:rPr>
        <w:t>4.</w:t>
      </w:r>
      <w:r w:rsidRPr="00922C2A">
        <w:rPr>
          <w:noProof/>
        </w:rPr>
        <w:tab/>
        <w:t>INCIDENCE BUDGÉTAIRE</w:t>
      </w:r>
    </w:p>
    <w:p w14:paraId="7FDABFE9" w14:textId="77777777" w:rsidR="00922C2A" w:rsidRPr="00922C2A" w:rsidRDefault="00922C2A" w:rsidP="00922C2A">
      <w:pPr>
        <w:rPr>
          <w:noProof/>
        </w:rPr>
      </w:pPr>
      <w:r w:rsidRPr="00922C2A">
        <w:rPr>
          <w:noProof/>
        </w:rPr>
        <w:t>La fiche financière législative jointe à la présente proposition décrit les implications de cette dernière sur le plan des ressources budgétaires, humaines et administratives. Les crédits seront réaffectés dans la limite de l’enveloppe financière. Les coûts de la présente proposition seront entièrement couverts par des redéploiements au sein des enveloppes financières existantes du cadre financier pluriannuel actuel. Pendant la durée du CFP 2021-2027</w:t>
      </w:r>
      <w:r w:rsidRPr="00922C2A">
        <w:rPr>
          <w:rStyle w:val="FootnoteReference"/>
          <w:noProof/>
        </w:rPr>
        <w:footnoteReference w:id="62"/>
      </w:r>
      <w:r w:rsidRPr="00922C2A">
        <w:rPr>
          <w:noProof/>
        </w:rPr>
        <w:t>, les projets stratégiques peuvent être soutenus par un financement de l’UE, y compris, mais pas exclusivement, le programme «L’UE pour la santé»</w:t>
      </w:r>
      <w:r w:rsidRPr="00922C2A">
        <w:rPr>
          <w:rStyle w:val="FootnoteReference"/>
          <w:noProof/>
        </w:rPr>
        <w:footnoteReference w:id="63"/>
      </w:r>
      <w:r w:rsidRPr="00922C2A">
        <w:rPr>
          <w:noProof/>
        </w:rPr>
        <w:t>, Horizon Europe</w:t>
      </w:r>
      <w:r w:rsidRPr="00922C2A">
        <w:rPr>
          <w:rStyle w:val="FootnoteReference"/>
          <w:noProof/>
        </w:rPr>
        <w:footnoteReference w:id="64"/>
      </w:r>
      <w:r w:rsidRPr="00922C2A">
        <w:rPr>
          <w:noProof/>
        </w:rPr>
        <w:t xml:space="preserve"> et le programme pour une Europe numérique</w:t>
      </w:r>
      <w:r w:rsidRPr="00922C2A">
        <w:rPr>
          <w:rStyle w:val="FootnoteReference"/>
          <w:noProof/>
        </w:rPr>
        <w:footnoteReference w:id="65"/>
      </w:r>
      <w:r w:rsidRPr="00922C2A">
        <w:rPr>
          <w:noProof/>
        </w:rPr>
        <w:t>, pour autant qu’ils respectent les exigences prévues dans ces instruments.</w:t>
      </w:r>
    </w:p>
    <w:p w14:paraId="06013DBE" w14:textId="77777777" w:rsidR="00922C2A" w:rsidRPr="00922C2A" w:rsidRDefault="00922C2A" w:rsidP="00922C2A">
      <w:pPr>
        <w:rPr>
          <w:noProof/>
        </w:rPr>
      </w:pPr>
      <w:r w:rsidRPr="00922C2A">
        <w:rPr>
          <w:noProof/>
        </w:rPr>
        <w:t xml:space="preserve">L’incidence budgétaire globale indicative de la proposition est de 83,02 millions d’euros pour la période 2026-2027 au titre de la rubrique 2b. Ce montant financera les investissements dans la production ainsi que les capacités de production et il couvrira les frais occasionnés par les réunions. Ces crédits seront redéployés dans le cadre de l’enveloppe financière existante du programme «L’UE pour la santé». Ce montant couvrira également l’augmentation de la contribution de l’UE à l’EMA (1,4 million d’euros), en raison de la hausse des coûts de personnel, des investissements informatiques et des frais de réunion de l’EMA. La contribution accrue de l’UE à l’EMA sera couverte par l’enveloppe budgétaire du programme «L’UE pour la santé» en 2026 et 2027. </w:t>
      </w:r>
    </w:p>
    <w:p w14:paraId="78AA4B4E" w14:textId="77777777" w:rsidR="00922C2A" w:rsidRPr="00922C2A" w:rsidRDefault="00922C2A" w:rsidP="00922C2A">
      <w:pPr>
        <w:rPr>
          <w:noProof/>
        </w:rPr>
      </w:pPr>
      <w:r w:rsidRPr="00922C2A">
        <w:rPr>
          <w:noProof/>
        </w:rPr>
        <w:t>L’incidence budgétaire au titre de la rubrique 7 s’élève à 5,5 millions d’euros. Ce montant couvrira les frais de personnel et les frais de mission et sera couvert par un redéploiement interne.</w:t>
      </w:r>
    </w:p>
    <w:p w14:paraId="3817F2C3" w14:textId="77777777" w:rsidR="00922C2A" w:rsidRPr="00922C2A" w:rsidRDefault="00922C2A" w:rsidP="00922C2A">
      <w:pPr>
        <w:pStyle w:val="ManualHeading1"/>
        <w:rPr>
          <w:noProof/>
        </w:rPr>
      </w:pPr>
      <w:r w:rsidRPr="00922C2A">
        <w:rPr>
          <w:noProof/>
        </w:rPr>
        <w:t>5.</w:t>
      </w:r>
      <w:r w:rsidRPr="00922C2A">
        <w:rPr>
          <w:noProof/>
        </w:rPr>
        <w:tab/>
        <w:t>AUTRES ÉLÉMENTS</w:t>
      </w:r>
    </w:p>
    <w:p w14:paraId="09C8ED66" w14:textId="77777777" w:rsidR="00922C2A" w:rsidRPr="00922C2A" w:rsidRDefault="00922C2A" w:rsidP="00922C2A">
      <w:pPr>
        <w:pStyle w:val="ManualHeading2"/>
        <w:rPr>
          <w:rFonts w:eastAsia="Arial Unicode MS"/>
          <w:noProof/>
          <w:u w:color="000000"/>
          <w:bdr w:val="nil"/>
        </w:rPr>
      </w:pPr>
      <w:r w:rsidRPr="00922C2A">
        <w:rPr>
          <w:noProof/>
          <w:u w:color="000000"/>
          <w:bdr w:val="nil"/>
        </w:rPr>
        <w:t>•</w:t>
      </w:r>
      <w:r w:rsidRPr="00922C2A">
        <w:rPr>
          <w:noProof/>
          <w:u w:color="000000"/>
          <w:bdr w:val="nil"/>
        </w:rPr>
        <w:tab/>
        <w:t>Plans de mise en œuvre et modalités de suivi, d’évaluation et d’information</w:t>
      </w:r>
    </w:p>
    <w:p w14:paraId="7C480B43" w14:textId="77777777" w:rsidR="00922C2A" w:rsidRPr="00922C2A" w:rsidRDefault="00922C2A" w:rsidP="00922C2A">
      <w:pPr>
        <w:pBdr>
          <w:top w:val="nil"/>
          <w:left w:val="nil"/>
          <w:bottom w:val="nil"/>
          <w:right w:val="nil"/>
          <w:between w:val="nil"/>
          <w:bar w:val="nil"/>
        </w:pBdr>
        <w:spacing w:before="0" w:after="240"/>
        <w:rPr>
          <w:noProof/>
        </w:rPr>
      </w:pPr>
      <w:r w:rsidRPr="00922C2A">
        <w:rPr>
          <w:noProof/>
        </w:rPr>
        <w:t xml:space="preserve">La Commission évaluera l’incidence de la présente proposition de règlement et déterminera si ses objectifs ont été atteints au plus tard cinq ans après sa date d’application, puis tous les cinq ans. Les principales conclusions de l’évaluation seront présentées dans un rapport au Parlement européen et au Conseil, qui sera rendu public. </w:t>
      </w:r>
    </w:p>
    <w:p w14:paraId="72E505CB" w14:textId="77777777" w:rsidR="00922C2A" w:rsidRPr="00922C2A" w:rsidRDefault="00922C2A" w:rsidP="00922C2A">
      <w:pPr>
        <w:pBdr>
          <w:top w:val="nil"/>
          <w:left w:val="nil"/>
          <w:bottom w:val="nil"/>
          <w:right w:val="nil"/>
          <w:between w:val="nil"/>
          <w:bar w:val="nil"/>
        </w:pBdr>
        <w:spacing w:before="0" w:after="240"/>
        <w:rPr>
          <w:rFonts w:eastAsia="Arial Unicode MS"/>
          <w:noProof/>
        </w:rPr>
      </w:pPr>
      <w:r w:rsidRPr="00922C2A">
        <w:rPr>
          <w:noProof/>
        </w:rPr>
        <w:t>La présente proposition introduit l’obligation pour les États membres d’informer le groupe de coordination en matière de médicaments critiques de leur intention d’apporter un soutien financier national à des projets stratégiques, ainsi que pour la Commission d’informer périodiquement le groupe en matière de médicaments critiques sur les projets stratégiques qui ont bénéficié d’un soutien financier de l’Union et de la mise en place de nouvelles possibilités de financement. Les données recueillies sont nécessaires pour suivre et évaluer la réussite du présent règlement dans le temps.</w:t>
      </w:r>
    </w:p>
    <w:p w14:paraId="571C31B5" w14:textId="77777777" w:rsidR="00922C2A" w:rsidRPr="00922C2A" w:rsidRDefault="00922C2A" w:rsidP="00922C2A">
      <w:pPr>
        <w:pStyle w:val="ManualHeading2"/>
        <w:rPr>
          <w:rFonts w:eastAsia="Arial Unicode MS"/>
          <w:noProof/>
          <w:u w:color="000000"/>
          <w:bdr w:val="nil"/>
        </w:rPr>
      </w:pPr>
      <w:r w:rsidRPr="00922C2A">
        <w:rPr>
          <w:noProof/>
          <w:u w:color="000000"/>
          <w:bdr w:val="nil"/>
        </w:rPr>
        <w:t>•</w:t>
      </w:r>
      <w:r w:rsidRPr="00922C2A">
        <w:rPr>
          <w:noProof/>
          <w:u w:color="000000"/>
          <w:bdr w:val="nil"/>
        </w:rPr>
        <w:tab/>
        <w:t>Explication détaillée de certaines dispositions de la proposition</w:t>
      </w:r>
    </w:p>
    <w:p w14:paraId="6FABDB6C" w14:textId="77777777" w:rsidR="00922C2A" w:rsidRPr="00922C2A" w:rsidRDefault="00922C2A" w:rsidP="00922C2A">
      <w:pPr>
        <w:rPr>
          <w:noProof/>
        </w:rPr>
      </w:pPr>
      <w:r w:rsidRPr="00922C2A">
        <w:rPr>
          <w:noProof/>
        </w:rPr>
        <w:t>La présente proposition est une proposition de nouveau règlement. La proposition de règlement comprend les principaux domaines suivants:</w:t>
      </w:r>
    </w:p>
    <w:p w14:paraId="2F0DA2F0" w14:textId="77777777" w:rsidR="00922C2A" w:rsidRPr="00922C2A" w:rsidRDefault="00922C2A" w:rsidP="00922C2A">
      <w:pPr>
        <w:rPr>
          <w:b/>
          <w:bCs/>
          <w:noProof/>
        </w:rPr>
      </w:pPr>
      <w:r w:rsidRPr="00922C2A">
        <w:rPr>
          <w:b/>
          <w:noProof/>
        </w:rPr>
        <w:t>Dispositions générales</w:t>
      </w:r>
    </w:p>
    <w:p w14:paraId="3930AFD3" w14:textId="77777777" w:rsidR="00922C2A" w:rsidRPr="00922C2A" w:rsidRDefault="00922C2A" w:rsidP="00922C2A">
      <w:pPr>
        <w:rPr>
          <w:noProof/>
        </w:rPr>
      </w:pPr>
      <w:r w:rsidRPr="00922C2A">
        <w:rPr>
          <w:noProof/>
        </w:rPr>
        <w:t>Le chapitre I</w:t>
      </w:r>
      <w:r w:rsidRPr="00922C2A">
        <w:rPr>
          <w:b/>
          <w:noProof/>
        </w:rPr>
        <w:t xml:space="preserve"> </w:t>
      </w:r>
      <w:r w:rsidRPr="00922C2A">
        <w:rPr>
          <w:noProof/>
        </w:rPr>
        <w:t xml:space="preserve">présente les objectifs et l’objet du règlement proposé. Ce dernier établit un cadre visant à renforcer la sécurité de l’approvisionnement et la disponibilité des médicaments critiques, ainsi que la disponibilité et l’accessibilité de certains autres médicaments. Ce chapitre clarifie également le champ d’application du règlement proposé. Si la proposition s’applique principalement aux médicaments critiques figurant sur la liste de l’Union des médicaments critiques établie dans la proposition de règlement pharmaceutique, certaines dispositions de la proposition de règlement s’appliquent également aux médicaments d’intérêt commun pour lesquels il existe des problèmes d’accès au marché dans un certain nombre d’États membres, en particulier en ce qui concerne les mesures axées sur la demande. Enfin, ce chapitre présente les définitions clés utilisées dans l’ensemble du règlement proposé. </w:t>
      </w:r>
    </w:p>
    <w:p w14:paraId="1BD5F4F1" w14:textId="77777777" w:rsidR="00922C2A" w:rsidRPr="00922C2A" w:rsidRDefault="00922C2A" w:rsidP="00922C2A">
      <w:pPr>
        <w:rPr>
          <w:b/>
          <w:bCs/>
          <w:noProof/>
        </w:rPr>
      </w:pPr>
      <w:r w:rsidRPr="00922C2A">
        <w:rPr>
          <w:b/>
          <w:noProof/>
        </w:rPr>
        <w:t xml:space="preserve">Renforcer la sécurité de l’approvisionnement de l’Union </w:t>
      </w:r>
    </w:p>
    <w:p w14:paraId="7A22795E" w14:textId="77777777" w:rsidR="00922C2A" w:rsidRPr="00922C2A" w:rsidRDefault="00922C2A" w:rsidP="00922C2A">
      <w:pPr>
        <w:rPr>
          <w:noProof/>
        </w:rPr>
      </w:pPr>
      <w:r w:rsidRPr="00922C2A">
        <w:rPr>
          <w:noProof/>
        </w:rPr>
        <w:t xml:space="preserve">Le chapitre II précise que la sécurité de l’approvisionnement et la disponibilité de médicaments critiques pour tous les patients comptent parmi les objectifs stratégiques de l’Union. Cet objectif nécessite une approche coordonnée de la part des États membres et de la Commission. </w:t>
      </w:r>
    </w:p>
    <w:p w14:paraId="179717B7" w14:textId="77777777" w:rsidR="00922C2A" w:rsidRPr="00922C2A" w:rsidRDefault="00922C2A" w:rsidP="00922C2A">
      <w:pPr>
        <w:rPr>
          <w:b/>
          <w:bCs/>
          <w:noProof/>
        </w:rPr>
      </w:pPr>
      <w:r w:rsidRPr="00922C2A">
        <w:rPr>
          <w:b/>
          <w:noProof/>
        </w:rPr>
        <w:t xml:space="preserve">Conditions propices à l’investissement </w:t>
      </w:r>
    </w:p>
    <w:p w14:paraId="1A759808" w14:textId="77777777" w:rsidR="00922C2A" w:rsidRPr="00922C2A" w:rsidRDefault="00922C2A" w:rsidP="00922C2A">
      <w:pPr>
        <w:rPr>
          <w:i/>
          <w:iCs/>
          <w:noProof/>
        </w:rPr>
      </w:pPr>
      <w:r w:rsidRPr="00922C2A">
        <w:rPr>
          <w:i/>
          <w:noProof/>
        </w:rPr>
        <w:t xml:space="preserve">Critères et procédure de reconnaissance des projets stratégiques </w:t>
      </w:r>
    </w:p>
    <w:p w14:paraId="2C562880" w14:textId="77777777" w:rsidR="00922C2A" w:rsidRPr="00922C2A" w:rsidRDefault="00922C2A" w:rsidP="00922C2A">
      <w:pPr>
        <w:rPr>
          <w:noProof/>
        </w:rPr>
      </w:pPr>
      <w:r w:rsidRPr="00922C2A">
        <w:rPr>
          <w:noProof/>
        </w:rPr>
        <w:t xml:space="preserve">La section I du chapitre III définit les critères de reconnaissance de certains projets en tant que projets stratégiques et décrit les étapes à suivre pour que ces projets soient reconnus au niveau des États membres. Une autorité d’un État membre est désignée pour évaluer et confirmer, sur demande, si le projet spécifique répond aux critères fixés. </w:t>
      </w:r>
    </w:p>
    <w:p w14:paraId="005C75D2" w14:textId="77777777" w:rsidR="00922C2A" w:rsidRPr="00922C2A" w:rsidRDefault="00922C2A" w:rsidP="00922C2A">
      <w:pPr>
        <w:rPr>
          <w:i/>
          <w:iCs/>
          <w:noProof/>
        </w:rPr>
      </w:pPr>
      <w:r w:rsidRPr="00922C2A">
        <w:rPr>
          <w:i/>
          <w:noProof/>
        </w:rPr>
        <w:t xml:space="preserve">Facilitation des procédures administratives et des procédures d’octroi des permis </w:t>
      </w:r>
    </w:p>
    <w:p w14:paraId="7620990E" w14:textId="77777777" w:rsidR="00922C2A" w:rsidRPr="00922C2A" w:rsidRDefault="00922C2A" w:rsidP="00922C2A">
      <w:pPr>
        <w:rPr>
          <w:noProof/>
        </w:rPr>
      </w:pPr>
      <w:r w:rsidRPr="00922C2A">
        <w:rPr>
          <w:noProof/>
        </w:rPr>
        <w:t>La section II du chapitre III</w:t>
      </w:r>
      <w:r w:rsidRPr="00922C2A">
        <w:rPr>
          <w:b/>
          <w:noProof/>
        </w:rPr>
        <w:t xml:space="preserve"> </w:t>
      </w:r>
      <w:r w:rsidRPr="00922C2A">
        <w:rPr>
          <w:noProof/>
        </w:rPr>
        <w:t xml:space="preserve">prévoit un statut prioritaire pour les projets stratégiques considérés comme étant d’intérêt public, dans le cadre des procédures d’octroi des permis. Afin de garantir l’accélération des procédures d’octroi des permis, les projets stratégiques peuvent également demander à obtenir le statut le plus important existant au niveau national dans les États membres où un tel statut existe et demander une procédure coordonnée ou conjointe lorsqu’une évaluation environnementale est requise en vertu de différentes législations de l’Union. Enfin, la proposition prévoit également la possibilité pour les promoteurs de projets stratégiques de demander un soutien administratif, réglementaire et scientifique aux autorités compétentes. </w:t>
      </w:r>
    </w:p>
    <w:p w14:paraId="5B9CAEE3" w14:textId="77777777" w:rsidR="00922C2A" w:rsidRPr="00922C2A" w:rsidRDefault="00922C2A" w:rsidP="00922C2A">
      <w:pPr>
        <w:rPr>
          <w:noProof/>
        </w:rPr>
      </w:pPr>
      <w:r w:rsidRPr="00922C2A">
        <w:rPr>
          <w:i/>
          <w:noProof/>
        </w:rPr>
        <w:t>Incitations financières</w:t>
      </w:r>
    </w:p>
    <w:p w14:paraId="24EE2BFC" w14:textId="77777777" w:rsidR="00922C2A" w:rsidRPr="00922C2A" w:rsidRDefault="00922C2A" w:rsidP="00922C2A">
      <w:pPr>
        <w:rPr>
          <w:noProof/>
        </w:rPr>
      </w:pPr>
      <w:r w:rsidRPr="00922C2A">
        <w:rPr>
          <w:noProof/>
        </w:rPr>
        <w:t xml:space="preserve">La section III du chapitre III prévoit la possibilité pour les États membres d’accorder la priorité au soutien financier aux projets stratégiques visant à remédier à une vulnérabilité de la chaîne d’approvisionnement et requiert de tenir dûment compte des résultats des évaluations des vulnérabilités et des orientations stratégiques du groupe en matière de médicaments critiques. Les projets stratégiques peuvent être soutenus par un financement de l’UE au titre du CFP actuel, si les projets stratégiques remplissent les conditions et les exigences des appels au titre des programmes disponibles. Enfin, l’échange d’informations sur les projets stratégiques qui bénéficient ou bénéficieront d’un soutien financier au niveau des États membres ou de l’UE est assuré par l’intermédiaire du groupe en matière de médicaments critiques. </w:t>
      </w:r>
    </w:p>
    <w:p w14:paraId="601A1D24" w14:textId="77777777" w:rsidR="00922C2A" w:rsidRPr="00922C2A" w:rsidRDefault="00922C2A" w:rsidP="00922C2A">
      <w:pPr>
        <w:rPr>
          <w:b/>
          <w:bCs/>
          <w:noProof/>
        </w:rPr>
      </w:pPr>
      <w:r w:rsidRPr="00922C2A">
        <w:rPr>
          <w:b/>
          <w:noProof/>
        </w:rPr>
        <w:t xml:space="preserve">Mesures axées sur la demande </w:t>
      </w:r>
    </w:p>
    <w:p w14:paraId="64DCC990" w14:textId="77777777" w:rsidR="00922C2A" w:rsidRPr="00922C2A" w:rsidRDefault="00922C2A" w:rsidP="00922C2A">
      <w:pPr>
        <w:rPr>
          <w:i/>
          <w:iCs/>
          <w:noProof/>
        </w:rPr>
      </w:pPr>
      <w:r w:rsidRPr="00922C2A">
        <w:rPr>
          <w:i/>
          <w:noProof/>
        </w:rPr>
        <w:t xml:space="preserve">Critères d’attribution et autres exigences en matière de passation de marchés, et mesures connexes </w:t>
      </w:r>
    </w:p>
    <w:p w14:paraId="052D9134" w14:textId="77777777" w:rsidR="00922C2A" w:rsidRPr="00922C2A" w:rsidRDefault="00922C2A" w:rsidP="00922C2A">
      <w:pPr>
        <w:rPr>
          <w:noProof/>
        </w:rPr>
      </w:pPr>
      <w:r w:rsidRPr="00922C2A">
        <w:rPr>
          <w:noProof/>
        </w:rPr>
        <w:t>La section I du chapitre IV impose</w:t>
      </w:r>
      <w:r w:rsidRPr="00922C2A">
        <w:rPr>
          <w:b/>
          <w:noProof/>
        </w:rPr>
        <w:t xml:space="preserve"> </w:t>
      </w:r>
      <w:r w:rsidRPr="00922C2A">
        <w:rPr>
          <w:noProof/>
        </w:rPr>
        <w:t>l’application d’exigences autres que le prix dans le cadre des procédures de passation de marchés publics par les pouvoirs adjudicateurs dans les États membres, sauf si l’analyse du marché et des considérations liées au financement des services de santé justifient de s’en écarter. La proposition exige également, dans des cas spécifiques, lorsque cela est justifié par une analyse des vulnérabilités, que les pouvoirs adjudicateurs appliquent des exigences en matière de passation de marchés qui favorisent les fournisseurs fabriquant une part importante de ces médicaments critiques dans l’Union. Il convient de veiller au respect des engagements internationaux de l’Union. Enfin, les États membres seront tenus d’élaborer des programmes nationaux visant à garantir la sécurité de l’approvisionnement en médicaments critiques au moyen de marchés publics et, éventuellement, de pratiques en matière de fixation des prix et de remboursement. Lorsqu’ils imposent des stocks d’urgence aux acteurs de la chaîne d’approvisionnement, les États membres veillent à ce que ces exigences soient proportionnées et respectent les principes de transparence et de solidarité.</w:t>
      </w:r>
    </w:p>
    <w:p w14:paraId="40281CFB" w14:textId="77777777" w:rsidR="00922C2A" w:rsidRPr="00922C2A" w:rsidRDefault="00922C2A" w:rsidP="00922C2A">
      <w:pPr>
        <w:rPr>
          <w:i/>
          <w:iCs/>
          <w:noProof/>
        </w:rPr>
      </w:pPr>
      <w:r w:rsidRPr="00922C2A">
        <w:rPr>
          <w:i/>
          <w:noProof/>
        </w:rPr>
        <w:t xml:space="preserve">Passation collaborative de marchés </w:t>
      </w:r>
    </w:p>
    <w:p w14:paraId="5DEC9FA6" w14:textId="77777777" w:rsidR="00922C2A" w:rsidRPr="00922C2A" w:rsidRDefault="00922C2A" w:rsidP="00922C2A">
      <w:pPr>
        <w:rPr>
          <w:iCs/>
          <w:noProof/>
        </w:rPr>
      </w:pPr>
      <w:r w:rsidRPr="00922C2A">
        <w:rPr>
          <w:noProof/>
        </w:rPr>
        <w:t xml:space="preserve">La section II du chapitre IV fournit un cadre permettant aux États membres de demander l’aide de la Commission en ce qui concerne l’utilisation de différents outils de passation collaborative de marchés pour les médicaments critiques et d’autres médicaments d’intérêt commun, en fonction du contexte et dans le respect des principes de subsidiarité et de proportionnalité. Cette aide inclut notamment la facilitation par la Commission de marchés publics transfrontières entre États membres, de marchés publics de la Commission pour le compte ou au nom des États membres, ainsi que la participation de la Commission et des États membres à la passation conjointe de marchés. </w:t>
      </w:r>
    </w:p>
    <w:p w14:paraId="59B594AC" w14:textId="77777777" w:rsidR="00922C2A" w:rsidRPr="00922C2A" w:rsidRDefault="00922C2A" w:rsidP="00922C2A">
      <w:pPr>
        <w:rPr>
          <w:b/>
          <w:bCs/>
          <w:noProof/>
        </w:rPr>
      </w:pPr>
      <w:r w:rsidRPr="00922C2A">
        <w:rPr>
          <w:b/>
          <w:noProof/>
        </w:rPr>
        <w:t xml:space="preserve">Groupe de coordination en matière de médicaments critiques </w:t>
      </w:r>
    </w:p>
    <w:p w14:paraId="26155D82" w14:textId="77777777" w:rsidR="00922C2A" w:rsidRPr="00922C2A" w:rsidRDefault="00922C2A" w:rsidP="00922C2A">
      <w:pPr>
        <w:rPr>
          <w:noProof/>
        </w:rPr>
      </w:pPr>
      <w:r w:rsidRPr="00922C2A">
        <w:rPr>
          <w:noProof/>
        </w:rPr>
        <w:t xml:space="preserve">Le chapitre V institue le groupe de coordination en matière de médicaments critiques, composé de représentants de la Commission et des États membres. La principale tâche du groupe en matière de médicaments critiques est de faciliter l’application du règlement, notamment en encourageant: a) la discussion sur l’orientation stratégique du soutien financier aux projets stratégiques; b) les échanges et, le cas échéant, la coopération sur les politiques nationales en matière de passation de marchés; c) la discussion sur la nécessité d’initiatives en matière de passation collaborative de marchés; d) des conseils sur l’ordre de priorité pour l’évaluation des vulnérabilités des médicaments critiques. Le groupe en matière de médicaments critiques permettra également de débattre des partenariats stratégiques. </w:t>
      </w:r>
    </w:p>
    <w:p w14:paraId="1CB10198" w14:textId="77777777" w:rsidR="00922C2A" w:rsidRPr="00922C2A" w:rsidRDefault="00922C2A" w:rsidP="00922C2A">
      <w:pPr>
        <w:rPr>
          <w:b/>
          <w:bCs/>
          <w:noProof/>
        </w:rPr>
      </w:pPr>
      <w:r w:rsidRPr="00922C2A">
        <w:rPr>
          <w:b/>
          <w:noProof/>
        </w:rPr>
        <w:t xml:space="preserve">Coopération internationale </w:t>
      </w:r>
    </w:p>
    <w:p w14:paraId="4D96F4FE" w14:textId="77777777" w:rsidR="00922C2A" w:rsidRPr="00922C2A" w:rsidRDefault="00922C2A" w:rsidP="00922C2A">
      <w:pPr>
        <w:rPr>
          <w:noProof/>
        </w:rPr>
      </w:pPr>
      <w:r w:rsidRPr="00922C2A">
        <w:rPr>
          <w:noProof/>
        </w:rPr>
        <w:t xml:space="preserve">Le chapitre VI impose à la Commission d’étudier la possibilité d’établir des partenariats stratégiques. </w:t>
      </w:r>
    </w:p>
    <w:p w14:paraId="334186C5" w14:textId="77777777" w:rsidR="00922C2A" w:rsidRPr="00922C2A" w:rsidRDefault="00922C2A" w:rsidP="00922C2A">
      <w:pPr>
        <w:rPr>
          <w:b/>
          <w:bCs/>
          <w:noProof/>
        </w:rPr>
      </w:pPr>
      <w:r w:rsidRPr="00922C2A">
        <w:rPr>
          <w:b/>
          <w:noProof/>
        </w:rPr>
        <w:t>Dispositions finales</w:t>
      </w:r>
    </w:p>
    <w:p w14:paraId="73DC0CE1" w14:textId="77777777" w:rsidR="00922C2A" w:rsidRPr="00922C2A" w:rsidRDefault="00922C2A" w:rsidP="00922C2A">
      <w:pPr>
        <w:rPr>
          <w:noProof/>
        </w:rPr>
      </w:pPr>
      <w:r w:rsidRPr="00922C2A">
        <w:rPr>
          <w:noProof/>
        </w:rPr>
        <w:t xml:space="preserve">Le chapitre VII contient des dispositions modifiant le règlement (UE) 2024/795. Le chapitre VIII impose aux acteurs du marché l’obligation de fournir les informations nécessaires à l’application du règlement proposé. Il définit également le calendrier de l’évaluation du règlement proposé et fixe les dates d’entrée en vigueur et d’application des différentes dispositions. </w:t>
      </w:r>
    </w:p>
    <w:p w14:paraId="5BE7015B" w14:textId="77777777" w:rsidR="00922C2A" w:rsidRPr="00922C2A" w:rsidRDefault="00922C2A" w:rsidP="00922C2A">
      <w:pPr>
        <w:rPr>
          <w:noProof/>
        </w:rPr>
        <w:sectPr w:rsidR="00922C2A" w:rsidRPr="00922C2A" w:rsidSect="00492C75">
          <w:headerReference w:type="even" r:id="rId15"/>
          <w:footerReference w:type="even" r:id="rId16"/>
          <w:footerReference w:type="default" r:id="rId17"/>
          <w:headerReference w:type="first" r:id="rId18"/>
          <w:footerReference w:type="first" r:id="rId19"/>
          <w:footnotePr>
            <w:numRestart w:val="eachSect"/>
          </w:footnotePr>
          <w:pgSz w:w="11907" w:h="16839"/>
          <w:pgMar w:top="1134" w:right="1417" w:bottom="1134" w:left="1417" w:header="709" w:footer="709" w:gutter="0"/>
          <w:cols w:space="708"/>
          <w:docGrid w:linePitch="360"/>
        </w:sectPr>
      </w:pPr>
    </w:p>
    <w:p w14:paraId="482BF65F" w14:textId="58F9A1D6" w:rsidR="00922C2A" w:rsidRPr="00922C2A" w:rsidRDefault="00EC6B7B" w:rsidP="00EC6B7B">
      <w:pPr>
        <w:pStyle w:val="Rfrenceinterinstitutionnelle"/>
        <w:rPr>
          <w:noProof/>
        </w:rPr>
      </w:pPr>
      <w:r>
        <w:rPr>
          <w:noProof/>
        </w:rPr>
        <w:t>2025/0102 (COD)</w:t>
      </w:r>
    </w:p>
    <w:p w14:paraId="59976D15" w14:textId="6B7AF613" w:rsidR="00922C2A" w:rsidRPr="00922C2A" w:rsidRDefault="00EC6B7B" w:rsidP="00EC6B7B">
      <w:pPr>
        <w:pStyle w:val="Statut"/>
        <w:rPr>
          <w:noProof/>
        </w:rPr>
      </w:pPr>
      <w:bookmarkStart w:id="2" w:name="_Hlk197623366"/>
      <w:r w:rsidRPr="00EC6B7B">
        <w:rPr>
          <w:noProof/>
        </w:rPr>
        <w:t>Proposition de</w:t>
      </w:r>
    </w:p>
    <w:p w14:paraId="21409EEA" w14:textId="7E6E6159" w:rsidR="00922C2A" w:rsidRPr="00922C2A" w:rsidRDefault="00EC6B7B" w:rsidP="00EC6B7B">
      <w:pPr>
        <w:pStyle w:val="Typedudocument"/>
        <w:rPr>
          <w:noProof/>
        </w:rPr>
      </w:pPr>
      <w:r w:rsidRPr="00EC6B7B">
        <w:rPr>
          <w:noProof/>
        </w:rPr>
        <w:t>RÈGLEMENT DU PARLEMENT EUROPÉEN ET DU CONSEIL</w:t>
      </w:r>
    </w:p>
    <w:p w14:paraId="471D3A25" w14:textId="7AB88360" w:rsidR="00922C2A" w:rsidRPr="00922C2A" w:rsidRDefault="00EC6B7B" w:rsidP="00EC6B7B">
      <w:pPr>
        <w:pStyle w:val="Titreobjet"/>
        <w:rPr>
          <w:noProof/>
        </w:rPr>
      </w:pPr>
      <w:r w:rsidRPr="00EC6B7B">
        <w:rPr>
          <w:noProof/>
        </w:rPr>
        <w:t>établissant un cadre visant à renforcer la disponibilité et la sécurité de l’approvisionnement en médicaments critiques ainsi que la disponibilité et l’accessibilité des médicaments d’intérêt commun, et modifiant le règlement (UE) 2024/795</w:t>
      </w:r>
    </w:p>
    <w:p w14:paraId="474C6DB1" w14:textId="56BA9275" w:rsidR="00922C2A" w:rsidRPr="00922C2A" w:rsidRDefault="00EC6B7B" w:rsidP="00EC6B7B">
      <w:pPr>
        <w:pStyle w:val="IntrtEEE"/>
        <w:rPr>
          <w:noProof/>
        </w:rPr>
      </w:pPr>
      <w:r w:rsidRPr="00EC6B7B">
        <w:rPr>
          <w:noProof/>
        </w:rPr>
        <w:t>(Texte présentant de l’intérêt pour l’EEE)</w:t>
      </w:r>
    </w:p>
    <w:bookmarkEnd w:id="2"/>
    <w:p w14:paraId="5A18E761" w14:textId="77777777" w:rsidR="00922C2A" w:rsidRPr="00922C2A" w:rsidRDefault="00922C2A" w:rsidP="00922C2A">
      <w:pPr>
        <w:pStyle w:val="Institutionquiagit"/>
        <w:rPr>
          <w:noProof/>
        </w:rPr>
      </w:pPr>
      <w:r w:rsidRPr="00922C2A">
        <w:rPr>
          <w:noProof/>
        </w:rPr>
        <w:t>LE PARLEMENT EUROPÉEN ET LE CONSEIL DE L’UNION EUROPÉENNE,</w:t>
      </w:r>
    </w:p>
    <w:p w14:paraId="08716A67" w14:textId="77777777" w:rsidR="00922C2A" w:rsidRPr="00922C2A" w:rsidRDefault="00922C2A" w:rsidP="00922C2A">
      <w:pPr>
        <w:rPr>
          <w:noProof/>
        </w:rPr>
      </w:pPr>
      <w:r w:rsidRPr="00922C2A">
        <w:rPr>
          <w:noProof/>
        </w:rPr>
        <w:t>vu le traité sur le fonctionnement de l’Union européenne, et notamment son article 114,</w:t>
      </w:r>
    </w:p>
    <w:p w14:paraId="020BB60E" w14:textId="77777777" w:rsidR="00922C2A" w:rsidRPr="00922C2A" w:rsidRDefault="00922C2A" w:rsidP="00922C2A">
      <w:pPr>
        <w:rPr>
          <w:noProof/>
        </w:rPr>
      </w:pPr>
      <w:r w:rsidRPr="00922C2A">
        <w:rPr>
          <w:noProof/>
        </w:rPr>
        <w:t>vu la proposition de la Commission européenne,</w:t>
      </w:r>
    </w:p>
    <w:p w14:paraId="1653F940" w14:textId="77777777" w:rsidR="00922C2A" w:rsidRPr="00922C2A" w:rsidRDefault="00922C2A" w:rsidP="00922C2A">
      <w:pPr>
        <w:rPr>
          <w:noProof/>
        </w:rPr>
      </w:pPr>
      <w:r w:rsidRPr="00922C2A">
        <w:rPr>
          <w:noProof/>
        </w:rPr>
        <w:t>après transmission du projet d'acte législatif aux parlements nationaux,</w:t>
      </w:r>
    </w:p>
    <w:p w14:paraId="2E8DCEA4" w14:textId="77777777" w:rsidR="00922C2A" w:rsidRPr="00922C2A" w:rsidRDefault="00922C2A" w:rsidP="00922C2A">
      <w:pPr>
        <w:rPr>
          <w:noProof/>
        </w:rPr>
      </w:pPr>
      <w:r w:rsidRPr="00922C2A">
        <w:rPr>
          <w:noProof/>
        </w:rPr>
        <w:t>vu l’avis du Comité économique et social européen</w:t>
      </w:r>
      <w:r w:rsidRPr="00922C2A">
        <w:rPr>
          <w:rStyle w:val="FootnoteReference"/>
          <w:noProof/>
        </w:rPr>
        <w:footnoteReference w:id="66"/>
      </w:r>
      <w:r w:rsidRPr="00922C2A">
        <w:rPr>
          <w:noProof/>
        </w:rPr>
        <w:t xml:space="preserve">, </w:t>
      </w:r>
    </w:p>
    <w:p w14:paraId="113D3183" w14:textId="77777777" w:rsidR="00922C2A" w:rsidRPr="00922C2A" w:rsidRDefault="00922C2A" w:rsidP="00922C2A">
      <w:pPr>
        <w:rPr>
          <w:noProof/>
        </w:rPr>
      </w:pPr>
      <w:r w:rsidRPr="00922C2A">
        <w:rPr>
          <w:noProof/>
        </w:rPr>
        <w:t>statuant conformément à la procédure législative ordinaire,</w:t>
      </w:r>
    </w:p>
    <w:p w14:paraId="73A13073" w14:textId="77777777" w:rsidR="00922C2A" w:rsidRPr="00922C2A" w:rsidRDefault="00922C2A" w:rsidP="00922C2A">
      <w:pPr>
        <w:rPr>
          <w:noProof/>
        </w:rPr>
      </w:pPr>
      <w:r w:rsidRPr="00922C2A">
        <w:rPr>
          <w:noProof/>
        </w:rPr>
        <w:t>considérant ce qui suit:</w:t>
      </w:r>
    </w:p>
    <w:p w14:paraId="09CC9F05" w14:textId="77777777" w:rsidR="00922C2A" w:rsidRPr="00922C2A" w:rsidRDefault="00922C2A" w:rsidP="00922C2A">
      <w:pPr>
        <w:pStyle w:val="ManualConsidrant"/>
        <w:rPr>
          <w:noProof/>
        </w:rPr>
      </w:pPr>
      <w:r w:rsidRPr="00922C2A">
        <w:rPr>
          <w:noProof/>
        </w:rPr>
        <w:t>(1)</w:t>
      </w:r>
      <w:r w:rsidRPr="00922C2A">
        <w:rPr>
          <w:noProof/>
        </w:rPr>
        <w:tab/>
      </w:r>
      <w:r w:rsidRPr="00922C2A">
        <w:rPr>
          <w:noProof/>
          <w:shd w:val="clear" w:color="auto" w:fill="FFFFFF"/>
        </w:rPr>
        <w:t>Conformément à l’article 9 du traité sur le fonctionnement de l’Union européenne (ci-après le «TFUE») et à l’article 35 de la charte des droits fondamentaux de l’Union européenne (ci-après la «charte»), l’Union doit assurer un niveau élevé de protection de la santé humaine dans toutes les politiques et actions de l’Union</w:t>
      </w:r>
      <w:r w:rsidRPr="00922C2A">
        <w:rPr>
          <w:noProof/>
        </w:rPr>
        <w:t>. La disponibilité de médicaments sûrs, efficaces et de qualité est essentielle pour atteindre cet objectif et préserver la santé publique dans l’ensemble de l’Union.</w:t>
      </w:r>
    </w:p>
    <w:p w14:paraId="09FD4462" w14:textId="77777777" w:rsidR="00922C2A" w:rsidRPr="00922C2A" w:rsidRDefault="00922C2A" w:rsidP="00922C2A">
      <w:pPr>
        <w:pStyle w:val="ManualConsidrant"/>
        <w:rPr>
          <w:rFonts w:eastAsia="Times New Roman"/>
          <w:noProof/>
        </w:rPr>
      </w:pPr>
      <w:r w:rsidRPr="00922C2A">
        <w:rPr>
          <w:noProof/>
        </w:rPr>
        <w:t>(2)</w:t>
      </w:r>
      <w:r w:rsidRPr="00922C2A">
        <w:rPr>
          <w:noProof/>
        </w:rPr>
        <w:tab/>
        <w:t xml:space="preserve">Ces dernières années, l’Union a connu un nombre croissant de pénuries de médicaments, y compris des pénuries de médicaments pour lesquels un approvisionnement insuffisant entraîne un préjudice grave ou un risque de préjudice grave pour les patients. </w:t>
      </w:r>
    </w:p>
    <w:p w14:paraId="5435149B" w14:textId="77777777" w:rsidR="00922C2A" w:rsidRPr="00922C2A" w:rsidRDefault="00922C2A" w:rsidP="00922C2A">
      <w:pPr>
        <w:pStyle w:val="ManualConsidrant"/>
        <w:rPr>
          <w:rFonts w:eastAsia="Times New Roman"/>
          <w:noProof/>
        </w:rPr>
      </w:pPr>
      <w:r w:rsidRPr="00922C2A">
        <w:rPr>
          <w:noProof/>
        </w:rPr>
        <w:t>(3)</w:t>
      </w:r>
      <w:r w:rsidRPr="00922C2A">
        <w:rPr>
          <w:noProof/>
        </w:rPr>
        <w:tab/>
        <w:t xml:space="preserve">Les pénuries de médicaments peuvent avoir des causes profondes très différentes et complexes et des défis </w:t>
      </w:r>
      <w:r w:rsidRPr="00922C2A">
        <w:rPr>
          <w:noProof/>
          <w:shd w:val="clear" w:color="auto" w:fill="FFFFFF"/>
        </w:rPr>
        <w:t>se posent à chaque étape de la chaîne de valeur pharmaceutique. En particulier, les pénuries de médicaments peuvent résulter de perturbations et de vulnérabilités des chaînes d’approvisionnement ayant une incidence sur la fourniture d’ingrédients et de composants essentiels.</w:t>
      </w:r>
      <w:r w:rsidRPr="00922C2A">
        <w:rPr>
          <w:noProof/>
        </w:rPr>
        <w:t xml:space="preserve"> Il s’agit notamment des dépendances existantes à l’égard d’un nombre limité de fournisseurs à l’échelle mondiale et du manque de capacités de l’Union pour produire certains médicaments, leurs substances actives ou des matières premières pharmaceutiques essentielles. En diversifiant les sources d’approvisionnement et en investissant dans la production locale, l’Union peut réduire son risque d’exposition à des pénuries de médicaments.</w:t>
      </w:r>
    </w:p>
    <w:p w14:paraId="13645035" w14:textId="77777777" w:rsidR="00922C2A" w:rsidRPr="00922C2A" w:rsidRDefault="00922C2A" w:rsidP="00922C2A">
      <w:pPr>
        <w:pStyle w:val="ManualConsidrant"/>
        <w:rPr>
          <w:rFonts w:eastAsia="Times New Roman"/>
          <w:noProof/>
        </w:rPr>
      </w:pPr>
      <w:r w:rsidRPr="00922C2A">
        <w:rPr>
          <w:noProof/>
        </w:rPr>
        <w:t>(4)</w:t>
      </w:r>
      <w:r w:rsidRPr="00922C2A">
        <w:rPr>
          <w:noProof/>
        </w:rPr>
        <w:tab/>
        <w:t>Les défis industriels et un manque d’investissements dans les capacités de fabrication dans l’Union ont contribué à accroître la dépendance à l’égard des fournisseurs de pays tiers, en particulier pour les matières premières pharmaceutiques essentielles et les substances actives. La mise en place de nouvelles capacités de fabrication ou la modernisation des capacités existantes dans l’Union pour les médicaments critiques, leurs intrants essentiels et leurs substances actives, qui sont souvent sur le marché depuis longtemps et sont considérés comme relativement peu coûteux, n’apparaissent pas actuellement comme des options suffisamment attrayantes pour les investissements privés, compte tenu également du fait qu’ailleurs dans le monde, les coûts de l’énergie sont plus bas et les obligations environnementales et autres exigences juridiques sont moins strictes. Les pénuries de main-d’œuvre et le besoin de compétences spécialisées dans la fabrication pharmaceutique viennent s’ajouter aux défis industriels auxquels se heurte la fabrication dans l’Union. Des incitations financières ciblées, des procédures administratives simplifiées et une meilleure coordination à l’échelle de l’Union peuvent contribuer à soutenir les efforts visant à accroître les capacités de fabrication dans l’Union et à renforcer les chaînes d’approvisionnement en médicaments critiques.</w:t>
      </w:r>
    </w:p>
    <w:p w14:paraId="0A65C930" w14:textId="77777777" w:rsidR="00922C2A" w:rsidRPr="00922C2A" w:rsidRDefault="00922C2A" w:rsidP="00922C2A">
      <w:pPr>
        <w:pStyle w:val="ManualConsidrant"/>
        <w:rPr>
          <w:noProof/>
        </w:rPr>
      </w:pPr>
      <w:r w:rsidRPr="00922C2A">
        <w:rPr>
          <w:noProof/>
        </w:rPr>
        <w:t>(5)</w:t>
      </w:r>
      <w:r w:rsidRPr="00922C2A">
        <w:rPr>
          <w:noProof/>
        </w:rPr>
        <w:tab/>
        <w:t>Afin d’améliorer la sécurité de l’approvisionnement en médicaments et de contribuer ainsi à un niveau élevé de protection de la santé publique, l’Union a mis en œuvre une série de mesures qui participent à la mise en place d’une union européenne de la santé. En particulier, le règlement (UE) 2022/123 du Parlement européen et du Conseil</w:t>
      </w:r>
      <w:r w:rsidRPr="00922C2A">
        <w:rPr>
          <w:rStyle w:val="FootnoteReference"/>
          <w:noProof/>
        </w:rPr>
        <w:footnoteReference w:id="67"/>
      </w:r>
      <w:r w:rsidRPr="00922C2A">
        <w:rPr>
          <w:noProof/>
        </w:rPr>
        <w:t xml:space="preserve"> a renforcé le mandat de l’Agence européenne des médicaments (ci-après l’«Agence») en améliorant les mécanismes de surveillance, de coordination et de notification afin de prévenir et d’atténuer les ruptures d’approvisionnement en médicaments critiques dans l’ensemble des États membres. Ce règlement a également institué un groupe de pilotage exécutif sur les pénuries de médicaments et leur innocuité (ci-après le «groupe de pilotage sur les pénuries de médicaments») relevant de l’Agence, qui réunit des représentants de l’Agence et des États membres, afin de coordonner les actions urgentes au sein de l’Union pour gérer les pénuries existantes et les questions liées à la qualité, à l’innocuité et à l’efficacité des médicaments. </w:t>
      </w:r>
    </w:p>
    <w:p w14:paraId="7DE3F84C" w14:textId="77777777" w:rsidR="00922C2A" w:rsidRPr="00922C2A" w:rsidRDefault="00922C2A" w:rsidP="00922C2A">
      <w:pPr>
        <w:pStyle w:val="ManualConsidrant"/>
        <w:rPr>
          <w:noProof/>
        </w:rPr>
      </w:pPr>
      <w:r w:rsidRPr="00922C2A">
        <w:rPr>
          <w:noProof/>
        </w:rPr>
        <w:t>(6)</w:t>
      </w:r>
      <w:r w:rsidRPr="00922C2A">
        <w:rPr>
          <w:noProof/>
        </w:rPr>
        <w:tab/>
        <w:t>En outre, le règlement (UE) .../... du Parlement européen et du Conseil</w:t>
      </w:r>
      <w:r w:rsidRPr="00922C2A">
        <w:rPr>
          <w:rStyle w:val="FootnoteReference"/>
          <w:noProof/>
        </w:rPr>
        <w:footnoteReference w:id="68"/>
      </w:r>
      <w:r w:rsidRPr="00922C2A">
        <w:rPr>
          <w:noProof/>
        </w:rPr>
        <w:t xml:space="preserve"> [</w:t>
      </w:r>
      <w:r w:rsidRPr="00922C2A">
        <w:rPr>
          <w:i/>
          <w:iCs/>
          <w:noProof/>
        </w:rPr>
        <w:t>référence à ajouter après adoption, cf. COM(2023) 193 final</w:t>
      </w:r>
      <w:r w:rsidRPr="00922C2A">
        <w:rPr>
          <w:noProof/>
        </w:rPr>
        <w:t>] renforce encore la continuité de l’approvisionnement et la disponibilité des médicaments en développant les tâches principales déjà confiées à l’Agence par le règlement (UE) 2022/123 et en définissant un cadre pour les activités à mener par les États membres et l’Agence afin d’améliorer la capacité de l’Union à réagir de manière efficace et coordonnée pour soutenir la gestion des pénuries et la sécurité de l’approvisionnement en médicaments, y compris en renforçant les obligations des titulaires d’autorisations de mise sur le marché en ce qui concerne la prévention et la notification des pénuries.</w:t>
      </w:r>
      <w:r w:rsidRPr="00922C2A">
        <w:rPr>
          <w:noProof/>
          <w:color w:val="0000FF"/>
        </w:rPr>
        <w:t xml:space="preserve"> </w:t>
      </w:r>
    </w:p>
    <w:p w14:paraId="2DB96EDA" w14:textId="77777777" w:rsidR="00922C2A" w:rsidRPr="00922C2A" w:rsidRDefault="00922C2A" w:rsidP="00922C2A">
      <w:pPr>
        <w:pStyle w:val="ManualConsidrant"/>
        <w:rPr>
          <w:noProof/>
        </w:rPr>
      </w:pPr>
      <w:r w:rsidRPr="00922C2A">
        <w:rPr>
          <w:noProof/>
        </w:rPr>
        <w:t>(7)</w:t>
      </w:r>
      <w:r w:rsidRPr="00922C2A">
        <w:rPr>
          <w:noProof/>
        </w:rPr>
        <w:tab/>
        <w:t>Toutefois, malgré les obligations réglementaires imposées aux titulaires d’autorisations de mise sur le marché de garantir la continuité de l’approvisionnement en médicaments afin de répondre à la demande des patients et le mécanisme réglementaire supplémentaire introduit par le règlement (UE) 2022/123 du Parlement européen et du Conseil et le règlement (UE) .../... [</w:t>
      </w:r>
      <w:r w:rsidRPr="00922C2A">
        <w:rPr>
          <w:i/>
          <w:iCs/>
          <w:noProof/>
        </w:rPr>
        <w:t>référence à ajouter après adoption, cf. COM(2023) 193 final</w:t>
      </w:r>
      <w:r w:rsidRPr="00922C2A">
        <w:rPr>
          <w:noProof/>
        </w:rPr>
        <w:t xml:space="preserve">] pour atténuer les pénuries et y répondre, le fonctionnement des marchés ne suffit pas toujours à garantir la disponibilité des médicaments. Ce risque est particulièrement évident en cas de perturbations de la chaîne d’approvisionnement, en particulier lorsque l’approvisionnement d’un médicament donné repose sur un nombre limité de fournisseurs et d’installations de production au niveau mondial ou lorsqu’il existe une forte dépendance à l’égard d’un seul pays tiers ou d’un nombre limité de pays tiers. </w:t>
      </w:r>
    </w:p>
    <w:p w14:paraId="3DDE62C2" w14:textId="77777777" w:rsidR="00922C2A" w:rsidRPr="00922C2A" w:rsidRDefault="00922C2A" w:rsidP="00922C2A">
      <w:pPr>
        <w:pStyle w:val="ManualConsidrant"/>
        <w:rPr>
          <w:noProof/>
        </w:rPr>
      </w:pPr>
      <w:r w:rsidRPr="00922C2A">
        <w:rPr>
          <w:noProof/>
        </w:rPr>
        <w:t>(8)</w:t>
      </w:r>
      <w:r w:rsidRPr="00922C2A">
        <w:rPr>
          <w:noProof/>
        </w:rPr>
        <w:tab/>
        <w:t>Étant donné que le marché des médicaments de l’Union demeure fragmenté, il est nécessaire d’améliorer la coordination entre les États membres afin de tirer pleinement parti du potentiel de l’Union pour renforcer la sécurité de l’approvisionnement en médicaments, sans remettre en cause les responsabilités des États membres en matière d’organisation et de fourniture de services de santé et de soins médicaux. Des mesures nationales non coordonnées risquent de perturber le marché intérieur, ne permettent pas de s’attaquer à des problèmes plus larges liés aux chaînes d’approvisionnement et sont insuffisantes pour résoudre les problèmes transfrontières, y compris la dépendance de l’Union à l’égard de pays tiers. Le cadre réglementaire applicable aux médicaments doit donc être complété par des actions ciblées visant à une harmonisation accrue.</w:t>
      </w:r>
    </w:p>
    <w:p w14:paraId="177F83D9" w14:textId="77777777" w:rsidR="00922C2A" w:rsidRPr="00922C2A" w:rsidRDefault="00922C2A" w:rsidP="00922C2A">
      <w:pPr>
        <w:pStyle w:val="ManualConsidrant"/>
        <w:rPr>
          <w:noProof/>
        </w:rPr>
      </w:pPr>
      <w:r w:rsidRPr="00922C2A">
        <w:rPr>
          <w:noProof/>
        </w:rPr>
        <w:t>(9)</w:t>
      </w:r>
      <w:r w:rsidRPr="00922C2A">
        <w:rPr>
          <w:noProof/>
        </w:rPr>
        <w:tab/>
        <w:t>Il se peut que certains médicaments d’intérêt commun qui sont essentiels pour la fourniture de soins adaptés aux patients ne soient pas encore disponibles pour les patients dans certains États membres, alors même qu’ils ne sont pas touchés par des problèmes de sécurité de l’approvisionnement. Cette situation peut s’expliquer par divers facteurs, y compris la taille du marché sur le plan de la demande ou sur le plan géographique, qui peuvent avoir une incidence sur la disponibilité en temps utile des médicaments dans certains États membres.</w:t>
      </w:r>
    </w:p>
    <w:p w14:paraId="11F1C75E" w14:textId="77777777" w:rsidR="00922C2A" w:rsidRPr="00922C2A" w:rsidRDefault="00922C2A" w:rsidP="00922C2A">
      <w:pPr>
        <w:pStyle w:val="ManualConsidrant"/>
        <w:rPr>
          <w:noProof/>
        </w:rPr>
      </w:pPr>
      <w:r w:rsidRPr="00922C2A">
        <w:rPr>
          <w:noProof/>
        </w:rPr>
        <w:t>(10)</w:t>
      </w:r>
      <w:r w:rsidRPr="00922C2A">
        <w:rPr>
          <w:noProof/>
        </w:rPr>
        <w:tab/>
        <w:t xml:space="preserve">Il convient d’assurer le bon fonctionnement du marché intérieur et un niveau élevé de protection de la santé humaine en ce qui concerne les médicaments et le règlement devrait avoir pour objectif de compléter la législation pharmaceutique de l’Union en fournissant un cadre harmonisé afin de soutenir les efforts coordonnés des États membres visant à encourager les investissements dans des capacités de fabrication de médicaments critiques nouvelles et existantes, et d’inciter les États membres à utiliser les instruments de passation de marchés publics de manière stratégique ainsi qu’à coordonner leurs approches, y compris en mettant à profit la demande agrégée grâce à l’application de procédures de passation collaborative de marchés facilitées par la Commission et portant sur les médicaments critiques et les médicaments d’intérêt commun. En raison de la dimension internationale de la sécurité de l’approvisionnement, compte tenu notamment du fait que la diversification des chaînes d’approvisionnement et une augmentation globale de l’approvisionnement font partie de la solution pour garantir la sécurité de l’approvisionnement, il convient d’encourager la coopération internationale. </w:t>
      </w:r>
    </w:p>
    <w:p w14:paraId="037A2915" w14:textId="77777777" w:rsidR="00922C2A" w:rsidRPr="00922C2A" w:rsidRDefault="00922C2A" w:rsidP="00922C2A">
      <w:pPr>
        <w:pStyle w:val="ManualConsidrant"/>
        <w:rPr>
          <w:noProof/>
        </w:rPr>
      </w:pPr>
      <w:r w:rsidRPr="00922C2A">
        <w:rPr>
          <w:noProof/>
        </w:rPr>
        <w:t>(11)</w:t>
      </w:r>
      <w:r w:rsidRPr="00922C2A">
        <w:rPr>
          <w:noProof/>
        </w:rPr>
        <w:tab/>
        <w:t>Les mesures introduites par le présent règlement sont sans préjudice des obligations des titulaires d’autorisations de mise sur le marché, en particulier au titre de la directive (UE) .../... du Parlement européen et du Conseil [</w:t>
      </w:r>
      <w:r w:rsidRPr="00922C2A">
        <w:rPr>
          <w:i/>
          <w:iCs/>
          <w:noProof/>
        </w:rPr>
        <w:t>référence à ajouter à l’article correspondant après l’adoption du document COM(2023) 192 final</w:t>
      </w:r>
      <w:r w:rsidRPr="00922C2A">
        <w:rPr>
          <w:noProof/>
        </w:rPr>
        <w:t>], du règlement (UE) .../... [</w:t>
      </w:r>
      <w:r w:rsidRPr="00922C2A">
        <w:rPr>
          <w:i/>
          <w:iCs/>
          <w:noProof/>
        </w:rPr>
        <w:t>référence à ajouter après adoption, cf. COM(2023) 193 final</w:t>
      </w:r>
      <w:r w:rsidRPr="00922C2A">
        <w:rPr>
          <w:noProof/>
        </w:rPr>
        <w:t>] et du règlement (UE) 2022/123, y compris l’obligation d’assurer un approvisionnement suffisant en médicaments, dans les limites de leur responsabilité. Ces mesures sont conformes aux principes du marché intérieur. Le présent règlement est sans préjudice du droit de l’Union dans le domaine de la concurrence, y compris les règles en matière d’ententes, de concentrations et d’aides d’État.</w:t>
      </w:r>
    </w:p>
    <w:p w14:paraId="0086CC7F" w14:textId="77777777" w:rsidR="00922C2A" w:rsidRPr="00922C2A" w:rsidRDefault="00922C2A" w:rsidP="00922C2A">
      <w:pPr>
        <w:pStyle w:val="ManualConsidrant"/>
        <w:rPr>
          <w:noProof/>
        </w:rPr>
      </w:pPr>
      <w:r w:rsidRPr="00922C2A">
        <w:rPr>
          <w:noProof/>
        </w:rPr>
        <w:t>(12)</w:t>
      </w:r>
      <w:r w:rsidRPr="00922C2A">
        <w:rPr>
          <w:noProof/>
        </w:rPr>
        <w:tab/>
        <w:t xml:space="preserve">Si l’objectif premier du présent règlement devrait être de renforcer la sécurité de l’approvisionnement et de garantir la disponibilité des médicaments critiques et des médicaments d’intérêt commun, étant donné qu’un manque de médicaments critiques peut avoir une incidence sur le fonctionnement de l’économie dans son ensemble, le présent règlement devrait également soutenir la compétitivité de l’Union en favorisant un environnement de marché plus stable et plus prévisible, en encourageant les investissements et en soutenant l’innovation dans le secteur pharmaceutique. La définition de mesures visant à garantir la sécurité de l’approvisionnement et la disponibilité des médicaments critiques ainsi que la disponibilité et l’accessibilité d’autres médicaments d’intérêt commun devrait en outre contribuer à la préparation, à la résilience et à la sécurité économique et globale de l’Union, y compris lorsque les chaînes d’approvisionnement transfrontières risquent d’être perturbées. </w:t>
      </w:r>
    </w:p>
    <w:p w14:paraId="4E5FCAA6" w14:textId="77777777" w:rsidR="00922C2A" w:rsidRPr="00922C2A" w:rsidRDefault="00922C2A" w:rsidP="00922C2A">
      <w:pPr>
        <w:pStyle w:val="ManualConsidrant"/>
        <w:rPr>
          <w:noProof/>
        </w:rPr>
      </w:pPr>
      <w:r w:rsidRPr="00922C2A">
        <w:rPr>
          <w:noProof/>
        </w:rPr>
        <w:t>(13)</w:t>
      </w:r>
      <w:r w:rsidRPr="00922C2A">
        <w:rPr>
          <w:noProof/>
        </w:rPr>
        <w:tab/>
        <w:t>Étant donné que les problèmes de disponibilité affectant les médicaments critiques et les médicaments d’intérêt commun ont des causes profondes de nature différente, certaines mesures ne devraient s’appliquer qu’aux médicaments critiques.</w:t>
      </w:r>
    </w:p>
    <w:p w14:paraId="4BEE2A15" w14:textId="77777777" w:rsidR="00922C2A" w:rsidRPr="00922C2A" w:rsidRDefault="00922C2A" w:rsidP="00922C2A">
      <w:pPr>
        <w:pStyle w:val="ManualConsidrant"/>
        <w:rPr>
          <w:noProof/>
        </w:rPr>
      </w:pPr>
      <w:r w:rsidRPr="00922C2A">
        <w:rPr>
          <w:noProof/>
        </w:rPr>
        <w:t>(14)</w:t>
      </w:r>
      <w:r w:rsidRPr="00922C2A">
        <w:rPr>
          <w:noProof/>
        </w:rPr>
        <w:tab/>
        <w:t>La disponibilité et la sécurité de l’approvisionnement en médicaments critiques sont essentielles pour préserver la santé publique ainsi que la sécurité économique et globale de l’Union et devraient donc être considérées comme des objectifs stratégiques de l’Union.</w:t>
      </w:r>
    </w:p>
    <w:p w14:paraId="0AD13C87" w14:textId="77777777" w:rsidR="00922C2A" w:rsidRPr="00922C2A" w:rsidRDefault="00922C2A" w:rsidP="00922C2A">
      <w:pPr>
        <w:pStyle w:val="ManualConsidrant"/>
        <w:rPr>
          <w:noProof/>
        </w:rPr>
      </w:pPr>
      <w:r w:rsidRPr="00922C2A">
        <w:rPr>
          <w:noProof/>
        </w:rPr>
        <w:t>(15)</w:t>
      </w:r>
      <w:r w:rsidRPr="00922C2A">
        <w:rPr>
          <w:noProof/>
        </w:rPr>
        <w:tab/>
        <w:t>Une liste bien définie de médicaments critiques est indispensable pour garantir que les mesures sont ciblées, efficaces et proportionnées. Les médicaments critiques couverts par le présent règlement devraient être ceux pour lesquels un approvisionnement insuffisant entraîne un préjudice grave ou un risque de préjudice grave pour les patients. C’est pourquoi le présent règlement devrait s’appliquer aux médicaments critiques figurant sur la liste de l’Union des médicaments critiques établie par le règlement (UE) .../... [</w:t>
      </w:r>
      <w:r w:rsidRPr="00922C2A">
        <w:rPr>
          <w:i/>
          <w:iCs/>
          <w:noProof/>
        </w:rPr>
        <w:t>référence à ajouter après adoption, cf. COM(2023) 193 final</w:t>
      </w:r>
      <w:r w:rsidRPr="00922C2A">
        <w:rPr>
          <w:noProof/>
        </w:rPr>
        <w:t xml:space="preserve">]. Cette liste s’appuie sur l’expérience de l’Agence européenne des médicaments et des agences des États membres qui, en 2024, en prévision de la réforme de la législation pharmaceutique, ont dressé une liste de 276 médicaments critiques. </w:t>
      </w:r>
    </w:p>
    <w:p w14:paraId="180BB2CE" w14:textId="77777777" w:rsidR="00922C2A" w:rsidRPr="00922C2A" w:rsidRDefault="00922C2A" w:rsidP="00922C2A">
      <w:pPr>
        <w:pStyle w:val="ManualConsidrant"/>
        <w:rPr>
          <w:noProof/>
        </w:rPr>
      </w:pPr>
      <w:r w:rsidRPr="00922C2A">
        <w:rPr>
          <w:noProof/>
        </w:rPr>
        <w:t>(16)</w:t>
      </w:r>
      <w:r w:rsidRPr="00922C2A">
        <w:rPr>
          <w:noProof/>
        </w:rPr>
        <w:tab/>
        <w:t>Pour faire en sorte que les mesures soient appliquées lorsque cela est justifié et proportionné, il est nécessaire de démontrer que certaines mesures visent à remédier à une vulnérabilité dans les chaînes d’approvisionnement d’un médicament critique donné. Le présent règlement devrait s’appuyer sur l’évaluation des vulnérabilités effectuée aux fins de l’application de la législation pharmaceutique générale conformément au règlement (UE) .../... [</w:t>
      </w:r>
      <w:r w:rsidRPr="00922C2A">
        <w:rPr>
          <w:i/>
          <w:iCs/>
          <w:noProof/>
        </w:rPr>
        <w:t>référence à ajouter après adoption, cf. COM(2023) 193 final</w:t>
      </w:r>
      <w:r w:rsidRPr="00922C2A">
        <w:rPr>
          <w:noProof/>
        </w:rPr>
        <w:t>]. Pour détecter une vulnérabilité dans les chaînes d’approvisionnement, il est nécessaire d’examiner les données agrégées pour tous les médicaments autorisés dans l’Union qui contiennent la même substance active et ont la même voie d’administration et la même formulation. Une telle approche permet de déterminer si, pour un médicament critique contenant une substance active donnée, l’Union est fortement dépendante d’un seul pays tiers ou d’un nombre limité de pays tiers, ou encore d’un nombre limité de sites, pour les substances actives, les intrants essentiels ou les formes pharmaceutiques finies.</w:t>
      </w:r>
    </w:p>
    <w:p w14:paraId="13D73F50" w14:textId="77777777" w:rsidR="00922C2A" w:rsidRPr="00922C2A" w:rsidRDefault="00922C2A" w:rsidP="00922C2A">
      <w:pPr>
        <w:pStyle w:val="ManualConsidrant"/>
        <w:rPr>
          <w:noProof/>
        </w:rPr>
      </w:pPr>
      <w:bookmarkStart w:id="3" w:name="_Hlk192166739"/>
      <w:r w:rsidRPr="00922C2A">
        <w:rPr>
          <w:noProof/>
        </w:rPr>
        <w:t>(17)</w:t>
      </w:r>
      <w:r w:rsidRPr="00922C2A">
        <w:rPr>
          <w:noProof/>
        </w:rPr>
        <w:tab/>
        <w:t>Certains projets peuvent avoir une incidence positive sur la sécurité de l’approvisionnement en augmentant les capacités de fabrication de l’Union pour les médicaments critiques et en renforçant la résilience des chaînes d’approvisionnement de l’Union. Afin d’encourager les investissements privés dans ces projets, il convient d’introduire le concept de projets stratégiques. Compte tenu du rôle que ces projets jouent pour garantir la sécurité de l’approvisionnement de l’Union en médicaments critiques, l’autorité compétente en matière d’octroi de permis devrait considérer que les projets stratégiques sont d’intérêt public. Pour garantir la mise en œuvre sans délai de ces projets, les autorités nationales devraient veiller à ce que les procédures d’octroi des permis pertinents soient menées à bien de la manière la plus rapide possible, en mettant à disposition, notamment, toute forme de procédures accélérées existant dans le droit de l’Union et le droit national en vigueur. Les autorités nationales devraient envisager, dans la mesure du possible, la rationalisation de ces procédures et permettre la transmission numérique des informations requises.</w:t>
      </w:r>
    </w:p>
    <w:bookmarkEnd w:id="3"/>
    <w:p w14:paraId="43A49590" w14:textId="77777777" w:rsidR="00922C2A" w:rsidRPr="00922C2A" w:rsidRDefault="00922C2A" w:rsidP="00922C2A">
      <w:pPr>
        <w:pStyle w:val="ManualConsidrant"/>
        <w:rPr>
          <w:rFonts w:eastAsia="Times New Roman"/>
          <w:noProof/>
        </w:rPr>
      </w:pPr>
      <w:r w:rsidRPr="00922C2A">
        <w:rPr>
          <w:noProof/>
        </w:rPr>
        <w:t>(18)</w:t>
      </w:r>
      <w:r w:rsidRPr="00922C2A">
        <w:rPr>
          <w:noProof/>
        </w:rPr>
        <w:tab/>
        <w:t>Afin d’éviter des retards inutiles et la création de couches administratives supplémentaires, la vérification de la conformité d’un projet avec les critères applicables aux projets stratégiques devrait être effectuée par toute autorité d’un État membre invitée à fournir les avantages offerts par le présent règlement. Une autorité désignée devrait, lorsqu’elle est sollicitée, vérifier si un projet donné est un projet stratégique. Afin d’accélérer et de faciliter le déploiement des projets stratégiques, ces derniers devraient bénéficier de procédures administratives rationalisées, d’un statut prioritaire dans le cadre des procédures d’octroi des permis et des procédures connexes de règlement des différends, ainsi que d’un soutien réglementaire ciblé. Dans ce contexte, les États membres devraient accorder une attention particulière aux petites et moyennes entreprises (PME), qui devraient avoir une réelle possibilité de lancer des projets stratégiques.</w:t>
      </w:r>
    </w:p>
    <w:p w14:paraId="1C0A8351" w14:textId="77777777" w:rsidR="00922C2A" w:rsidRPr="00922C2A" w:rsidRDefault="00922C2A" w:rsidP="00922C2A">
      <w:pPr>
        <w:pStyle w:val="ManualConsidrant"/>
        <w:rPr>
          <w:noProof/>
        </w:rPr>
      </w:pPr>
      <w:r w:rsidRPr="00922C2A">
        <w:rPr>
          <w:noProof/>
        </w:rPr>
        <w:t>(19)</w:t>
      </w:r>
      <w:r w:rsidRPr="00922C2A">
        <w:rPr>
          <w:noProof/>
        </w:rPr>
        <w:tab/>
        <w:t xml:space="preserve">La production de médicaments a des répercussions environnementales et peut avoir une incidence négative non seulement sur l’environnement lui-même, mais aussi sur la santé humaine. Les évaluations environnementales et les autorisations exigées au titre du droit de l’Union font partie intégrante de la procédure d’octroi des permis de projets stratégiques et constituent une protection essentielle permettant d’éviter ou de réduire au minimum les incidences négatives sur l’environnement. Toutefois, afin que les procédures d’octroi des permis pour les projets stratégiques soient prévisibles et menées en temps utile, il devrait être possible de rationaliser les évaluations et autorisations requises de l’autorité compétente sans pour autant abaisser le niveau de protection de l’environnement. </w:t>
      </w:r>
    </w:p>
    <w:p w14:paraId="5A5C7146" w14:textId="77777777" w:rsidR="00922C2A" w:rsidRPr="00922C2A" w:rsidRDefault="00922C2A" w:rsidP="00922C2A">
      <w:pPr>
        <w:pStyle w:val="ManualConsidrant"/>
        <w:rPr>
          <w:noProof/>
        </w:rPr>
      </w:pPr>
      <w:r w:rsidRPr="00922C2A">
        <w:rPr>
          <w:noProof/>
        </w:rPr>
        <w:t>(20)</w:t>
      </w:r>
      <w:r w:rsidRPr="00922C2A">
        <w:rPr>
          <w:noProof/>
        </w:rPr>
        <w:tab/>
        <w:t xml:space="preserve">Les conflits liés à l’utilisation des sols peuvent entraver le déploiement de projets stratégiques. L’autorité nationale, régionale ou locale compétente pour l’élaboration des plans de zonage, d’aménagement du territoire et d’affectation des sols devrait examiner s’il y a lieu d’introduire dans ces plans certaines dispositions relatives aux projets stratégiques. Ces plans sont susceptibles de contribuer à l’obtention d’un équilibre entre l’intérêt public et le bien commun, en réduisant le potentiel de conflit et en accélérant le déploiement durable de projets stratégiques dans l’Union. </w:t>
      </w:r>
    </w:p>
    <w:p w14:paraId="277262C6" w14:textId="77777777" w:rsidR="00922C2A" w:rsidRPr="00922C2A" w:rsidRDefault="00922C2A" w:rsidP="00922C2A">
      <w:pPr>
        <w:pStyle w:val="ManualConsidrant"/>
        <w:rPr>
          <w:noProof/>
        </w:rPr>
      </w:pPr>
      <w:r w:rsidRPr="00922C2A">
        <w:rPr>
          <w:noProof/>
        </w:rPr>
        <w:t>(21)</w:t>
      </w:r>
      <w:r w:rsidRPr="00922C2A">
        <w:rPr>
          <w:noProof/>
        </w:rPr>
        <w:tab/>
        <w:t xml:space="preserve">Compte tenu de la forte intensité en capital de la production pharmaceutique, y compris en ce qui concerne la création ou l’expansion de sites de fabrication de médicaments critiques, de substances actives et d’intrants essentiels, un soutien financier ciblé peut jouer un rôle crucial pour encourager la production au sein de l’Union. Afin de renforcer la sécurité de l’approvisionnement en médicaments critiques, et lorsque les investissements privés ne suffisent pas à eux seuls, un soutien financier aux investissements dans les capacités de fabrication au sein de l’Union peut être justifié. Les États membres devraient être en mesure de donner la priorité au soutien financier de projets stratégiques visant à remédier à des vulnérabilités spécifiques dans les chaînes d’approvisionnement, tout en veillant à ce que ce soutien soit conforme aux règles de l’Union en matière d’aides d’État. À cette fin, des orientations spécifiques destinées aux États membres visant à clarifier l’application des règles de l’UE en matière d’aides d’État ont été fournies par les services de la Commission et seront mises à jour si nécessaire. </w:t>
      </w:r>
    </w:p>
    <w:p w14:paraId="6A43FF53" w14:textId="77777777" w:rsidR="00922C2A" w:rsidRPr="00922C2A" w:rsidRDefault="00922C2A" w:rsidP="00922C2A">
      <w:pPr>
        <w:pStyle w:val="ManualConsidrant"/>
        <w:rPr>
          <w:noProof/>
        </w:rPr>
      </w:pPr>
      <w:r w:rsidRPr="00922C2A">
        <w:rPr>
          <w:noProof/>
        </w:rPr>
        <w:t>(22)</w:t>
      </w:r>
      <w:r w:rsidRPr="00922C2A">
        <w:rPr>
          <w:noProof/>
        </w:rPr>
        <w:tab/>
        <w:t>Un financement à l’échelle de l’Union peut être mobilisé pour faciliter les investissements dans des projets stratégiques. Les projets stratégiques peuvent bénéficier d’un accès aux instruments de financement existants de l’UE, tels que le programme «L’UE pour la santé»</w:t>
      </w:r>
      <w:r w:rsidRPr="00922C2A">
        <w:rPr>
          <w:rStyle w:val="FootnoteReference"/>
          <w:noProof/>
        </w:rPr>
        <w:footnoteReference w:id="69"/>
      </w:r>
      <w:r w:rsidRPr="00922C2A">
        <w:rPr>
          <w:noProof/>
        </w:rPr>
        <w:t>, le programme pour une Europe numérique</w:t>
      </w:r>
      <w:r w:rsidRPr="00922C2A">
        <w:rPr>
          <w:rStyle w:val="FootnoteReference"/>
          <w:noProof/>
        </w:rPr>
        <w:footnoteReference w:id="70"/>
      </w:r>
      <w:r w:rsidRPr="00922C2A">
        <w:rPr>
          <w:noProof/>
        </w:rPr>
        <w:t xml:space="preserve"> et le programme «Horizon Europe»</w:t>
      </w:r>
      <w:r w:rsidRPr="00922C2A">
        <w:rPr>
          <w:rStyle w:val="FootnoteReference"/>
          <w:noProof/>
        </w:rPr>
        <w:footnoteReference w:id="71"/>
      </w:r>
      <w:r w:rsidRPr="00922C2A">
        <w:rPr>
          <w:noProof/>
        </w:rPr>
        <w:t xml:space="preserve"> [pertinent, par exemple, pour les substances actives visées à l’article 5, point d), du règlement (UE) 2021/695], ainsi qu’à la plateforme «Technologies stratégiques pour l’Europe» (STEP), lorsqu’ils remplissent les critères établis dans ces instruments. Les autorités chargées des programmes de l’Union relevant du règlement (UE) 2024/795 du Parlement européen et du Conseil</w:t>
      </w:r>
      <w:r w:rsidRPr="00922C2A">
        <w:rPr>
          <w:rStyle w:val="FootnoteReference"/>
          <w:noProof/>
        </w:rPr>
        <w:footnoteReference w:id="72"/>
      </w:r>
      <w:r w:rsidRPr="00922C2A">
        <w:rPr>
          <w:noProof/>
        </w:rPr>
        <w:t xml:space="preserve"> (STEP) devraient notamment envisager de soutenir des projets stratégiques visant à remédier à une vulnérabilité dans les chaînes d’approvisionnement en médicaments critiques et il convient dès lors de modifier le règlement (UE) 2024/795.</w:t>
      </w:r>
    </w:p>
    <w:p w14:paraId="4DA6F23C" w14:textId="77777777" w:rsidR="00922C2A" w:rsidRPr="00922C2A" w:rsidRDefault="00922C2A" w:rsidP="00922C2A">
      <w:pPr>
        <w:pStyle w:val="ManualConsidrant"/>
        <w:rPr>
          <w:noProof/>
        </w:rPr>
      </w:pPr>
      <w:r w:rsidRPr="00922C2A">
        <w:rPr>
          <w:noProof/>
        </w:rPr>
        <w:t>(23)</w:t>
      </w:r>
      <w:r w:rsidRPr="00922C2A">
        <w:rPr>
          <w:noProof/>
        </w:rPr>
        <w:tab/>
        <w:t>Afin de permettre une approche plus coordonnée du soutien financier, il convient que les États membres et la Commission échangent des informations sur le soutien financier apporté à des projets stratégiques.</w:t>
      </w:r>
      <w:r w:rsidRPr="00922C2A">
        <w:rPr>
          <w:rFonts w:ascii="Segoe UI" w:hAnsi="Segoe UI"/>
          <w:b/>
          <w:i/>
          <w:noProof/>
          <w:sz w:val="18"/>
        </w:rPr>
        <w:t xml:space="preserve"> </w:t>
      </w:r>
      <w:r w:rsidRPr="00922C2A">
        <w:rPr>
          <w:noProof/>
        </w:rPr>
        <w:t>En ce qui concerne les projets stratégiques ayant bénéficié d’un financement de l’UE, les bénéficiaires devraient respecter les règles pertinentes en matière de communication et de visibilité</w:t>
      </w:r>
      <w:r w:rsidRPr="00922C2A">
        <w:rPr>
          <w:rStyle w:val="FootnoteReference"/>
          <w:noProof/>
          <w:szCs w:val="20"/>
        </w:rPr>
        <w:footnoteReference w:id="73"/>
      </w:r>
      <w:r w:rsidRPr="00922C2A">
        <w:rPr>
          <w:noProof/>
        </w:rPr>
        <w:t>.</w:t>
      </w:r>
    </w:p>
    <w:p w14:paraId="18A7D4E5" w14:textId="77777777" w:rsidR="00922C2A" w:rsidRPr="00922C2A" w:rsidRDefault="00922C2A" w:rsidP="00922C2A">
      <w:pPr>
        <w:pStyle w:val="ManualConsidrant"/>
        <w:rPr>
          <w:noProof/>
        </w:rPr>
      </w:pPr>
      <w:r w:rsidRPr="00922C2A">
        <w:rPr>
          <w:noProof/>
        </w:rPr>
        <w:t>(24)</w:t>
      </w:r>
      <w:r w:rsidRPr="00922C2A">
        <w:rPr>
          <w:noProof/>
        </w:rPr>
        <w:tab/>
        <w:t xml:space="preserve">Étant donné que les autorités ou entités publiques sont les principaux acheteurs de médicaments pour le secteur hospitalier et que les marchés publics de médicaments constituent un outil puissant pour améliorer la sécurité de l’approvisionnement ainsi que la disponibilité et l’accessibilité d’autres médicaments d’intérêt commun, il est nécessaire d’établir des règles prévoyant que les exigences relatives à l’offre économiquement la plus avantageuse appliquées dans le cadre de la passation de marchés doivent tenir compte de considérations relatives à la sécurité et à la disponibilité de l’approvisionnement. Les exigences en matière de passation de marchés fondées sur ces considérations devraient inclure des obligations de stockage, la nécessité de faire appel à différents fournisseurs, une surveillance pointue des chaînes d’approvisionnement, la transparence de ces chaînes d’approvisionnement vis-à-vis du pouvoir adjudicateur et des clauses d’exécution du marché sur la livraison en temps utile et des mesures en cas de livraison tardive. </w:t>
      </w:r>
    </w:p>
    <w:p w14:paraId="799F1AA6" w14:textId="77777777" w:rsidR="00922C2A" w:rsidRPr="00922C2A" w:rsidRDefault="00922C2A" w:rsidP="00922C2A">
      <w:pPr>
        <w:pStyle w:val="ManualConsidrant"/>
        <w:rPr>
          <w:noProof/>
        </w:rPr>
      </w:pPr>
      <w:r w:rsidRPr="00922C2A">
        <w:rPr>
          <w:noProof/>
        </w:rPr>
        <w:t>(25)</w:t>
      </w:r>
      <w:r w:rsidRPr="00922C2A">
        <w:rPr>
          <w:noProof/>
        </w:rPr>
        <w:tab/>
        <w:t xml:space="preserve">L’utilisation incohérente des exigences de passation dans les procédures de passation de marchés publics peut avoir une incidence négative sur le marché intérieur, car elle crée des obstacles à la participation transfrontière et un manque de prévisibilité pour les soumissionnaires. Pour éviter de telles répercussions négatives, l’utilisation des critères de l’offre économiquement la plus avantageuse devrait être obligatoire. </w:t>
      </w:r>
    </w:p>
    <w:p w14:paraId="67CE3AC1" w14:textId="77777777" w:rsidR="00922C2A" w:rsidRPr="00922C2A" w:rsidRDefault="00922C2A" w:rsidP="00922C2A">
      <w:pPr>
        <w:pStyle w:val="ManualConsidrant"/>
        <w:rPr>
          <w:noProof/>
        </w:rPr>
      </w:pPr>
      <w:r w:rsidRPr="00922C2A">
        <w:rPr>
          <w:noProof/>
        </w:rPr>
        <w:t>(26)</w:t>
      </w:r>
      <w:r w:rsidRPr="00922C2A">
        <w:rPr>
          <w:noProof/>
        </w:rPr>
        <w:tab/>
        <w:t>Afin de garantir un niveau élevé de protection de la santé et de sécurité de l’approvisionnement, il est nécessaire de passer des marchés d’une manière qui encourage la diversification des fournisseurs lorsque la dépendance à l’égard d’un seul pays tiers ou d’un nombre limité de pays tiers, facteur de menace pour la sécurité d’approvisionnement, a été établie au moyen d’une évaluation des vulnérabilités. Dans de telles situations, les pouvoirs adjudicateurs des États membres devraient introduire des exigences en matière de passation de marchés qui favorisent les fournisseurs de médicaments critiques fabriquant une part importante de ces produits dans l’UE. En outre, les pouvoirs adjudicateurs des États membres peuvent, lorsque l’analyse du marché et des considérations de santé publique le justifient, appliquer des exigences en matière de passation de marchés qui favorisent les fournisseurs de médicaments d’intérêt commun fabriquant une part importante de ces médicaments dans l’UE. Ces mesures devraient être conçues et appliquées conformément aux obligations internationales de l’Union, y compris aux principes de non-discrimination et de proportionnalité.</w:t>
      </w:r>
    </w:p>
    <w:p w14:paraId="6DB0E00B" w14:textId="77777777" w:rsidR="00922C2A" w:rsidRPr="00922C2A" w:rsidRDefault="00922C2A" w:rsidP="00922C2A">
      <w:pPr>
        <w:pStyle w:val="ManualConsidrant"/>
        <w:rPr>
          <w:noProof/>
        </w:rPr>
      </w:pPr>
      <w:r w:rsidRPr="00922C2A">
        <w:rPr>
          <w:noProof/>
        </w:rPr>
        <w:t>(27)</w:t>
      </w:r>
      <w:r w:rsidRPr="00922C2A">
        <w:rPr>
          <w:noProof/>
        </w:rPr>
        <w:tab/>
        <w:t>Lors de l’application des exigences en matière de passation de marchés, il convient de tenir compte des conditions spécifiques du marché et des besoins de santé publique dans le cadre de chaque procédure de passation de marchés, tout en gardant à l’esprit les considérations liées au caractère abordable des médicaments. Certaines exigences en matière de passation de marchés peuvent ne pas être justifiées si elles entraînent des coûts disproportionnés pour les acheteurs ou découragent la participation, entraînant l’absence d’offre.</w:t>
      </w:r>
    </w:p>
    <w:p w14:paraId="358FEF59" w14:textId="77777777" w:rsidR="00922C2A" w:rsidRPr="00922C2A" w:rsidRDefault="00922C2A" w:rsidP="00922C2A">
      <w:pPr>
        <w:pStyle w:val="ManualConsidrant"/>
        <w:rPr>
          <w:noProof/>
        </w:rPr>
      </w:pPr>
      <w:r w:rsidRPr="00922C2A">
        <w:rPr>
          <w:noProof/>
        </w:rPr>
        <w:t>(28)</w:t>
      </w:r>
      <w:r w:rsidRPr="00922C2A">
        <w:rPr>
          <w:noProof/>
        </w:rPr>
        <w:tab/>
        <w:t xml:space="preserve">Conformément à l’article 168, paragraphe 7, du TFUE, les responsabilités des États membres en ce qui concerne la définition de leur politique de santé ainsi que l’organisation et la fourniture de services de santé et de soins médicaux, y compris l’allocation des ressources financières, doivent être respectées. Les pouvoirs adjudicateurs devraient donc conserver la possibilité, lorsque cela est justifié par des considérations liées à l’analyse du marché ou au financement des services de santé, d’adopter des approches en matière de passation de marchés qui diffèrent de celles énoncées dans le présent règlement, pour autant qu’elles soient conformes aux obligations internationales de l’Union. </w:t>
      </w:r>
    </w:p>
    <w:p w14:paraId="6DDDEBCA" w14:textId="77777777" w:rsidR="00922C2A" w:rsidRPr="00922C2A" w:rsidRDefault="00922C2A" w:rsidP="00922C2A">
      <w:pPr>
        <w:pStyle w:val="ManualConsidrant"/>
        <w:rPr>
          <w:noProof/>
        </w:rPr>
      </w:pPr>
      <w:r w:rsidRPr="00922C2A">
        <w:rPr>
          <w:noProof/>
        </w:rPr>
        <w:t>(29)</w:t>
      </w:r>
      <w:r w:rsidRPr="00922C2A">
        <w:rPr>
          <w:noProof/>
        </w:rPr>
        <w:tab/>
        <w:t xml:space="preserve">La Commission prévoit de publier des lignes directrices destinées à aider les États membres à s’acquitter de leur obligation de recourir à des exigences en matière de passation de marchés qui prévoient des critères d’attribution allant au-delà des considérations de prix, en vue de renforcer la sécurité de l’approvisionnement, en s’appuyant sur les bonnes pratiques recensées dans le cadre de la coopération entre les autorités nationales compétentes en matière de fixation des prix et de remboursement et les organismes publics payeurs de soins de santé et en détaillant les pratiques de passation de marchés qui favorisent la disponibilité et la sécurité de l’approvisionnement le cas échéant. </w:t>
      </w:r>
    </w:p>
    <w:p w14:paraId="75ABA901" w14:textId="77777777" w:rsidR="00922C2A" w:rsidRPr="00922C2A" w:rsidRDefault="00922C2A" w:rsidP="00922C2A">
      <w:pPr>
        <w:pStyle w:val="ManualConsidrant"/>
        <w:rPr>
          <w:noProof/>
        </w:rPr>
      </w:pPr>
      <w:r w:rsidRPr="00922C2A">
        <w:rPr>
          <w:noProof/>
        </w:rPr>
        <w:t>(30)</w:t>
      </w:r>
      <w:r w:rsidRPr="00922C2A">
        <w:rPr>
          <w:noProof/>
        </w:rPr>
        <w:tab/>
        <w:t xml:space="preserve">La passation de marchés portant sur des médicaments est organisée différemment d’un État membre à l’autre et fait intervenir différents acteurs. Afin de renforcer la sécurité des chaînes d’approvisionnement en médicaments critiques, les États membres devraient établir des programmes nationaux qui encouragent l’utilisation cohérente des critères de passation de marchés par les pouvoirs adjudicateurs sur leur territoire, y compris l’application d’approches permettant de retenir plusieurs adjudicataires lorsque cela est bénéfique, sur la base d’une analyse approfondie du marché. Pour garantir une approche globale, et compte tenu du fait que les médicaments critiques sont également pertinents pour le secteur ambulatoire où ils sont souvent achetés hors du cadre des marchés publics, ces programmes peuvent également comprendre des mesures visant à renforcer la résilience et la durabilité de la chaîne d’approvisionnement au moyen de mesures liées à la fixation des prix et au remboursement, le cas échéant. Les programmes devraient être partagés avec la Commission et le groupe de coordination pour les médicaments critiques institué par le présent règlement afin de faciliter l’échange de bonnes pratiques et la coordination entre les États membres. Cette coopération devrait renforcer l’efficacité globale des différentes mesures proposées pour garantir l’approvisionnement en médicaments critiques, dans le respect des principes de subsidiarité et de proportionnalité. </w:t>
      </w:r>
    </w:p>
    <w:p w14:paraId="557F78AF" w14:textId="77777777" w:rsidR="00922C2A" w:rsidRPr="00922C2A" w:rsidRDefault="00922C2A" w:rsidP="00922C2A">
      <w:pPr>
        <w:pStyle w:val="ManualConsidrant"/>
        <w:rPr>
          <w:noProof/>
        </w:rPr>
      </w:pPr>
      <w:r w:rsidRPr="00922C2A">
        <w:rPr>
          <w:noProof/>
        </w:rPr>
        <w:t>(31)</w:t>
      </w:r>
      <w:r w:rsidRPr="00922C2A">
        <w:rPr>
          <w:noProof/>
        </w:rPr>
        <w:tab/>
        <w:t>L’obligation imposée par les États membres aux entreprises de la chaîne d’approvisionnement pharmaceutique de détenir des stocks d’urgence peut avoir une incidence négative grave sur le marché intérieur et d’autres États membres. Pour éviter une telle incidence, il convient de concevoir ces obligations en tenant compte des principes de proportionnalité, de transparence et de solidarité. Les États membres devraient tenir dûment compte des futures lignes directrices de la Commission destinées à faciliter le respect des obligations des États membres en ce qui concerne l’absence de toute incidence négative sur le marché intérieur lorsqu’ils proposent et définissent la portée et le calendrier de toute forme d’obligation pour les entreprises de détenir de tels stocks.</w:t>
      </w:r>
    </w:p>
    <w:p w14:paraId="1645AC04" w14:textId="77777777" w:rsidR="00922C2A" w:rsidRPr="00922C2A" w:rsidRDefault="00922C2A" w:rsidP="00922C2A">
      <w:pPr>
        <w:pStyle w:val="ManualConsidrant"/>
        <w:rPr>
          <w:noProof/>
        </w:rPr>
      </w:pPr>
      <w:r w:rsidRPr="00922C2A">
        <w:rPr>
          <w:noProof/>
        </w:rPr>
        <w:t>(32)</w:t>
      </w:r>
      <w:r w:rsidRPr="00922C2A">
        <w:rPr>
          <w:noProof/>
        </w:rPr>
        <w:tab/>
        <w:t>Il existe des disparités en matière de disponibilité et d’accès en ce qui concerne les médicaments critiques et les médicaments d’intérêt commun dans l’ensemble de l’Union, ce qui affecte de manière disproportionnée certains États membres. La passation collaborative de marchés portant sur les médicaments critiques et les médicaments d’intérêt commun peut constituer un outil puissant pour améliorer la sécurité de leur approvisionnement et leur accessibilité.</w:t>
      </w:r>
    </w:p>
    <w:p w14:paraId="09E4D226" w14:textId="77777777" w:rsidR="00922C2A" w:rsidRPr="00922C2A" w:rsidRDefault="00922C2A" w:rsidP="00922C2A">
      <w:pPr>
        <w:pStyle w:val="ManualConsidrant"/>
        <w:rPr>
          <w:noProof/>
        </w:rPr>
      </w:pPr>
      <w:r w:rsidRPr="00922C2A">
        <w:rPr>
          <w:noProof/>
        </w:rPr>
        <w:t>(33)</w:t>
      </w:r>
      <w:r w:rsidRPr="00922C2A">
        <w:rPr>
          <w:noProof/>
        </w:rPr>
        <w:tab/>
        <w:t>La directive 2014/24/UE du Parlement européen et du Conseil</w:t>
      </w:r>
      <w:r w:rsidRPr="00922C2A">
        <w:rPr>
          <w:rStyle w:val="FootnoteReference"/>
          <w:noProof/>
        </w:rPr>
        <w:footnoteReference w:id="74"/>
      </w:r>
      <w:r w:rsidRPr="00922C2A">
        <w:rPr>
          <w:noProof/>
        </w:rPr>
        <w:t xml:space="preserve"> prévoit la possibilité de passer des marchés auxquels participent des pouvoirs adjudicateurs de différents États membres. S’il a été jugé utile de rendre les petits marchés attrayants pour les fournisseurs et, partant, d’améliorer la disponibilité des médicaments, la mise en œuvre de ce dispositif nécessite beaucoup de temps et de ressources, en particulier dans la phase de démarrage, ce qui est considéré comme un facteur limitatif. Afin de faciliter le déploiement d’initiatives de passation de marchés auxquels participent des pouvoirs adjudicateurs de différents États membres, la Commission devrait, sur demande, fournir son assistance au cours de la phase préliminaire de mise en place d’une telle initiative.</w:t>
      </w:r>
    </w:p>
    <w:p w14:paraId="2A5EB43A" w14:textId="77777777" w:rsidR="00922C2A" w:rsidRPr="00922C2A" w:rsidRDefault="00922C2A" w:rsidP="00922C2A">
      <w:pPr>
        <w:pStyle w:val="ManualConsidrant"/>
        <w:rPr>
          <w:noProof/>
        </w:rPr>
      </w:pPr>
      <w:r w:rsidRPr="00922C2A">
        <w:rPr>
          <w:noProof/>
        </w:rPr>
        <w:t>(34)</w:t>
      </w:r>
      <w:r w:rsidRPr="00922C2A">
        <w:rPr>
          <w:noProof/>
        </w:rPr>
        <w:tab/>
        <w:t>Compte tenu de l’expérience acquise lors de la mise en œuvre de la passation conjointe de marchés en vue de l’achat de contre-mesures médicales conformément au règlement (UE) 2022/2371 du Parlement européen et du Conseil</w:t>
      </w:r>
      <w:r w:rsidRPr="00922C2A">
        <w:rPr>
          <w:rStyle w:val="FootnoteReference"/>
          <w:noProof/>
        </w:rPr>
        <w:footnoteReference w:id="75"/>
      </w:r>
      <w:r w:rsidRPr="00922C2A">
        <w:rPr>
          <w:noProof/>
        </w:rPr>
        <w:t xml:space="preserve"> et de vaccins contre la COVID-19 conformément au règlement (UE) 2016/369 du Conseil</w:t>
      </w:r>
      <w:r w:rsidRPr="00922C2A">
        <w:rPr>
          <w:rStyle w:val="FootnoteReference"/>
          <w:noProof/>
        </w:rPr>
        <w:footnoteReference w:id="76"/>
      </w:r>
      <w:r w:rsidRPr="00922C2A">
        <w:rPr>
          <w:noProof/>
        </w:rPr>
        <w:t xml:space="preserve"> dans le contexte de la stratégie de l’UE en matière de vaccins, et compte tenu des avantages potentiels que la mise à profit de la demande provenant de plusieurs États membres pourrait présenter dans le cadre d’une procédure unique de passation de marchés, les États membres devraient pouvoir envisager le recours à la passation conjointe de marchés ou envisager de demander à la Commission de passer des marchés pour leur compte, ou en leur nom, lorsque cette passation de marchés pourrait contribuer à la réalisation des objectifs du présent règlement. </w:t>
      </w:r>
    </w:p>
    <w:p w14:paraId="0E34E64C" w14:textId="77777777" w:rsidR="00922C2A" w:rsidRPr="00922C2A" w:rsidRDefault="00922C2A" w:rsidP="00922C2A">
      <w:pPr>
        <w:pStyle w:val="ManualConsidrant"/>
        <w:rPr>
          <w:noProof/>
        </w:rPr>
      </w:pPr>
      <w:r w:rsidRPr="00922C2A">
        <w:rPr>
          <w:noProof/>
        </w:rPr>
        <w:t>(35)</w:t>
      </w:r>
      <w:r w:rsidRPr="00922C2A">
        <w:rPr>
          <w:noProof/>
        </w:rPr>
        <w:tab/>
        <w:t>Afin de garantir que les initiatives de passation collaborative de marchés contribuent à la réalisation des objectifs du présent règlement, tout en respectant pleinement le principe de subsidiarité, la participation de la Commission à la passation conjointe de marchés et à la passation de marchés pour le compte ou au nom des États membres devrait être limitée à des cas précis. C’est pourquoi il convient de prévoir des dérogations à l’article 168, paragraphes 2 et 3, du règlement (UE, Euratom) 2024/2509 du Parlement européen et du Conseil</w:t>
      </w:r>
      <w:r w:rsidRPr="00922C2A">
        <w:rPr>
          <w:rStyle w:val="FootnoteReference"/>
          <w:noProof/>
        </w:rPr>
        <w:footnoteReference w:id="77"/>
      </w:r>
      <w:r w:rsidRPr="00922C2A">
        <w:rPr>
          <w:noProof/>
        </w:rPr>
        <w:t xml:space="preserve">. </w:t>
      </w:r>
    </w:p>
    <w:p w14:paraId="1E73A131" w14:textId="77777777" w:rsidR="00922C2A" w:rsidRPr="00922C2A" w:rsidRDefault="00922C2A" w:rsidP="00922C2A">
      <w:pPr>
        <w:pStyle w:val="ManualConsidrant"/>
        <w:rPr>
          <w:noProof/>
        </w:rPr>
      </w:pPr>
      <w:r w:rsidRPr="00922C2A">
        <w:rPr>
          <w:noProof/>
        </w:rPr>
        <w:t>(36)</w:t>
      </w:r>
      <w:r w:rsidRPr="00922C2A">
        <w:rPr>
          <w:noProof/>
        </w:rPr>
        <w:tab/>
        <w:t>Afin de garantir la transparence, la clarté juridique et une coordination efficace, un accord structuré entre les États membres et la Commission devrait régir les procédures de passation de marchés au titre du présent règlement qui reposent sur une participation active de la Commission. Cet accord devrait définir la répartition des responsabilités, les processus décisionnels, les informations à partager en fonction de la procédure de passation de marchés, y compris des informations sur la participation des États membres à des négociations parallèles par des canaux différents en ce qui concerne les mêmes médicaments ou les mêmes substances actives, selon le cas, et des dispositions en matière de responsabilité, afin de garantir un cadre équitable et efficace pour les États membres participants tout en prévenant les distorsions du marché et les ruptures d’approvisionnement. Le présent règlement est sans préjudice de l’utilisation des procédures de passation conjointe de marchés établies en vertu du règlement (UE) 2022/2371 du Parlement européen et du Conseil pour les médicaments critiques et autres médicaments qui relèvent également de la définition des contre-mesures médicales figurant dans ledit règlement, et ne l’empêche pas. Pour ces médicaments, l’objectif de l’initiative de passation conjointe de marchés devrait déterminer le cadre applicable. Toute procédure de passation conjointe de marchés engagée en vue de l’achat anticipé de ces médicaments en tant que contre-mesures médicales pour se préparer aux menaces transfrontières graves pour la santé et y réagir devrait être menée conformément au règlement (UE) 2022/2371. Le présent règlement est sans préjudice du règlement (UE) 2022/2372 du Conseil</w:t>
      </w:r>
      <w:r w:rsidRPr="00922C2A">
        <w:rPr>
          <w:rStyle w:val="FootnoteReference"/>
          <w:noProof/>
        </w:rPr>
        <w:footnoteReference w:id="78"/>
      </w:r>
      <w:r w:rsidRPr="00922C2A">
        <w:rPr>
          <w:noProof/>
        </w:rPr>
        <w:t xml:space="preserve"> qui établit un cadre de mesures visant à garantir la fourniture des contre-mesures médicales nécessaires en cas de crise dans l’éventualité d’une urgence de santé publique au niveau de l’Union. </w:t>
      </w:r>
    </w:p>
    <w:p w14:paraId="54FB9563" w14:textId="77777777" w:rsidR="00922C2A" w:rsidRPr="00922C2A" w:rsidRDefault="00922C2A" w:rsidP="00922C2A">
      <w:pPr>
        <w:pStyle w:val="ManualConsidrant"/>
        <w:rPr>
          <w:noProof/>
        </w:rPr>
      </w:pPr>
      <w:r w:rsidRPr="00922C2A">
        <w:rPr>
          <w:noProof/>
        </w:rPr>
        <w:t>(37)</w:t>
      </w:r>
      <w:r w:rsidRPr="00922C2A">
        <w:rPr>
          <w:noProof/>
        </w:rPr>
        <w:tab/>
        <w:t xml:space="preserve">La mise en place d’une approche structurée et coordonnée pour renforcer la sécurité de l’approvisionnement en médicaments critiques nécessite une collaboration entre les États membres et la Commission. À cette fin, il convient d’établir un groupe de coordination pour les médicaments critiques (ci-après le «groupe pour les médicaments critiques») afin de faciliter une coordination efficace dans tous les domaines d’action concernés. Le groupe pour les médicaments critiques devrait être composé de représentants à haut niveau des États membres possédant une expertise en matière de politiques de passation de marchés portant sur des médicaments, de politique industrielle liée aux produits pharmaceutiques et de santé publique. La Commission devrait être membre du groupe. Afin de garantir des discussions structurées, la Commission devrait présider le groupe pour les médicaments critiques et assurer les fonctions de son secrétariat. </w:t>
      </w:r>
    </w:p>
    <w:p w14:paraId="529EE6D5" w14:textId="77777777" w:rsidR="00922C2A" w:rsidRPr="00922C2A" w:rsidRDefault="00922C2A" w:rsidP="00922C2A">
      <w:pPr>
        <w:pStyle w:val="ManualConsidrant"/>
        <w:rPr>
          <w:rFonts w:eastAsia="Aptos"/>
          <w:noProof/>
        </w:rPr>
      </w:pPr>
      <w:r w:rsidRPr="00922C2A">
        <w:rPr>
          <w:noProof/>
        </w:rPr>
        <w:t>(38)</w:t>
      </w:r>
      <w:r w:rsidRPr="00922C2A">
        <w:rPr>
          <w:noProof/>
        </w:rPr>
        <w:tab/>
        <w:t xml:space="preserve">Pour assurer une mise en œuvre coordonnée du présent règlement, le groupe pour les médicaments critiques devrait permettre des échanges d’informations relatives au financement des projets stratégiques et faciliter l’orientation stratégique du soutien financier aux projets stratégiques. Le groupe pour les médicaments critiques devrait également faciliter l’échange d’informations sur les programmes nationaux, y compris sur l’approche adoptée dans les marchés publics en ce qui concerne les exigences en matière de stocks d’urgence. Le cas échéant, le groupe pour les médicaments critiques devrait faciliter la coordination des programmes nationaux. Le groupe pour les médicaments critiques devrait en outre faciliter les discussions sur la nécessité de lancer une initiative de passation collaborative de marchés et sur la nécessité de donner la priorité à l’évaluation des vulnérabilités pour des médicaments critiques spécifiques. </w:t>
      </w:r>
    </w:p>
    <w:p w14:paraId="350A5A7D" w14:textId="77777777" w:rsidR="00922C2A" w:rsidRPr="00922C2A" w:rsidRDefault="00922C2A" w:rsidP="00922C2A">
      <w:pPr>
        <w:pStyle w:val="ManualConsidrant"/>
        <w:rPr>
          <w:rStyle w:val="eop"/>
          <w:noProof/>
        </w:rPr>
      </w:pPr>
      <w:r w:rsidRPr="00922C2A">
        <w:rPr>
          <w:rStyle w:val="eop"/>
          <w:noProof/>
        </w:rPr>
        <w:t>(39)</w:t>
      </w:r>
      <w:r w:rsidRPr="00922C2A">
        <w:rPr>
          <w:rStyle w:val="eop"/>
          <w:noProof/>
        </w:rPr>
        <w:tab/>
      </w:r>
      <w:r w:rsidRPr="00922C2A">
        <w:rPr>
          <w:rStyle w:val="normaltextrun"/>
          <w:noProof/>
          <w:shd w:val="clear" w:color="auto" w:fill="FFFFFF"/>
        </w:rPr>
        <w:t xml:space="preserve">L’Union pourrait encore améliorer la disponibilité et la sécurité de l’approvisionnement en médicaments critiques en donnant accès à d’autres sources d’approvisionnement dans les pays tiers au moyen d’accords commerciaux internationaux ou d’autres formes de coopération internationale. À cette fin, l’Union pourrait s’appuyer sur son réseau d’accords commerciaux existants et s’efforcer en outre de mettre en place des partenariats stratégiques avec des pays tiers afin d’approfondir encore la coopération bilatérale, en particulier avec les pays candidats. Dans ce contexte, la Commission devrait examiner si les partenariats existants répondent efficacement aux objectifs visés ou s’ils pourraient encore être améliorés ou mis à niveau, et quels types de partenariats potentiels pourraient être conclus avec les pays tiers les plus pertinents. Cela devrait se faire sans préjudice des prérogatives du Conseil conformément aux traités. </w:t>
      </w:r>
    </w:p>
    <w:p w14:paraId="693E3078" w14:textId="77777777" w:rsidR="00922C2A" w:rsidRPr="00922C2A" w:rsidRDefault="00922C2A" w:rsidP="00922C2A">
      <w:pPr>
        <w:pStyle w:val="ManualConsidrant"/>
        <w:rPr>
          <w:noProof/>
        </w:rPr>
      </w:pPr>
      <w:r w:rsidRPr="00922C2A">
        <w:rPr>
          <w:noProof/>
        </w:rPr>
        <w:t>(40)</w:t>
      </w:r>
      <w:r w:rsidRPr="00922C2A">
        <w:rPr>
          <w:noProof/>
        </w:rPr>
        <w:tab/>
        <w:t xml:space="preserve">Afin de garantir l’application du présent règlement, il est nécessaire que les opérateurs économiques mettent des informations et des données à la disposition des autorités publiques. Les États membres et la Commission doivent donc être en mesure de solliciter, si nécessaire et en évitant la duplication des demandes, les informations nécessaires à l’application du présent règlement, y compris son évaluation, auprès de tout opérateur économique intervenant dans les chaînes d’approvisionnement et de distribution de médicaments critiques et de médicaments d’intérêt commun. </w:t>
      </w:r>
    </w:p>
    <w:p w14:paraId="11D65B3D" w14:textId="77777777" w:rsidR="00922C2A" w:rsidRPr="00922C2A" w:rsidRDefault="00922C2A" w:rsidP="00922C2A">
      <w:pPr>
        <w:pStyle w:val="ManualConsidrant"/>
        <w:rPr>
          <w:noProof/>
        </w:rPr>
      </w:pPr>
      <w:r w:rsidRPr="00922C2A">
        <w:rPr>
          <w:noProof/>
        </w:rPr>
        <w:t>(41)</w:t>
      </w:r>
      <w:r w:rsidRPr="00922C2A">
        <w:rPr>
          <w:noProof/>
        </w:rPr>
        <w:tab/>
        <w:t>Afin de garantir que le présent règlement atteint efficacement ses objectifs, il est essentiel d’évaluer sa mise en œuvre et son incidence dans le temps. La Commission devrait procéder à une évaluation du présent règlement cinq ans après son application, puis tous les cinq ans. Cette évaluation devrait notamment permettre d’analyser dans quelle mesure les objectifs du règlement, tels qu’énoncés à l’article 1</w:t>
      </w:r>
      <w:r w:rsidRPr="00922C2A">
        <w:rPr>
          <w:noProof/>
          <w:vertAlign w:val="superscript"/>
        </w:rPr>
        <w:t>er</w:t>
      </w:r>
      <w:r w:rsidRPr="00922C2A">
        <w:rPr>
          <w:noProof/>
        </w:rPr>
        <w:t>, ont été réalisés, y compris l’incidence du texte sur les parties prenantes, les procédures réglementaires et la dynamique du marché. En particulier, la Commission, dans son évaluation, devrait tenir compte des points de vue des États membres, des opérateurs économiques et des autres parties prenantes concernées, en veillant à ce que leur retour d’information contribue à l’amélioration continue du cadre réglementaire. Les résultats de cette évaluation devraient être présentés pour information au Parlement européen, au Conseil, au Comité économique et social européen et au Comité des régions. Afin de faciliter cette évaluation, les autorités nationales et les opérateurs économiques devraient fournir, sur demande, des données et informations pertinentes à l’appui de l’évaluation réalisée par la Commission.</w:t>
      </w:r>
    </w:p>
    <w:p w14:paraId="6776FF5C" w14:textId="77777777" w:rsidR="00922C2A" w:rsidRPr="00922C2A" w:rsidRDefault="00922C2A" w:rsidP="00922C2A">
      <w:pPr>
        <w:pStyle w:val="ManualConsidrant"/>
        <w:rPr>
          <w:noProof/>
        </w:rPr>
      </w:pPr>
      <w:r w:rsidRPr="00922C2A">
        <w:rPr>
          <w:noProof/>
        </w:rPr>
        <w:t>(42)</w:t>
      </w:r>
      <w:r w:rsidRPr="00922C2A">
        <w:rPr>
          <w:noProof/>
        </w:rPr>
        <w:tab/>
        <w:t>Étant donné que les objectifs du présent règlement consistant à établir un cadre visant à renforcer la disponibilité et la sécurité de l’approvisionnement en médicaments critiques au sein de l’Union et à améliorer la disponibilité et l’accessibilité des médicaments d’intérêt commun grâce à une action coordonnée et ciblée des États membres ne peuvent pas être atteints de manière suffisante par les États membres agissant seuls, mais peuvent, en raison de leurs dimensions, l’être mieux au niveau de l’Union, celle-ci peut prendre des mesures conformément au principe de subsidiarité consacré à l’article 5 du traité sur le fonctionnement de l’Union européenne. Conformément au principe de proportionnalité tel qu’énoncé audit article, le présent règlement n’excède pas ce qui est nécessaire pour réaliser cet objectif,</w:t>
      </w:r>
    </w:p>
    <w:p w14:paraId="5B2F6235" w14:textId="77777777" w:rsidR="00922C2A" w:rsidRPr="00922C2A" w:rsidRDefault="00922C2A" w:rsidP="00922C2A">
      <w:pPr>
        <w:pStyle w:val="Formuledadoption"/>
        <w:rPr>
          <w:noProof/>
        </w:rPr>
      </w:pPr>
      <w:r w:rsidRPr="00922C2A">
        <w:rPr>
          <w:noProof/>
        </w:rPr>
        <w:t>ONT ADOPTÉ LE PRÉSENT RÈGLEMENT:</w:t>
      </w:r>
    </w:p>
    <w:p w14:paraId="43D779C6" w14:textId="77777777" w:rsidR="00922C2A" w:rsidRPr="00922C2A" w:rsidRDefault="00922C2A" w:rsidP="00922C2A">
      <w:pPr>
        <w:pStyle w:val="ChapterTitle"/>
        <w:rPr>
          <w:b w:val="0"/>
          <w:bCs/>
          <w:iCs/>
          <w:noProof/>
        </w:rPr>
      </w:pPr>
      <w:r w:rsidRPr="00922C2A">
        <w:rPr>
          <w:noProof/>
        </w:rPr>
        <w:t>Chapitre I</w:t>
      </w:r>
      <w:r w:rsidRPr="00922C2A">
        <w:rPr>
          <w:noProof/>
        </w:rPr>
        <w:br/>
        <w:t>Dispositions générales</w:t>
      </w:r>
    </w:p>
    <w:p w14:paraId="3C6777B2" w14:textId="77777777" w:rsidR="00922C2A" w:rsidRPr="00922C2A" w:rsidRDefault="00922C2A" w:rsidP="00922C2A">
      <w:pPr>
        <w:pStyle w:val="Titrearticle"/>
        <w:rPr>
          <w:noProof/>
        </w:rPr>
      </w:pPr>
      <w:r w:rsidRPr="00922C2A">
        <w:rPr>
          <w:noProof/>
        </w:rPr>
        <w:t>Article premier</w:t>
      </w:r>
    </w:p>
    <w:p w14:paraId="6867CE8A" w14:textId="77777777" w:rsidR="00922C2A" w:rsidRPr="00922C2A" w:rsidRDefault="00922C2A" w:rsidP="00922C2A">
      <w:pPr>
        <w:jc w:val="center"/>
        <w:rPr>
          <w:i/>
          <w:iCs/>
          <w:noProof/>
        </w:rPr>
      </w:pPr>
      <w:r w:rsidRPr="00922C2A">
        <w:rPr>
          <w:i/>
          <w:noProof/>
        </w:rPr>
        <w:t xml:space="preserve">Objectifs et objet </w:t>
      </w:r>
    </w:p>
    <w:p w14:paraId="716B6D08" w14:textId="77777777" w:rsidR="00922C2A" w:rsidRPr="00922C2A" w:rsidRDefault="00922C2A" w:rsidP="00922C2A">
      <w:pPr>
        <w:pStyle w:val="Point0"/>
        <w:rPr>
          <w:rFonts w:eastAsia="Times New Roman"/>
          <w:noProof/>
        </w:rPr>
      </w:pPr>
      <w:r w:rsidRPr="00922C2A">
        <w:rPr>
          <w:noProof/>
        </w:rPr>
        <w:t>1.</w:t>
      </w:r>
      <w:r w:rsidRPr="00922C2A">
        <w:rPr>
          <w:noProof/>
        </w:rPr>
        <w:tab/>
        <w:t xml:space="preserve">L’objectif du présent règlement est de renforcer la sécurité de l’approvisionnement en médicaments critiques et leur disponibilité au sein de l’Union, de façon à garantir un niveau élevé de protection de la santé publique et de soutenir la sécurité de l’Union. L’objectif du présent règlement est également d’améliorer la disponibilité et l’accessibilité d’autres médicaments, lorsque le fonctionnement du marché ne garantit pas suffisamment par ailleurs la disponibilité et l’accessibilité de ces médicaments pour les patients, tout en prenant dûment en considération la nécessité de garantir le caractère abordable des médicaments. </w:t>
      </w:r>
    </w:p>
    <w:p w14:paraId="4142B122" w14:textId="77777777" w:rsidR="00922C2A" w:rsidRPr="00922C2A" w:rsidRDefault="00922C2A" w:rsidP="00922C2A">
      <w:pPr>
        <w:pStyle w:val="Point0"/>
        <w:rPr>
          <w:rFonts w:eastAsia="Times New Roman"/>
          <w:noProof/>
        </w:rPr>
      </w:pPr>
      <w:r w:rsidRPr="00922C2A">
        <w:rPr>
          <w:noProof/>
        </w:rPr>
        <w:t>2.</w:t>
      </w:r>
      <w:r w:rsidRPr="00922C2A">
        <w:rPr>
          <w:noProof/>
        </w:rPr>
        <w:tab/>
        <w:t>Afin d’atteindre les objectifs visés au paragraphe 1, le présent règlement établit un cadre dans la perspective suivante:</w:t>
      </w:r>
    </w:p>
    <w:p w14:paraId="36924E7A" w14:textId="77777777" w:rsidR="00922C2A" w:rsidRPr="00922C2A" w:rsidRDefault="00922C2A" w:rsidP="00922C2A">
      <w:pPr>
        <w:pStyle w:val="Point1"/>
        <w:rPr>
          <w:rFonts w:eastAsia="Times New Roman"/>
          <w:noProof/>
        </w:rPr>
      </w:pPr>
      <w:r w:rsidRPr="00922C2A">
        <w:rPr>
          <w:noProof/>
        </w:rPr>
        <w:t>a)</w:t>
      </w:r>
      <w:r w:rsidRPr="00922C2A">
        <w:rPr>
          <w:noProof/>
        </w:rPr>
        <w:tab/>
        <w:t>faciliter les investissements dans les capacités de fabrication de médicaments critiques, de leurs substances actives et de leurs autres intrants essentiels dans l’Union;</w:t>
      </w:r>
    </w:p>
    <w:p w14:paraId="25D97218" w14:textId="77777777" w:rsidR="00922C2A" w:rsidRPr="00922C2A" w:rsidRDefault="00922C2A" w:rsidP="00922C2A">
      <w:pPr>
        <w:pStyle w:val="Point1"/>
        <w:rPr>
          <w:rFonts w:eastAsia="Times New Roman"/>
          <w:noProof/>
        </w:rPr>
      </w:pPr>
      <w:r w:rsidRPr="00922C2A">
        <w:rPr>
          <w:noProof/>
        </w:rPr>
        <w:t>b)</w:t>
      </w:r>
      <w:r w:rsidRPr="00922C2A">
        <w:rPr>
          <w:noProof/>
        </w:rPr>
        <w:tab/>
        <w:t>réduire le risque de ruptures d’approvisionnement et renforcer la disponibilité en encourageant la diversification et la résilience des chaînes d’approvisionnement dans les procédures de passation de marchés publics portant sur des médicaments critiques et d’autres médicaments d’intérêt commun;</w:t>
      </w:r>
    </w:p>
    <w:p w14:paraId="21FAB90B" w14:textId="77777777" w:rsidR="00922C2A" w:rsidRPr="00922C2A" w:rsidRDefault="00922C2A" w:rsidP="00922C2A">
      <w:pPr>
        <w:pStyle w:val="Point1"/>
        <w:rPr>
          <w:rFonts w:eastAsia="Times New Roman"/>
          <w:noProof/>
        </w:rPr>
      </w:pPr>
      <w:r w:rsidRPr="00922C2A">
        <w:rPr>
          <w:noProof/>
        </w:rPr>
        <w:t>c)</w:t>
      </w:r>
      <w:r w:rsidRPr="00922C2A">
        <w:rPr>
          <w:noProof/>
        </w:rPr>
        <w:tab/>
        <w:t>mettre à profit la demande agrégée des États membres participants au moyen de procédures de passation collaborative de marchés; et</w:t>
      </w:r>
    </w:p>
    <w:p w14:paraId="2A99A8EC" w14:textId="77777777" w:rsidR="00922C2A" w:rsidRPr="00922C2A" w:rsidRDefault="00922C2A" w:rsidP="00922C2A">
      <w:pPr>
        <w:pStyle w:val="Point1"/>
        <w:rPr>
          <w:rFonts w:eastAsia="Times New Roman"/>
          <w:noProof/>
        </w:rPr>
      </w:pPr>
      <w:r w:rsidRPr="00922C2A">
        <w:rPr>
          <w:noProof/>
        </w:rPr>
        <w:t>d)</w:t>
      </w:r>
      <w:r w:rsidRPr="00922C2A">
        <w:rPr>
          <w:noProof/>
        </w:rPr>
        <w:tab/>
        <w:t>soutenir la diversification des chaînes d’approvisionnement, notamment en facilitant la conclusion de partenariats stratégiques.</w:t>
      </w:r>
    </w:p>
    <w:p w14:paraId="63F23BFA" w14:textId="77777777" w:rsidR="00922C2A" w:rsidRPr="00922C2A" w:rsidRDefault="00922C2A" w:rsidP="00922C2A">
      <w:pPr>
        <w:pStyle w:val="Titrearticle"/>
        <w:rPr>
          <w:noProof/>
        </w:rPr>
      </w:pPr>
      <w:r w:rsidRPr="00922C2A">
        <w:rPr>
          <w:noProof/>
        </w:rPr>
        <w:t>Article 2</w:t>
      </w:r>
    </w:p>
    <w:p w14:paraId="5EF3C248" w14:textId="77777777" w:rsidR="00922C2A" w:rsidRPr="00922C2A" w:rsidRDefault="00922C2A" w:rsidP="00922C2A">
      <w:pPr>
        <w:jc w:val="center"/>
        <w:rPr>
          <w:i/>
          <w:iCs/>
          <w:noProof/>
        </w:rPr>
      </w:pPr>
      <w:r w:rsidRPr="00922C2A">
        <w:rPr>
          <w:i/>
          <w:noProof/>
        </w:rPr>
        <w:t>Champ d’application</w:t>
      </w:r>
    </w:p>
    <w:p w14:paraId="4871238A" w14:textId="77777777" w:rsidR="00922C2A" w:rsidRPr="00922C2A" w:rsidRDefault="00922C2A" w:rsidP="00922C2A">
      <w:pPr>
        <w:pStyle w:val="Point0"/>
        <w:rPr>
          <w:rFonts w:eastAsia="Times New Roman"/>
          <w:noProof/>
        </w:rPr>
      </w:pPr>
      <w:r w:rsidRPr="00922C2A">
        <w:rPr>
          <w:noProof/>
        </w:rPr>
        <w:t>1.</w:t>
      </w:r>
      <w:r w:rsidRPr="00922C2A">
        <w:rPr>
          <w:noProof/>
        </w:rPr>
        <w:tab/>
        <w:t>Le présent règlement s’applique aux médicaments critiques figurant sur la liste de l’Union des médicaments critiques établie par le règlement (UE) .../... [</w:t>
      </w:r>
      <w:r w:rsidRPr="00922C2A">
        <w:rPr>
          <w:i/>
          <w:iCs/>
          <w:noProof/>
        </w:rPr>
        <w:t>référence à ajouter après adoption, cf. COM(2023) 193 final</w:t>
      </w:r>
      <w:r w:rsidRPr="00922C2A">
        <w:rPr>
          <w:noProof/>
        </w:rPr>
        <w:t>].</w:t>
      </w:r>
    </w:p>
    <w:p w14:paraId="376D47BD" w14:textId="77777777" w:rsidR="00922C2A" w:rsidRPr="00922C2A" w:rsidRDefault="00922C2A" w:rsidP="00922C2A">
      <w:pPr>
        <w:pStyle w:val="Point0"/>
        <w:rPr>
          <w:rFonts w:eastAsia="Times New Roman"/>
          <w:noProof/>
        </w:rPr>
      </w:pPr>
      <w:r w:rsidRPr="00922C2A">
        <w:rPr>
          <w:noProof/>
        </w:rPr>
        <w:t>2.</w:t>
      </w:r>
      <w:r w:rsidRPr="00922C2A">
        <w:rPr>
          <w:noProof/>
        </w:rPr>
        <w:tab/>
        <w:t>Le chapitre IV et l’article 26, paragraphe 2, point c), s’appliquent également aux médicaments d’intérêt commun. Le chapitre III ne s’applique pas aux médicaments d’intérêt commun.</w:t>
      </w:r>
    </w:p>
    <w:p w14:paraId="7665F8FF" w14:textId="77777777" w:rsidR="00922C2A" w:rsidRPr="00922C2A" w:rsidRDefault="00922C2A" w:rsidP="00922C2A">
      <w:pPr>
        <w:pStyle w:val="Titrearticle"/>
        <w:rPr>
          <w:i w:val="0"/>
          <w:iCs/>
          <w:noProof/>
        </w:rPr>
      </w:pPr>
      <w:r w:rsidRPr="00922C2A">
        <w:rPr>
          <w:noProof/>
        </w:rPr>
        <w:t>Article 3</w:t>
      </w:r>
    </w:p>
    <w:p w14:paraId="410E3896" w14:textId="77777777" w:rsidR="00922C2A" w:rsidRPr="00922C2A" w:rsidRDefault="00922C2A" w:rsidP="00922C2A">
      <w:pPr>
        <w:jc w:val="center"/>
        <w:rPr>
          <w:i/>
          <w:iCs/>
          <w:noProof/>
        </w:rPr>
      </w:pPr>
      <w:r w:rsidRPr="00922C2A">
        <w:rPr>
          <w:i/>
          <w:noProof/>
        </w:rPr>
        <w:t>Définitions</w:t>
      </w:r>
    </w:p>
    <w:p w14:paraId="599DA656" w14:textId="77777777" w:rsidR="00922C2A" w:rsidRPr="00922C2A" w:rsidRDefault="00922C2A" w:rsidP="00922C2A">
      <w:pPr>
        <w:rPr>
          <w:noProof/>
        </w:rPr>
      </w:pPr>
      <w:r w:rsidRPr="00922C2A">
        <w:rPr>
          <w:noProof/>
        </w:rPr>
        <w:t>Aux fins du présent règlement, on entend par:</w:t>
      </w:r>
    </w:p>
    <w:p w14:paraId="100314E6" w14:textId="77777777" w:rsidR="00922C2A" w:rsidRPr="00922C2A" w:rsidRDefault="00922C2A" w:rsidP="00922C2A">
      <w:pPr>
        <w:pStyle w:val="Point0"/>
        <w:rPr>
          <w:noProof/>
        </w:rPr>
      </w:pPr>
      <w:r w:rsidRPr="00922C2A">
        <w:rPr>
          <w:noProof/>
        </w:rPr>
        <w:t>1)</w:t>
      </w:r>
      <w:r w:rsidRPr="00922C2A">
        <w:rPr>
          <w:noProof/>
        </w:rPr>
        <w:tab/>
        <w:t xml:space="preserve">«médicament»: un médicament au sens de l’article 4, point 1), de la </w:t>
      </w:r>
      <w:bookmarkStart w:id="4" w:name="_Hlk191888892"/>
      <w:r w:rsidRPr="00922C2A">
        <w:rPr>
          <w:noProof/>
        </w:rPr>
        <w:t>directive (UE).../... du Parlement européen et du Conseil [</w:t>
      </w:r>
      <w:r w:rsidRPr="00922C2A">
        <w:rPr>
          <w:i/>
          <w:iCs/>
          <w:noProof/>
        </w:rPr>
        <w:t>référence à ajouter à l’article correspondant après l’adoption du document COM(2023) 192 final</w:t>
      </w:r>
      <w:r w:rsidRPr="00922C2A">
        <w:rPr>
          <w:noProof/>
        </w:rPr>
        <w:t>]</w:t>
      </w:r>
      <w:bookmarkEnd w:id="4"/>
      <w:r w:rsidRPr="00922C2A">
        <w:rPr>
          <w:noProof/>
        </w:rPr>
        <w:t xml:space="preserve">; </w:t>
      </w:r>
    </w:p>
    <w:p w14:paraId="6145855B" w14:textId="77777777" w:rsidR="00922C2A" w:rsidRPr="00922C2A" w:rsidRDefault="00922C2A" w:rsidP="00922C2A">
      <w:pPr>
        <w:pStyle w:val="Point0"/>
        <w:rPr>
          <w:rFonts w:eastAsia="Times New Roman"/>
          <w:noProof/>
        </w:rPr>
      </w:pPr>
      <w:r w:rsidRPr="00922C2A">
        <w:rPr>
          <w:noProof/>
        </w:rPr>
        <w:t>2)</w:t>
      </w:r>
      <w:r w:rsidRPr="00922C2A">
        <w:rPr>
          <w:noProof/>
        </w:rPr>
        <w:tab/>
        <w:t>«intrant essentiel»: un intrant autre qu’une substance active nécessaire au processus de fabrication d’un médicament donné, y compris les matériaux de conditionnement primaire, les excipients, les solvants et les réactifs;</w:t>
      </w:r>
    </w:p>
    <w:p w14:paraId="4319F10A" w14:textId="77777777" w:rsidR="00922C2A" w:rsidRPr="00922C2A" w:rsidRDefault="00922C2A" w:rsidP="00922C2A">
      <w:pPr>
        <w:pStyle w:val="Point0"/>
        <w:rPr>
          <w:rFonts w:eastAsia="Times New Roman"/>
          <w:noProof/>
        </w:rPr>
      </w:pPr>
      <w:r w:rsidRPr="00922C2A">
        <w:rPr>
          <w:noProof/>
        </w:rPr>
        <w:t>3)</w:t>
      </w:r>
      <w:r w:rsidRPr="00922C2A">
        <w:rPr>
          <w:noProof/>
        </w:rPr>
        <w:tab/>
        <w:t>«substance active»: une substance active au sens de l’article 4, point 3), de la directive (UE) .../... [</w:t>
      </w:r>
      <w:r w:rsidRPr="00922C2A">
        <w:rPr>
          <w:i/>
          <w:iCs/>
          <w:noProof/>
        </w:rPr>
        <w:t>référence à ajouter à l’article correspondant après l’adoption du document COM(2023) 192 final</w:t>
      </w:r>
      <w:r w:rsidRPr="00922C2A">
        <w:rPr>
          <w:noProof/>
        </w:rPr>
        <w:t>];</w:t>
      </w:r>
    </w:p>
    <w:p w14:paraId="5540E592" w14:textId="77777777" w:rsidR="00922C2A" w:rsidRPr="00922C2A" w:rsidRDefault="00922C2A" w:rsidP="00922C2A">
      <w:pPr>
        <w:pStyle w:val="Point0"/>
        <w:rPr>
          <w:rFonts w:eastAsia="Times New Roman"/>
          <w:noProof/>
        </w:rPr>
      </w:pPr>
      <w:bookmarkStart w:id="5" w:name="_Hlk188600619"/>
      <w:r w:rsidRPr="00922C2A">
        <w:rPr>
          <w:noProof/>
        </w:rPr>
        <w:t>4)</w:t>
      </w:r>
      <w:r w:rsidRPr="00922C2A">
        <w:rPr>
          <w:noProof/>
        </w:rPr>
        <w:tab/>
        <w:t>«médicament critique»: un médicament pour lequel un approvisionnement insuffisant entraîne un préjudice grave ou un risque de préjudice grave pour les patients au sens de l’article 4, point 13), du règlement (UE).../... [</w:t>
      </w:r>
      <w:r w:rsidRPr="00922C2A">
        <w:rPr>
          <w:i/>
          <w:iCs/>
          <w:noProof/>
        </w:rPr>
        <w:t>référence à ajouter après adoption, cf. COM(2023) 193 final</w:t>
      </w:r>
      <w:r w:rsidRPr="00922C2A">
        <w:rPr>
          <w:noProof/>
        </w:rPr>
        <w:t>];</w:t>
      </w:r>
    </w:p>
    <w:p w14:paraId="35B4032F" w14:textId="77777777" w:rsidR="00922C2A" w:rsidRPr="00922C2A" w:rsidRDefault="00922C2A" w:rsidP="00922C2A">
      <w:pPr>
        <w:pStyle w:val="Point0"/>
        <w:rPr>
          <w:rFonts w:eastAsia="Times New Roman"/>
          <w:noProof/>
        </w:rPr>
      </w:pPr>
      <w:r w:rsidRPr="00922C2A">
        <w:rPr>
          <w:noProof/>
        </w:rPr>
        <w:t>5)</w:t>
      </w:r>
      <w:r w:rsidRPr="00922C2A">
        <w:rPr>
          <w:noProof/>
        </w:rPr>
        <w:tab/>
        <w:t xml:space="preserve">«médicament d’intérêt commun»: un médicament, autre qu’un médicament critique, pour lequel, dans trois États membres ou plus, le fonctionnement du marché ne garantit pas suffisamment la disponibilité et l’accessibilité pour les patients dans les quantités et présentations nécessaires pour répondre aux besoins des patients dans ces États membres; </w:t>
      </w:r>
      <w:bookmarkEnd w:id="5"/>
    </w:p>
    <w:p w14:paraId="55EAE030" w14:textId="77777777" w:rsidR="00922C2A" w:rsidRPr="00922C2A" w:rsidRDefault="00922C2A" w:rsidP="00922C2A">
      <w:pPr>
        <w:pStyle w:val="Point0"/>
        <w:rPr>
          <w:noProof/>
        </w:rPr>
      </w:pPr>
      <w:bookmarkStart w:id="6" w:name="_Hlk188962024"/>
      <w:r w:rsidRPr="00922C2A">
        <w:rPr>
          <w:noProof/>
        </w:rPr>
        <w:t>6)</w:t>
      </w:r>
      <w:r w:rsidRPr="00922C2A">
        <w:rPr>
          <w:noProof/>
        </w:rPr>
        <w:tab/>
        <w:t>«vulnérabilité dans les chaînes d’approvisionnement»: les risques et faiblesses au sein des chaînes d’approvisionnement en médicaments critiques, détectés au niveau agrégé, compte tenu de tous les médicaments autorisés dans l’Union et regroupés sous une dénomination commune qui ont la même voie d’administration et la même formulation, et compromettant la fourniture continue de ces médicaments aux patients dans l’Union;</w:t>
      </w:r>
    </w:p>
    <w:bookmarkEnd w:id="6"/>
    <w:p w14:paraId="2EA78188" w14:textId="77777777" w:rsidR="00922C2A" w:rsidRPr="00922C2A" w:rsidRDefault="00922C2A" w:rsidP="00922C2A">
      <w:pPr>
        <w:pStyle w:val="Point0"/>
        <w:rPr>
          <w:rFonts w:eastAsia="Times New Roman"/>
          <w:noProof/>
        </w:rPr>
      </w:pPr>
      <w:r w:rsidRPr="00922C2A">
        <w:rPr>
          <w:noProof/>
        </w:rPr>
        <w:t>7)</w:t>
      </w:r>
      <w:r w:rsidRPr="00922C2A">
        <w:rPr>
          <w:noProof/>
        </w:rPr>
        <w:tab/>
        <w:t xml:space="preserve">«évaluation des vulnérabilités»: l’évaluation des chaînes d’approvisionnement en médicaments critiques visant à détecter leurs vulnérabilités, effectuée par le groupe de pilotage sur les pénuries de médicaments conformément </w:t>
      </w:r>
      <w:bookmarkStart w:id="7" w:name="_Hlk189229336"/>
      <w:r w:rsidRPr="00922C2A">
        <w:rPr>
          <w:noProof/>
        </w:rPr>
        <w:t>au règlement (UE) .../... du Parlement européen et du Conseil</w:t>
      </w:r>
      <w:r w:rsidRPr="00922C2A">
        <w:rPr>
          <w:rStyle w:val="FootnoteReference"/>
          <w:rFonts w:eastAsia="Times New Roman"/>
          <w:noProof/>
          <w:lang w:eastAsia="en-GB"/>
        </w:rPr>
        <w:footnoteReference w:id="79"/>
      </w:r>
      <w:r w:rsidRPr="00922C2A">
        <w:rPr>
          <w:i/>
          <w:noProof/>
        </w:rPr>
        <w:t xml:space="preserve"> [</w:t>
      </w:r>
      <w:r w:rsidRPr="00922C2A">
        <w:rPr>
          <w:i/>
          <w:iCs/>
          <w:noProof/>
        </w:rPr>
        <w:t xml:space="preserve">référence à ajouter après adoption, voir </w:t>
      </w:r>
      <w:bookmarkEnd w:id="7"/>
      <w:r w:rsidRPr="00922C2A">
        <w:rPr>
          <w:i/>
          <w:iCs/>
          <w:noProof/>
        </w:rPr>
        <w:t>COM(2023) 193 final</w:t>
      </w:r>
      <w:r w:rsidRPr="00922C2A">
        <w:rPr>
          <w:noProof/>
        </w:rPr>
        <w:t>];</w:t>
      </w:r>
    </w:p>
    <w:p w14:paraId="6B210E0D" w14:textId="77777777" w:rsidR="00922C2A" w:rsidRPr="00922C2A" w:rsidRDefault="00922C2A" w:rsidP="00922C2A">
      <w:pPr>
        <w:pStyle w:val="Point0"/>
        <w:rPr>
          <w:rFonts w:eastAsia="Times New Roman"/>
          <w:noProof/>
        </w:rPr>
      </w:pPr>
      <w:r w:rsidRPr="00922C2A">
        <w:rPr>
          <w:noProof/>
        </w:rPr>
        <w:t>8)</w:t>
      </w:r>
      <w:r w:rsidRPr="00922C2A">
        <w:rPr>
          <w:noProof/>
        </w:rPr>
        <w:tab/>
        <w:t>«médicament»: un médicament au sens de l’article 4, point 48), de la directive (UE).../... du Parlement européen et du Conseil</w:t>
      </w:r>
      <w:r w:rsidRPr="00922C2A">
        <w:rPr>
          <w:rStyle w:val="FootnoteReference"/>
          <w:noProof/>
        </w:rPr>
        <w:t xml:space="preserve"> </w:t>
      </w:r>
      <w:r w:rsidRPr="00922C2A">
        <w:rPr>
          <w:noProof/>
        </w:rPr>
        <w:t>[</w:t>
      </w:r>
      <w:r w:rsidRPr="00922C2A">
        <w:rPr>
          <w:i/>
          <w:iCs/>
          <w:noProof/>
        </w:rPr>
        <w:t>référence à ajouter à l’article correspondant après l’adoption du document COM(2023) 192 final</w:t>
      </w:r>
      <w:r w:rsidRPr="00922C2A">
        <w:rPr>
          <w:noProof/>
        </w:rPr>
        <w:t>];</w:t>
      </w:r>
    </w:p>
    <w:p w14:paraId="6E250C25" w14:textId="77777777" w:rsidR="00922C2A" w:rsidRPr="00922C2A" w:rsidRDefault="00922C2A" w:rsidP="00922C2A">
      <w:pPr>
        <w:pStyle w:val="Point0"/>
        <w:rPr>
          <w:rFonts w:eastAsia="Times New Roman"/>
          <w:noProof/>
        </w:rPr>
      </w:pPr>
      <w:r w:rsidRPr="00922C2A">
        <w:rPr>
          <w:noProof/>
        </w:rPr>
        <w:t>9)</w:t>
      </w:r>
      <w:r w:rsidRPr="00922C2A">
        <w:rPr>
          <w:noProof/>
        </w:rPr>
        <w:tab/>
        <w:t>«pouvoirs adjudicateurs»: les pouvoirs adjudicateurs au sens de l’article 2, paragraphe 1, point 1), de la directive 2014/24/UE;</w:t>
      </w:r>
    </w:p>
    <w:p w14:paraId="1E4FD85C" w14:textId="77777777" w:rsidR="00922C2A" w:rsidRPr="00922C2A" w:rsidRDefault="00922C2A" w:rsidP="00922C2A">
      <w:pPr>
        <w:pStyle w:val="Point0"/>
        <w:rPr>
          <w:rFonts w:eastAsia="Times New Roman"/>
          <w:noProof/>
        </w:rPr>
      </w:pPr>
      <w:r w:rsidRPr="00922C2A">
        <w:rPr>
          <w:noProof/>
        </w:rPr>
        <w:t>10)</w:t>
      </w:r>
      <w:r w:rsidRPr="00922C2A">
        <w:rPr>
          <w:noProof/>
        </w:rPr>
        <w:tab/>
        <w:t>«projet stratégique»: un projet industriel considéré comme stratégique conformément aux critères énoncés à l’article 5;</w:t>
      </w:r>
    </w:p>
    <w:p w14:paraId="782C1111" w14:textId="77777777" w:rsidR="00922C2A" w:rsidRPr="00922C2A" w:rsidRDefault="00922C2A" w:rsidP="00922C2A">
      <w:pPr>
        <w:pStyle w:val="Point0"/>
        <w:rPr>
          <w:rFonts w:eastAsia="Times New Roman"/>
          <w:noProof/>
        </w:rPr>
      </w:pPr>
      <w:r w:rsidRPr="00922C2A">
        <w:rPr>
          <w:noProof/>
        </w:rPr>
        <w:t>11)</w:t>
      </w:r>
      <w:r w:rsidRPr="00922C2A">
        <w:rPr>
          <w:noProof/>
        </w:rPr>
        <w:tab/>
        <w:t>«promoteur de projet»: toute entreprise ou tout consortium d’entreprises qui développe un projet stratégique;</w:t>
      </w:r>
    </w:p>
    <w:p w14:paraId="4D97BC99" w14:textId="77777777" w:rsidR="00922C2A" w:rsidRPr="00922C2A" w:rsidRDefault="00922C2A" w:rsidP="00922C2A">
      <w:pPr>
        <w:pStyle w:val="Point0"/>
        <w:rPr>
          <w:rFonts w:eastAsia="Times New Roman"/>
          <w:noProof/>
        </w:rPr>
      </w:pPr>
      <w:r w:rsidRPr="00922C2A">
        <w:rPr>
          <w:noProof/>
        </w:rPr>
        <w:t>12)</w:t>
      </w:r>
      <w:r w:rsidRPr="00922C2A">
        <w:rPr>
          <w:noProof/>
        </w:rPr>
        <w:tab/>
        <w:t>«procédure d’octroi des permis»: une procédure qui concerne l’ensemble des permis pertinents pour la construction et l’exploitation d’un projet stratégique, y compris les permis de construction, d’utilisation de produits chimiques et de raccordement au réseau ainsi que les évaluations environnementales et les autorisations lorsque ceux-ci sont requis, et qui englobe toutes les demandes et procédures;</w:t>
      </w:r>
    </w:p>
    <w:p w14:paraId="512B2A80" w14:textId="77777777" w:rsidR="00922C2A" w:rsidRPr="00922C2A" w:rsidRDefault="00922C2A" w:rsidP="00922C2A">
      <w:pPr>
        <w:pStyle w:val="Point0"/>
        <w:rPr>
          <w:rFonts w:eastAsia="Times New Roman"/>
          <w:noProof/>
        </w:rPr>
      </w:pPr>
      <w:r w:rsidRPr="00922C2A">
        <w:rPr>
          <w:noProof/>
        </w:rPr>
        <w:t>13)</w:t>
      </w:r>
      <w:r w:rsidRPr="00922C2A">
        <w:rPr>
          <w:noProof/>
        </w:rPr>
        <w:tab/>
        <w:t xml:space="preserve">«procédé de fabrication innovant»: un nouveau procédé ou technologie de fabrication ou une application nouvelle d’une technologie existante, y compris, mais sans s’y limiter, la fabrication décentralisée, la fabrication en continu, l’intelligence artificielle, les techniques de plateforme et la fabrication 3D; </w:t>
      </w:r>
    </w:p>
    <w:p w14:paraId="000A4014" w14:textId="77777777" w:rsidR="00922C2A" w:rsidRPr="00922C2A" w:rsidRDefault="00922C2A" w:rsidP="00922C2A">
      <w:pPr>
        <w:pStyle w:val="Point0"/>
        <w:rPr>
          <w:rFonts w:eastAsia="Times New Roman"/>
          <w:noProof/>
        </w:rPr>
      </w:pPr>
      <w:r w:rsidRPr="00922C2A">
        <w:rPr>
          <w:noProof/>
        </w:rPr>
        <w:t>15)</w:t>
      </w:r>
      <w:r w:rsidRPr="00922C2A">
        <w:rPr>
          <w:noProof/>
        </w:rPr>
        <w:tab/>
        <w:t>«passation transfrontière de marchés entre États membres»: une procédure de passation de marché engagée entre des pouvoirs adjudicateurs de différents États membres sur la base de l’article 39 de la directive 2014/24/UE;</w:t>
      </w:r>
    </w:p>
    <w:p w14:paraId="2448EEFF" w14:textId="77777777" w:rsidR="00922C2A" w:rsidRPr="00922C2A" w:rsidRDefault="00922C2A" w:rsidP="00922C2A">
      <w:pPr>
        <w:pStyle w:val="Point0"/>
        <w:rPr>
          <w:rFonts w:eastAsia="Times New Roman"/>
          <w:noProof/>
        </w:rPr>
      </w:pPr>
      <w:r w:rsidRPr="00922C2A">
        <w:rPr>
          <w:noProof/>
        </w:rPr>
        <w:t>16)</w:t>
      </w:r>
      <w:r w:rsidRPr="00922C2A">
        <w:rPr>
          <w:noProof/>
        </w:rPr>
        <w:tab/>
        <w:t xml:space="preserve">«passation de marchés pour le compte ou au nom des États membres»: une procédure de passation de marchés engagée à la demande des États membres et en vertu de laquelle la Commission est mandatée pour agir en tant que centrale d’achat pour le compte ou au nom des États membres demandeurs, conformément à l’article 168, paragraphe 3, du règlement (UE) 2024/2509; </w:t>
      </w:r>
    </w:p>
    <w:p w14:paraId="1D057B2A" w14:textId="77777777" w:rsidR="00922C2A" w:rsidRPr="00922C2A" w:rsidRDefault="00922C2A" w:rsidP="00922C2A">
      <w:pPr>
        <w:pStyle w:val="Point0"/>
        <w:rPr>
          <w:rFonts w:eastAsia="Times New Roman"/>
          <w:noProof/>
        </w:rPr>
      </w:pPr>
      <w:r w:rsidRPr="00922C2A">
        <w:rPr>
          <w:noProof/>
        </w:rPr>
        <w:t>17)</w:t>
      </w:r>
      <w:r w:rsidRPr="00922C2A">
        <w:rPr>
          <w:noProof/>
        </w:rPr>
        <w:tab/>
        <w:t>«passation conjointe de marchés»: une procédure de passation de marchés menée conjointement par la Commission et les États membres, conformément à l’article 168, paragraphe 2, du règlement (UE) 2024/2509;</w:t>
      </w:r>
    </w:p>
    <w:p w14:paraId="7652C928" w14:textId="77777777" w:rsidR="00922C2A" w:rsidRPr="00922C2A" w:rsidRDefault="00922C2A" w:rsidP="00922C2A">
      <w:pPr>
        <w:pStyle w:val="Point0"/>
        <w:rPr>
          <w:rFonts w:eastAsia="Times New Roman"/>
          <w:noProof/>
        </w:rPr>
      </w:pPr>
      <w:r w:rsidRPr="00922C2A">
        <w:rPr>
          <w:noProof/>
        </w:rPr>
        <w:t>18)</w:t>
      </w:r>
      <w:r w:rsidRPr="00922C2A">
        <w:rPr>
          <w:noProof/>
        </w:rPr>
        <w:tab/>
        <w:t>«fournisseur»: le fabricant ou le titulaire de l’autorisation de mise sur le marché de formes pharmaceutiques finies, ou le fabricant d’intrants essentiels ou de substances actives;</w:t>
      </w:r>
    </w:p>
    <w:p w14:paraId="60FBE7A2" w14:textId="77777777" w:rsidR="00922C2A" w:rsidRPr="00922C2A" w:rsidRDefault="00922C2A" w:rsidP="00922C2A">
      <w:pPr>
        <w:pStyle w:val="Point0"/>
        <w:rPr>
          <w:rFonts w:eastAsia="Times New Roman"/>
          <w:noProof/>
        </w:rPr>
      </w:pPr>
      <w:r w:rsidRPr="00922C2A">
        <w:rPr>
          <w:noProof/>
        </w:rPr>
        <w:t>19)</w:t>
      </w:r>
      <w:r w:rsidRPr="00922C2A">
        <w:rPr>
          <w:noProof/>
        </w:rPr>
        <w:tab/>
        <w:t>«partenariat stratégique»: l’engagement entre l’Union et un pays tiers, un groupe de pays tiers ou des organisations internationales d’accroître la coopération relative à un ou plusieurs médicaments critiques, qui est établi au moyen d’un instrument non contraignant et qui facilite des résultats bénéfiques tant pour l’Union que pour le pays tiers, le groupe de pays tiers ou l’organisation internationale concernés.</w:t>
      </w:r>
    </w:p>
    <w:p w14:paraId="3AF22577" w14:textId="77777777" w:rsidR="00922C2A" w:rsidRPr="00922C2A" w:rsidRDefault="00922C2A" w:rsidP="00922C2A">
      <w:pPr>
        <w:pStyle w:val="ChapterTitle"/>
        <w:rPr>
          <w:noProof/>
        </w:rPr>
      </w:pPr>
      <w:r w:rsidRPr="00922C2A">
        <w:rPr>
          <w:noProof/>
        </w:rPr>
        <w:t>Chapitre II</w:t>
      </w:r>
      <w:r w:rsidRPr="00922C2A">
        <w:rPr>
          <w:noProof/>
        </w:rPr>
        <w:br/>
        <w:t>Renforcer la sécurité de l’approvisionnement de l’Union</w:t>
      </w:r>
    </w:p>
    <w:p w14:paraId="76942A7B" w14:textId="77777777" w:rsidR="00922C2A" w:rsidRPr="00922C2A" w:rsidRDefault="00922C2A" w:rsidP="00922C2A">
      <w:pPr>
        <w:pStyle w:val="Titrearticle"/>
        <w:rPr>
          <w:noProof/>
        </w:rPr>
      </w:pPr>
      <w:r w:rsidRPr="00922C2A">
        <w:rPr>
          <w:noProof/>
        </w:rPr>
        <w:t>Article 4</w:t>
      </w:r>
    </w:p>
    <w:p w14:paraId="2D2EB23C" w14:textId="77777777" w:rsidR="00922C2A" w:rsidRPr="00922C2A" w:rsidRDefault="00922C2A" w:rsidP="00922C2A">
      <w:pPr>
        <w:jc w:val="center"/>
        <w:rPr>
          <w:i/>
          <w:noProof/>
        </w:rPr>
      </w:pPr>
      <w:r w:rsidRPr="00922C2A">
        <w:rPr>
          <w:i/>
          <w:noProof/>
        </w:rPr>
        <w:t>Objectif stratégique de l’Union</w:t>
      </w:r>
    </w:p>
    <w:p w14:paraId="737883E2" w14:textId="77777777" w:rsidR="00922C2A" w:rsidRPr="00922C2A" w:rsidRDefault="00922C2A" w:rsidP="00922C2A">
      <w:pPr>
        <w:pStyle w:val="Point0"/>
        <w:rPr>
          <w:noProof/>
        </w:rPr>
      </w:pPr>
      <w:r w:rsidRPr="00922C2A">
        <w:rPr>
          <w:noProof/>
        </w:rPr>
        <w:t>1.</w:t>
      </w:r>
      <w:r w:rsidRPr="00922C2A">
        <w:rPr>
          <w:noProof/>
        </w:rPr>
        <w:tab/>
        <w:t xml:space="preserve">La sécurité de l’approvisionnement et la disponibilité des médicaments critiques pour les patients font partie des objectifs stratégiques de l’Union. </w:t>
      </w:r>
    </w:p>
    <w:p w14:paraId="71685801" w14:textId="77777777" w:rsidR="00922C2A" w:rsidRPr="00922C2A" w:rsidRDefault="00922C2A" w:rsidP="00922C2A">
      <w:pPr>
        <w:pStyle w:val="Point0"/>
        <w:rPr>
          <w:noProof/>
        </w:rPr>
      </w:pPr>
      <w:r w:rsidRPr="00922C2A">
        <w:rPr>
          <w:noProof/>
        </w:rPr>
        <w:t>2.</w:t>
      </w:r>
      <w:r w:rsidRPr="00922C2A">
        <w:rPr>
          <w:noProof/>
        </w:rPr>
        <w:tab/>
        <w:t xml:space="preserve">Les États membres et la Commission collaborent pour renforcer la sécurité de l’approvisionnement et la disponibilité continue des médicaments critiques dans l’Union au moyen de mesures qui tirent pleinement parti du potentiel du marché intérieur. </w:t>
      </w:r>
    </w:p>
    <w:p w14:paraId="4B051593" w14:textId="77777777" w:rsidR="00922C2A" w:rsidRPr="00922C2A" w:rsidRDefault="00922C2A" w:rsidP="00922C2A">
      <w:pPr>
        <w:pStyle w:val="Point0"/>
        <w:rPr>
          <w:noProof/>
        </w:rPr>
      </w:pPr>
      <w:r w:rsidRPr="00922C2A">
        <w:rPr>
          <w:noProof/>
        </w:rPr>
        <w:t>3.</w:t>
      </w:r>
      <w:r w:rsidRPr="00922C2A">
        <w:rPr>
          <w:noProof/>
        </w:rPr>
        <w:tab/>
        <w:t xml:space="preserve">La Commission soutient les efforts coordonnés des États membres. </w:t>
      </w:r>
    </w:p>
    <w:p w14:paraId="1D1981F2" w14:textId="77777777" w:rsidR="00922C2A" w:rsidRPr="00922C2A" w:rsidRDefault="00922C2A" w:rsidP="00922C2A">
      <w:pPr>
        <w:rPr>
          <w:noProof/>
        </w:rPr>
      </w:pPr>
    </w:p>
    <w:p w14:paraId="769AD6B6" w14:textId="77777777" w:rsidR="00922C2A" w:rsidRPr="00922C2A" w:rsidRDefault="00922C2A" w:rsidP="00922C2A">
      <w:pPr>
        <w:pStyle w:val="ChapterTitle"/>
        <w:rPr>
          <w:noProof/>
        </w:rPr>
      </w:pPr>
      <w:r w:rsidRPr="00922C2A">
        <w:rPr>
          <w:noProof/>
        </w:rPr>
        <w:t>Chapitre III</w:t>
      </w:r>
      <w:r w:rsidRPr="00922C2A">
        <w:rPr>
          <w:noProof/>
        </w:rPr>
        <w:br/>
        <w:t>Créer des conditions propices à l’investissement</w:t>
      </w:r>
    </w:p>
    <w:p w14:paraId="2D2BEDFE" w14:textId="77777777" w:rsidR="00922C2A" w:rsidRPr="00922C2A" w:rsidRDefault="00922C2A" w:rsidP="00922C2A">
      <w:pPr>
        <w:pStyle w:val="SectionTitle"/>
        <w:rPr>
          <w:noProof/>
        </w:rPr>
      </w:pPr>
      <w:r w:rsidRPr="00922C2A">
        <w:rPr>
          <w:noProof/>
        </w:rPr>
        <w:t>Section I</w:t>
      </w:r>
    </w:p>
    <w:p w14:paraId="0955F614" w14:textId="77777777" w:rsidR="00922C2A" w:rsidRPr="00922C2A" w:rsidRDefault="00922C2A" w:rsidP="00922C2A">
      <w:pPr>
        <w:pStyle w:val="SectionTitle"/>
        <w:rPr>
          <w:noProof/>
          <w:szCs w:val="32"/>
        </w:rPr>
      </w:pPr>
      <w:r w:rsidRPr="00922C2A">
        <w:rPr>
          <w:noProof/>
          <w:sz w:val="32"/>
        </w:rPr>
        <w:t>Critères et procédure pour la reconnaissance de projets stratégiques</w:t>
      </w:r>
    </w:p>
    <w:p w14:paraId="41CE17B6" w14:textId="77777777" w:rsidR="00922C2A" w:rsidRPr="00922C2A" w:rsidRDefault="00922C2A" w:rsidP="00922C2A">
      <w:pPr>
        <w:pStyle w:val="Titrearticle"/>
        <w:rPr>
          <w:noProof/>
        </w:rPr>
      </w:pPr>
      <w:r w:rsidRPr="00922C2A">
        <w:rPr>
          <w:noProof/>
        </w:rPr>
        <w:t>Article 5</w:t>
      </w:r>
    </w:p>
    <w:p w14:paraId="1A706EAC" w14:textId="77777777" w:rsidR="00922C2A" w:rsidRPr="00922C2A" w:rsidRDefault="00922C2A" w:rsidP="00922C2A">
      <w:pPr>
        <w:jc w:val="center"/>
        <w:rPr>
          <w:i/>
          <w:noProof/>
        </w:rPr>
      </w:pPr>
      <w:r w:rsidRPr="00922C2A">
        <w:rPr>
          <w:i/>
          <w:noProof/>
        </w:rPr>
        <w:t>Projets stratégiques</w:t>
      </w:r>
    </w:p>
    <w:p w14:paraId="66526FE2" w14:textId="77777777" w:rsidR="00922C2A" w:rsidRPr="00922C2A" w:rsidRDefault="00922C2A" w:rsidP="00922C2A">
      <w:pPr>
        <w:rPr>
          <w:noProof/>
        </w:rPr>
      </w:pPr>
      <w:r w:rsidRPr="00922C2A">
        <w:rPr>
          <w:noProof/>
        </w:rPr>
        <w:t>Un projet situé dans l’Union et lié à la création ou à l’augmentation de capacités de fabrication est considéré comme un projet stratégique dès lors qu’il remplit au moins l’un des critères suivants:</w:t>
      </w:r>
    </w:p>
    <w:p w14:paraId="039B222C" w14:textId="77777777" w:rsidR="00922C2A" w:rsidRPr="00922C2A" w:rsidRDefault="00922C2A" w:rsidP="00922C2A">
      <w:pPr>
        <w:pStyle w:val="Point0"/>
        <w:rPr>
          <w:rFonts w:eastAsia="Times New Roman"/>
          <w:noProof/>
        </w:rPr>
      </w:pPr>
      <w:r w:rsidRPr="00922C2A">
        <w:rPr>
          <w:noProof/>
        </w:rPr>
        <w:t>a)</w:t>
      </w:r>
      <w:r w:rsidRPr="00922C2A">
        <w:rPr>
          <w:noProof/>
        </w:rPr>
        <w:tab/>
        <w:t>il crée ou augmente les capacités pour la fabrication d’un ou de plusieurs médicaments critiques ou pour la collecte ou la fabrication de leurs substances actives;</w:t>
      </w:r>
    </w:p>
    <w:p w14:paraId="717AA921" w14:textId="77777777" w:rsidR="00922C2A" w:rsidRPr="00922C2A" w:rsidRDefault="00922C2A" w:rsidP="00922C2A">
      <w:pPr>
        <w:pStyle w:val="Point0"/>
        <w:rPr>
          <w:rFonts w:eastAsia="Times New Roman"/>
          <w:noProof/>
        </w:rPr>
      </w:pPr>
      <w:r w:rsidRPr="00922C2A">
        <w:rPr>
          <w:noProof/>
        </w:rPr>
        <w:t>b)</w:t>
      </w:r>
      <w:r w:rsidRPr="00922C2A">
        <w:rPr>
          <w:noProof/>
        </w:rPr>
        <w:tab/>
        <w:t xml:space="preserve">il modernise un site de fabrication existant pour un ou plusieurs médicaments critiques ou leurs substances actives afin de garantir une meilleure durabilité ou une efficacité accrue; </w:t>
      </w:r>
    </w:p>
    <w:p w14:paraId="09B74B35" w14:textId="77777777" w:rsidR="00922C2A" w:rsidRPr="00922C2A" w:rsidRDefault="00922C2A" w:rsidP="00922C2A">
      <w:pPr>
        <w:pStyle w:val="Point0"/>
        <w:rPr>
          <w:rFonts w:eastAsia="Times New Roman"/>
          <w:noProof/>
        </w:rPr>
      </w:pPr>
      <w:r w:rsidRPr="00922C2A">
        <w:rPr>
          <w:noProof/>
        </w:rPr>
        <w:t>c)</w:t>
      </w:r>
      <w:r w:rsidRPr="00922C2A">
        <w:rPr>
          <w:noProof/>
        </w:rPr>
        <w:tab/>
        <w:t xml:space="preserve">il crée ou augmente les capacités de fabrication d’intrants essentiels nécessaires à la fabrication d’un ou de plusieurs médicaments critiques ou de leurs substances actives; </w:t>
      </w:r>
    </w:p>
    <w:p w14:paraId="57CCD93D" w14:textId="77777777" w:rsidR="00922C2A" w:rsidRPr="00922C2A" w:rsidRDefault="00922C2A" w:rsidP="00922C2A">
      <w:pPr>
        <w:pStyle w:val="Point0"/>
        <w:rPr>
          <w:rFonts w:eastAsia="Times New Roman"/>
          <w:noProof/>
        </w:rPr>
      </w:pPr>
      <w:r w:rsidRPr="00922C2A">
        <w:rPr>
          <w:noProof/>
        </w:rPr>
        <w:t>d)</w:t>
      </w:r>
      <w:r w:rsidRPr="00922C2A">
        <w:rPr>
          <w:noProof/>
        </w:rPr>
        <w:tab/>
        <w:t>il contribue au déploiement d’une technologie jouant un rôle clé pour permettre la fabrication d’un ou de plusieurs médicaments critiques, de leurs substances actives ou de leurs intrants essentiels.</w:t>
      </w:r>
    </w:p>
    <w:p w14:paraId="68B6E0B5" w14:textId="77777777" w:rsidR="00922C2A" w:rsidRPr="00922C2A" w:rsidRDefault="00922C2A" w:rsidP="00922C2A">
      <w:pPr>
        <w:pStyle w:val="Titrearticle"/>
        <w:rPr>
          <w:noProof/>
        </w:rPr>
      </w:pPr>
      <w:r w:rsidRPr="00922C2A">
        <w:rPr>
          <w:noProof/>
        </w:rPr>
        <w:t>Article 6</w:t>
      </w:r>
    </w:p>
    <w:p w14:paraId="4AD78101" w14:textId="77777777" w:rsidR="00922C2A" w:rsidRPr="00922C2A" w:rsidRDefault="00922C2A" w:rsidP="00922C2A">
      <w:pPr>
        <w:jc w:val="center"/>
        <w:rPr>
          <w:i/>
          <w:noProof/>
        </w:rPr>
      </w:pPr>
      <w:r w:rsidRPr="00922C2A">
        <w:rPr>
          <w:i/>
          <w:noProof/>
        </w:rPr>
        <w:t>Reconnaissance de projets stratégiques</w:t>
      </w:r>
    </w:p>
    <w:p w14:paraId="487CE9DD" w14:textId="77777777" w:rsidR="00922C2A" w:rsidRPr="00922C2A" w:rsidRDefault="00922C2A" w:rsidP="00922C2A">
      <w:pPr>
        <w:pStyle w:val="Point0"/>
        <w:rPr>
          <w:rFonts w:eastAsia="Times New Roman"/>
          <w:noProof/>
        </w:rPr>
      </w:pPr>
      <w:r w:rsidRPr="00922C2A">
        <w:rPr>
          <w:noProof/>
        </w:rPr>
        <w:t>1.</w:t>
      </w:r>
      <w:r w:rsidRPr="00922C2A">
        <w:rPr>
          <w:noProof/>
        </w:rPr>
        <w:tab/>
        <w:t>Chaque État membre désigne une autorité (ci-après l’«autorité désignée») qui évalue et vérifie si un projet remplit ou non au moins l’un des critères énoncés à l’article 5 et constitue de ce fait un projet stratégique.</w:t>
      </w:r>
    </w:p>
    <w:p w14:paraId="7B24AFB4" w14:textId="77777777" w:rsidR="00922C2A" w:rsidRPr="00922C2A" w:rsidRDefault="00922C2A" w:rsidP="00922C2A">
      <w:pPr>
        <w:pStyle w:val="Text1"/>
        <w:rPr>
          <w:noProof/>
        </w:rPr>
      </w:pPr>
      <w:r w:rsidRPr="00922C2A">
        <w:rPr>
          <w:noProof/>
        </w:rPr>
        <w:t>Un promoteur peut demander à l’autorité désignée d’évaluer si un projet constitue un projet stratégique.</w:t>
      </w:r>
    </w:p>
    <w:p w14:paraId="49758639" w14:textId="77777777" w:rsidR="00922C2A" w:rsidRPr="00922C2A" w:rsidRDefault="00922C2A" w:rsidP="00922C2A">
      <w:pPr>
        <w:pStyle w:val="Text1"/>
        <w:rPr>
          <w:rFonts w:eastAsia="Times New Roman"/>
          <w:noProof/>
        </w:rPr>
      </w:pPr>
      <w:r w:rsidRPr="00922C2A">
        <w:rPr>
          <w:noProof/>
        </w:rPr>
        <w:t xml:space="preserve">Toute autorité d’un État membre peut demander à l’autorité désignée de vérifier les conclusions de son évaluation quant au caractère stratégique ou non stratégique d’un projet. </w:t>
      </w:r>
    </w:p>
    <w:p w14:paraId="3CAB2009" w14:textId="77777777" w:rsidR="00922C2A" w:rsidRPr="00922C2A" w:rsidRDefault="00922C2A" w:rsidP="00922C2A">
      <w:pPr>
        <w:pStyle w:val="Point0"/>
        <w:rPr>
          <w:rFonts w:eastAsia="Times New Roman"/>
          <w:noProof/>
        </w:rPr>
      </w:pPr>
      <w:r w:rsidRPr="00922C2A">
        <w:rPr>
          <w:noProof/>
        </w:rPr>
        <w:t>2.</w:t>
      </w:r>
      <w:r w:rsidRPr="00922C2A">
        <w:rPr>
          <w:noProof/>
        </w:rPr>
        <w:tab/>
        <w:t xml:space="preserve">Les États membres indiquent à la Commission quelle est l’autorité désignée aux fins du paragraphe 1. </w:t>
      </w:r>
    </w:p>
    <w:p w14:paraId="0BF8BF42" w14:textId="77777777" w:rsidR="00922C2A" w:rsidRPr="00922C2A" w:rsidRDefault="00922C2A" w:rsidP="00922C2A">
      <w:pPr>
        <w:pStyle w:val="Point0"/>
        <w:rPr>
          <w:rFonts w:eastAsia="Times New Roman"/>
          <w:noProof/>
        </w:rPr>
      </w:pPr>
      <w:r w:rsidRPr="00922C2A">
        <w:rPr>
          <w:noProof/>
        </w:rPr>
        <w:t>3.</w:t>
      </w:r>
      <w:r w:rsidRPr="00922C2A">
        <w:rPr>
          <w:noProof/>
        </w:rPr>
        <w:tab/>
        <w:t xml:space="preserve">La Commission met à disposition une page web simple et accessible, où les coordonnées et autres informations pertinentes concernant les autorités désignées des États membres sont clairement répertoriées. </w:t>
      </w:r>
    </w:p>
    <w:p w14:paraId="60CDED1D" w14:textId="77777777" w:rsidR="00922C2A" w:rsidRPr="00922C2A" w:rsidRDefault="00922C2A" w:rsidP="00922C2A">
      <w:pPr>
        <w:pStyle w:val="Point0"/>
        <w:rPr>
          <w:rFonts w:eastAsia="Times New Roman"/>
          <w:noProof/>
        </w:rPr>
      </w:pPr>
      <w:r w:rsidRPr="00922C2A">
        <w:rPr>
          <w:noProof/>
        </w:rPr>
        <w:t>4.</w:t>
      </w:r>
      <w:r w:rsidRPr="00922C2A">
        <w:rPr>
          <w:noProof/>
        </w:rPr>
        <w:tab/>
        <w:t xml:space="preserve">Toute autre autorité d’un État membre qui reçoit une demande d’un promoteur concernant les articles 8 à 14 évalue si le projet concerné remplit les critères pour être considéré comme un projet stratégique au sens de l’article 5 et, si nécessaire, demande à l’autorité désignée de vérifier les conclusions de son évaluation. </w:t>
      </w:r>
    </w:p>
    <w:p w14:paraId="570E5CD5" w14:textId="77777777" w:rsidR="00922C2A" w:rsidRPr="00922C2A" w:rsidRDefault="00922C2A" w:rsidP="00922C2A">
      <w:pPr>
        <w:pStyle w:val="Point0"/>
        <w:rPr>
          <w:rFonts w:eastAsia="Times New Roman"/>
          <w:noProof/>
        </w:rPr>
      </w:pPr>
      <w:r w:rsidRPr="00922C2A">
        <w:rPr>
          <w:noProof/>
        </w:rPr>
        <w:t>5.</w:t>
      </w:r>
      <w:r w:rsidRPr="00922C2A">
        <w:rPr>
          <w:noProof/>
        </w:rPr>
        <w:tab/>
        <w:t xml:space="preserve">Lorsqu’une autorité a vérifié le caractère stratégique d’un projet conformément au présent article, toute autre autorité s’appuie sur la vérification effectuée. </w:t>
      </w:r>
    </w:p>
    <w:p w14:paraId="5D0C356A" w14:textId="77777777" w:rsidR="00922C2A" w:rsidRPr="00922C2A" w:rsidRDefault="00922C2A" w:rsidP="00922C2A">
      <w:pPr>
        <w:rPr>
          <w:noProof/>
          <w:lang w:eastAsia="en-GB"/>
        </w:rPr>
      </w:pPr>
    </w:p>
    <w:p w14:paraId="3869FBC6" w14:textId="77777777" w:rsidR="00922C2A" w:rsidRPr="00922C2A" w:rsidRDefault="00922C2A" w:rsidP="00922C2A">
      <w:pPr>
        <w:pStyle w:val="SectionTitle"/>
        <w:rPr>
          <w:noProof/>
        </w:rPr>
      </w:pPr>
      <w:r w:rsidRPr="00922C2A">
        <w:rPr>
          <w:noProof/>
        </w:rPr>
        <w:t>Section II</w:t>
      </w:r>
    </w:p>
    <w:p w14:paraId="54ECB3B8" w14:textId="77777777" w:rsidR="00922C2A" w:rsidRPr="00922C2A" w:rsidRDefault="00922C2A" w:rsidP="00922C2A">
      <w:pPr>
        <w:pStyle w:val="SectionTitle"/>
        <w:rPr>
          <w:b w:val="0"/>
          <w:noProof/>
        </w:rPr>
      </w:pPr>
      <w:r w:rsidRPr="00922C2A">
        <w:rPr>
          <w:noProof/>
        </w:rPr>
        <w:t>Simplification des procédures administratives et des procédures d’octroi des permis</w:t>
      </w:r>
    </w:p>
    <w:p w14:paraId="17B77D0D" w14:textId="77777777" w:rsidR="00922C2A" w:rsidRPr="00922C2A" w:rsidRDefault="00922C2A" w:rsidP="00922C2A">
      <w:pPr>
        <w:pStyle w:val="Titrearticle"/>
        <w:rPr>
          <w:noProof/>
        </w:rPr>
      </w:pPr>
      <w:bookmarkStart w:id="8" w:name="_Hlk192166497"/>
      <w:r w:rsidRPr="00922C2A">
        <w:rPr>
          <w:noProof/>
        </w:rPr>
        <w:t>Article 7</w:t>
      </w:r>
    </w:p>
    <w:p w14:paraId="75452214" w14:textId="77777777" w:rsidR="00922C2A" w:rsidRPr="00922C2A" w:rsidRDefault="00922C2A" w:rsidP="00922C2A">
      <w:pPr>
        <w:jc w:val="center"/>
        <w:rPr>
          <w:noProof/>
        </w:rPr>
      </w:pPr>
      <w:r w:rsidRPr="00922C2A">
        <w:rPr>
          <w:i/>
          <w:noProof/>
        </w:rPr>
        <w:t>Statut prioritaire des projets stratégiques</w:t>
      </w:r>
    </w:p>
    <w:p w14:paraId="7839489B" w14:textId="77777777" w:rsidR="00922C2A" w:rsidRPr="00922C2A" w:rsidRDefault="00922C2A" w:rsidP="00922C2A">
      <w:pPr>
        <w:rPr>
          <w:noProof/>
        </w:rPr>
      </w:pPr>
      <w:r w:rsidRPr="00922C2A">
        <w:rPr>
          <w:noProof/>
        </w:rPr>
        <w:t xml:space="preserve">Les projets stratégiques sont considérés comme contribuant à la sécurité de l’approvisionnement en médicaments critiques dans l’Union et donc comme étant d’intérêt public. </w:t>
      </w:r>
    </w:p>
    <w:p w14:paraId="48A35F83" w14:textId="77777777" w:rsidR="00922C2A" w:rsidRPr="00922C2A" w:rsidRDefault="00922C2A" w:rsidP="00922C2A">
      <w:pPr>
        <w:rPr>
          <w:noProof/>
        </w:rPr>
      </w:pPr>
      <w:r w:rsidRPr="00922C2A">
        <w:rPr>
          <w:noProof/>
        </w:rPr>
        <w:t xml:space="preserve">Les autorités des États membres veillent à ce que les procédures d’octroi des permis pertinents concernant des projets stratégiques soient menées à bien de la manière la plus rapide possible, en mettant à disposition, notamment, toute forme de procédures accélérées existant dans le droit de l’Union et le droit national en vigueur. </w:t>
      </w:r>
    </w:p>
    <w:bookmarkEnd w:id="8"/>
    <w:p w14:paraId="3E941283" w14:textId="77777777" w:rsidR="00922C2A" w:rsidRPr="00922C2A" w:rsidRDefault="00922C2A" w:rsidP="00922C2A">
      <w:pPr>
        <w:pStyle w:val="Titrearticle"/>
        <w:rPr>
          <w:noProof/>
        </w:rPr>
      </w:pPr>
      <w:r w:rsidRPr="00922C2A">
        <w:rPr>
          <w:noProof/>
        </w:rPr>
        <w:t>Article 8</w:t>
      </w:r>
    </w:p>
    <w:p w14:paraId="5196F0F9" w14:textId="77777777" w:rsidR="00922C2A" w:rsidRPr="00922C2A" w:rsidRDefault="00922C2A" w:rsidP="00922C2A">
      <w:pPr>
        <w:ind w:left="360"/>
        <w:jc w:val="center"/>
        <w:rPr>
          <w:i/>
          <w:noProof/>
        </w:rPr>
      </w:pPr>
      <w:r w:rsidRPr="00922C2A">
        <w:rPr>
          <w:i/>
          <w:noProof/>
        </w:rPr>
        <w:t>Soutien administratif</w:t>
      </w:r>
    </w:p>
    <w:p w14:paraId="26A761F1" w14:textId="77777777" w:rsidR="00922C2A" w:rsidRPr="00922C2A" w:rsidRDefault="00922C2A" w:rsidP="00922C2A">
      <w:pPr>
        <w:pStyle w:val="Point0"/>
        <w:rPr>
          <w:i/>
          <w:noProof/>
        </w:rPr>
      </w:pPr>
      <w:r w:rsidRPr="00922C2A">
        <w:rPr>
          <w:noProof/>
        </w:rPr>
        <w:t>1.</w:t>
      </w:r>
      <w:r w:rsidRPr="00922C2A">
        <w:rPr>
          <w:noProof/>
        </w:rPr>
        <w:tab/>
        <w:t>À la demande d’un promoteur de projet, un État membre fournit, pour un projet stratégique situé sur son territoire, tout le soutien administratif nécessaire pour faciliter sa mise en œuvre efficace et en temps utile, y compris une assistance:</w:t>
      </w:r>
    </w:p>
    <w:p w14:paraId="7E651A16" w14:textId="77777777" w:rsidR="00922C2A" w:rsidRPr="00922C2A" w:rsidRDefault="00922C2A" w:rsidP="00922C2A">
      <w:pPr>
        <w:pStyle w:val="Point1"/>
        <w:rPr>
          <w:i/>
          <w:noProof/>
        </w:rPr>
      </w:pPr>
      <w:r w:rsidRPr="00922C2A">
        <w:rPr>
          <w:noProof/>
        </w:rPr>
        <w:t>a)</w:t>
      </w:r>
      <w:r w:rsidRPr="00922C2A">
        <w:rPr>
          <w:noProof/>
        </w:rPr>
        <w:tab/>
        <w:t>en ce qui concerne le respect des obligations administratives et des obligations de rapport applicables;</w:t>
      </w:r>
    </w:p>
    <w:p w14:paraId="07A6BF66" w14:textId="77777777" w:rsidR="00922C2A" w:rsidRPr="00922C2A" w:rsidRDefault="00922C2A" w:rsidP="00922C2A">
      <w:pPr>
        <w:pStyle w:val="Point1"/>
        <w:rPr>
          <w:rFonts w:eastAsia="Times New Roman"/>
          <w:i/>
          <w:noProof/>
        </w:rPr>
      </w:pPr>
      <w:r w:rsidRPr="00922C2A">
        <w:rPr>
          <w:noProof/>
        </w:rPr>
        <w:t>b)</w:t>
      </w:r>
      <w:r w:rsidRPr="00922C2A">
        <w:rPr>
          <w:noProof/>
        </w:rPr>
        <w:tab/>
        <w:t>en ce qui concerne l’information du public dans le but d’accroître l’acceptation du projet stratégique par le public;</w:t>
      </w:r>
    </w:p>
    <w:p w14:paraId="230953D8" w14:textId="77777777" w:rsidR="00922C2A" w:rsidRPr="00922C2A" w:rsidRDefault="00922C2A" w:rsidP="00922C2A">
      <w:pPr>
        <w:pStyle w:val="Point1"/>
        <w:rPr>
          <w:rFonts w:eastAsia="Times New Roman"/>
          <w:noProof/>
        </w:rPr>
      </w:pPr>
      <w:r w:rsidRPr="00922C2A">
        <w:rPr>
          <w:noProof/>
        </w:rPr>
        <w:t>c)</w:t>
      </w:r>
      <w:r w:rsidRPr="00922C2A">
        <w:rPr>
          <w:noProof/>
        </w:rPr>
        <w:tab/>
        <w:t xml:space="preserve">tout au long de la procédure d’octroi des permis. </w:t>
      </w:r>
    </w:p>
    <w:p w14:paraId="37E24A41" w14:textId="77777777" w:rsidR="00922C2A" w:rsidRPr="00922C2A" w:rsidRDefault="00922C2A" w:rsidP="00922C2A">
      <w:pPr>
        <w:pStyle w:val="Point0"/>
        <w:rPr>
          <w:rFonts w:eastAsia="Times New Roman"/>
          <w:noProof/>
        </w:rPr>
      </w:pPr>
      <w:r w:rsidRPr="00922C2A">
        <w:rPr>
          <w:noProof/>
        </w:rPr>
        <w:t>2.</w:t>
      </w:r>
      <w:r w:rsidRPr="00922C2A">
        <w:rPr>
          <w:noProof/>
        </w:rPr>
        <w:tab/>
        <w:t xml:space="preserve">Lorsqu’il fournit le soutien administratif et l’assistance visés au paragraphe 1, l’État membre accorde une attention particulière aux petites et moyennes entreprises (PME) et établit le cas échéant un canal de communication spécifique avec les PME afin de leur fournir des orientations et de répondre aux questions liées à la mise en œuvre du présent règlement. </w:t>
      </w:r>
    </w:p>
    <w:p w14:paraId="7F476FB5" w14:textId="77777777" w:rsidR="00922C2A" w:rsidRPr="00922C2A" w:rsidRDefault="00922C2A" w:rsidP="00922C2A">
      <w:pPr>
        <w:pStyle w:val="Titrearticle"/>
        <w:rPr>
          <w:rFonts w:eastAsia="Times New Roman"/>
          <w:noProof/>
        </w:rPr>
      </w:pPr>
      <w:r w:rsidRPr="00922C2A">
        <w:rPr>
          <w:noProof/>
        </w:rPr>
        <w:t>Article 9</w:t>
      </w:r>
    </w:p>
    <w:p w14:paraId="7295799F" w14:textId="77777777" w:rsidR="00922C2A" w:rsidRPr="00922C2A" w:rsidRDefault="00922C2A" w:rsidP="00922C2A">
      <w:pPr>
        <w:ind w:left="360"/>
        <w:jc w:val="center"/>
        <w:rPr>
          <w:rFonts w:eastAsia="Times New Roman"/>
          <w:i/>
          <w:noProof/>
        </w:rPr>
      </w:pPr>
      <w:r w:rsidRPr="00922C2A">
        <w:rPr>
          <w:i/>
          <w:noProof/>
        </w:rPr>
        <w:t xml:space="preserve">Demande d’octroi du statut le plus important existant au niveau national </w:t>
      </w:r>
    </w:p>
    <w:p w14:paraId="6B67C72A" w14:textId="77777777" w:rsidR="00922C2A" w:rsidRPr="00922C2A" w:rsidRDefault="00922C2A" w:rsidP="00922C2A">
      <w:pPr>
        <w:pStyle w:val="Point0"/>
        <w:rPr>
          <w:rFonts w:eastAsia="Times New Roman"/>
          <w:noProof/>
        </w:rPr>
      </w:pPr>
      <w:r w:rsidRPr="00922C2A">
        <w:rPr>
          <w:noProof/>
        </w:rPr>
        <w:t>1.</w:t>
      </w:r>
      <w:r w:rsidRPr="00922C2A">
        <w:rPr>
          <w:noProof/>
        </w:rPr>
        <w:tab/>
        <w:t xml:space="preserve">Un promoteur de projet peut demander que sa demande de permis se voie accorder le statut le plus important au niveau national, lorsqu’un tel statut existe en droit national, et soit traitée en conséquence. </w:t>
      </w:r>
    </w:p>
    <w:p w14:paraId="07508096" w14:textId="77777777" w:rsidR="00922C2A" w:rsidRPr="00922C2A" w:rsidRDefault="00922C2A" w:rsidP="00922C2A">
      <w:pPr>
        <w:pStyle w:val="Point0"/>
        <w:rPr>
          <w:rFonts w:eastAsia="Times New Roman"/>
          <w:noProof/>
        </w:rPr>
      </w:pPr>
      <w:r w:rsidRPr="00922C2A">
        <w:rPr>
          <w:noProof/>
        </w:rPr>
        <w:t>2.</w:t>
      </w:r>
      <w:r w:rsidRPr="00922C2A">
        <w:rPr>
          <w:noProof/>
        </w:rPr>
        <w:tab/>
        <w:t>Les autorités nationales accordent à une demande de permis le statut le plus important existant au niveau national sans préjudice des obligations prévues par le droit de l’Union.</w:t>
      </w:r>
    </w:p>
    <w:p w14:paraId="3661A461" w14:textId="77777777" w:rsidR="00922C2A" w:rsidRPr="00922C2A" w:rsidRDefault="00922C2A" w:rsidP="00922C2A">
      <w:pPr>
        <w:pStyle w:val="Titrearticle"/>
        <w:rPr>
          <w:noProof/>
        </w:rPr>
      </w:pPr>
      <w:r w:rsidRPr="00922C2A">
        <w:rPr>
          <w:noProof/>
        </w:rPr>
        <w:t>Article 10</w:t>
      </w:r>
    </w:p>
    <w:p w14:paraId="5AEBE551" w14:textId="77777777" w:rsidR="00922C2A" w:rsidRPr="00922C2A" w:rsidRDefault="00922C2A" w:rsidP="00922C2A">
      <w:pPr>
        <w:ind w:left="360"/>
        <w:jc w:val="center"/>
        <w:rPr>
          <w:i/>
          <w:noProof/>
        </w:rPr>
      </w:pPr>
      <w:r w:rsidRPr="00922C2A">
        <w:rPr>
          <w:i/>
          <w:noProof/>
        </w:rPr>
        <w:t>Procédures relatives au règlement des différends</w:t>
      </w:r>
    </w:p>
    <w:p w14:paraId="26C94A97" w14:textId="77777777" w:rsidR="00922C2A" w:rsidRPr="00922C2A" w:rsidRDefault="00922C2A" w:rsidP="00922C2A">
      <w:pPr>
        <w:rPr>
          <w:noProof/>
        </w:rPr>
      </w:pPr>
      <w:r w:rsidRPr="00922C2A">
        <w:rPr>
          <w:noProof/>
        </w:rPr>
        <w:t xml:space="preserve">Un promoteur de projet peut demander que les procédures de règlement des différends, les litiges, les pourvois et les recours juridictionnels relatifs à la procédure d’octroi des permis et à la délivrance des permis pour un projet stratégique dans l’Union qui sont portés devant une juridiction ou instance nationale — y compris en ce qui concerne la médiation ou l’arbitrage lorsque de tels dispositifs existent en droit national —, soient traités de manière urgente si et dans la mesure où le droit national prévoit une telle procédure d’urgence. Les droits de la défense applicables aux particuliers ou aux communautés locales sont respectés au cours de cette procédure d’urgence. </w:t>
      </w:r>
    </w:p>
    <w:p w14:paraId="133F477E" w14:textId="77777777" w:rsidR="00922C2A" w:rsidRPr="00922C2A" w:rsidRDefault="00922C2A" w:rsidP="00922C2A">
      <w:pPr>
        <w:rPr>
          <w:noProof/>
        </w:rPr>
      </w:pPr>
      <w:r w:rsidRPr="00922C2A">
        <w:rPr>
          <w:noProof/>
        </w:rPr>
        <w:t xml:space="preserve">Le promoteur du projet participe à ces procédures d’urgence, le cas échéant. </w:t>
      </w:r>
    </w:p>
    <w:p w14:paraId="7DA66EEF" w14:textId="77777777" w:rsidR="00922C2A" w:rsidRPr="00922C2A" w:rsidRDefault="00922C2A" w:rsidP="00922C2A">
      <w:pPr>
        <w:pStyle w:val="Titrearticle"/>
        <w:rPr>
          <w:noProof/>
        </w:rPr>
      </w:pPr>
      <w:r w:rsidRPr="00922C2A">
        <w:rPr>
          <w:noProof/>
        </w:rPr>
        <w:t>Article 11</w:t>
      </w:r>
    </w:p>
    <w:p w14:paraId="74FAAF92" w14:textId="77777777" w:rsidR="00922C2A" w:rsidRPr="00922C2A" w:rsidRDefault="00922C2A" w:rsidP="00922C2A">
      <w:pPr>
        <w:ind w:left="360"/>
        <w:jc w:val="center"/>
        <w:rPr>
          <w:i/>
          <w:iCs/>
          <w:noProof/>
        </w:rPr>
      </w:pPr>
      <w:r w:rsidRPr="00922C2A">
        <w:rPr>
          <w:i/>
          <w:noProof/>
        </w:rPr>
        <w:t>Soutien réglementaire et scientifique par les agences des médicaments et les inspections pharmaceutiques</w:t>
      </w:r>
    </w:p>
    <w:p w14:paraId="502E71D8" w14:textId="77777777" w:rsidR="00922C2A" w:rsidRPr="00922C2A" w:rsidRDefault="00922C2A" w:rsidP="00922C2A">
      <w:pPr>
        <w:pStyle w:val="Point0"/>
        <w:rPr>
          <w:noProof/>
        </w:rPr>
      </w:pPr>
      <w:r w:rsidRPr="00922C2A">
        <w:rPr>
          <w:noProof/>
        </w:rPr>
        <w:t>1.</w:t>
      </w:r>
      <w:r w:rsidRPr="00922C2A">
        <w:rPr>
          <w:noProof/>
        </w:rPr>
        <w:tab/>
        <w:t>À la demande d’un promoteur de projet, un État membre apporte un soutien réglementaire à un projet stratégique situé sur son territoire, notamment en donnant la priorité aux inspections des bonnes pratiques de fabrication en vue de l’approbation de sites de fabrication nouveaux ou agrandis et de sites de fabrication modernisés dans le cadre du projet stratégique concerné.</w:t>
      </w:r>
    </w:p>
    <w:p w14:paraId="20D24469" w14:textId="77777777" w:rsidR="00922C2A" w:rsidRPr="00922C2A" w:rsidRDefault="00922C2A" w:rsidP="00922C2A">
      <w:pPr>
        <w:pStyle w:val="Point0"/>
        <w:rPr>
          <w:noProof/>
        </w:rPr>
      </w:pPr>
      <w:r w:rsidRPr="00922C2A">
        <w:rPr>
          <w:noProof/>
        </w:rPr>
        <w:t>2.</w:t>
      </w:r>
      <w:r w:rsidRPr="00922C2A">
        <w:rPr>
          <w:noProof/>
        </w:rPr>
        <w:tab/>
        <w:t>À la demande d’un promoteur de projet, l’Agence européenne des médicaments (ci-après l’«Agence») fournit des conseils spécifiques pour assister les promoteurs de projets qui développent des projets reposant sur des procédés de fabrication innovants.</w:t>
      </w:r>
    </w:p>
    <w:p w14:paraId="3D973AEC" w14:textId="77777777" w:rsidR="00922C2A" w:rsidRPr="00922C2A" w:rsidRDefault="00922C2A" w:rsidP="00922C2A">
      <w:pPr>
        <w:pStyle w:val="Titrearticle"/>
        <w:rPr>
          <w:noProof/>
        </w:rPr>
      </w:pPr>
      <w:r w:rsidRPr="00922C2A">
        <w:rPr>
          <w:noProof/>
        </w:rPr>
        <w:t>Article 12</w:t>
      </w:r>
    </w:p>
    <w:p w14:paraId="6DBC5436" w14:textId="77777777" w:rsidR="00922C2A" w:rsidRPr="00922C2A" w:rsidRDefault="00922C2A" w:rsidP="00922C2A">
      <w:pPr>
        <w:ind w:left="360"/>
        <w:jc w:val="center"/>
        <w:rPr>
          <w:noProof/>
        </w:rPr>
      </w:pPr>
      <w:r w:rsidRPr="00922C2A">
        <w:rPr>
          <w:i/>
          <w:noProof/>
        </w:rPr>
        <w:t>Évaluations environnementales et autorisation</w:t>
      </w:r>
    </w:p>
    <w:p w14:paraId="6CF78BB5" w14:textId="77777777" w:rsidR="00922C2A" w:rsidRPr="00922C2A" w:rsidRDefault="00922C2A" w:rsidP="00922C2A">
      <w:pPr>
        <w:pStyle w:val="Point0"/>
        <w:rPr>
          <w:noProof/>
        </w:rPr>
      </w:pPr>
      <w:r w:rsidRPr="00922C2A">
        <w:rPr>
          <w:noProof/>
        </w:rPr>
        <w:t>1.</w:t>
      </w:r>
      <w:r w:rsidRPr="00922C2A">
        <w:rPr>
          <w:noProof/>
        </w:rPr>
        <w:tab/>
        <w:t>Un promoteur de projet peut demander, lorsque l’obligation d’évaluer les incidences sur l’environnement découle simultanément d’au moins deux des directives suivantes, à savoir la directive 92/43/CEE du Conseil</w:t>
      </w:r>
      <w:r w:rsidRPr="00922C2A">
        <w:rPr>
          <w:rStyle w:val="FootnoteReference"/>
          <w:noProof/>
          <w:lang w:eastAsia="en-GB"/>
        </w:rPr>
        <w:footnoteReference w:id="80"/>
      </w:r>
      <w:r w:rsidRPr="00922C2A">
        <w:rPr>
          <w:noProof/>
        </w:rPr>
        <w:t>, la directive 2000/60/CE du Parlement européen et du Conseil</w:t>
      </w:r>
      <w:r w:rsidRPr="00922C2A">
        <w:rPr>
          <w:rStyle w:val="FootnoteReference"/>
          <w:noProof/>
          <w:lang w:eastAsia="en-GB"/>
        </w:rPr>
        <w:footnoteReference w:id="81"/>
      </w:r>
      <w:r w:rsidRPr="00922C2A">
        <w:rPr>
          <w:noProof/>
        </w:rPr>
        <w:t>, la directive 2001/42/CE du Parlement européen et du Conseil</w:t>
      </w:r>
      <w:r w:rsidRPr="00922C2A">
        <w:rPr>
          <w:rStyle w:val="FootnoteReference"/>
          <w:noProof/>
          <w:lang w:eastAsia="en-GB"/>
        </w:rPr>
        <w:footnoteReference w:id="82"/>
      </w:r>
      <w:r w:rsidRPr="00922C2A">
        <w:rPr>
          <w:noProof/>
        </w:rPr>
        <w:t>, la directive 2008/98/CE du Parlement européen et du Conseil</w:t>
      </w:r>
      <w:r w:rsidRPr="00922C2A">
        <w:rPr>
          <w:rStyle w:val="FootnoteReference"/>
          <w:noProof/>
          <w:lang w:eastAsia="en-GB"/>
        </w:rPr>
        <w:footnoteReference w:id="83"/>
      </w:r>
      <w:r w:rsidRPr="00922C2A">
        <w:rPr>
          <w:noProof/>
        </w:rPr>
        <w:t>, la directive 2009/147/CE du Parlement européen et du Conseil</w:t>
      </w:r>
      <w:r w:rsidRPr="00922C2A">
        <w:rPr>
          <w:rStyle w:val="FootnoteReference"/>
          <w:noProof/>
          <w:lang w:eastAsia="en-GB"/>
        </w:rPr>
        <w:footnoteReference w:id="84"/>
      </w:r>
      <w:r w:rsidRPr="00922C2A">
        <w:rPr>
          <w:noProof/>
        </w:rPr>
        <w:t>, la directive 2010/75/UE du Parlement européen et du Conseil</w:t>
      </w:r>
      <w:r w:rsidRPr="00922C2A">
        <w:rPr>
          <w:rStyle w:val="FootnoteReference"/>
          <w:noProof/>
          <w:lang w:eastAsia="en-GB"/>
        </w:rPr>
        <w:footnoteReference w:id="85"/>
      </w:r>
      <w:r w:rsidRPr="00922C2A">
        <w:rPr>
          <w:noProof/>
        </w:rPr>
        <w:t>, la directive 2011/92/UE du Parlement européen et du Conseil</w:t>
      </w:r>
      <w:r w:rsidRPr="00922C2A">
        <w:rPr>
          <w:rStyle w:val="FootnoteReference"/>
          <w:noProof/>
          <w:lang w:eastAsia="en-GB"/>
        </w:rPr>
        <w:footnoteReference w:id="86"/>
      </w:r>
      <w:r w:rsidRPr="00922C2A">
        <w:rPr>
          <w:noProof/>
        </w:rPr>
        <w:t xml:space="preserve"> et la directive 2012/18/UE du Parlement européen et du Conseil</w:t>
      </w:r>
      <w:r w:rsidRPr="00922C2A">
        <w:rPr>
          <w:rStyle w:val="FootnoteReference"/>
          <w:noProof/>
          <w:lang w:eastAsia="en-GB"/>
        </w:rPr>
        <w:footnoteReference w:id="87"/>
      </w:r>
      <w:r w:rsidRPr="00922C2A">
        <w:rPr>
          <w:noProof/>
        </w:rPr>
        <w:t>, qu’une procédure coordonnée ou conjointe respectant les exigences de ces actes législatifs de l’Union soit appliquée.</w:t>
      </w:r>
    </w:p>
    <w:p w14:paraId="6FB794C3" w14:textId="77777777" w:rsidR="00922C2A" w:rsidRPr="00922C2A" w:rsidRDefault="00922C2A" w:rsidP="00922C2A">
      <w:pPr>
        <w:pStyle w:val="Text1"/>
        <w:rPr>
          <w:noProof/>
        </w:rPr>
      </w:pPr>
      <w:r w:rsidRPr="00922C2A">
        <w:rPr>
          <w:noProof/>
        </w:rPr>
        <w:t>Dans le cadre de la procédure coordonnée visée au premier alinéa, une autorité compétente coordonne la réalisation des différentes évaluations individuelles des incidences sur l’environnement relatives à un projet donné qui sont requises par les directives pertinentes.</w:t>
      </w:r>
    </w:p>
    <w:p w14:paraId="70D30056" w14:textId="77777777" w:rsidR="00922C2A" w:rsidRPr="00922C2A" w:rsidRDefault="00922C2A" w:rsidP="00922C2A">
      <w:pPr>
        <w:pStyle w:val="Text1"/>
        <w:rPr>
          <w:noProof/>
        </w:rPr>
      </w:pPr>
      <w:r w:rsidRPr="00922C2A">
        <w:rPr>
          <w:noProof/>
        </w:rPr>
        <w:t xml:space="preserve">Dans le cadre de la procédure conjointe visée au premier alinéa, une autorité compétente prévoit une évaluation unique des incidences sur l’environnement d’un projet donné, telle qu’elle est requise par les directives pertinentes. </w:t>
      </w:r>
    </w:p>
    <w:p w14:paraId="69C0DB0D" w14:textId="77777777" w:rsidR="00922C2A" w:rsidRPr="00922C2A" w:rsidRDefault="00922C2A" w:rsidP="00922C2A">
      <w:pPr>
        <w:pStyle w:val="Point0"/>
        <w:rPr>
          <w:noProof/>
        </w:rPr>
      </w:pPr>
      <w:r w:rsidRPr="00922C2A">
        <w:rPr>
          <w:noProof/>
        </w:rPr>
        <w:t>2.</w:t>
      </w:r>
      <w:r w:rsidRPr="00922C2A">
        <w:rPr>
          <w:noProof/>
        </w:rPr>
        <w:tab/>
        <w:t>Les États membres veillent à ce que les autorités compétentes publient la conclusion motivée visée à l’article 1</w:t>
      </w:r>
      <w:r w:rsidRPr="00922C2A">
        <w:rPr>
          <w:noProof/>
          <w:vertAlign w:val="superscript"/>
        </w:rPr>
        <w:t>er</w:t>
      </w:r>
      <w:r w:rsidRPr="00922C2A">
        <w:rPr>
          <w:noProof/>
        </w:rPr>
        <w:t xml:space="preserve">, paragraphe 2, point g), iv), de la directive 2011/92/UE sur l’évaluation des incidences sur l’environnement dans un délai de 45 jours à compter de la réception de toutes les informations nécessaires. </w:t>
      </w:r>
    </w:p>
    <w:p w14:paraId="26A06CA6" w14:textId="77777777" w:rsidR="00922C2A" w:rsidRPr="00922C2A" w:rsidRDefault="00922C2A" w:rsidP="00922C2A">
      <w:pPr>
        <w:pStyle w:val="Point0"/>
        <w:rPr>
          <w:noProof/>
        </w:rPr>
      </w:pPr>
      <w:r w:rsidRPr="00922C2A">
        <w:rPr>
          <w:noProof/>
        </w:rPr>
        <w:t>3.</w:t>
      </w:r>
      <w:r w:rsidRPr="00922C2A">
        <w:rPr>
          <w:noProof/>
        </w:rPr>
        <w:tab/>
        <w:t xml:space="preserve">Dans des cas exceptionnels, lorsque la nature, la complexité, la localisation ou la taille du projet proposé l’exigent, les États membres peuvent prolonger une fois le délai visé au paragraphe 2 de 15 jours au maximum avant son expiration et au cas par cas. En pareils cas, l’autorité compétente informe par écrit le promoteur du projet des raisons justifiant la prolongation du délai et la date limite pour la présentation de sa conclusion motivée. </w:t>
      </w:r>
    </w:p>
    <w:p w14:paraId="7374D77F" w14:textId="77777777" w:rsidR="00922C2A" w:rsidRPr="00922C2A" w:rsidRDefault="00922C2A" w:rsidP="00922C2A">
      <w:pPr>
        <w:pStyle w:val="Point0"/>
        <w:rPr>
          <w:noProof/>
        </w:rPr>
      </w:pPr>
      <w:r w:rsidRPr="00922C2A">
        <w:rPr>
          <w:noProof/>
        </w:rPr>
        <w:t>4.</w:t>
      </w:r>
      <w:r w:rsidRPr="00922C2A">
        <w:rPr>
          <w:noProof/>
        </w:rPr>
        <w:tab/>
        <w:t>Le délai fixé pour consulter le public concerné visé à l’article 1</w:t>
      </w:r>
      <w:r w:rsidRPr="00922C2A">
        <w:rPr>
          <w:noProof/>
          <w:vertAlign w:val="superscript"/>
        </w:rPr>
        <w:t>er</w:t>
      </w:r>
      <w:r w:rsidRPr="00922C2A">
        <w:rPr>
          <w:noProof/>
        </w:rPr>
        <w:t xml:space="preserve">, paragraphe 2, point e), de la directive 2011/92/UE et les autorités visées à l’article 6, paragraphe 1, de ladite directive au sujet du rapport d’évaluation des incidences sur l’environnement visé à l’article 5, paragraphe 1, de ladite directive n’excède pas 85 jours et ne peut être inférieur à la période de 30 jours visée à l’article 6, paragraphe 7, de ladite directive. </w:t>
      </w:r>
    </w:p>
    <w:p w14:paraId="647C1001" w14:textId="77777777" w:rsidR="00922C2A" w:rsidRPr="00922C2A" w:rsidRDefault="00922C2A" w:rsidP="00922C2A">
      <w:pPr>
        <w:pStyle w:val="Point0"/>
        <w:rPr>
          <w:noProof/>
        </w:rPr>
      </w:pPr>
      <w:r w:rsidRPr="00922C2A">
        <w:rPr>
          <w:noProof/>
        </w:rPr>
        <w:t>5.</w:t>
      </w:r>
      <w:r w:rsidRPr="00922C2A">
        <w:rPr>
          <w:noProof/>
        </w:rPr>
        <w:tab/>
        <w:t>En ce qui concerne les incidences ou obligations environnementales visées à l’article 4, paragraphe 7, de la directive 2000/60/CE, à l’article 9, paragraphe 1, point a), de la directive 2009/147/CE ainsi qu’à l’article 6, paragraphe 4, et à l’article 16, paragraphe 1, de la directive 92/43/CEE, et aux fins de l’article 4, paragraphes 14 et 15, et de l’article 5, paragraphes 11 et 12, du règlement (UE) 2024/1991, les projets stratégiques dans l’Union peuvent être considérés comme ayant un intérêt public majeur et comme servant les intérêts de la santé et de la sécurité publiques pour autant que toutes les conditions énoncées dans ces actes soient remplies.</w:t>
      </w:r>
    </w:p>
    <w:p w14:paraId="067EF3B9" w14:textId="77777777" w:rsidR="00922C2A" w:rsidRPr="00922C2A" w:rsidRDefault="00922C2A" w:rsidP="00922C2A">
      <w:pPr>
        <w:pStyle w:val="Titrearticle"/>
        <w:rPr>
          <w:noProof/>
          <w:szCs w:val="24"/>
        </w:rPr>
      </w:pPr>
      <w:r w:rsidRPr="00922C2A">
        <w:rPr>
          <w:noProof/>
        </w:rPr>
        <w:t>Article 13</w:t>
      </w:r>
    </w:p>
    <w:p w14:paraId="4F58AF43" w14:textId="77777777" w:rsidR="00922C2A" w:rsidRPr="00922C2A" w:rsidRDefault="00922C2A" w:rsidP="00922C2A">
      <w:pPr>
        <w:jc w:val="center"/>
        <w:rPr>
          <w:i/>
          <w:noProof/>
          <w:szCs w:val="24"/>
        </w:rPr>
      </w:pPr>
      <w:r w:rsidRPr="00922C2A">
        <w:rPr>
          <w:i/>
          <w:noProof/>
        </w:rPr>
        <w:t>Élaboration de plans</w:t>
      </w:r>
    </w:p>
    <w:p w14:paraId="184879E1" w14:textId="77777777" w:rsidR="00922C2A" w:rsidRPr="00922C2A" w:rsidRDefault="00922C2A" w:rsidP="00922C2A">
      <w:pPr>
        <w:pStyle w:val="Point0"/>
        <w:rPr>
          <w:noProof/>
          <w:szCs w:val="24"/>
        </w:rPr>
      </w:pPr>
      <w:r w:rsidRPr="00922C2A">
        <w:rPr>
          <w:noProof/>
        </w:rPr>
        <w:t>1.</w:t>
      </w:r>
      <w:r w:rsidRPr="00922C2A">
        <w:rPr>
          <w:noProof/>
        </w:rPr>
        <w:tab/>
        <w:t>Les autorités nationales, régionales et locales chargées d’élaborer les plans, y compris les plans de zonage, , d’aménagement du territoire et d’affectation des sols, envisagent d’inclure dans ceux-ci, lorsqu’il y a lieu, des dispositions relatives au développement de projets stratégiques ainsi que les infrastructures nécessaires. Afin de faciliter le développement de projets stratégiques, les États membres veillent à ce que toutes les données pertinentes en matière d’aménagement du territoire soient disponibles.</w:t>
      </w:r>
    </w:p>
    <w:p w14:paraId="2F786CBA" w14:textId="77777777" w:rsidR="00922C2A" w:rsidRPr="00922C2A" w:rsidRDefault="00922C2A" w:rsidP="00922C2A">
      <w:pPr>
        <w:pStyle w:val="Point0"/>
        <w:rPr>
          <w:noProof/>
          <w:szCs w:val="24"/>
        </w:rPr>
      </w:pPr>
      <w:r w:rsidRPr="00922C2A">
        <w:rPr>
          <w:noProof/>
          <w:shd w:val="clear" w:color="auto" w:fill="FFFFFF"/>
        </w:rPr>
        <w:t>2.</w:t>
      </w:r>
      <w:r w:rsidRPr="00922C2A">
        <w:rPr>
          <w:noProof/>
          <w:shd w:val="clear" w:color="auto" w:fill="FFFFFF"/>
        </w:rPr>
        <w:tab/>
        <w:t>Lorsque les plans comportant des dispositions relatives au développement de projets stratégiques font l’objet d’une évaluation conformément à la directive 2001/42/CE du Parlement européen et du Conseil et à l’article 6, paragraphe 3, de la directive 92/43/CEE, ces évaluations sont combinées. S’il y a lieu, l’évaluation combinée traite également des incidences sur les masses d’eau éventuellement concernées visées dans la directive 2000/60/CE. Lorsque les États membres sont tenus d’évaluer les incidences des activités existantes et futures sur le milieu marin, y compris les interactions terre-mer, conformément à l’article 4 de la directive 2014/89/UE du Parlement européen et du Conseil</w:t>
      </w:r>
      <w:r w:rsidRPr="00922C2A">
        <w:rPr>
          <w:rStyle w:val="FootnoteReference"/>
          <w:noProof/>
          <w:szCs w:val="24"/>
        </w:rPr>
        <w:footnoteReference w:id="88"/>
      </w:r>
      <w:r w:rsidRPr="00922C2A">
        <w:rPr>
          <w:noProof/>
          <w:shd w:val="clear" w:color="auto" w:fill="FFFFFF"/>
        </w:rPr>
        <w:t>, ces incidences sont également prises en considération dans l’évaluation combinée.</w:t>
      </w:r>
    </w:p>
    <w:p w14:paraId="39EFFA0E" w14:textId="77777777" w:rsidR="00922C2A" w:rsidRPr="00922C2A" w:rsidRDefault="00922C2A" w:rsidP="00922C2A">
      <w:pPr>
        <w:pStyle w:val="Titrearticle"/>
        <w:rPr>
          <w:noProof/>
          <w:szCs w:val="24"/>
        </w:rPr>
      </w:pPr>
      <w:r w:rsidRPr="00922C2A">
        <w:rPr>
          <w:rStyle w:val="normaltextrun"/>
          <w:noProof/>
        </w:rPr>
        <w:t>Article 14</w:t>
      </w:r>
    </w:p>
    <w:p w14:paraId="4658C6CC" w14:textId="77777777" w:rsidR="00922C2A" w:rsidRPr="00922C2A" w:rsidRDefault="00922C2A" w:rsidP="00922C2A">
      <w:pPr>
        <w:jc w:val="center"/>
        <w:rPr>
          <w:i/>
          <w:iCs/>
          <w:noProof/>
          <w:szCs w:val="24"/>
        </w:rPr>
      </w:pPr>
      <w:r w:rsidRPr="00922C2A">
        <w:rPr>
          <w:i/>
          <w:noProof/>
        </w:rPr>
        <w:t>Applicabilité des conventions CEE-ONU</w:t>
      </w:r>
    </w:p>
    <w:p w14:paraId="56CF6689" w14:textId="77777777" w:rsidR="00922C2A" w:rsidRPr="00922C2A" w:rsidRDefault="00922C2A" w:rsidP="00922C2A">
      <w:pPr>
        <w:pStyle w:val="Point0"/>
        <w:rPr>
          <w:rStyle w:val="normaltextrun"/>
          <w:noProof/>
        </w:rPr>
      </w:pPr>
      <w:r w:rsidRPr="00922C2A">
        <w:rPr>
          <w:rStyle w:val="normaltextrun"/>
          <w:noProof/>
        </w:rPr>
        <w:t>1.</w:t>
      </w:r>
      <w:r w:rsidRPr="00922C2A">
        <w:rPr>
          <w:rStyle w:val="normaltextrun"/>
          <w:noProof/>
        </w:rPr>
        <w:tab/>
        <w:t>Le présent règlement s’entend sans préjudice des obligations découlant de la convention de la Commission économique pour l’Europe des Nations unies (CEE-ONU) sur l’accès à l’information, la participation du public au processus décisionnel et l’accès à la justice en matière d’environnement, signée à Aarhus le 25 juin 1998, ainsi que de la convention de la CEE-ONU sur l’évaluation de l’impact sur l’environnement dans un contexte transfrontière, signée à Espoo le 25 février 1991, et de son protocole relatif à l’évaluation stratégique environnementale, signé à Kiev le 21 mai 2003.</w:t>
      </w:r>
    </w:p>
    <w:p w14:paraId="6D9D7B38" w14:textId="77777777" w:rsidR="00922C2A" w:rsidRPr="00922C2A" w:rsidRDefault="00922C2A" w:rsidP="00922C2A">
      <w:pPr>
        <w:pStyle w:val="Point0"/>
        <w:rPr>
          <w:noProof/>
        </w:rPr>
      </w:pPr>
      <w:r w:rsidRPr="00922C2A">
        <w:rPr>
          <w:rStyle w:val="normaltextrun"/>
          <w:noProof/>
        </w:rPr>
        <w:t>2.</w:t>
      </w:r>
      <w:r w:rsidRPr="00922C2A">
        <w:rPr>
          <w:rStyle w:val="normaltextrun"/>
          <w:noProof/>
        </w:rPr>
        <w:tab/>
        <w:t>Toutes les décisions adoptées en vertu des articles de la présente section sont rendues publiques.</w:t>
      </w:r>
    </w:p>
    <w:p w14:paraId="4D8D114C" w14:textId="77777777" w:rsidR="00922C2A" w:rsidRPr="00922C2A" w:rsidRDefault="00922C2A" w:rsidP="00922C2A">
      <w:pPr>
        <w:rPr>
          <w:noProof/>
        </w:rPr>
      </w:pPr>
    </w:p>
    <w:p w14:paraId="37DD777D" w14:textId="77777777" w:rsidR="00922C2A" w:rsidRPr="00922C2A" w:rsidRDefault="00922C2A" w:rsidP="00922C2A">
      <w:pPr>
        <w:pStyle w:val="SectionTitle"/>
        <w:rPr>
          <w:noProof/>
        </w:rPr>
      </w:pPr>
      <w:r w:rsidRPr="00922C2A">
        <w:rPr>
          <w:noProof/>
        </w:rPr>
        <w:t>Section III</w:t>
      </w:r>
    </w:p>
    <w:p w14:paraId="463DB8F2" w14:textId="77777777" w:rsidR="00922C2A" w:rsidRPr="00922C2A" w:rsidRDefault="00922C2A" w:rsidP="00922C2A">
      <w:pPr>
        <w:pStyle w:val="SectionTitle"/>
        <w:rPr>
          <w:b w:val="0"/>
          <w:noProof/>
        </w:rPr>
      </w:pPr>
      <w:r w:rsidRPr="00922C2A">
        <w:rPr>
          <w:noProof/>
        </w:rPr>
        <w:t>Incitations financières</w:t>
      </w:r>
    </w:p>
    <w:p w14:paraId="48ED0124" w14:textId="77777777" w:rsidR="00922C2A" w:rsidRPr="00922C2A" w:rsidRDefault="00922C2A" w:rsidP="00922C2A">
      <w:pPr>
        <w:pStyle w:val="Titrearticle"/>
        <w:rPr>
          <w:noProof/>
        </w:rPr>
      </w:pPr>
      <w:r w:rsidRPr="00922C2A">
        <w:rPr>
          <w:noProof/>
        </w:rPr>
        <w:t>Article 15</w:t>
      </w:r>
    </w:p>
    <w:p w14:paraId="4751AB21" w14:textId="77777777" w:rsidR="00922C2A" w:rsidRPr="00922C2A" w:rsidRDefault="00922C2A" w:rsidP="00922C2A">
      <w:pPr>
        <w:jc w:val="center"/>
        <w:rPr>
          <w:i/>
          <w:noProof/>
        </w:rPr>
      </w:pPr>
      <w:r w:rsidRPr="00922C2A">
        <w:rPr>
          <w:i/>
          <w:noProof/>
        </w:rPr>
        <w:t>Soutien financier des États membres</w:t>
      </w:r>
    </w:p>
    <w:p w14:paraId="231EDDCB" w14:textId="77777777" w:rsidR="00922C2A" w:rsidRPr="00922C2A" w:rsidRDefault="00922C2A" w:rsidP="00922C2A">
      <w:pPr>
        <w:pStyle w:val="Point0"/>
        <w:rPr>
          <w:noProof/>
          <w:color w:val="333333"/>
        </w:rPr>
      </w:pPr>
      <w:r w:rsidRPr="00922C2A">
        <w:rPr>
          <w:noProof/>
          <w:color w:val="333333"/>
          <w:shd w:val="clear" w:color="auto" w:fill="FFFFFF"/>
        </w:rPr>
        <w:t>1.</w:t>
      </w:r>
      <w:r w:rsidRPr="00922C2A">
        <w:rPr>
          <w:noProof/>
          <w:color w:val="333333"/>
          <w:shd w:val="clear" w:color="auto" w:fill="FFFFFF"/>
        </w:rPr>
        <w:tab/>
        <w:t>Sans préjudice des articles 107 et 108 du TFUE, les États membres peuvent donner la priorité au soutien financier de projets stratégiques visant à remédier à une vulnérabilité dans les chaînes d’approvisionnement de médicaments critiques détectée sur la base d’une évaluation des vulnérabilités, en tenant dûment compte</w:t>
      </w:r>
      <w:r w:rsidRPr="00922C2A">
        <w:rPr>
          <w:noProof/>
          <w:color w:val="333333"/>
        </w:rPr>
        <w:t xml:space="preserve"> des orientations stratégiques du groupe pour les médicaments critiques visé à l’article 26, paragraphe 2, point a).</w:t>
      </w:r>
    </w:p>
    <w:p w14:paraId="722F6F30" w14:textId="77777777" w:rsidR="00922C2A" w:rsidRPr="00922C2A" w:rsidRDefault="00922C2A" w:rsidP="00922C2A">
      <w:pPr>
        <w:pStyle w:val="Point0"/>
        <w:rPr>
          <w:rFonts w:eastAsia="Times New Roman"/>
          <w:noProof/>
        </w:rPr>
      </w:pPr>
      <w:r w:rsidRPr="00922C2A">
        <w:rPr>
          <w:noProof/>
        </w:rPr>
        <w:t>2.</w:t>
      </w:r>
      <w:r w:rsidRPr="00922C2A">
        <w:rPr>
          <w:noProof/>
        </w:rPr>
        <w:tab/>
        <w:t>Tant que le médicament critique figure sur la liste de l’Union des médicaments critiques, une entreprise qui a bénéficié d’un soutien financier pour un projet stratégique donne la priorité à l’approvisionnement du marché de l’Union et met tout en œuvre pour garantir que le médicament critique reste disponible dans les États membres où il est commercialisé.</w:t>
      </w:r>
    </w:p>
    <w:p w14:paraId="20C9785B" w14:textId="77777777" w:rsidR="00922C2A" w:rsidRPr="00922C2A" w:rsidRDefault="00922C2A" w:rsidP="00922C2A">
      <w:pPr>
        <w:pStyle w:val="Point0"/>
        <w:rPr>
          <w:rFonts w:eastAsia="Times New Roman"/>
          <w:noProof/>
        </w:rPr>
      </w:pPr>
      <w:r w:rsidRPr="00922C2A">
        <w:rPr>
          <w:rStyle w:val="normaltextrun"/>
          <w:noProof/>
          <w:shd w:val="clear" w:color="auto" w:fill="FFFFFF"/>
        </w:rPr>
        <w:t>3.</w:t>
      </w:r>
      <w:r w:rsidRPr="00922C2A">
        <w:rPr>
          <w:rStyle w:val="normaltextrun"/>
          <w:noProof/>
          <w:shd w:val="clear" w:color="auto" w:fill="FFFFFF"/>
        </w:rPr>
        <w:tab/>
      </w:r>
      <w:r w:rsidRPr="00922C2A">
        <w:rPr>
          <w:noProof/>
        </w:rPr>
        <w:t xml:space="preserve">L’État membre qui a apporté un soutien financier à un projet stratégique peut demander à l’entreprise concernée de fournir sur le marché de l’Union les approvisionnements nécessaires concernant un médicament critique, des substances actives ou des intrants essentiels, selon le cas, afin d’éviter des pénuries dans un ou plusieurs États membres. </w:t>
      </w:r>
    </w:p>
    <w:p w14:paraId="6C1AEE88" w14:textId="77777777" w:rsidR="00922C2A" w:rsidRPr="00922C2A" w:rsidRDefault="00922C2A" w:rsidP="00922C2A">
      <w:pPr>
        <w:pStyle w:val="Text1"/>
        <w:rPr>
          <w:noProof/>
        </w:rPr>
      </w:pPr>
      <w:r w:rsidRPr="00922C2A">
        <w:rPr>
          <w:noProof/>
        </w:rPr>
        <w:t xml:space="preserve">Tout État membre confronté à une menace de pénurie du médicament critique en question peut demander à l’État membre qui a fourni un soutien financier de présenter une demande en son nom. </w:t>
      </w:r>
    </w:p>
    <w:p w14:paraId="603DCF71" w14:textId="77777777" w:rsidR="00922C2A" w:rsidRPr="00922C2A" w:rsidRDefault="00922C2A" w:rsidP="00922C2A">
      <w:pPr>
        <w:pStyle w:val="Titrearticle"/>
        <w:rPr>
          <w:noProof/>
        </w:rPr>
      </w:pPr>
      <w:r w:rsidRPr="00922C2A">
        <w:rPr>
          <w:noProof/>
        </w:rPr>
        <w:t>Article 16</w:t>
      </w:r>
    </w:p>
    <w:p w14:paraId="3E4BFB97" w14:textId="77777777" w:rsidR="00922C2A" w:rsidRPr="00922C2A" w:rsidRDefault="00922C2A" w:rsidP="00922C2A">
      <w:pPr>
        <w:jc w:val="center"/>
        <w:rPr>
          <w:i/>
          <w:noProof/>
        </w:rPr>
      </w:pPr>
      <w:r w:rsidRPr="00922C2A">
        <w:rPr>
          <w:i/>
          <w:noProof/>
        </w:rPr>
        <w:t>Soutien financier de l’Union</w:t>
      </w:r>
    </w:p>
    <w:p w14:paraId="03FFAC05" w14:textId="77777777" w:rsidR="00922C2A" w:rsidRPr="00922C2A" w:rsidRDefault="00922C2A" w:rsidP="00922C2A">
      <w:pPr>
        <w:pStyle w:val="Point0"/>
        <w:rPr>
          <w:rFonts w:eastAsia="Times New Roman"/>
          <w:noProof/>
        </w:rPr>
      </w:pPr>
      <w:r w:rsidRPr="00922C2A">
        <w:rPr>
          <w:noProof/>
        </w:rPr>
        <w:t>1.</w:t>
      </w:r>
      <w:r w:rsidRPr="00922C2A">
        <w:rPr>
          <w:noProof/>
        </w:rPr>
        <w:tab/>
        <w:t>Pendant la période couverte par le cadre financier pluriannuel 2021-2027</w:t>
      </w:r>
      <w:r w:rsidRPr="00922C2A">
        <w:rPr>
          <w:rStyle w:val="FootnoteReference"/>
          <w:rFonts w:eastAsia="Times New Roman"/>
          <w:noProof/>
          <w:lang w:eastAsia="en-GB"/>
        </w:rPr>
        <w:footnoteReference w:id="89"/>
      </w:r>
      <w:r w:rsidRPr="00922C2A">
        <w:rPr>
          <w:noProof/>
        </w:rPr>
        <w:t>, les projets stratégiques peuvent être soutenus par un financement de l’Union, y compris, mais sans s’y limiter, au titre des programmes de l’Union tels que le programme «L’UE pour la santé»</w:t>
      </w:r>
      <w:r w:rsidRPr="00922C2A">
        <w:rPr>
          <w:rStyle w:val="FootnoteReference"/>
          <w:rFonts w:eastAsia="Times New Roman"/>
          <w:noProof/>
          <w:lang w:eastAsia="en-GB"/>
        </w:rPr>
        <w:footnoteReference w:id="90"/>
      </w:r>
      <w:r w:rsidRPr="00922C2A">
        <w:rPr>
          <w:noProof/>
        </w:rPr>
        <w:t>, «Horizon Europe»</w:t>
      </w:r>
      <w:r w:rsidRPr="00922C2A">
        <w:rPr>
          <w:rStyle w:val="FootnoteReference"/>
          <w:rFonts w:eastAsia="Times New Roman"/>
          <w:noProof/>
          <w:lang w:eastAsia="en-GB"/>
        </w:rPr>
        <w:footnoteReference w:id="91"/>
      </w:r>
      <w:r w:rsidRPr="00922C2A">
        <w:rPr>
          <w:noProof/>
        </w:rPr>
        <w:t xml:space="preserve"> et le programme pour une Europe numérique</w:t>
      </w:r>
      <w:r w:rsidRPr="00922C2A">
        <w:rPr>
          <w:rStyle w:val="FootnoteReference"/>
          <w:rFonts w:eastAsia="Times New Roman"/>
          <w:noProof/>
          <w:lang w:eastAsia="en-GB"/>
        </w:rPr>
        <w:footnoteReference w:id="92"/>
      </w:r>
      <w:r w:rsidRPr="00922C2A">
        <w:rPr>
          <w:noProof/>
        </w:rPr>
        <w:t xml:space="preserve">, pour autant que ce soutien soit conforme aux objectifs énoncés dans les règlements établissant ces programmes. </w:t>
      </w:r>
    </w:p>
    <w:p w14:paraId="0276FF55" w14:textId="77777777" w:rsidR="00922C2A" w:rsidRPr="00922C2A" w:rsidRDefault="00922C2A" w:rsidP="00922C2A">
      <w:pPr>
        <w:pStyle w:val="Point0"/>
        <w:rPr>
          <w:noProof/>
        </w:rPr>
      </w:pPr>
      <w:r w:rsidRPr="00922C2A">
        <w:rPr>
          <w:noProof/>
        </w:rPr>
        <w:t>2.</w:t>
      </w:r>
      <w:r w:rsidRPr="00922C2A">
        <w:rPr>
          <w:noProof/>
        </w:rPr>
        <w:tab/>
        <w:t xml:space="preserve">À la demande d’un promoteur de projet, justifiée par la nécessité de fournir les résultats de l’évaluation des vulnérabilités dans le cadre d’une demande de financement de l’Union, l’autorité désignée évalue si un projet stratégique vise à remédier à une vulnérabilité dans les chaînes d’approvisionnement détectée sur la base de l’évaluation des vulnérabilités. L’autorité désignée communique les résultats de son évaluation au promoteur de projet dans un délai de 15 jours ouvrables à compter de sa demande. L’autorité désignée informe sans délai la Commission des projets stratégiques dont il est constaté qu’ils visent à remédier à une vulnérabilité existante dans les chaînes d’approvisionnement. </w:t>
      </w:r>
    </w:p>
    <w:p w14:paraId="2A2E063E" w14:textId="77777777" w:rsidR="00922C2A" w:rsidRPr="00922C2A" w:rsidRDefault="00922C2A" w:rsidP="00922C2A">
      <w:pPr>
        <w:pStyle w:val="Titrearticle"/>
        <w:rPr>
          <w:noProof/>
        </w:rPr>
      </w:pPr>
      <w:r w:rsidRPr="00922C2A">
        <w:rPr>
          <w:noProof/>
        </w:rPr>
        <w:t>Article 17</w:t>
      </w:r>
    </w:p>
    <w:p w14:paraId="42B2525D" w14:textId="77777777" w:rsidR="00922C2A" w:rsidRPr="00922C2A" w:rsidRDefault="00922C2A" w:rsidP="00922C2A">
      <w:pPr>
        <w:jc w:val="center"/>
        <w:rPr>
          <w:i/>
          <w:noProof/>
          <w:szCs w:val="24"/>
        </w:rPr>
      </w:pPr>
      <w:r w:rsidRPr="00922C2A">
        <w:rPr>
          <w:i/>
          <w:noProof/>
        </w:rPr>
        <w:t>Échange d’informations sur les projets financés</w:t>
      </w:r>
    </w:p>
    <w:p w14:paraId="4E0EA276" w14:textId="77777777" w:rsidR="00922C2A" w:rsidRPr="00922C2A" w:rsidRDefault="00922C2A" w:rsidP="00922C2A">
      <w:pPr>
        <w:pStyle w:val="Point0"/>
        <w:rPr>
          <w:rFonts w:eastAsia="Times New Roman"/>
          <w:noProof/>
          <w:szCs w:val="24"/>
        </w:rPr>
      </w:pPr>
      <w:r w:rsidRPr="00922C2A">
        <w:rPr>
          <w:noProof/>
        </w:rPr>
        <w:t>1.</w:t>
      </w:r>
      <w:r w:rsidRPr="00922C2A">
        <w:rPr>
          <w:noProof/>
        </w:rPr>
        <w:tab/>
        <w:t>Les États membres informent le groupe de coordination pour les médicaments critiques visé à l’article 24 de leur intention d’apporter un soutien financier aux projets stratégiques suffisamment à l’avance pour permettre au groupe d’accomplir sa mission de coordination telle que décrite à l’article 25.</w:t>
      </w:r>
    </w:p>
    <w:p w14:paraId="227B5931" w14:textId="77777777" w:rsidR="00922C2A" w:rsidRPr="00922C2A" w:rsidRDefault="00922C2A" w:rsidP="00922C2A">
      <w:pPr>
        <w:pStyle w:val="Point0"/>
        <w:rPr>
          <w:rFonts w:eastAsia="Times New Roman"/>
          <w:noProof/>
          <w:szCs w:val="24"/>
        </w:rPr>
      </w:pPr>
      <w:r w:rsidRPr="00922C2A">
        <w:rPr>
          <w:noProof/>
        </w:rPr>
        <w:t>2.</w:t>
      </w:r>
      <w:r w:rsidRPr="00922C2A">
        <w:rPr>
          <w:noProof/>
        </w:rPr>
        <w:tab/>
        <w:t>La Commission informe périodiquement le groupe pour les médicaments critiques des projets stratégiques ayant bénéficié d’un soutien financier de l’Union.</w:t>
      </w:r>
    </w:p>
    <w:p w14:paraId="71197BD9" w14:textId="77777777" w:rsidR="00922C2A" w:rsidRPr="00922C2A" w:rsidRDefault="00922C2A" w:rsidP="00922C2A">
      <w:pPr>
        <w:pStyle w:val="Text1"/>
        <w:rPr>
          <w:noProof/>
        </w:rPr>
      </w:pPr>
      <w:r w:rsidRPr="00922C2A">
        <w:rPr>
          <w:noProof/>
        </w:rPr>
        <w:t xml:space="preserve">La Commission peut informer le groupe pour les médicaments critiques de son intention de proposer la mise en place de possibilités de financement spécifiquement conçues pour remédier aux vulnérabilités dans les chaînes d’approvisionnement, et l’informer de tout autre programme susceptible de contribuer à la disponibilité de médicaments critiques, dans le respect des règles et conditions spécifiques des programmes de financement de l’Union concernés. </w:t>
      </w:r>
    </w:p>
    <w:p w14:paraId="79B125DF" w14:textId="77777777" w:rsidR="00922C2A" w:rsidRPr="00922C2A" w:rsidRDefault="00922C2A" w:rsidP="00922C2A">
      <w:pPr>
        <w:rPr>
          <w:noProof/>
          <w:lang w:eastAsia="en-GB"/>
        </w:rPr>
      </w:pPr>
    </w:p>
    <w:p w14:paraId="1C06C789" w14:textId="77777777" w:rsidR="00922C2A" w:rsidRPr="00922C2A" w:rsidRDefault="00922C2A" w:rsidP="00922C2A">
      <w:pPr>
        <w:pStyle w:val="ChapterTitle"/>
        <w:rPr>
          <w:b w:val="0"/>
          <w:noProof/>
        </w:rPr>
      </w:pPr>
      <w:bookmarkStart w:id="9" w:name="_Hlk192165508"/>
      <w:r w:rsidRPr="00922C2A">
        <w:rPr>
          <w:noProof/>
        </w:rPr>
        <w:t>Chapitre IV</w:t>
      </w:r>
      <w:r w:rsidRPr="00922C2A">
        <w:rPr>
          <w:noProof/>
        </w:rPr>
        <w:br/>
        <w:t>Mesures axées sur la demande</w:t>
      </w:r>
    </w:p>
    <w:p w14:paraId="4B219F6C" w14:textId="77777777" w:rsidR="00922C2A" w:rsidRPr="00922C2A" w:rsidRDefault="00922C2A" w:rsidP="00922C2A">
      <w:pPr>
        <w:pStyle w:val="SectionTitle"/>
        <w:rPr>
          <w:noProof/>
        </w:rPr>
      </w:pPr>
      <w:r w:rsidRPr="00922C2A">
        <w:rPr>
          <w:noProof/>
        </w:rPr>
        <w:t>Section I</w:t>
      </w:r>
    </w:p>
    <w:p w14:paraId="63EDC51A" w14:textId="77777777" w:rsidR="00922C2A" w:rsidRPr="00922C2A" w:rsidRDefault="00922C2A" w:rsidP="00922C2A">
      <w:pPr>
        <w:pStyle w:val="SectionTitle"/>
        <w:rPr>
          <w:b w:val="0"/>
          <w:noProof/>
        </w:rPr>
      </w:pPr>
      <w:r w:rsidRPr="00922C2A">
        <w:rPr>
          <w:noProof/>
        </w:rPr>
        <w:t>Critères d’attribution, autres exigences en matière de passation de marchés et mesures connexes</w:t>
      </w:r>
    </w:p>
    <w:bookmarkEnd w:id="9"/>
    <w:p w14:paraId="33AF729A" w14:textId="77777777" w:rsidR="00922C2A" w:rsidRPr="00922C2A" w:rsidRDefault="00922C2A" w:rsidP="00922C2A">
      <w:pPr>
        <w:pStyle w:val="Titrearticle"/>
        <w:rPr>
          <w:noProof/>
        </w:rPr>
      </w:pPr>
      <w:r w:rsidRPr="00922C2A">
        <w:rPr>
          <w:noProof/>
        </w:rPr>
        <w:t>Article 18</w:t>
      </w:r>
    </w:p>
    <w:p w14:paraId="6CCC56F5" w14:textId="77777777" w:rsidR="00922C2A" w:rsidRPr="00922C2A" w:rsidRDefault="00922C2A" w:rsidP="00922C2A">
      <w:pPr>
        <w:jc w:val="center"/>
        <w:rPr>
          <w:i/>
          <w:noProof/>
        </w:rPr>
      </w:pPr>
      <w:r w:rsidRPr="00922C2A">
        <w:rPr>
          <w:i/>
          <w:noProof/>
        </w:rPr>
        <w:t xml:space="preserve">Encourager la résilience, la durabilité et les incidences sociales positives dans les procédures de passation de marchés publics </w:t>
      </w:r>
    </w:p>
    <w:p w14:paraId="7630ED1C" w14:textId="77777777" w:rsidR="00922C2A" w:rsidRPr="00922C2A" w:rsidRDefault="00922C2A" w:rsidP="00922C2A">
      <w:pPr>
        <w:pStyle w:val="Point0"/>
        <w:rPr>
          <w:noProof/>
        </w:rPr>
      </w:pPr>
      <w:r w:rsidRPr="00922C2A">
        <w:rPr>
          <w:noProof/>
        </w:rPr>
        <w:t>1.</w:t>
      </w:r>
      <w:r w:rsidRPr="00922C2A">
        <w:rPr>
          <w:noProof/>
        </w:rPr>
        <w:tab/>
        <w:t>Pour les procédures d’attribution concernant des médicaments critiques qui relèvent du champ d’application de la directive 2014/24/UE du Parlement européen et du Conseil, les pouvoirs adjudicateurs des États membres appliquent des exigences autres que les seuls critères d’attribution fondés sur le prix, comme l’obligation de favoriser la résilience de l’approvisionnement dans l’Union. Ces exigences en matière de passation de marchés sont définies conformément à la directive 2014/24/UE et peuvent inclure des obligations de stockage, la nécessité de faire appel à différents fournisseurs, la surveillance des chaînes d’approvisionnement, leur transparence vis-à-vis du pouvoir adjudicateur et des clauses d’exécution du marché sur la livraison en temps utile.</w:t>
      </w:r>
    </w:p>
    <w:p w14:paraId="4E0551F8" w14:textId="77777777" w:rsidR="00922C2A" w:rsidRPr="00922C2A" w:rsidRDefault="00922C2A" w:rsidP="00922C2A">
      <w:pPr>
        <w:pStyle w:val="Point0"/>
        <w:rPr>
          <w:rFonts w:eastAsia="Times New Roman"/>
          <w:noProof/>
        </w:rPr>
      </w:pPr>
      <w:r w:rsidRPr="00922C2A">
        <w:rPr>
          <w:noProof/>
        </w:rPr>
        <w:t>2.</w:t>
      </w:r>
      <w:r w:rsidRPr="00922C2A">
        <w:rPr>
          <w:noProof/>
        </w:rPr>
        <w:tab/>
        <w:t>En ce qui concerne les médicaments critiques pour lesquels une vulnérabilité dans les chaînes d’approvisionnement a été confirmée dans le cadre d’une évaluation des vulnérabilités ayant mis en évidence le niveau élevé de dépendance à l’égard d’un seul pays tiers ou d’un nombre limité de pays tiers, les pouvoirs adjudicateurs appliquent, lorsque cela se justifie, des exigences favorisant les fournisseurs qui fabriquent une part significative de ces médicaments critiques dans l’Union. Ces exigences sont appliquées dans le respect des engagements internationaux de l’Union.</w:t>
      </w:r>
    </w:p>
    <w:p w14:paraId="3D26683E" w14:textId="77777777" w:rsidR="00922C2A" w:rsidRPr="00922C2A" w:rsidRDefault="00922C2A" w:rsidP="00922C2A">
      <w:pPr>
        <w:pStyle w:val="Point0"/>
        <w:rPr>
          <w:rFonts w:eastAsia="Times New Roman"/>
          <w:noProof/>
          <w:szCs w:val="24"/>
        </w:rPr>
      </w:pPr>
      <w:r w:rsidRPr="00922C2A">
        <w:rPr>
          <w:noProof/>
        </w:rPr>
        <w:t>3.</w:t>
      </w:r>
      <w:r w:rsidRPr="00922C2A">
        <w:rPr>
          <w:noProof/>
        </w:rPr>
        <w:tab/>
      </w:r>
      <w:r w:rsidRPr="00922C2A">
        <w:rPr>
          <w:rStyle w:val="normaltextrun"/>
          <w:noProof/>
          <w:color w:val="000000" w:themeColor="text1"/>
        </w:rPr>
        <w:t>En ce qui concerne les autres médicaments d’intérêt commun, lorsque l’analyse du marché et des considérations de santé publique le justifient, les pouvoirs adjudicateurs peuvent appliquer des exigences</w:t>
      </w:r>
      <w:r w:rsidRPr="00922C2A">
        <w:rPr>
          <w:noProof/>
        </w:rPr>
        <w:t xml:space="preserve"> favorisant les fournisseurs qui fabriquent au moins une part significative de ces médicaments dans l’Union. </w:t>
      </w:r>
      <w:r w:rsidRPr="00922C2A">
        <w:rPr>
          <w:rStyle w:val="normaltextrun"/>
          <w:noProof/>
          <w:color w:val="000000" w:themeColor="text1"/>
        </w:rPr>
        <w:t>Ces exigences sont appliquées dans le respect des engagements internationaux de l’Union.</w:t>
      </w:r>
    </w:p>
    <w:p w14:paraId="0579E180" w14:textId="77777777" w:rsidR="00922C2A" w:rsidRPr="00922C2A" w:rsidRDefault="00922C2A" w:rsidP="00922C2A">
      <w:pPr>
        <w:pStyle w:val="Point0"/>
        <w:rPr>
          <w:rFonts w:eastAsia="Times New Roman"/>
          <w:noProof/>
        </w:rPr>
      </w:pPr>
      <w:r w:rsidRPr="00922C2A">
        <w:rPr>
          <w:noProof/>
        </w:rPr>
        <w:t>4.</w:t>
      </w:r>
      <w:r w:rsidRPr="00922C2A">
        <w:rPr>
          <w:noProof/>
        </w:rPr>
        <w:tab/>
        <w:t>Le présent article ne fait pas obstacle à ce que les pouvoirs adjudicateurs appliquent des exigences qualitatives supplémentaires, y compris en ce qui concerne la durabilité environnementale et les droits sociaux.</w:t>
      </w:r>
    </w:p>
    <w:p w14:paraId="2FCCB036" w14:textId="77777777" w:rsidR="00922C2A" w:rsidRPr="00922C2A" w:rsidRDefault="00922C2A" w:rsidP="00922C2A">
      <w:pPr>
        <w:pStyle w:val="Point0"/>
        <w:rPr>
          <w:rFonts w:eastAsia="Times New Roman"/>
          <w:noProof/>
        </w:rPr>
      </w:pPr>
      <w:r w:rsidRPr="00922C2A">
        <w:rPr>
          <w:noProof/>
        </w:rPr>
        <w:t>5.</w:t>
      </w:r>
      <w:r w:rsidRPr="00922C2A">
        <w:rPr>
          <w:noProof/>
        </w:rPr>
        <w:tab/>
        <w:t xml:space="preserve">Les pouvoirs adjudicateurs peuvent, à titre exceptionnel, décider de ne pas appliquer les paragraphes 1, 2 et 3 lorsque cela se justifie sur la base de l’analyse du marché ou de considérations liées au financement des services de santé. </w:t>
      </w:r>
    </w:p>
    <w:p w14:paraId="5A90D0BF" w14:textId="77777777" w:rsidR="00922C2A" w:rsidRPr="00922C2A" w:rsidRDefault="00922C2A" w:rsidP="00922C2A">
      <w:pPr>
        <w:pStyle w:val="Titrearticle"/>
        <w:rPr>
          <w:noProof/>
        </w:rPr>
      </w:pPr>
      <w:r w:rsidRPr="00922C2A">
        <w:rPr>
          <w:noProof/>
        </w:rPr>
        <w:t>Article 19</w:t>
      </w:r>
    </w:p>
    <w:p w14:paraId="00A51405" w14:textId="77777777" w:rsidR="00922C2A" w:rsidRPr="00922C2A" w:rsidRDefault="00922C2A" w:rsidP="00922C2A">
      <w:pPr>
        <w:jc w:val="center"/>
        <w:rPr>
          <w:i/>
          <w:noProof/>
        </w:rPr>
      </w:pPr>
      <w:r w:rsidRPr="00922C2A">
        <w:rPr>
          <w:i/>
          <w:noProof/>
        </w:rPr>
        <w:t>Programmes de soutien à la durabilité et à la résilience dans les procédures de passation de marchés publics</w:t>
      </w:r>
    </w:p>
    <w:p w14:paraId="57FDB51E" w14:textId="77777777" w:rsidR="00922C2A" w:rsidRPr="00922C2A" w:rsidRDefault="00922C2A" w:rsidP="00922C2A">
      <w:pPr>
        <w:pStyle w:val="Point0"/>
        <w:rPr>
          <w:rFonts w:eastAsia="Times New Roman"/>
          <w:noProof/>
        </w:rPr>
      </w:pPr>
      <w:r w:rsidRPr="00922C2A">
        <w:rPr>
          <w:noProof/>
        </w:rPr>
        <w:t>1.</w:t>
      </w:r>
      <w:r w:rsidRPr="00922C2A">
        <w:rPr>
          <w:noProof/>
        </w:rPr>
        <w:tab/>
        <w:t>Au plus tard 6 mois après l’entrée en vigueur du présent règlement, chaque État membre établit un programme national au soutien de la sécurité de l’approvisionnement en médicaments critiques, notamment dans le cadre des procédures de passation de marchés publics. Ces programmes encouragent une application cohérente des exigences en matière de passation de marchés par les pouvoirs adjudicateurs dans un État membre donné, ainsi que l’application d’approches permettant de retenir plusieurs adjudicataires, lorsqu’une analyse approfondie du marché montre que cela serait bénéfique. Les programmes peuvent également inclure des mesures, en matière de fixation des prix et de remboursement, qui favorisent la sécurité de l’approvisionnement pour les médicaments critiques non achetés dans le cadre de procédures de passation de marchés publics.</w:t>
      </w:r>
    </w:p>
    <w:p w14:paraId="3B1A2DAC" w14:textId="77777777" w:rsidR="00922C2A" w:rsidRPr="00922C2A" w:rsidRDefault="00922C2A" w:rsidP="00922C2A">
      <w:pPr>
        <w:pStyle w:val="Point0"/>
        <w:rPr>
          <w:rFonts w:eastAsia="Times New Roman"/>
          <w:noProof/>
        </w:rPr>
      </w:pPr>
      <w:r w:rsidRPr="00922C2A">
        <w:rPr>
          <w:noProof/>
        </w:rPr>
        <w:t>2.</w:t>
      </w:r>
      <w:r w:rsidRPr="00922C2A">
        <w:rPr>
          <w:noProof/>
        </w:rPr>
        <w:tab/>
        <w:t>Les États membres notifient leur programme à la Commission, compte tenu des fonctions de secrétariat que celle-ci exerce pour le groupe pour les médicaments critiques. La Commission communique sans délais ces programmes à tous les membres du groupe pour les médicaments critiques. Celui-ci facilite les discussions visant à assurer la coordination des programmes nationaux, y compris en ce qui concerne l’application des critères mentionnés à l’article 18, paragraphe 2, et peut émettre des avis. Lorsque le groupe pour les médicaments critiques émet un avis concernant les programmes nationaux, les États membres prennent dûment cet avis en considération et peuvent en tenir compte lors de la révision de leur programme.</w:t>
      </w:r>
    </w:p>
    <w:p w14:paraId="7656E264" w14:textId="77777777" w:rsidR="00922C2A" w:rsidRPr="00922C2A" w:rsidRDefault="00922C2A" w:rsidP="00922C2A">
      <w:pPr>
        <w:pStyle w:val="Titrearticle"/>
        <w:rPr>
          <w:rFonts w:eastAsia="Times New Roman"/>
          <w:i w:val="0"/>
          <w:iCs/>
          <w:noProof/>
        </w:rPr>
      </w:pPr>
      <w:bookmarkStart w:id="10" w:name="_Hlk192165422"/>
      <w:bookmarkStart w:id="11" w:name="_Hlk192169224"/>
      <w:r w:rsidRPr="00922C2A">
        <w:rPr>
          <w:noProof/>
        </w:rPr>
        <w:t>Article 20</w:t>
      </w:r>
    </w:p>
    <w:p w14:paraId="7E381E65" w14:textId="77777777" w:rsidR="00922C2A" w:rsidRPr="00922C2A" w:rsidRDefault="00922C2A" w:rsidP="00922C2A">
      <w:pPr>
        <w:jc w:val="center"/>
        <w:rPr>
          <w:rFonts w:eastAsia="Times New Roman"/>
          <w:i/>
          <w:iCs/>
          <w:noProof/>
        </w:rPr>
      </w:pPr>
      <w:r w:rsidRPr="00922C2A">
        <w:rPr>
          <w:i/>
          <w:noProof/>
        </w:rPr>
        <w:t>Garanties liées aux exigences des États membres en matière de stocks d’urgence et autres mesures relatives à la sécurité de l’approvisionnement</w:t>
      </w:r>
    </w:p>
    <w:p w14:paraId="49F30380" w14:textId="77777777" w:rsidR="00922C2A" w:rsidRPr="00922C2A" w:rsidRDefault="00922C2A" w:rsidP="00922C2A">
      <w:pPr>
        <w:rPr>
          <w:noProof/>
        </w:rPr>
      </w:pPr>
      <w:r w:rsidRPr="00922C2A">
        <w:rPr>
          <w:noProof/>
        </w:rPr>
        <w:t xml:space="preserve">Les mesures relatives à la sécurité de l’approvisionnement appliquées dans un État membre n’ont pas d’incidence négative dans d’autres États membres. En particulier, les États membres font en sorte d’éviter une telle incidence lorsqu’ils proposent et définissent la portée et le calendrier de toute obligation faite aux entreprises de détenir des stocks d’urgence. </w:t>
      </w:r>
    </w:p>
    <w:p w14:paraId="0ADA1441" w14:textId="77777777" w:rsidR="00922C2A" w:rsidRPr="00922C2A" w:rsidRDefault="00922C2A" w:rsidP="00922C2A">
      <w:pPr>
        <w:rPr>
          <w:noProof/>
        </w:rPr>
      </w:pPr>
      <w:r w:rsidRPr="00922C2A">
        <w:rPr>
          <w:noProof/>
        </w:rPr>
        <w:t xml:space="preserve">Les États membres veillent à ce que toute obligation faite aux entreprises de la chaîne d’approvisionnement de détenir des stocks d’urgence soit proportionnée et respecte les principes de transparence et de solidarité. </w:t>
      </w:r>
      <w:bookmarkEnd w:id="10"/>
      <w:bookmarkEnd w:id="11"/>
    </w:p>
    <w:p w14:paraId="6B47B16A" w14:textId="77777777" w:rsidR="00922C2A" w:rsidRPr="00922C2A" w:rsidRDefault="00922C2A" w:rsidP="00922C2A">
      <w:pPr>
        <w:rPr>
          <w:noProof/>
          <w:lang w:eastAsia="en-GB"/>
        </w:rPr>
      </w:pPr>
    </w:p>
    <w:p w14:paraId="386E2B5D" w14:textId="77777777" w:rsidR="00922C2A" w:rsidRPr="00922C2A" w:rsidRDefault="00922C2A" w:rsidP="00922C2A">
      <w:pPr>
        <w:pStyle w:val="SectionTitle"/>
        <w:rPr>
          <w:noProof/>
        </w:rPr>
      </w:pPr>
      <w:r w:rsidRPr="00922C2A">
        <w:rPr>
          <w:noProof/>
        </w:rPr>
        <w:t>Section II</w:t>
      </w:r>
    </w:p>
    <w:p w14:paraId="7582725D" w14:textId="77777777" w:rsidR="00922C2A" w:rsidRPr="00922C2A" w:rsidRDefault="00922C2A" w:rsidP="00922C2A">
      <w:pPr>
        <w:pStyle w:val="SectionTitle"/>
        <w:rPr>
          <w:b w:val="0"/>
          <w:noProof/>
        </w:rPr>
      </w:pPr>
      <w:r w:rsidRPr="00922C2A">
        <w:rPr>
          <w:noProof/>
        </w:rPr>
        <w:t>Passation collaborative de marchés</w:t>
      </w:r>
    </w:p>
    <w:p w14:paraId="286A42FC" w14:textId="77777777" w:rsidR="00922C2A" w:rsidRPr="00922C2A" w:rsidRDefault="00922C2A" w:rsidP="00922C2A">
      <w:pPr>
        <w:pStyle w:val="Titrearticle"/>
        <w:rPr>
          <w:noProof/>
        </w:rPr>
      </w:pPr>
      <w:r w:rsidRPr="00922C2A">
        <w:rPr>
          <w:noProof/>
        </w:rPr>
        <w:t>Article 21</w:t>
      </w:r>
    </w:p>
    <w:p w14:paraId="0F98984A" w14:textId="77777777" w:rsidR="00922C2A" w:rsidRPr="00922C2A" w:rsidRDefault="00922C2A" w:rsidP="00922C2A">
      <w:pPr>
        <w:jc w:val="center"/>
        <w:rPr>
          <w:i/>
          <w:noProof/>
        </w:rPr>
      </w:pPr>
      <w:r w:rsidRPr="00922C2A">
        <w:rPr>
          <w:i/>
          <w:noProof/>
        </w:rPr>
        <w:t>Passation transfrontière de marchés entre États membres facilitée par la Commission</w:t>
      </w:r>
    </w:p>
    <w:p w14:paraId="6C170115" w14:textId="77777777" w:rsidR="00922C2A" w:rsidRPr="00922C2A" w:rsidRDefault="00922C2A" w:rsidP="00922C2A">
      <w:pPr>
        <w:pStyle w:val="Point0"/>
        <w:rPr>
          <w:rFonts w:eastAsia="Times New Roman"/>
          <w:noProof/>
        </w:rPr>
      </w:pPr>
      <w:r w:rsidRPr="00922C2A">
        <w:rPr>
          <w:noProof/>
        </w:rPr>
        <w:t>1.</w:t>
      </w:r>
      <w:r w:rsidRPr="00922C2A">
        <w:rPr>
          <w:noProof/>
        </w:rPr>
        <w:tab/>
        <w:t>Sur demande motivée de trois États membres ou plus (ci-après la «demande»), la Commission peut jouer un rôle de facilitatrice pour la passation transfrontière de marchés entre États membres demandeurs telle que décrite à l’article 39 de la directive 2014/24/UE du Parlement européen et du Conseil</w:t>
      </w:r>
      <w:r w:rsidRPr="00922C2A">
        <w:rPr>
          <w:rStyle w:val="FootnoteReference"/>
          <w:noProof/>
        </w:rPr>
        <w:footnoteReference w:id="93"/>
      </w:r>
      <w:r w:rsidRPr="00922C2A">
        <w:rPr>
          <w:noProof/>
        </w:rPr>
        <w:t xml:space="preserve">, en ce qui concerne les médicaments d’intérêt commun. </w:t>
      </w:r>
    </w:p>
    <w:p w14:paraId="4991774B" w14:textId="77777777" w:rsidR="00922C2A" w:rsidRPr="00922C2A" w:rsidRDefault="00922C2A" w:rsidP="00922C2A">
      <w:pPr>
        <w:pStyle w:val="Point0"/>
        <w:rPr>
          <w:rFonts w:eastAsia="Times New Roman"/>
          <w:noProof/>
        </w:rPr>
      </w:pPr>
      <w:r w:rsidRPr="00922C2A">
        <w:rPr>
          <w:noProof/>
        </w:rPr>
        <w:t>2.</w:t>
      </w:r>
      <w:r w:rsidRPr="00922C2A">
        <w:rPr>
          <w:noProof/>
        </w:rPr>
        <w:tab/>
        <w:t>Après réception de la demande, la Commission informe tous les autres États membres de l’initiative et leur fixe un délai approprié pour manifester leur intérêt. Ce délai n’excède pas trois semaines.</w:t>
      </w:r>
    </w:p>
    <w:p w14:paraId="6C9A4B0A" w14:textId="77777777" w:rsidR="00922C2A" w:rsidRPr="00922C2A" w:rsidRDefault="00922C2A" w:rsidP="00922C2A">
      <w:pPr>
        <w:pStyle w:val="Point0"/>
        <w:rPr>
          <w:rFonts w:eastAsia="Times New Roman"/>
          <w:noProof/>
        </w:rPr>
      </w:pPr>
      <w:r w:rsidRPr="00922C2A">
        <w:rPr>
          <w:noProof/>
        </w:rPr>
        <w:t>3.</w:t>
      </w:r>
      <w:r w:rsidRPr="00922C2A">
        <w:rPr>
          <w:noProof/>
        </w:rPr>
        <w:tab/>
        <w:t xml:space="preserve">La Commission évalue la demande à la lumière des objectifs du présent règlement. La Commission communique aux États membres intéressés sa décision d’accepter ou non d’agir en tant que facilitatrice pour l’initiative proposée dans un délai de trois semaines à compter de la réception de la demande. </w:t>
      </w:r>
    </w:p>
    <w:p w14:paraId="763DB3D1" w14:textId="77777777" w:rsidR="00922C2A" w:rsidRPr="00922C2A" w:rsidRDefault="00922C2A" w:rsidP="00922C2A">
      <w:pPr>
        <w:pStyle w:val="Point0"/>
        <w:rPr>
          <w:rFonts w:eastAsia="Times New Roman"/>
          <w:noProof/>
        </w:rPr>
      </w:pPr>
      <w:r w:rsidRPr="00922C2A">
        <w:rPr>
          <w:noProof/>
        </w:rPr>
        <w:t>4.</w:t>
      </w:r>
      <w:r w:rsidRPr="00922C2A">
        <w:rPr>
          <w:noProof/>
        </w:rPr>
        <w:tab/>
        <w:t xml:space="preserve">Si la Commission rejette la demande, elle indique les raisons de son refus. </w:t>
      </w:r>
    </w:p>
    <w:p w14:paraId="38285C6D" w14:textId="77777777" w:rsidR="00922C2A" w:rsidRPr="00922C2A" w:rsidRDefault="00922C2A" w:rsidP="00922C2A">
      <w:pPr>
        <w:pStyle w:val="Point0"/>
        <w:rPr>
          <w:rFonts w:eastAsia="Times New Roman"/>
          <w:noProof/>
        </w:rPr>
      </w:pPr>
      <w:r w:rsidRPr="00922C2A">
        <w:rPr>
          <w:noProof/>
        </w:rPr>
        <w:t>5.</w:t>
      </w:r>
      <w:r w:rsidRPr="00922C2A">
        <w:rPr>
          <w:noProof/>
        </w:rPr>
        <w:tab/>
        <w:t>Si la Commission accepte la demande, elle fournit des services de secrétariat et un soutien logistique aux États membres intéressés. La Commission facilite la communication et la coopération entre les États membres concernés et fournit des conseils sur les règles de l’Union applicables aux marchés publics et sur les questions réglementaires liées aux médicaments.</w:t>
      </w:r>
    </w:p>
    <w:p w14:paraId="7F6E930B" w14:textId="77777777" w:rsidR="00922C2A" w:rsidRPr="00922C2A" w:rsidRDefault="00922C2A" w:rsidP="00922C2A">
      <w:pPr>
        <w:pStyle w:val="Point0"/>
        <w:rPr>
          <w:rFonts w:eastAsia="Times New Roman"/>
          <w:noProof/>
        </w:rPr>
      </w:pPr>
      <w:r w:rsidRPr="00922C2A">
        <w:rPr>
          <w:noProof/>
        </w:rPr>
        <w:t>6.</w:t>
      </w:r>
      <w:r w:rsidRPr="00922C2A">
        <w:rPr>
          <w:noProof/>
        </w:rPr>
        <w:tab/>
        <w:t>La facilitation offerte par la Commission est limitée dans le temps et prend fin au plus tard à la signature du marché par les pouvoirs adjudicateurs participants.</w:t>
      </w:r>
    </w:p>
    <w:p w14:paraId="500BF7D8" w14:textId="77777777" w:rsidR="00922C2A" w:rsidRPr="00922C2A" w:rsidRDefault="00922C2A" w:rsidP="00922C2A">
      <w:pPr>
        <w:pStyle w:val="Point0"/>
        <w:rPr>
          <w:rFonts w:eastAsia="Times New Roman"/>
          <w:noProof/>
        </w:rPr>
      </w:pPr>
      <w:r w:rsidRPr="00922C2A">
        <w:rPr>
          <w:noProof/>
        </w:rPr>
        <w:t>7.</w:t>
      </w:r>
      <w:r w:rsidRPr="00922C2A">
        <w:rPr>
          <w:noProof/>
        </w:rPr>
        <w:tab/>
        <w:t>La Commission n’est pas responsable, ni ne peut être tenue pour responsable, de violations du droit de l’Union ou du droit national en matière de marchés publics qui seraient commises par les pouvoirs adjudicateurs participants. La Commission n’assume aucune responsabilité quant à la conduite de la procédure de passation de marchés par les États membres intéressés et à l’exécution du marché résultant de la procédure.</w:t>
      </w:r>
    </w:p>
    <w:p w14:paraId="762FF434" w14:textId="77777777" w:rsidR="00922C2A" w:rsidRPr="00922C2A" w:rsidRDefault="00922C2A" w:rsidP="00922C2A">
      <w:pPr>
        <w:pStyle w:val="Titrearticle"/>
        <w:rPr>
          <w:noProof/>
        </w:rPr>
      </w:pPr>
      <w:r w:rsidRPr="00922C2A">
        <w:rPr>
          <w:noProof/>
        </w:rPr>
        <w:t>Article 22</w:t>
      </w:r>
    </w:p>
    <w:p w14:paraId="28B86DD2" w14:textId="77777777" w:rsidR="00922C2A" w:rsidRPr="00922C2A" w:rsidRDefault="00922C2A" w:rsidP="00922C2A">
      <w:pPr>
        <w:jc w:val="center"/>
        <w:rPr>
          <w:i/>
          <w:noProof/>
        </w:rPr>
      </w:pPr>
      <w:r w:rsidRPr="00922C2A">
        <w:rPr>
          <w:i/>
          <w:noProof/>
        </w:rPr>
        <w:t>Passation de marchés par la Commission pour le compte ou au nom des États membres</w:t>
      </w:r>
    </w:p>
    <w:p w14:paraId="4659DFBD" w14:textId="77777777" w:rsidR="00922C2A" w:rsidRPr="00922C2A" w:rsidRDefault="00922C2A" w:rsidP="00922C2A">
      <w:pPr>
        <w:pStyle w:val="Point0"/>
        <w:rPr>
          <w:rFonts w:eastAsia="Times New Roman"/>
          <w:noProof/>
        </w:rPr>
      </w:pPr>
      <w:r w:rsidRPr="00922C2A">
        <w:rPr>
          <w:noProof/>
        </w:rPr>
        <w:t>1.</w:t>
      </w:r>
      <w:r w:rsidRPr="00922C2A">
        <w:rPr>
          <w:noProof/>
        </w:rPr>
        <w:tab/>
        <w:t>Par dérogation à l’article 168, paragraphe 3, du règlement (UE, Euratom) 2024/2509, lorsque neuf États membres ou plus demandent conjointement à la Commission de passer des marchés pour leur compte ou en leur nom, la Commission peut engager une procédure de passation de marchés dans les conditions énoncées au présent article dès lors que la passation porte sur des médicaments appartenant à l’une des catégories suivantes:</w:t>
      </w:r>
    </w:p>
    <w:p w14:paraId="00E93652" w14:textId="77777777" w:rsidR="00922C2A" w:rsidRPr="00922C2A" w:rsidRDefault="00922C2A" w:rsidP="00922C2A">
      <w:pPr>
        <w:pStyle w:val="Point1"/>
        <w:rPr>
          <w:noProof/>
        </w:rPr>
      </w:pPr>
      <w:r w:rsidRPr="00922C2A">
        <w:rPr>
          <w:noProof/>
        </w:rPr>
        <w:t>a)</w:t>
      </w:r>
      <w:r w:rsidRPr="00922C2A">
        <w:rPr>
          <w:noProof/>
        </w:rPr>
        <w:tab/>
        <w:t xml:space="preserve">médicaments critiques pour lesquels une évaluation des vulnérabilités a permis de détecter une vulnérabilité dans les chaînes d’approvisionnement ou pour lesquels le groupe de pilotage sur les pénuries de médicaments a recommandé une initiative de passation conjointe de marchés; </w:t>
      </w:r>
    </w:p>
    <w:p w14:paraId="0DD5A768" w14:textId="77777777" w:rsidR="00922C2A" w:rsidRPr="00922C2A" w:rsidRDefault="00922C2A" w:rsidP="00922C2A">
      <w:pPr>
        <w:pStyle w:val="Point1"/>
        <w:rPr>
          <w:rFonts w:eastAsia="Times New Roman"/>
          <w:noProof/>
        </w:rPr>
      </w:pPr>
      <w:r w:rsidRPr="00922C2A">
        <w:rPr>
          <w:noProof/>
        </w:rPr>
        <w:t>b)</w:t>
      </w:r>
      <w:r w:rsidRPr="00922C2A">
        <w:rPr>
          <w:noProof/>
        </w:rPr>
        <w:tab/>
        <w:t>médicaments d’intérêt commun pour lesquels un rapport d’évaluation clinique commune a été publié conformément à l’article 12, paragraphe 4, du règlement (UE) 2021/2282 du Parlement européen et du Conseil</w:t>
      </w:r>
      <w:r w:rsidRPr="00922C2A">
        <w:rPr>
          <w:rStyle w:val="FootnoteReference"/>
          <w:noProof/>
        </w:rPr>
        <w:footnoteReference w:id="94"/>
      </w:r>
      <w:r w:rsidRPr="00922C2A">
        <w:rPr>
          <w:noProof/>
        </w:rPr>
        <w:t>, ou qui ont fait l’objet d’une évaluation clinique effectuée dans le cadre de la coopération volontaire entre les États membres conformément à l’article 23, paragraphe 1, point e), dudit règlement.</w:t>
      </w:r>
    </w:p>
    <w:p w14:paraId="5883FC6D" w14:textId="77777777" w:rsidR="00922C2A" w:rsidRPr="00922C2A" w:rsidRDefault="00922C2A" w:rsidP="00922C2A">
      <w:pPr>
        <w:pStyle w:val="Point0"/>
        <w:rPr>
          <w:rFonts w:eastAsia="Times New Roman"/>
          <w:noProof/>
        </w:rPr>
      </w:pPr>
      <w:r w:rsidRPr="00922C2A">
        <w:rPr>
          <w:noProof/>
        </w:rPr>
        <w:t>2.</w:t>
      </w:r>
      <w:r w:rsidRPr="00922C2A">
        <w:rPr>
          <w:noProof/>
        </w:rPr>
        <w:tab/>
        <w:t xml:space="preserve">La demande conjointe mentionnée au paragraphe 1 n’est présentée que si le médicament concerné remplit l’un des critères énoncés audit paragraphe et que la procédure de passation de marchés faisant l’objet de la demande contribuera à améliorer la sécurité de l’approvisionnement et la disponibilité des médicaments critiques dans l’Union ou à garantir la disponibilité et l’accessibilité des médicaments d’intérêt commun, selon le cas. </w:t>
      </w:r>
    </w:p>
    <w:p w14:paraId="5A77B70D" w14:textId="77777777" w:rsidR="00922C2A" w:rsidRPr="00922C2A" w:rsidRDefault="00922C2A" w:rsidP="00922C2A">
      <w:pPr>
        <w:pStyle w:val="Point0"/>
        <w:rPr>
          <w:noProof/>
        </w:rPr>
      </w:pPr>
      <w:r w:rsidRPr="00922C2A">
        <w:rPr>
          <w:noProof/>
        </w:rPr>
        <w:t>3.</w:t>
      </w:r>
      <w:r w:rsidRPr="00922C2A">
        <w:rPr>
          <w:noProof/>
        </w:rPr>
        <w:tab/>
        <w:t xml:space="preserve">La participation à la procédure de passation de marchés est ouverte à tous les États membres. La Commission informe tous les États membres de la demande, par l’intermédiaire du groupe pour les médicaments critiques, et les invite à participer à la procédure. </w:t>
      </w:r>
    </w:p>
    <w:p w14:paraId="3DB660F6" w14:textId="77777777" w:rsidR="00922C2A" w:rsidRPr="00922C2A" w:rsidRDefault="00922C2A" w:rsidP="00922C2A">
      <w:pPr>
        <w:pStyle w:val="Point0"/>
        <w:rPr>
          <w:rFonts w:eastAsia="Times New Roman"/>
          <w:noProof/>
        </w:rPr>
      </w:pPr>
      <w:r w:rsidRPr="00922C2A">
        <w:rPr>
          <w:noProof/>
        </w:rPr>
        <w:t>4.</w:t>
      </w:r>
      <w:r w:rsidRPr="00922C2A">
        <w:rPr>
          <w:noProof/>
        </w:rPr>
        <w:tab/>
        <w:t>La Commission évalue l’utilité, la nécessité et la proportionnalité de la demande et détermine si celle-ci est justifiée au regard des objectifs du présent règlement. La Commission vérifie en particulier si la passation de marchés est susceptible de constituer une discrimination, une restriction des échanges ou une distorsion de la concurrence.</w:t>
      </w:r>
    </w:p>
    <w:p w14:paraId="18B2A525" w14:textId="77777777" w:rsidR="00922C2A" w:rsidRPr="00922C2A" w:rsidRDefault="00922C2A" w:rsidP="00922C2A">
      <w:pPr>
        <w:pStyle w:val="Point0"/>
        <w:rPr>
          <w:noProof/>
        </w:rPr>
      </w:pPr>
      <w:r w:rsidRPr="00922C2A">
        <w:rPr>
          <w:noProof/>
        </w:rPr>
        <w:t>5.</w:t>
      </w:r>
      <w:r w:rsidRPr="00922C2A">
        <w:rPr>
          <w:noProof/>
        </w:rPr>
        <w:tab/>
        <w:t>La Commission informe les États membres concernés de sa décision dans un délai d’un mois à compter de la demande et indique ses motifs en cas de refus.</w:t>
      </w:r>
    </w:p>
    <w:p w14:paraId="187645E0" w14:textId="77777777" w:rsidR="00922C2A" w:rsidRPr="00922C2A" w:rsidRDefault="00922C2A" w:rsidP="00922C2A">
      <w:pPr>
        <w:pStyle w:val="Point0"/>
        <w:rPr>
          <w:rFonts w:eastAsia="Times New Roman"/>
          <w:noProof/>
        </w:rPr>
      </w:pPr>
      <w:r w:rsidRPr="00922C2A">
        <w:rPr>
          <w:noProof/>
        </w:rPr>
        <w:t>6.</w:t>
      </w:r>
      <w:r w:rsidRPr="00922C2A">
        <w:rPr>
          <w:noProof/>
        </w:rPr>
        <w:tab/>
        <w:t xml:space="preserve">Si, à la lumière de l’évaluation de la Commission, il s’avère nécessaire, pour atteindre les objectifs du présent règlement, de conduire la passation de marchés moyennant l’application d’une clause d’exclusivité pour les États membres ou de convenir de quantités minimales contraignantes, l’accord de la Commission sur la poursuite de la procédure peut être subordonné à l’acceptation de ces conditions par les États membres intéressés. </w:t>
      </w:r>
    </w:p>
    <w:p w14:paraId="0C635627" w14:textId="77777777" w:rsidR="00922C2A" w:rsidRPr="00922C2A" w:rsidRDefault="00922C2A" w:rsidP="00922C2A">
      <w:pPr>
        <w:pStyle w:val="Point0"/>
        <w:rPr>
          <w:rFonts w:eastAsia="Times New Roman"/>
          <w:noProof/>
        </w:rPr>
      </w:pPr>
      <w:r w:rsidRPr="00922C2A">
        <w:rPr>
          <w:noProof/>
        </w:rPr>
        <w:t>7.</w:t>
      </w:r>
      <w:r w:rsidRPr="00922C2A">
        <w:rPr>
          <w:noProof/>
        </w:rPr>
        <w:tab/>
        <w:t>À l’exception des dérogations prévues par le présent règlement, la passation de marchés mentionnée au présent article est effectuée conformément à l’article 168, paragraphe 3, du règlement (UE, Euratom) 2024/2509</w:t>
      </w:r>
      <w:r w:rsidRPr="00922C2A">
        <w:rPr>
          <w:rStyle w:val="FootnoteReference"/>
          <w:noProof/>
        </w:rPr>
        <w:footnoteReference w:id="95"/>
      </w:r>
      <w:r w:rsidRPr="00922C2A">
        <w:rPr>
          <w:noProof/>
        </w:rPr>
        <w:t xml:space="preserve">. </w:t>
      </w:r>
    </w:p>
    <w:p w14:paraId="59ECDD59" w14:textId="77777777" w:rsidR="00922C2A" w:rsidRPr="00922C2A" w:rsidRDefault="00922C2A" w:rsidP="00922C2A">
      <w:pPr>
        <w:pStyle w:val="Titrearticle"/>
        <w:rPr>
          <w:noProof/>
        </w:rPr>
      </w:pPr>
      <w:r w:rsidRPr="00922C2A">
        <w:rPr>
          <w:noProof/>
        </w:rPr>
        <w:t>Article 23</w:t>
      </w:r>
    </w:p>
    <w:p w14:paraId="6EF48E99" w14:textId="77777777" w:rsidR="00922C2A" w:rsidRPr="00922C2A" w:rsidRDefault="00922C2A" w:rsidP="00922C2A">
      <w:pPr>
        <w:jc w:val="center"/>
        <w:rPr>
          <w:i/>
          <w:noProof/>
        </w:rPr>
      </w:pPr>
      <w:r w:rsidRPr="00922C2A">
        <w:rPr>
          <w:i/>
          <w:noProof/>
        </w:rPr>
        <w:t>Passation conjointe de marchés</w:t>
      </w:r>
    </w:p>
    <w:p w14:paraId="370F79AB" w14:textId="77777777" w:rsidR="00922C2A" w:rsidRPr="00922C2A" w:rsidRDefault="00922C2A" w:rsidP="00922C2A">
      <w:pPr>
        <w:pStyle w:val="Point0"/>
        <w:rPr>
          <w:rFonts w:eastAsia="Times New Roman"/>
          <w:noProof/>
        </w:rPr>
      </w:pPr>
      <w:r w:rsidRPr="00922C2A">
        <w:rPr>
          <w:noProof/>
        </w:rPr>
        <w:t>1.</w:t>
      </w:r>
      <w:r w:rsidRPr="00922C2A">
        <w:rPr>
          <w:noProof/>
        </w:rPr>
        <w:tab/>
        <w:t>Dans les conditions prévues au présent article et par dérogation à l’article 168, paragraphe 2, du règlement (UE, Euratom) 2024/2509, lorsqu’un contrat est nécessaire à l’exécution de l’action commune entre la Commission et les États membres, la Commission et au moins neuf États membres peuvent engager, en tant que pouvoirs adjudicateurs, une procédure de passation conjointe de marchés.</w:t>
      </w:r>
    </w:p>
    <w:p w14:paraId="67BB7926" w14:textId="77777777" w:rsidR="00922C2A" w:rsidRPr="00922C2A" w:rsidRDefault="00922C2A" w:rsidP="00922C2A">
      <w:pPr>
        <w:pStyle w:val="Point0"/>
        <w:rPr>
          <w:rFonts w:eastAsia="Times New Roman"/>
          <w:noProof/>
        </w:rPr>
      </w:pPr>
      <w:r w:rsidRPr="00922C2A">
        <w:rPr>
          <w:noProof/>
        </w:rPr>
        <w:t>2.</w:t>
      </w:r>
      <w:r w:rsidRPr="00922C2A">
        <w:rPr>
          <w:noProof/>
        </w:rPr>
        <w:tab/>
        <w:t>Une procédure de passation conjointe de marchés peut être organisée à la demande des États membres ou à l’initiative de la Commission lorsque la passation porte sur des médicaments appartenant à l’une des catégories suivantes:</w:t>
      </w:r>
    </w:p>
    <w:p w14:paraId="1E239374" w14:textId="77777777" w:rsidR="00922C2A" w:rsidRPr="00922C2A" w:rsidRDefault="00922C2A" w:rsidP="00922C2A">
      <w:pPr>
        <w:pStyle w:val="Point1"/>
        <w:rPr>
          <w:noProof/>
        </w:rPr>
      </w:pPr>
      <w:r w:rsidRPr="00922C2A">
        <w:rPr>
          <w:noProof/>
        </w:rPr>
        <w:t>a)</w:t>
      </w:r>
      <w:r w:rsidRPr="00922C2A">
        <w:rPr>
          <w:noProof/>
        </w:rPr>
        <w:tab/>
        <w:t xml:space="preserve">médicaments critiques pour lesquels une évaluation des vulnérabilités a permis de détecter une vulnérabilité dans les chaînes d’approvisionnement ou pour lesquels le groupe de pilotage sur les pénuries de médicaments a recommandé une initiative de passation conjointe de marchés; </w:t>
      </w:r>
    </w:p>
    <w:p w14:paraId="55DC8B27" w14:textId="77777777" w:rsidR="00922C2A" w:rsidRPr="00922C2A" w:rsidRDefault="00922C2A" w:rsidP="00922C2A">
      <w:pPr>
        <w:pStyle w:val="Point1"/>
        <w:rPr>
          <w:rFonts w:eastAsia="Times New Roman"/>
          <w:noProof/>
        </w:rPr>
      </w:pPr>
      <w:r w:rsidRPr="00922C2A">
        <w:rPr>
          <w:noProof/>
        </w:rPr>
        <w:t>b)</w:t>
      </w:r>
      <w:r w:rsidRPr="00922C2A">
        <w:rPr>
          <w:noProof/>
        </w:rPr>
        <w:tab/>
        <w:t>médicaments d’intérêt commun pour lesquels un rapport d’évaluation clinique commune a été publié conformément à l’article 12, paragraphe 4, du règlement (UE) 2021/2282 du Parlement européen et du Conseil</w:t>
      </w:r>
      <w:r w:rsidRPr="00922C2A">
        <w:rPr>
          <w:rStyle w:val="FootnoteReference"/>
          <w:noProof/>
        </w:rPr>
        <w:footnoteReference w:id="96"/>
      </w:r>
      <w:r w:rsidRPr="00922C2A">
        <w:rPr>
          <w:noProof/>
        </w:rPr>
        <w:t>, ou qui ont fait l’objet d’une évaluation clinique effectuée dans le cadre de la coopération volontaire entre les États membres conformément à l’article 23, paragraphe 1, point e), dudit règlement.</w:t>
      </w:r>
    </w:p>
    <w:p w14:paraId="08D331FC" w14:textId="77777777" w:rsidR="00922C2A" w:rsidRPr="00922C2A" w:rsidRDefault="00922C2A" w:rsidP="00922C2A">
      <w:pPr>
        <w:pStyle w:val="Point0"/>
        <w:rPr>
          <w:noProof/>
        </w:rPr>
      </w:pPr>
      <w:r w:rsidRPr="00922C2A">
        <w:rPr>
          <w:noProof/>
        </w:rPr>
        <w:t>3.</w:t>
      </w:r>
      <w:r w:rsidRPr="00922C2A">
        <w:rPr>
          <w:noProof/>
        </w:rPr>
        <w:tab/>
        <w:t>La Commission peut décider de conduire la procédure de passation conjointe de marchés si la procédure de passation de marchés contribue à améliorer la sécurité de l’approvisionnement et la disponibilité des médicaments critiques dans l’Union ou à garantir la disponibilité et l’accessibilité des médicaments d’intérêt commun, selon le cas.</w:t>
      </w:r>
    </w:p>
    <w:p w14:paraId="293149B8" w14:textId="77777777" w:rsidR="00922C2A" w:rsidRPr="00922C2A" w:rsidRDefault="00922C2A" w:rsidP="00922C2A">
      <w:pPr>
        <w:pStyle w:val="Point0"/>
        <w:rPr>
          <w:noProof/>
        </w:rPr>
      </w:pPr>
      <w:r w:rsidRPr="00922C2A">
        <w:rPr>
          <w:noProof/>
        </w:rPr>
        <w:t>4.</w:t>
      </w:r>
      <w:r w:rsidRPr="00922C2A">
        <w:rPr>
          <w:noProof/>
        </w:rPr>
        <w:tab/>
        <w:t xml:space="preserve">La participation à la procédure de passation de marchés est ouverte à tous les États membres. La Commission informe tous les États membres de la demande par l’intermédiaire du groupe pour les médicaments critiques et les invite à participer à la procédure. </w:t>
      </w:r>
    </w:p>
    <w:p w14:paraId="62E5E205" w14:textId="77777777" w:rsidR="00922C2A" w:rsidRPr="00922C2A" w:rsidRDefault="00922C2A" w:rsidP="00922C2A">
      <w:pPr>
        <w:pStyle w:val="Point0"/>
        <w:rPr>
          <w:rFonts w:eastAsia="Times New Roman"/>
          <w:noProof/>
        </w:rPr>
      </w:pPr>
      <w:r w:rsidRPr="00922C2A">
        <w:rPr>
          <w:noProof/>
        </w:rPr>
        <w:t>5.</w:t>
      </w:r>
      <w:r w:rsidRPr="00922C2A">
        <w:rPr>
          <w:noProof/>
        </w:rPr>
        <w:tab/>
        <w:t xml:space="preserve">La Commission évalue la nécessité d’une action commune et détermine si la demande est justifiée au regard des objectifs du présent règlement. La Commission vérifie en particulier si la passation de marchés est susceptible de constituer une discrimination, une restriction des échanges ou une distorsion de la concurrence. </w:t>
      </w:r>
    </w:p>
    <w:p w14:paraId="281CD347" w14:textId="77777777" w:rsidR="00922C2A" w:rsidRPr="00922C2A" w:rsidRDefault="00922C2A" w:rsidP="00922C2A">
      <w:pPr>
        <w:pStyle w:val="Point0"/>
        <w:rPr>
          <w:rFonts w:eastAsia="Times New Roman"/>
          <w:noProof/>
        </w:rPr>
      </w:pPr>
      <w:r w:rsidRPr="00922C2A">
        <w:rPr>
          <w:noProof/>
        </w:rPr>
        <w:t>6.</w:t>
      </w:r>
      <w:r w:rsidRPr="00922C2A">
        <w:rPr>
          <w:noProof/>
        </w:rPr>
        <w:tab/>
        <w:t xml:space="preserve">Si, à la lumière de l’évaluation de la Commission, il s’avère nécessaire, pour atteindre les objectifs du présent règlement, de conduire la passation de marchés moyennant l’application d’une clause d’exclusivité pour les États membres ou de convenir de quantités minimales contraignantes, l’accord de la Commission sur la poursuite de la procédure peut être subordonné à l’acceptation de ces conditions par les États membres intéressés. </w:t>
      </w:r>
    </w:p>
    <w:p w14:paraId="74E20F20" w14:textId="77777777" w:rsidR="00922C2A" w:rsidRPr="00922C2A" w:rsidRDefault="00922C2A" w:rsidP="00922C2A">
      <w:pPr>
        <w:pStyle w:val="Point0"/>
        <w:rPr>
          <w:rFonts w:eastAsia="Times New Roman"/>
          <w:noProof/>
        </w:rPr>
      </w:pPr>
      <w:r w:rsidRPr="00922C2A">
        <w:rPr>
          <w:noProof/>
        </w:rPr>
        <w:t>7.</w:t>
      </w:r>
      <w:r w:rsidRPr="00922C2A">
        <w:rPr>
          <w:noProof/>
        </w:rPr>
        <w:tab/>
        <w:t>La Commission informe les États membres intéressés de sa décision dans un délai d’un mois à compter de la demande et expose ses motifs en cas de refus.</w:t>
      </w:r>
    </w:p>
    <w:p w14:paraId="1F6B31A4" w14:textId="77777777" w:rsidR="00922C2A" w:rsidRPr="00922C2A" w:rsidRDefault="00922C2A" w:rsidP="00922C2A">
      <w:pPr>
        <w:pStyle w:val="Point0"/>
        <w:rPr>
          <w:rFonts w:eastAsia="Times New Roman"/>
          <w:noProof/>
        </w:rPr>
      </w:pPr>
      <w:r w:rsidRPr="00922C2A">
        <w:rPr>
          <w:noProof/>
        </w:rPr>
        <w:t>8.</w:t>
      </w:r>
      <w:r w:rsidRPr="00922C2A">
        <w:rPr>
          <w:noProof/>
        </w:rPr>
        <w:tab/>
        <w:t xml:space="preserve">À l’exception des dérogations prévues par le présent règlement, la procédure de passation conjointe de marchés visée au présent article est effectuée conformément à l’article 168, paragraphe 2, du règlement (UE, Euratom) 2024/2509. </w:t>
      </w:r>
    </w:p>
    <w:p w14:paraId="6E5C3385" w14:textId="77777777" w:rsidR="00922C2A" w:rsidRPr="00922C2A" w:rsidRDefault="00922C2A" w:rsidP="00922C2A">
      <w:pPr>
        <w:pStyle w:val="Titrearticle"/>
        <w:rPr>
          <w:rFonts w:eastAsia="Times New Roman"/>
          <w:noProof/>
        </w:rPr>
      </w:pPr>
      <w:r w:rsidRPr="00922C2A">
        <w:rPr>
          <w:noProof/>
        </w:rPr>
        <w:t>Article 24</w:t>
      </w:r>
    </w:p>
    <w:p w14:paraId="62317870" w14:textId="77777777" w:rsidR="00922C2A" w:rsidRPr="00922C2A" w:rsidRDefault="00922C2A" w:rsidP="00922C2A">
      <w:pPr>
        <w:jc w:val="center"/>
        <w:rPr>
          <w:i/>
          <w:noProof/>
        </w:rPr>
      </w:pPr>
      <w:r w:rsidRPr="00922C2A">
        <w:rPr>
          <w:i/>
          <w:noProof/>
        </w:rPr>
        <w:t>Accord relatif aux procédures visées aux articles 22 et 23</w:t>
      </w:r>
    </w:p>
    <w:p w14:paraId="1EE65C19" w14:textId="77777777" w:rsidR="00922C2A" w:rsidRPr="00922C2A" w:rsidRDefault="00922C2A" w:rsidP="00922C2A">
      <w:pPr>
        <w:pStyle w:val="Point0"/>
        <w:rPr>
          <w:rFonts w:eastAsia="Times New Roman"/>
          <w:noProof/>
        </w:rPr>
      </w:pPr>
      <w:r w:rsidRPr="00922C2A">
        <w:rPr>
          <w:noProof/>
        </w:rPr>
        <w:t>1.</w:t>
      </w:r>
      <w:r w:rsidRPr="00922C2A">
        <w:rPr>
          <w:noProof/>
        </w:rPr>
        <w:tab/>
        <w:t>Les États membres participant aux procédures de passation de marchés visées aux articles 22 et 23 communiquent à la Commission toute information pertinente pour la procédure de passation de marchés. Les États membres fournissent les ressources nécessaires à la réussite de la procédure, en veillant notamment à la participation de personnels possédant une expertise et des connaissances appropriées.</w:t>
      </w:r>
    </w:p>
    <w:p w14:paraId="0667E4C8" w14:textId="77777777" w:rsidR="00922C2A" w:rsidRPr="00922C2A" w:rsidRDefault="00922C2A" w:rsidP="00922C2A">
      <w:pPr>
        <w:pStyle w:val="Point0"/>
        <w:rPr>
          <w:rFonts w:eastAsia="Times New Roman"/>
          <w:noProof/>
          <w:szCs w:val="24"/>
        </w:rPr>
      </w:pPr>
      <w:r w:rsidRPr="00922C2A">
        <w:rPr>
          <w:noProof/>
        </w:rPr>
        <w:t>2.</w:t>
      </w:r>
      <w:r w:rsidRPr="00922C2A">
        <w:rPr>
          <w:noProof/>
        </w:rPr>
        <w:tab/>
        <w:t>Un accord entre les États membres et la Commission détermine les modalités pratiques régissant la procédure de passation de marchés</w:t>
      </w:r>
      <w:r w:rsidRPr="00922C2A">
        <w:rPr>
          <w:noProof/>
          <w:color w:val="333333"/>
          <w:shd w:val="clear" w:color="auto" w:fill="FFFFFF"/>
        </w:rPr>
        <w:t>, les responsabilités à assumer</w:t>
      </w:r>
      <w:r w:rsidRPr="00922C2A">
        <w:rPr>
          <w:noProof/>
        </w:rPr>
        <w:t xml:space="preserve"> et le processus décisionnel. </w:t>
      </w:r>
    </w:p>
    <w:p w14:paraId="5AC07AE3" w14:textId="77777777" w:rsidR="00922C2A" w:rsidRPr="00922C2A" w:rsidRDefault="00922C2A" w:rsidP="00922C2A">
      <w:pPr>
        <w:rPr>
          <w:noProof/>
          <w:lang w:eastAsia="en-GB"/>
        </w:rPr>
      </w:pPr>
    </w:p>
    <w:p w14:paraId="25373314" w14:textId="77777777" w:rsidR="00922C2A" w:rsidRPr="00922C2A" w:rsidRDefault="00922C2A" w:rsidP="00922C2A">
      <w:pPr>
        <w:pStyle w:val="ChapterTitle"/>
        <w:rPr>
          <w:b w:val="0"/>
          <w:noProof/>
        </w:rPr>
      </w:pPr>
      <w:r w:rsidRPr="00922C2A">
        <w:rPr>
          <w:noProof/>
        </w:rPr>
        <w:t>Chapitre V</w:t>
      </w:r>
      <w:r w:rsidRPr="00922C2A">
        <w:rPr>
          <w:noProof/>
        </w:rPr>
        <w:br/>
        <w:t xml:space="preserve">Groupe de coordination pour les médicaments critiques </w:t>
      </w:r>
    </w:p>
    <w:p w14:paraId="51AF4D39" w14:textId="77777777" w:rsidR="00922C2A" w:rsidRPr="00922C2A" w:rsidRDefault="00922C2A" w:rsidP="00922C2A">
      <w:pPr>
        <w:pStyle w:val="Titrearticle"/>
        <w:rPr>
          <w:noProof/>
        </w:rPr>
      </w:pPr>
      <w:r w:rsidRPr="00922C2A">
        <w:rPr>
          <w:noProof/>
        </w:rPr>
        <w:t>Article 25</w:t>
      </w:r>
    </w:p>
    <w:p w14:paraId="4D325E12" w14:textId="77777777" w:rsidR="00922C2A" w:rsidRPr="00922C2A" w:rsidRDefault="00922C2A" w:rsidP="00922C2A">
      <w:pPr>
        <w:jc w:val="center"/>
        <w:rPr>
          <w:i/>
          <w:noProof/>
        </w:rPr>
      </w:pPr>
      <w:r w:rsidRPr="00922C2A">
        <w:rPr>
          <w:i/>
          <w:noProof/>
        </w:rPr>
        <w:t>Création du groupe de coordination pour les médicaments critiques</w:t>
      </w:r>
    </w:p>
    <w:p w14:paraId="204FB4A1" w14:textId="77777777" w:rsidR="00922C2A" w:rsidRPr="00922C2A" w:rsidRDefault="00922C2A" w:rsidP="00922C2A">
      <w:pPr>
        <w:pStyle w:val="Point0"/>
        <w:ind w:left="720" w:hanging="720"/>
        <w:rPr>
          <w:noProof/>
        </w:rPr>
      </w:pPr>
      <w:r w:rsidRPr="00922C2A">
        <w:rPr>
          <w:noProof/>
        </w:rPr>
        <w:t>1.</w:t>
      </w:r>
      <w:r w:rsidRPr="00922C2A">
        <w:rPr>
          <w:noProof/>
        </w:rPr>
        <w:tab/>
        <w:t xml:space="preserve">Il est institué un groupe de coordination pour les médicaments critiques (ci-après le «groupe pour les médicaments critiques»). </w:t>
      </w:r>
    </w:p>
    <w:p w14:paraId="2CD14108" w14:textId="77777777" w:rsidR="00922C2A" w:rsidRPr="00922C2A" w:rsidRDefault="00922C2A" w:rsidP="00922C2A">
      <w:pPr>
        <w:pStyle w:val="Point0"/>
        <w:ind w:left="720" w:hanging="720"/>
        <w:rPr>
          <w:rFonts w:eastAsia="Times New Roman"/>
          <w:noProof/>
        </w:rPr>
      </w:pPr>
      <w:r w:rsidRPr="00922C2A">
        <w:rPr>
          <w:noProof/>
        </w:rPr>
        <w:t>2.</w:t>
      </w:r>
      <w:r w:rsidRPr="00922C2A">
        <w:rPr>
          <w:noProof/>
        </w:rPr>
        <w:tab/>
        <w:t xml:space="preserve">Les États membres et la Commission sont membres du groupe pour les médicaments critiques. Chaque État membre désigne un maximum de deux représentants permanents à haut niveau, disposant de l’expertise appropriée pour mettre en œuvre les différentes mesures prévues par le présent règlement. Un État membre peut, si nécessaire selon la fonction et l’expertise requises, désigner plusieurs représentants en rapport avec les différentes missions du groupe pour les médicaments critiques. Les représentants permanents désignés assurent la coordination nécessaire au sein de leur État membre respectif. L’Agence a le statut d’observateur. </w:t>
      </w:r>
    </w:p>
    <w:p w14:paraId="72B8A0C0" w14:textId="77777777" w:rsidR="00922C2A" w:rsidRPr="00922C2A" w:rsidRDefault="00922C2A" w:rsidP="00922C2A">
      <w:pPr>
        <w:pStyle w:val="Point0"/>
        <w:ind w:left="720" w:hanging="720"/>
        <w:rPr>
          <w:rFonts w:eastAsia="Times New Roman"/>
          <w:noProof/>
        </w:rPr>
      </w:pPr>
      <w:r w:rsidRPr="00922C2A">
        <w:rPr>
          <w:noProof/>
        </w:rPr>
        <w:t>3.</w:t>
      </w:r>
      <w:r w:rsidRPr="00922C2A">
        <w:rPr>
          <w:noProof/>
        </w:rPr>
        <w:tab/>
        <w:t xml:space="preserve">Le groupe pour les médicaments critiques travaille en étroite collaboration avec le groupe de pilotage sur les pénuries de médicaments, l’Agence et les autorités nationales compétentes en matière de médicaments. Pour les discussions qui nécessitent des contributions reflétant le point de vue des autorités de réglementation des médicaments, le groupe pour les médicaments critiques peut organiser des réunions conjointes avec le groupe de pilotage sur les pénuries de médicaments. </w:t>
      </w:r>
    </w:p>
    <w:p w14:paraId="2FFBE594" w14:textId="77777777" w:rsidR="00922C2A" w:rsidRPr="00922C2A" w:rsidRDefault="00922C2A" w:rsidP="00922C2A">
      <w:pPr>
        <w:pStyle w:val="Point0"/>
        <w:ind w:left="720" w:hanging="720"/>
        <w:rPr>
          <w:rFonts w:eastAsia="Times New Roman"/>
          <w:noProof/>
        </w:rPr>
      </w:pPr>
      <w:r w:rsidRPr="00922C2A">
        <w:rPr>
          <w:noProof/>
        </w:rPr>
        <w:t>4.</w:t>
      </w:r>
      <w:r w:rsidRPr="00922C2A">
        <w:rPr>
          <w:noProof/>
        </w:rPr>
        <w:tab/>
        <w:t>La Commission organise et coordonne les travaux du groupe pour les médicaments critiques dans le cadre du secrétariat.</w:t>
      </w:r>
    </w:p>
    <w:p w14:paraId="6DA3341B" w14:textId="77777777" w:rsidR="00922C2A" w:rsidRPr="00922C2A" w:rsidRDefault="00922C2A" w:rsidP="00922C2A">
      <w:pPr>
        <w:pStyle w:val="Point0"/>
        <w:ind w:left="720" w:hanging="720"/>
        <w:rPr>
          <w:rFonts w:eastAsia="Times New Roman"/>
          <w:noProof/>
        </w:rPr>
      </w:pPr>
      <w:r w:rsidRPr="00922C2A">
        <w:rPr>
          <w:noProof/>
        </w:rPr>
        <w:t>5.</w:t>
      </w:r>
      <w:r w:rsidRPr="00922C2A">
        <w:rPr>
          <w:noProof/>
        </w:rPr>
        <w:tab/>
        <w:t xml:space="preserve">Un représentant de la Commission préside les réunions du groupe pour les médicaments critiques. </w:t>
      </w:r>
    </w:p>
    <w:p w14:paraId="2912EBBE" w14:textId="77777777" w:rsidR="00922C2A" w:rsidRPr="00922C2A" w:rsidRDefault="00922C2A" w:rsidP="00922C2A">
      <w:pPr>
        <w:pStyle w:val="Point0"/>
        <w:ind w:left="720" w:hanging="720"/>
        <w:rPr>
          <w:rFonts w:eastAsia="Times New Roman"/>
          <w:noProof/>
        </w:rPr>
      </w:pPr>
      <w:r w:rsidRPr="00922C2A">
        <w:rPr>
          <w:noProof/>
        </w:rPr>
        <w:t>6.</w:t>
      </w:r>
      <w:r w:rsidRPr="00922C2A">
        <w:rPr>
          <w:noProof/>
        </w:rPr>
        <w:tab/>
        <w:t>Le groupe pour les médicaments critiques, sur proposition du président ou de ses membres, peut décider de créer un groupe de travail.</w:t>
      </w:r>
    </w:p>
    <w:p w14:paraId="55EA9C48" w14:textId="77777777" w:rsidR="00922C2A" w:rsidRPr="00922C2A" w:rsidRDefault="00922C2A" w:rsidP="00922C2A">
      <w:pPr>
        <w:pStyle w:val="Point0"/>
        <w:ind w:left="720" w:hanging="720"/>
        <w:rPr>
          <w:rFonts w:eastAsia="Times New Roman"/>
          <w:noProof/>
        </w:rPr>
      </w:pPr>
      <w:r w:rsidRPr="00922C2A">
        <w:rPr>
          <w:noProof/>
        </w:rPr>
        <w:t>7.</w:t>
      </w:r>
      <w:r w:rsidRPr="00922C2A">
        <w:rPr>
          <w:noProof/>
        </w:rPr>
        <w:tab/>
        <w:t>Le groupe pour les médicaments critiques met tout en œuvre pour parvenir à un consensus, chaque fois que cela est possible. Les membres ayant des positions divergentes peuvent demander que leurs positions et les motifs sur lesquels elles sont fondées soient consignés dans l’avis du groupe pour les médicaments critiques.</w:t>
      </w:r>
    </w:p>
    <w:p w14:paraId="247A6234" w14:textId="77777777" w:rsidR="00922C2A" w:rsidRPr="00922C2A" w:rsidRDefault="00922C2A" w:rsidP="00922C2A">
      <w:pPr>
        <w:pStyle w:val="Titrearticle"/>
        <w:rPr>
          <w:noProof/>
        </w:rPr>
      </w:pPr>
      <w:r w:rsidRPr="00922C2A">
        <w:rPr>
          <w:noProof/>
        </w:rPr>
        <w:t>Article 26</w:t>
      </w:r>
    </w:p>
    <w:p w14:paraId="06163BE3" w14:textId="77777777" w:rsidR="00922C2A" w:rsidRPr="00922C2A" w:rsidRDefault="00922C2A" w:rsidP="00922C2A">
      <w:pPr>
        <w:jc w:val="center"/>
        <w:rPr>
          <w:noProof/>
        </w:rPr>
      </w:pPr>
      <w:r w:rsidRPr="00922C2A">
        <w:rPr>
          <w:i/>
          <w:noProof/>
        </w:rPr>
        <w:t>Missions du groupe de coordination pour les médicaments critiques</w:t>
      </w:r>
    </w:p>
    <w:p w14:paraId="1E042286" w14:textId="77777777" w:rsidR="00922C2A" w:rsidRPr="00922C2A" w:rsidRDefault="00922C2A" w:rsidP="00922C2A">
      <w:pPr>
        <w:pStyle w:val="Point0"/>
        <w:rPr>
          <w:rFonts w:eastAsia="Times New Roman"/>
          <w:noProof/>
        </w:rPr>
      </w:pPr>
      <w:r w:rsidRPr="00922C2A">
        <w:rPr>
          <w:noProof/>
        </w:rPr>
        <w:t>1.</w:t>
      </w:r>
      <w:r w:rsidRPr="00922C2A">
        <w:rPr>
          <w:noProof/>
        </w:rPr>
        <w:tab/>
        <w:t xml:space="preserve">Le groupe pour les médicaments critiques facilite la coordination de la mise en œuvre du présent règlement et, le cas échéant, conseille la Commission, de manière à maximiser l’impact des mesures envisagées et à éviter tout effet indésirable sur le marché intérieur. </w:t>
      </w:r>
    </w:p>
    <w:p w14:paraId="1FAD24DB" w14:textId="77777777" w:rsidR="00922C2A" w:rsidRPr="00922C2A" w:rsidRDefault="00922C2A" w:rsidP="00922C2A">
      <w:pPr>
        <w:pStyle w:val="Point0"/>
        <w:rPr>
          <w:rFonts w:eastAsia="Times New Roman"/>
          <w:noProof/>
        </w:rPr>
      </w:pPr>
      <w:r w:rsidRPr="00922C2A">
        <w:rPr>
          <w:noProof/>
        </w:rPr>
        <w:t>2.</w:t>
      </w:r>
      <w:r w:rsidRPr="00922C2A">
        <w:rPr>
          <w:noProof/>
        </w:rPr>
        <w:tab/>
        <w:t>Afin d’atteindre les objectifs visés au paragraphe 1, le groupe pour les médicaments critiques s’acquitte des missions suivantes:</w:t>
      </w:r>
    </w:p>
    <w:p w14:paraId="506BA58C" w14:textId="77777777" w:rsidR="00922C2A" w:rsidRPr="00922C2A" w:rsidRDefault="00922C2A" w:rsidP="00922C2A">
      <w:pPr>
        <w:pStyle w:val="Point1"/>
        <w:rPr>
          <w:noProof/>
        </w:rPr>
      </w:pPr>
      <w:r w:rsidRPr="00922C2A">
        <w:rPr>
          <w:noProof/>
        </w:rPr>
        <w:t>a)</w:t>
      </w:r>
      <w:r w:rsidRPr="00922C2A">
        <w:rPr>
          <w:noProof/>
        </w:rPr>
        <w:tab/>
        <w:t>faciliter la coordination en ce qui concerne l’orientation stratégique du soutien financier aux projets stratégiques, y compris en échangeant des informations sur les capacités de fabrication d’un médicament critique donné, existantes ou prévues, dans les États membres, et faciliter les discussions sur les capacités requises dans l’Union pour renforcer la sécurité de l’approvisionnement et la disponibilité des médicaments critiques au sein de l’Union;</w:t>
      </w:r>
    </w:p>
    <w:p w14:paraId="4CBACA58" w14:textId="77777777" w:rsidR="00922C2A" w:rsidRPr="00922C2A" w:rsidRDefault="00922C2A" w:rsidP="00922C2A">
      <w:pPr>
        <w:pStyle w:val="Point1"/>
        <w:rPr>
          <w:rFonts w:eastAsia="Times New Roman"/>
          <w:noProof/>
        </w:rPr>
      </w:pPr>
      <w:r w:rsidRPr="00922C2A">
        <w:rPr>
          <w:noProof/>
        </w:rPr>
        <w:t>b)</w:t>
      </w:r>
      <w:r w:rsidRPr="00922C2A">
        <w:rPr>
          <w:noProof/>
        </w:rPr>
        <w:tab/>
        <w:t>faciliter les échanges concernant les programmes nationaux visés à l’article 19 et permettre la coopération et la coordination des politiques des États membres en matière de marchés publics en ce qui concerne les médicaments critiques;</w:t>
      </w:r>
    </w:p>
    <w:p w14:paraId="34F16DAF" w14:textId="77777777" w:rsidR="00922C2A" w:rsidRPr="00922C2A" w:rsidRDefault="00922C2A" w:rsidP="00922C2A">
      <w:pPr>
        <w:pStyle w:val="Point1"/>
        <w:rPr>
          <w:rFonts w:eastAsia="Times New Roman"/>
          <w:noProof/>
        </w:rPr>
      </w:pPr>
      <w:r w:rsidRPr="00922C2A">
        <w:rPr>
          <w:noProof/>
        </w:rPr>
        <w:t>c)</w:t>
      </w:r>
      <w:r w:rsidRPr="00922C2A">
        <w:rPr>
          <w:noProof/>
        </w:rPr>
        <w:tab/>
        <w:t>faciliter les discussions sur la nécessité d’une initiative de passation collaborative de marchés pour un médicament donné;</w:t>
      </w:r>
    </w:p>
    <w:p w14:paraId="2D0992A4" w14:textId="77777777" w:rsidR="00922C2A" w:rsidRPr="00922C2A" w:rsidRDefault="00922C2A" w:rsidP="00922C2A">
      <w:pPr>
        <w:pStyle w:val="Point1"/>
        <w:rPr>
          <w:rFonts w:eastAsia="Times New Roman"/>
          <w:noProof/>
        </w:rPr>
      </w:pPr>
      <w:r w:rsidRPr="00922C2A">
        <w:rPr>
          <w:noProof/>
        </w:rPr>
        <w:t>d)</w:t>
      </w:r>
      <w:r w:rsidRPr="00922C2A">
        <w:rPr>
          <w:noProof/>
        </w:rPr>
        <w:tab/>
        <w:t xml:space="preserve">conseiller le groupe de pilotage sur les pénuries de médicaments pour définir l’ordre de priorité des médicaments critiques aux fins de l’évaluation des vulnérabilités et proposer un réexamen ou une mise à jour des évaluations existantes, le cas échéant. </w:t>
      </w:r>
    </w:p>
    <w:p w14:paraId="634B5CAA" w14:textId="77777777" w:rsidR="00922C2A" w:rsidRPr="00922C2A" w:rsidRDefault="00922C2A" w:rsidP="00922C2A">
      <w:pPr>
        <w:pStyle w:val="Point0"/>
        <w:rPr>
          <w:rFonts w:eastAsia="Times New Roman"/>
          <w:noProof/>
        </w:rPr>
      </w:pPr>
      <w:r w:rsidRPr="00922C2A">
        <w:rPr>
          <w:noProof/>
        </w:rPr>
        <w:t>3.</w:t>
      </w:r>
      <w:r w:rsidRPr="00922C2A">
        <w:rPr>
          <w:noProof/>
        </w:rPr>
        <w:tab/>
        <w:t xml:space="preserve">Le groupe pour les médicaments critiques facilite les échanges d’informations entre les États membres et la Commission visés à l’article 17 et , si nécessaire, la coordination des actions respectives visant à atteindre les objectifs du présent règlement. </w:t>
      </w:r>
    </w:p>
    <w:p w14:paraId="5D2EE3B6" w14:textId="77777777" w:rsidR="00922C2A" w:rsidRPr="00922C2A" w:rsidRDefault="00922C2A" w:rsidP="00922C2A">
      <w:pPr>
        <w:pStyle w:val="Point0"/>
        <w:rPr>
          <w:rFonts w:eastAsia="Times New Roman"/>
          <w:noProof/>
        </w:rPr>
      </w:pPr>
      <w:r w:rsidRPr="00922C2A">
        <w:rPr>
          <w:noProof/>
        </w:rPr>
        <w:t>4.</w:t>
      </w:r>
      <w:r w:rsidRPr="00922C2A">
        <w:rPr>
          <w:noProof/>
        </w:rPr>
        <w:tab/>
        <w:t xml:space="preserve">Le groupe pour les médicaments critiques examine périodiquement la contribution potentielle des partenariats stratégiques aux objectifs du présent règlement, la hiérarchisation des pays tiers à cette fin, ainsi que la cohérence et les synergies potentielles entre la coopération des États membres avec les pays tiers concernés et les actions menées par l’Union. </w:t>
      </w:r>
    </w:p>
    <w:p w14:paraId="6AE2A3EB" w14:textId="77777777" w:rsidR="00922C2A" w:rsidRPr="00922C2A" w:rsidRDefault="00922C2A" w:rsidP="00922C2A">
      <w:pPr>
        <w:pStyle w:val="Point0"/>
        <w:rPr>
          <w:rFonts w:eastAsia="Times New Roman"/>
          <w:noProof/>
        </w:rPr>
      </w:pPr>
      <w:r w:rsidRPr="00922C2A">
        <w:rPr>
          <w:noProof/>
        </w:rPr>
        <w:t>5.</w:t>
      </w:r>
      <w:r w:rsidRPr="00922C2A">
        <w:rPr>
          <w:noProof/>
        </w:rPr>
        <w:tab/>
        <w:t>Le groupe pour les médicaments critiques peut, à la demande de la Commission, rendre un avis sur des questions liées à l’application du présent règlement dans le cadre de l’exécution des missions visées au présent article.</w:t>
      </w:r>
    </w:p>
    <w:p w14:paraId="13B7504E" w14:textId="77777777" w:rsidR="00922C2A" w:rsidRPr="00922C2A" w:rsidRDefault="00922C2A" w:rsidP="00922C2A">
      <w:pPr>
        <w:rPr>
          <w:noProof/>
          <w:lang w:eastAsia="en-GB"/>
        </w:rPr>
      </w:pPr>
    </w:p>
    <w:p w14:paraId="7A908365" w14:textId="77777777" w:rsidR="00922C2A" w:rsidRPr="00922C2A" w:rsidRDefault="00922C2A" w:rsidP="00922C2A">
      <w:pPr>
        <w:pStyle w:val="ChapterTitle"/>
        <w:rPr>
          <w:b w:val="0"/>
          <w:noProof/>
        </w:rPr>
      </w:pPr>
      <w:r w:rsidRPr="00922C2A">
        <w:rPr>
          <w:noProof/>
        </w:rPr>
        <w:t>Chapitre VI</w:t>
      </w:r>
      <w:r w:rsidRPr="00922C2A">
        <w:rPr>
          <w:noProof/>
        </w:rPr>
        <w:br/>
        <w:t xml:space="preserve">Coopération internationale </w:t>
      </w:r>
    </w:p>
    <w:p w14:paraId="150DA956" w14:textId="77777777" w:rsidR="00922C2A" w:rsidRPr="00922C2A" w:rsidRDefault="00922C2A" w:rsidP="00922C2A">
      <w:pPr>
        <w:pStyle w:val="Titrearticle"/>
        <w:rPr>
          <w:noProof/>
        </w:rPr>
      </w:pPr>
      <w:r w:rsidRPr="00922C2A">
        <w:rPr>
          <w:noProof/>
        </w:rPr>
        <w:t>Article 27</w:t>
      </w:r>
    </w:p>
    <w:p w14:paraId="48261498" w14:textId="77777777" w:rsidR="00922C2A" w:rsidRPr="00922C2A" w:rsidRDefault="00922C2A" w:rsidP="00922C2A">
      <w:pPr>
        <w:jc w:val="center"/>
        <w:rPr>
          <w:i/>
          <w:noProof/>
        </w:rPr>
      </w:pPr>
      <w:r w:rsidRPr="00922C2A">
        <w:rPr>
          <w:i/>
          <w:noProof/>
        </w:rPr>
        <w:t>Partenariats stratégiques</w:t>
      </w:r>
    </w:p>
    <w:p w14:paraId="77F0E894" w14:textId="77777777" w:rsidR="00922C2A" w:rsidRPr="00922C2A" w:rsidRDefault="00922C2A" w:rsidP="00922C2A">
      <w:pPr>
        <w:rPr>
          <w:rFonts w:eastAsia="Times New Roman"/>
          <w:noProof/>
        </w:rPr>
      </w:pPr>
      <w:r w:rsidRPr="00922C2A">
        <w:rPr>
          <w:noProof/>
        </w:rPr>
        <w:t xml:space="preserve">Sans préjudice des prérogatives du Conseil, la Commission étudie les possibilités de conclure des partenariats stratégiques visant à diversifier l’approvisionnement en médicaments critiques, en substances actives et en intrants essentiels afin d’accroître la sécurité de l’approvisionnement en médicaments critiques dans l’Union. </w:t>
      </w:r>
      <w:r w:rsidRPr="00922C2A">
        <w:rPr>
          <w:rStyle w:val="normaltextrun"/>
          <w:noProof/>
          <w:shd w:val="clear" w:color="auto" w:fill="FFFFFF"/>
        </w:rPr>
        <w:t>La Commission étudie également la possibilité de s’appuyer, lorsque cela est possible, sur les formes de coopération existantes pour soutenir la sécurité de l’approvisionnement et intensifier les efforts visant à renforcer la production de médicaments critiques dans l’Union.</w:t>
      </w:r>
    </w:p>
    <w:p w14:paraId="70175C0A" w14:textId="77777777" w:rsidR="00922C2A" w:rsidRPr="00922C2A" w:rsidRDefault="00922C2A" w:rsidP="00922C2A">
      <w:pPr>
        <w:rPr>
          <w:noProof/>
        </w:rPr>
      </w:pPr>
    </w:p>
    <w:p w14:paraId="4B32E996" w14:textId="77777777" w:rsidR="00922C2A" w:rsidRPr="00922C2A" w:rsidRDefault="00922C2A" w:rsidP="00922C2A">
      <w:pPr>
        <w:pStyle w:val="ChapterTitle"/>
        <w:rPr>
          <w:noProof/>
        </w:rPr>
      </w:pPr>
      <w:r w:rsidRPr="00922C2A">
        <w:rPr>
          <w:noProof/>
        </w:rPr>
        <w:t>Chapitre VII</w:t>
      </w:r>
      <w:r w:rsidRPr="00922C2A">
        <w:rPr>
          <w:noProof/>
        </w:rPr>
        <w:br/>
        <w:t>Modifications du règlement (UE) 2024/795</w:t>
      </w:r>
    </w:p>
    <w:p w14:paraId="7B38065E" w14:textId="77777777" w:rsidR="00922C2A" w:rsidRPr="00922C2A" w:rsidRDefault="00922C2A" w:rsidP="00922C2A">
      <w:pPr>
        <w:pStyle w:val="Titrearticle"/>
        <w:rPr>
          <w:rFonts w:eastAsia="Times New Roman"/>
          <w:noProof/>
        </w:rPr>
      </w:pPr>
      <w:r w:rsidRPr="00922C2A">
        <w:rPr>
          <w:noProof/>
        </w:rPr>
        <w:t>Article 28</w:t>
      </w:r>
    </w:p>
    <w:p w14:paraId="2F592D0D" w14:textId="77777777" w:rsidR="00922C2A" w:rsidRPr="00922C2A" w:rsidRDefault="00922C2A" w:rsidP="00922C2A">
      <w:pPr>
        <w:rPr>
          <w:rFonts w:eastAsia="Times New Roman"/>
          <w:noProof/>
        </w:rPr>
      </w:pPr>
      <w:r w:rsidRPr="00922C2A">
        <w:rPr>
          <w:noProof/>
        </w:rPr>
        <w:t>Le règlement (UE) 2024/795 est modifié comme suit:</w:t>
      </w:r>
    </w:p>
    <w:p w14:paraId="0B220A97" w14:textId="77777777" w:rsidR="00922C2A" w:rsidRPr="00922C2A" w:rsidRDefault="00922C2A" w:rsidP="00922C2A">
      <w:pPr>
        <w:pStyle w:val="Point1"/>
        <w:rPr>
          <w:noProof/>
        </w:rPr>
      </w:pPr>
      <w:r w:rsidRPr="00922C2A">
        <w:rPr>
          <w:noProof/>
        </w:rPr>
        <w:t>a)</w:t>
      </w:r>
      <w:r w:rsidRPr="00922C2A">
        <w:rPr>
          <w:noProof/>
        </w:rPr>
        <w:tab/>
        <w:t>à l’article 2, paragraphe 1, le point a), iii) est remplacé par le texte suivant:</w:t>
      </w:r>
    </w:p>
    <w:p w14:paraId="33FD058B" w14:textId="77777777" w:rsidR="00922C2A" w:rsidRPr="00922C2A" w:rsidRDefault="00922C2A" w:rsidP="00922C2A">
      <w:pPr>
        <w:pStyle w:val="Point2"/>
        <w:rPr>
          <w:noProof/>
        </w:rPr>
      </w:pPr>
      <w:r w:rsidRPr="00922C2A">
        <w:rPr>
          <w:noProof/>
        </w:rPr>
        <w:t>«iii)</w:t>
      </w:r>
      <w:r w:rsidRPr="00922C2A">
        <w:rPr>
          <w:noProof/>
        </w:rPr>
        <w:tab/>
        <w:t>biotechnologies, et toute autre technologie pertinente pour la fabrication de médicaments critiques tels que définis dans le règlement sur les médicaments critiques*;</w:t>
      </w:r>
    </w:p>
    <w:p w14:paraId="0CCA724D" w14:textId="77777777" w:rsidR="00922C2A" w:rsidRPr="00922C2A" w:rsidRDefault="00922C2A" w:rsidP="00922C2A">
      <w:pPr>
        <w:pStyle w:val="Point2"/>
        <w:rPr>
          <w:noProof/>
        </w:rPr>
      </w:pPr>
      <w:r w:rsidRPr="00922C2A">
        <w:rPr>
          <w:noProof/>
        </w:rPr>
        <w:t>_________</w:t>
      </w:r>
    </w:p>
    <w:p w14:paraId="4D8FAE6B" w14:textId="77777777" w:rsidR="00922C2A" w:rsidRPr="00922C2A" w:rsidRDefault="00922C2A" w:rsidP="00922C2A">
      <w:pPr>
        <w:pStyle w:val="Point2"/>
        <w:rPr>
          <w:noProof/>
        </w:rPr>
      </w:pPr>
      <w:r w:rsidRPr="00922C2A">
        <w:rPr>
          <w:noProof/>
        </w:rPr>
        <w:t>*</w:t>
      </w:r>
      <w:r w:rsidRPr="00922C2A">
        <w:rPr>
          <w:noProof/>
        </w:rPr>
        <w:tab/>
        <w:t>Règlement (UE) ... du Parlement européen et du Conseil établissant un cadre visant à renforcer la disponibilité et la sécurité de l’approvisionnement en médicaments critiques ainsi que la disponibilité et l’accessibilité des médicaments d’intérêt commun, et modifiant le règlement (UE) 2024/795.» [</w:t>
      </w:r>
      <w:r w:rsidRPr="00922C2A">
        <w:rPr>
          <w:i/>
          <w:iCs/>
          <w:noProof/>
        </w:rPr>
        <w:t>D.G.: référence à compléter avec le titre définitif du «règlement sur les médicaments critiques» et ses références de publication lorsqu’ils seront disponibles</w:t>
      </w:r>
      <w:r w:rsidRPr="00922C2A">
        <w:rPr>
          <w:noProof/>
        </w:rPr>
        <w:t>];</w:t>
      </w:r>
    </w:p>
    <w:p w14:paraId="1C230C6D" w14:textId="77777777" w:rsidR="00922C2A" w:rsidRPr="00922C2A" w:rsidRDefault="00922C2A" w:rsidP="00922C2A">
      <w:pPr>
        <w:pStyle w:val="Point1"/>
        <w:rPr>
          <w:rFonts w:eastAsia="Times New Roman"/>
          <w:noProof/>
        </w:rPr>
      </w:pPr>
      <w:r w:rsidRPr="00922C2A">
        <w:rPr>
          <w:noProof/>
        </w:rPr>
        <w:t>b)</w:t>
      </w:r>
      <w:r w:rsidRPr="00922C2A">
        <w:rPr>
          <w:noProof/>
        </w:rPr>
        <w:tab/>
        <w:t>à l’article 2, l’alinéa suivant est ajouté dans le paragraphe 3:</w:t>
      </w:r>
    </w:p>
    <w:p w14:paraId="07A06501" w14:textId="77777777" w:rsidR="00922C2A" w:rsidRPr="00922C2A" w:rsidRDefault="00922C2A" w:rsidP="00922C2A">
      <w:pPr>
        <w:pStyle w:val="Text2"/>
        <w:rPr>
          <w:noProof/>
        </w:rPr>
      </w:pPr>
      <w:r w:rsidRPr="00922C2A">
        <w:rPr>
          <w:noProof/>
        </w:rPr>
        <w:t>«Par dérogation au premier alinéa du présent paragraphe, la chaîne de valeur pour le développement ou la fabrication de médicaments qui relèvent du champ d’application du [règlement sur les médicaments critiques] et qui sont des médicaments visés au paragraphe 1, point a), iii), du présent article, concerne les formes pharmaceutiques finies, ainsi que les principes pharmaceutiques actifs et autres intrants essentiels nécessaires à la production des formes pharmaceutiques finies de médicaments critiques tels que définis dans ledit règlement.»;</w:t>
      </w:r>
    </w:p>
    <w:p w14:paraId="2F4F7BB4" w14:textId="77777777" w:rsidR="00922C2A" w:rsidRPr="00922C2A" w:rsidRDefault="00922C2A" w:rsidP="00922C2A">
      <w:pPr>
        <w:pStyle w:val="Point1"/>
        <w:rPr>
          <w:noProof/>
        </w:rPr>
      </w:pPr>
      <w:r w:rsidRPr="00922C2A">
        <w:rPr>
          <w:noProof/>
        </w:rPr>
        <w:t>c)</w:t>
      </w:r>
      <w:r w:rsidRPr="00922C2A">
        <w:rPr>
          <w:noProof/>
        </w:rPr>
        <w:tab/>
        <w:t xml:space="preserve">à l’article 2, le paragraphe 8 suivant est ajouté: </w:t>
      </w:r>
    </w:p>
    <w:p w14:paraId="174985E7" w14:textId="77777777" w:rsidR="00922C2A" w:rsidRPr="00922C2A" w:rsidRDefault="00922C2A" w:rsidP="00922C2A">
      <w:pPr>
        <w:pStyle w:val="Point2"/>
        <w:rPr>
          <w:noProof/>
        </w:rPr>
      </w:pPr>
      <w:r w:rsidRPr="00922C2A">
        <w:rPr>
          <w:noProof/>
        </w:rPr>
        <w:t>«8.</w:t>
      </w:r>
      <w:r w:rsidRPr="00922C2A">
        <w:rPr>
          <w:noProof/>
        </w:rPr>
        <w:tab/>
        <w:t>Les projets stratégiques au sens du [règlement sur les médicaments critiques] qui visent à remédier à une vulnérabilité dans les chaînes d’approvisionnement en médicaments critiques sont réputés contribuer à l’objectif de STEP visé au paragraphe 1, point a), iii).»;</w:t>
      </w:r>
    </w:p>
    <w:p w14:paraId="7AA2BCC4" w14:textId="77777777" w:rsidR="00922C2A" w:rsidRPr="00922C2A" w:rsidRDefault="00922C2A" w:rsidP="00922C2A">
      <w:pPr>
        <w:pStyle w:val="Point1"/>
        <w:rPr>
          <w:noProof/>
          <w:szCs w:val="24"/>
        </w:rPr>
      </w:pPr>
      <w:r w:rsidRPr="00922C2A">
        <w:rPr>
          <w:noProof/>
        </w:rPr>
        <w:t>d)</w:t>
      </w:r>
      <w:r w:rsidRPr="00922C2A">
        <w:rPr>
          <w:noProof/>
        </w:rPr>
        <w:tab/>
        <w:t xml:space="preserve">à l’article 4, le paragraphe 7 est remplacé par le texte suivant: </w:t>
      </w:r>
    </w:p>
    <w:p w14:paraId="5030A0D7" w14:textId="77777777" w:rsidR="00922C2A" w:rsidRPr="00922C2A" w:rsidRDefault="00922C2A" w:rsidP="00922C2A">
      <w:pPr>
        <w:pStyle w:val="Point2"/>
        <w:rPr>
          <w:noProof/>
        </w:rPr>
      </w:pPr>
      <w:r w:rsidRPr="00922C2A">
        <w:rPr>
          <w:noProof/>
        </w:rPr>
        <w:t>«7.</w:t>
      </w:r>
      <w:r w:rsidRPr="00922C2A">
        <w:rPr>
          <w:noProof/>
        </w:rPr>
        <w:tab/>
        <w:t>Les projets stratégiques reconnus conformément aux dispositions pertinentes du règlement pour une industrie “zéro net”, du règlement sur les matières premières critiques et du [règlement sur les médicaments critiques] qui relèvent du champ d’application de l’article 2 du présent règlement et qui reçoivent une contribution au titre des programmes visés à l’article 3 du présent règlement peuvent également recevoir une contribution de tout autre programme de l’Union, y compris de fonds en gestion partagée, pour autant que ces contributions ne couvrent pas les mêmes coûts. Les règles du programme de l’Union concerné s’appliquent à la contribution qu’il apporte au projet stratégique. Le financement ainsi cumulé n’excède pas le montant total des coûts éligibles du projet stratégique. Le soutien provenant des différents programmes de l’Union peut être calculé au prorata conformément aux documents énonçant les conditions du soutien.»;</w:t>
      </w:r>
    </w:p>
    <w:p w14:paraId="749738D6" w14:textId="77777777" w:rsidR="00922C2A" w:rsidRPr="00922C2A" w:rsidRDefault="00922C2A" w:rsidP="00922C2A">
      <w:pPr>
        <w:pStyle w:val="Point1"/>
        <w:rPr>
          <w:noProof/>
        </w:rPr>
      </w:pPr>
      <w:r w:rsidRPr="00922C2A">
        <w:rPr>
          <w:noProof/>
        </w:rPr>
        <w:t>e)</w:t>
      </w:r>
      <w:r w:rsidRPr="00922C2A">
        <w:rPr>
          <w:noProof/>
        </w:rPr>
        <w:tab/>
        <w:t>à l'article 6, le paragraphe 1, point c), est remplacé par le texte suivant:</w:t>
      </w:r>
    </w:p>
    <w:p w14:paraId="686C56B0" w14:textId="77777777" w:rsidR="00922C2A" w:rsidRPr="00922C2A" w:rsidRDefault="00922C2A" w:rsidP="00922C2A">
      <w:pPr>
        <w:pStyle w:val="Point2"/>
        <w:rPr>
          <w:noProof/>
          <w:szCs w:val="24"/>
        </w:rPr>
      </w:pPr>
      <w:r w:rsidRPr="00922C2A">
        <w:rPr>
          <w:noProof/>
        </w:rPr>
        <w:t>«c)</w:t>
      </w:r>
      <w:r w:rsidRPr="00922C2A">
        <w:rPr>
          <w:noProof/>
        </w:rPr>
        <w:tab/>
        <w:t xml:space="preserve">les détails des projets qui ont été reconnus comme étant des projets stratégiques en vertu du règlement pour une industrie “zéro net”, du règlement sur les matières premières critiques et du [règlement sur les médicaments critiques], dans la mesure où ils relèvent du champ d’application de l’article 2 du présent règlement;». </w:t>
      </w:r>
    </w:p>
    <w:p w14:paraId="1F467BFA" w14:textId="77777777" w:rsidR="00922C2A" w:rsidRPr="00922C2A" w:rsidRDefault="00922C2A" w:rsidP="00922C2A">
      <w:pPr>
        <w:rPr>
          <w:noProof/>
        </w:rPr>
      </w:pPr>
    </w:p>
    <w:p w14:paraId="6E0ED7B8" w14:textId="77777777" w:rsidR="00922C2A" w:rsidRPr="00922C2A" w:rsidRDefault="00922C2A" w:rsidP="00922C2A">
      <w:pPr>
        <w:pStyle w:val="ChapterTitle"/>
        <w:rPr>
          <w:b w:val="0"/>
          <w:noProof/>
        </w:rPr>
      </w:pPr>
      <w:r w:rsidRPr="00922C2A">
        <w:rPr>
          <w:noProof/>
        </w:rPr>
        <w:t>Chapitre VIII</w:t>
      </w:r>
      <w:r w:rsidRPr="00922C2A">
        <w:rPr>
          <w:noProof/>
        </w:rPr>
        <w:br/>
        <w:t>Dispositions finales</w:t>
      </w:r>
    </w:p>
    <w:p w14:paraId="4A76ACFF" w14:textId="77777777" w:rsidR="00922C2A" w:rsidRPr="00922C2A" w:rsidRDefault="00922C2A" w:rsidP="00922C2A">
      <w:pPr>
        <w:pStyle w:val="Titrearticle"/>
        <w:rPr>
          <w:noProof/>
        </w:rPr>
      </w:pPr>
      <w:r w:rsidRPr="00922C2A">
        <w:rPr>
          <w:noProof/>
        </w:rPr>
        <w:t>Article 29</w:t>
      </w:r>
    </w:p>
    <w:p w14:paraId="45D795EB" w14:textId="77777777" w:rsidR="00922C2A" w:rsidRPr="00922C2A" w:rsidRDefault="00922C2A" w:rsidP="00922C2A">
      <w:pPr>
        <w:jc w:val="center"/>
        <w:rPr>
          <w:i/>
          <w:iCs/>
          <w:noProof/>
        </w:rPr>
      </w:pPr>
      <w:r w:rsidRPr="00922C2A">
        <w:rPr>
          <w:i/>
          <w:noProof/>
        </w:rPr>
        <w:t>Obligation incombant aux acteurs du marché de fournir des informations</w:t>
      </w:r>
    </w:p>
    <w:p w14:paraId="7A9F25B2" w14:textId="77777777" w:rsidR="00922C2A" w:rsidRPr="00922C2A" w:rsidRDefault="00922C2A" w:rsidP="00922C2A">
      <w:pPr>
        <w:pStyle w:val="Point0"/>
        <w:rPr>
          <w:i/>
          <w:noProof/>
        </w:rPr>
      </w:pPr>
      <w:r w:rsidRPr="00922C2A">
        <w:rPr>
          <w:noProof/>
        </w:rPr>
        <w:t>1.</w:t>
      </w:r>
      <w:r w:rsidRPr="00922C2A">
        <w:rPr>
          <w:noProof/>
        </w:rPr>
        <w:tab/>
        <w:t>Les titulaires d’autorisations de mise sur le marché et les autres opérateurs économiques intervenant dans les chaînes d’approvisionnement et de distribution de médicaments critiques, y compris leurs intrants essentiels et substances actives, ou de médicaments d’intérêt commun, fournissent sur demande à la Commission ou aux autorités nationales, selon le cas, les informations demandées nécessaires aux fins de l’application du présent règlement.</w:t>
      </w:r>
    </w:p>
    <w:p w14:paraId="467608E3" w14:textId="77777777" w:rsidR="00922C2A" w:rsidRPr="00922C2A" w:rsidRDefault="00922C2A" w:rsidP="00922C2A">
      <w:pPr>
        <w:pStyle w:val="Point0"/>
        <w:rPr>
          <w:noProof/>
        </w:rPr>
      </w:pPr>
      <w:r w:rsidRPr="00922C2A">
        <w:rPr>
          <w:noProof/>
        </w:rPr>
        <w:t>2.</w:t>
      </w:r>
      <w:r w:rsidRPr="00922C2A">
        <w:rPr>
          <w:noProof/>
        </w:rPr>
        <w:tab/>
        <w:t>La Commission et les autorités nationales des États membres s’efforcent d’éviter la duplication des informations demandées et transmises.</w:t>
      </w:r>
    </w:p>
    <w:p w14:paraId="393FC39B" w14:textId="77777777" w:rsidR="00922C2A" w:rsidRPr="00922C2A" w:rsidRDefault="00922C2A" w:rsidP="00922C2A">
      <w:pPr>
        <w:pStyle w:val="Point0"/>
        <w:rPr>
          <w:noProof/>
        </w:rPr>
      </w:pPr>
      <w:r w:rsidRPr="00922C2A">
        <w:rPr>
          <w:noProof/>
        </w:rPr>
        <w:t>3.</w:t>
      </w:r>
      <w:r w:rsidRPr="00922C2A">
        <w:rPr>
          <w:noProof/>
        </w:rPr>
        <w:tab/>
        <w:t>La Commission et les autorités nationales des États membres évaluent le bien-fondé des demandes de confidentialité dûment motivées présentées par les titulaires d’autorisations de mise sur le marché et autres opérateurs économiques ayant l’obligation de fournir des informations conformément au paragraphe 1, et protègent toute information confidentielle sur le plan commercial contre toute divulgation injustifiée.</w:t>
      </w:r>
    </w:p>
    <w:p w14:paraId="5E3FF4A9" w14:textId="77777777" w:rsidR="00922C2A" w:rsidRPr="00922C2A" w:rsidRDefault="00922C2A" w:rsidP="00922C2A">
      <w:pPr>
        <w:pStyle w:val="Titrearticle"/>
        <w:rPr>
          <w:noProof/>
        </w:rPr>
      </w:pPr>
      <w:r w:rsidRPr="00922C2A">
        <w:rPr>
          <w:noProof/>
        </w:rPr>
        <w:t>Article 30</w:t>
      </w:r>
    </w:p>
    <w:p w14:paraId="5699F20D" w14:textId="77777777" w:rsidR="00922C2A" w:rsidRPr="00922C2A" w:rsidRDefault="00922C2A" w:rsidP="00922C2A">
      <w:pPr>
        <w:jc w:val="center"/>
        <w:rPr>
          <w:i/>
          <w:iCs/>
          <w:noProof/>
        </w:rPr>
      </w:pPr>
      <w:r w:rsidRPr="00922C2A">
        <w:rPr>
          <w:i/>
          <w:noProof/>
        </w:rPr>
        <w:t>Évaluation</w:t>
      </w:r>
    </w:p>
    <w:p w14:paraId="6AE7C3D2" w14:textId="77777777" w:rsidR="00922C2A" w:rsidRPr="00922C2A" w:rsidRDefault="00922C2A" w:rsidP="00922C2A">
      <w:pPr>
        <w:pStyle w:val="Point0"/>
        <w:rPr>
          <w:noProof/>
        </w:rPr>
      </w:pPr>
      <w:r w:rsidRPr="00922C2A">
        <w:rPr>
          <w:noProof/>
        </w:rPr>
        <w:t>1.</w:t>
      </w:r>
      <w:r w:rsidRPr="00922C2A">
        <w:rPr>
          <w:noProof/>
        </w:rPr>
        <w:tab/>
        <w:t>Au plus tard le... [</w:t>
      </w:r>
      <w:r w:rsidRPr="00922C2A">
        <w:rPr>
          <w:i/>
          <w:iCs/>
          <w:noProof/>
        </w:rPr>
        <w:t>OP, veuillez insérer la date correspondant à cinq ans après la date d’application du présent règlement</w:t>
      </w:r>
      <w:r w:rsidRPr="00922C2A">
        <w:rPr>
          <w:noProof/>
        </w:rPr>
        <w:t>], et tous les cinq ans par la suite, la Commission procède à une évaluation du présent règlement et présente un rapport exposant ses principales conclusions au Parlement européen, au Conseil,au Comité économique et social européen et au comité des régions.</w:t>
      </w:r>
    </w:p>
    <w:p w14:paraId="58504D18" w14:textId="77777777" w:rsidR="00922C2A" w:rsidRPr="00922C2A" w:rsidRDefault="00922C2A" w:rsidP="00922C2A">
      <w:pPr>
        <w:pStyle w:val="Point0"/>
        <w:rPr>
          <w:noProof/>
        </w:rPr>
      </w:pPr>
      <w:r w:rsidRPr="00922C2A">
        <w:rPr>
          <w:noProof/>
        </w:rPr>
        <w:t>2.</w:t>
      </w:r>
      <w:r w:rsidRPr="00922C2A">
        <w:rPr>
          <w:noProof/>
        </w:rPr>
        <w:tab/>
        <w:t>Dans son évaluation, la Commission examine l’incidence du présent règlement et la mesure dans laquelle ses objectifs fixés à l’article 1</w:t>
      </w:r>
      <w:r w:rsidRPr="00922C2A">
        <w:rPr>
          <w:noProof/>
          <w:vertAlign w:val="superscript"/>
        </w:rPr>
        <w:t>er</w:t>
      </w:r>
      <w:r w:rsidRPr="00922C2A">
        <w:rPr>
          <w:noProof/>
        </w:rPr>
        <w:t xml:space="preserve"> ont été atteints.</w:t>
      </w:r>
    </w:p>
    <w:p w14:paraId="1BAA6AA9" w14:textId="77777777" w:rsidR="00922C2A" w:rsidRPr="00922C2A" w:rsidRDefault="00922C2A" w:rsidP="00922C2A">
      <w:pPr>
        <w:pStyle w:val="Point0"/>
        <w:rPr>
          <w:noProof/>
        </w:rPr>
      </w:pPr>
      <w:r w:rsidRPr="00922C2A">
        <w:rPr>
          <w:noProof/>
        </w:rPr>
        <w:t>3.</w:t>
      </w:r>
      <w:r w:rsidRPr="00922C2A">
        <w:rPr>
          <w:noProof/>
        </w:rPr>
        <w:tab/>
        <w:t xml:space="preserve">Les autorités nationales et les opérateurs économiques fournissent à la Commission, sur demande, toute information pertinente dont elles disposent et dont la Commission pourrait avoir besoin aux fins de son évaluation conformément au paragraphe 1. </w:t>
      </w:r>
    </w:p>
    <w:p w14:paraId="73CAA02C" w14:textId="77777777" w:rsidR="00922C2A" w:rsidRPr="00922C2A" w:rsidRDefault="00922C2A" w:rsidP="00922C2A">
      <w:pPr>
        <w:jc w:val="left"/>
        <w:rPr>
          <w:noProof/>
        </w:rPr>
      </w:pPr>
    </w:p>
    <w:p w14:paraId="3F6F9C77" w14:textId="77777777" w:rsidR="00922C2A" w:rsidRPr="00922C2A" w:rsidRDefault="00922C2A" w:rsidP="00922C2A">
      <w:pPr>
        <w:pStyle w:val="Titrearticle"/>
        <w:rPr>
          <w:noProof/>
        </w:rPr>
      </w:pPr>
      <w:r w:rsidRPr="00922C2A">
        <w:rPr>
          <w:noProof/>
        </w:rPr>
        <w:t>Article 31</w:t>
      </w:r>
    </w:p>
    <w:p w14:paraId="37D24B09" w14:textId="77777777" w:rsidR="00922C2A" w:rsidRPr="00922C2A" w:rsidRDefault="00922C2A" w:rsidP="00922C2A">
      <w:pPr>
        <w:jc w:val="center"/>
        <w:rPr>
          <w:i/>
          <w:iCs/>
          <w:noProof/>
          <w:szCs w:val="24"/>
        </w:rPr>
      </w:pPr>
      <w:r w:rsidRPr="00922C2A">
        <w:rPr>
          <w:i/>
          <w:noProof/>
        </w:rPr>
        <w:t>Entrée en vigueur et application</w:t>
      </w:r>
    </w:p>
    <w:p w14:paraId="19956EE4" w14:textId="77777777" w:rsidR="00922C2A" w:rsidRPr="00922C2A" w:rsidRDefault="00922C2A" w:rsidP="00922C2A">
      <w:pPr>
        <w:rPr>
          <w:noProof/>
          <w:szCs w:val="24"/>
        </w:rPr>
      </w:pPr>
      <w:r w:rsidRPr="00922C2A">
        <w:rPr>
          <w:noProof/>
        </w:rPr>
        <w:t xml:space="preserve">Le présent règlement entre en vigueur le vingtième jour suivant celui de sa publication au </w:t>
      </w:r>
      <w:r w:rsidRPr="00922C2A">
        <w:rPr>
          <w:i/>
          <w:iCs/>
          <w:noProof/>
        </w:rPr>
        <w:t>Journal officiel de l’Union européenne</w:t>
      </w:r>
      <w:r w:rsidRPr="00922C2A">
        <w:rPr>
          <w:noProof/>
        </w:rPr>
        <w:t>.</w:t>
      </w:r>
    </w:p>
    <w:p w14:paraId="14CBD368" w14:textId="77777777" w:rsidR="00922C2A" w:rsidRPr="00922C2A" w:rsidRDefault="00922C2A" w:rsidP="00922C2A">
      <w:pPr>
        <w:rPr>
          <w:noProof/>
        </w:rPr>
      </w:pPr>
      <w:r w:rsidRPr="00922C2A">
        <w:rPr>
          <w:noProof/>
        </w:rPr>
        <w:t>Il est applicable à partir du […].</w:t>
      </w:r>
    </w:p>
    <w:p w14:paraId="6A7A078F" w14:textId="77777777" w:rsidR="00922C2A" w:rsidRPr="00922C2A" w:rsidRDefault="00922C2A" w:rsidP="00922C2A">
      <w:pPr>
        <w:pStyle w:val="Applicationdirecte"/>
        <w:rPr>
          <w:noProof/>
        </w:rPr>
      </w:pPr>
      <w:r w:rsidRPr="00922C2A">
        <w:rPr>
          <w:noProof/>
        </w:rPr>
        <w:t>Le présent règlement est obligatoire dans tous ses éléments et directement applicable dans tout État membre.</w:t>
      </w:r>
    </w:p>
    <w:p w14:paraId="6680DD6D" w14:textId="1918D6F7" w:rsidR="00922C2A" w:rsidRPr="00922C2A" w:rsidRDefault="00EC6B7B" w:rsidP="00F8407C">
      <w:pPr>
        <w:pStyle w:val="Fait"/>
        <w:rPr>
          <w:noProof/>
        </w:rPr>
      </w:pPr>
      <w:r>
        <w:rPr>
          <w:noProof/>
        </w:rPr>
        <w:t>Fait à Strasbourg, le</w:t>
      </w:r>
    </w:p>
    <w:p w14:paraId="78BB8EB0" w14:textId="77777777" w:rsidR="00922C2A" w:rsidRPr="00922C2A" w:rsidRDefault="00922C2A" w:rsidP="00F8407C">
      <w:pPr>
        <w:pStyle w:val="Institutionquisigne"/>
        <w:rPr>
          <w:noProof/>
        </w:rPr>
      </w:pPr>
      <w:r w:rsidRPr="00922C2A">
        <w:rPr>
          <w:noProof/>
        </w:rPr>
        <w:t>Par le Parlement européen</w:t>
      </w:r>
      <w:r w:rsidRPr="00922C2A">
        <w:rPr>
          <w:noProof/>
        </w:rPr>
        <w:tab/>
        <w:t>Par le Conseil</w:t>
      </w:r>
    </w:p>
    <w:p w14:paraId="4E5DEBF3" w14:textId="77777777" w:rsidR="00922C2A" w:rsidRPr="00922C2A" w:rsidRDefault="00922C2A" w:rsidP="00922C2A">
      <w:pPr>
        <w:pStyle w:val="Personnequisigne"/>
        <w:rPr>
          <w:noProof/>
        </w:rPr>
      </w:pPr>
      <w:r w:rsidRPr="00922C2A">
        <w:rPr>
          <w:noProof/>
        </w:rPr>
        <w:t>La présidente</w:t>
      </w:r>
      <w:r w:rsidRPr="00922C2A">
        <w:rPr>
          <w:noProof/>
        </w:rPr>
        <w:tab/>
        <w:t>Le président</w:t>
      </w:r>
    </w:p>
    <w:p w14:paraId="0431A66B" w14:textId="77777777" w:rsidR="00922C2A" w:rsidRPr="00922C2A" w:rsidRDefault="00922C2A" w:rsidP="00922C2A">
      <w:pPr>
        <w:rPr>
          <w:noProof/>
        </w:rPr>
        <w:sectPr w:rsidR="00922C2A" w:rsidRPr="00922C2A" w:rsidSect="00492C75">
          <w:footnotePr>
            <w:numRestart w:val="eachSect"/>
          </w:footnotePr>
          <w:pgSz w:w="11907" w:h="16839"/>
          <w:pgMar w:top="1134" w:right="1417" w:bottom="1134" w:left="1417" w:header="709" w:footer="709" w:gutter="0"/>
          <w:cols w:space="708"/>
          <w:docGrid w:linePitch="360"/>
        </w:sectPr>
      </w:pPr>
    </w:p>
    <w:p w14:paraId="7FCA01E0" w14:textId="77777777" w:rsidR="00922C2A" w:rsidRPr="00922C2A" w:rsidRDefault="00922C2A" w:rsidP="00922C2A">
      <w:pPr>
        <w:pStyle w:val="Fichefinanciretitre"/>
        <w:keepNext/>
        <w:rPr>
          <w:noProof/>
        </w:rPr>
      </w:pPr>
      <w:r w:rsidRPr="00922C2A">
        <w:rPr>
          <w:noProof/>
        </w:rPr>
        <w:t>FICHE FINANCIÈRE ET NUMÉRIQUE LÉGISLATIVE</w:t>
      </w:r>
    </w:p>
    <w:p w14:paraId="03B6F89F" w14:textId="77777777" w:rsidR="00922C2A" w:rsidRPr="00922C2A" w:rsidRDefault="00922C2A" w:rsidP="00922C2A">
      <w:pPr>
        <w:pStyle w:val="TOC1"/>
        <w:rPr>
          <w:rFonts w:asciiTheme="minorHAnsi" w:eastAsiaTheme="minorEastAsia" w:hAnsiTheme="minorHAnsi" w:cstheme="minorBidi"/>
          <w:noProof/>
          <w:kern w:val="2"/>
          <w:sz w:val="22"/>
          <w14:ligatures w14:val="standardContextual"/>
        </w:rPr>
      </w:pPr>
      <w:r w:rsidRPr="00922C2A">
        <w:rPr>
          <w:noProof/>
        </w:rPr>
        <w:t>1.</w:t>
      </w:r>
      <w:r w:rsidRPr="00922C2A">
        <w:rPr>
          <w:rFonts w:asciiTheme="minorHAnsi" w:hAnsiTheme="minorHAnsi"/>
          <w:noProof/>
          <w:sz w:val="22"/>
        </w:rPr>
        <w:tab/>
      </w:r>
      <w:r w:rsidRPr="00922C2A">
        <w:rPr>
          <w:noProof/>
        </w:rPr>
        <w:t>CADRE DE LA PROPOSITION/DE L’INITIATIVE</w:t>
      </w:r>
      <w:r w:rsidRPr="00922C2A">
        <w:rPr>
          <w:noProof/>
          <w:webHidden/>
        </w:rPr>
        <w:tab/>
        <w:t>3</w:t>
      </w:r>
    </w:p>
    <w:p w14:paraId="1D6CA42F" w14:textId="77777777" w:rsidR="00922C2A" w:rsidRPr="00922C2A" w:rsidRDefault="00922C2A" w:rsidP="00922C2A">
      <w:pPr>
        <w:pStyle w:val="TOC2"/>
        <w:rPr>
          <w:rFonts w:asciiTheme="minorHAnsi" w:eastAsiaTheme="minorEastAsia" w:hAnsiTheme="minorHAnsi" w:cstheme="minorBidi"/>
          <w:noProof/>
          <w:kern w:val="2"/>
          <w:sz w:val="22"/>
          <w14:ligatures w14:val="standardContextual"/>
        </w:rPr>
      </w:pPr>
      <w:r w:rsidRPr="00922C2A">
        <w:rPr>
          <w:noProof/>
        </w:rPr>
        <w:t>1.1.</w:t>
      </w:r>
      <w:r w:rsidRPr="00922C2A">
        <w:rPr>
          <w:rFonts w:asciiTheme="minorHAnsi" w:hAnsiTheme="minorHAnsi"/>
          <w:noProof/>
          <w:sz w:val="22"/>
        </w:rPr>
        <w:tab/>
      </w:r>
      <w:r w:rsidRPr="00922C2A">
        <w:rPr>
          <w:noProof/>
        </w:rPr>
        <w:t>Dénomination de la proposition/de l’initiative</w:t>
      </w:r>
      <w:r w:rsidRPr="00922C2A">
        <w:rPr>
          <w:noProof/>
          <w:webHidden/>
        </w:rPr>
        <w:tab/>
        <w:t>3</w:t>
      </w:r>
    </w:p>
    <w:p w14:paraId="6BE3704B" w14:textId="77777777" w:rsidR="00922C2A" w:rsidRPr="00922C2A" w:rsidRDefault="00922C2A" w:rsidP="00922C2A">
      <w:pPr>
        <w:pStyle w:val="TOC2"/>
        <w:rPr>
          <w:rFonts w:asciiTheme="minorHAnsi" w:eastAsiaTheme="minorEastAsia" w:hAnsiTheme="minorHAnsi" w:cstheme="minorBidi"/>
          <w:noProof/>
          <w:kern w:val="2"/>
          <w:sz w:val="22"/>
          <w14:ligatures w14:val="standardContextual"/>
        </w:rPr>
      </w:pPr>
      <w:r w:rsidRPr="00922C2A">
        <w:rPr>
          <w:noProof/>
        </w:rPr>
        <w:t>1.2.</w:t>
      </w:r>
      <w:r w:rsidRPr="00922C2A">
        <w:rPr>
          <w:rFonts w:asciiTheme="minorHAnsi" w:hAnsiTheme="minorHAnsi"/>
          <w:noProof/>
          <w:sz w:val="22"/>
        </w:rPr>
        <w:tab/>
      </w:r>
      <w:r w:rsidRPr="00922C2A">
        <w:rPr>
          <w:noProof/>
        </w:rPr>
        <w:t>Domaine(s) politique(s) concerné(s)</w:t>
      </w:r>
      <w:r w:rsidRPr="00922C2A">
        <w:rPr>
          <w:noProof/>
          <w:webHidden/>
        </w:rPr>
        <w:tab/>
        <w:t>3</w:t>
      </w:r>
    </w:p>
    <w:p w14:paraId="0F57E98E" w14:textId="77777777" w:rsidR="00922C2A" w:rsidRPr="00922C2A" w:rsidRDefault="00922C2A" w:rsidP="00922C2A">
      <w:pPr>
        <w:pStyle w:val="TOC2"/>
        <w:rPr>
          <w:rFonts w:asciiTheme="minorHAnsi" w:eastAsiaTheme="minorEastAsia" w:hAnsiTheme="minorHAnsi" w:cstheme="minorBidi"/>
          <w:noProof/>
          <w:kern w:val="2"/>
          <w:sz w:val="22"/>
          <w14:ligatures w14:val="standardContextual"/>
        </w:rPr>
      </w:pPr>
      <w:r w:rsidRPr="00922C2A">
        <w:rPr>
          <w:noProof/>
        </w:rPr>
        <w:t>1.3.</w:t>
      </w:r>
      <w:r w:rsidRPr="00922C2A">
        <w:rPr>
          <w:rFonts w:asciiTheme="minorHAnsi" w:hAnsiTheme="minorHAnsi"/>
          <w:noProof/>
          <w:sz w:val="22"/>
        </w:rPr>
        <w:tab/>
      </w:r>
      <w:r w:rsidRPr="00922C2A">
        <w:rPr>
          <w:noProof/>
        </w:rPr>
        <w:t>Objectif(s)</w:t>
      </w:r>
      <w:r w:rsidRPr="00922C2A">
        <w:rPr>
          <w:noProof/>
          <w:webHidden/>
        </w:rPr>
        <w:tab/>
        <w:t>3</w:t>
      </w:r>
    </w:p>
    <w:p w14:paraId="3AA7AD40" w14:textId="77777777" w:rsidR="00922C2A" w:rsidRPr="00922C2A" w:rsidRDefault="00922C2A" w:rsidP="00922C2A">
      <w:pPr>
        <w:pStyle w:val="TOC3"/>
        <w:rPr>
          <w:rFonts w:asciiTheme="minorHAnsi" w:eastAsiaTheme="minorEastAsia" w:hAnsiTheme="minorHAnsi" w:cstheme="minorBidi"/>
          <w:noProof/>
          <w:kern w:val="2"/>
          <w:sz w:val="22"/>
          <w14:ligatures w14:val="standardContextual"/>
        </w:rPr>
      </w:pPr>
      <w:r w:rsidRPr="00922C2A">
        <w:rPr>
          <w:noProof/>
        </w:rPr>
        <w:t>1.3.1.</w:t>
      </w:r>
      <w:r w:rsidRPr="00922C2A">
        <w:rPr>
          <w:rFonts w:asciiTheme="minorHAnsi" w:hAnsiTheme="minorHAnsi"/>
          <w:noProof/>
          <w:sz w:val="22"/>
        </w:rPr>
        <w:tab/>
      </w:r>
      <w:r w:rsidRPr="00922C2A">
        <w:rPr>
          <w:noProof/>
        </w:rPr>
        <w:t>Objectif général/objectifs généraux</w:t>
      </w:r>
      <w:r w:rsidRPr="00922C2A">
        <w:rPr>
          <w:noProof/>
          <w:webHidden/>
        </w:rPr>
        <w:tab/>
        <w:t>3</w:t>
      </w:r>
    </w:p>
    <w:p w14:paraId="4DAE40B9" w14:textId="77777777" w:rsidR="00922C2A" w:rsidRPr="00922C2A" w:rsidRDefault="00922C2A" w:rsidP="00922C2A">
      <w:pPr>
        <w:pStyle w:val="TOC3"/>
        <w:rPr>
          <w:rFonts w:asciiTheme="minorHAnsi" w:eastAsiaTheme="minorEastAsia" w:hAnsiTheme="minorHAnsi" w:cstheme="minorBidi"/>
          <w:noProof/>
          <w:kern w:val="2"/>
          <w:sz w:val="22"/>
          <w14:ligatures w14:val="standardContextual"/>
        </w:rPr>
      </w:pPr>
      <w:r w:rsidRPr="00922C2A">
        <w:rPr>
          <w:noProof/>
        </w:rPr>
        <w:t>1.3.2.</w:t>
      </w:r>
      <w:r w:rsidRPr="00922C2A">
        <w:rPr>
          <w:rFonts w:asciiTheme="minorHAnsi" w:hAnsiTheme="minorHAnsi"/>
          <w:noProof/>
          <w:sz w:val="22"/>
        </w:rPr>
        <w:tab/>
      </w:r>
      <w:r w:rsidRPr="00922C2A">
        <w:rPr>
          <w:noProof/>
        </w:rPr>
        <w:t>Objectif(s) spécifique(s)</w:t>
      </w:r>
      <w:r w:rsidRPr="00922C2A">
        <w:rPr>
          <w:noProof/>
          <w:webHidden/>
        </w:rPr>
        <w:tab/>
        <w:t>3</w:t>
      </w:r>
    </w:p>
    <w:p w14:paraId="30F5D632" w14:textId="77777777" w:rsidR="00922C2A" w:rsidRPr="00922C2A" w:rsidRDefault="00922C2A" w:rsidP="00922C2A">
      <w:pPr>
        <w:pStyle w:val="TOC3"/>
        <w:rPr>
          <w:rFonts w:asciiTheme="minorHAnsi" w:eastAsiaTheme="minorEastAsia" w:hAnsiTheme="minorHAnsi" w:cstheme="minorBidi"/>
          <w:noProof/>
          <w:kern w:val="2"/>
          <w:sz w:val="22"/>
          <w14:ligatures w14:val="standardContextual"/>
        </w:rPr>
      </w:pPr>
      <w:r w:rsidRPr="00922C2A">
        <w:rPr>
          <w:noProof/>
        </w:rPr>
        <w:t>1.3.3.</w:t>
      </w:r>
      <w:r w:rsidRPr="00922C2A">
        <w:rPr>
          <w:rFonts w:asciiTheme="minorHAnsi" w:hAnsiTheme="minorHAnsi"/>
          <w:noProof/>
          <w:sz w:val="22"/>
        </w:rPr>
        <w:tab/>
      </w:r>
      <w:r w:rsidRPr="00922C2A">
        <w:rPr>
          <w:noProof/>
        </w:rPr>
        <w:t>Résultat(s) et incidence(s) attendus</w:t>
      </w:r>
      <w:r w:rsidRPr="00922C2A">
        <w:rPr>
          <w:noProof/>
          <w:webHidden/>
        </w:rPr>
        <w:tab/>
        <w:t>3</w:t>
      </w:r>
    </w:p>
    <w:p w14:paraId="6226FF99" w14:textId="77777777" w:rsidR="00922C2A" w:rsidRPr="00922C2A" w:rsidRDefault="00922C2A" w:rsidP="00922C2A">
      <w:pPr>
        <w:pStyle w:val="TOC3"/>
        <w:rPr>
          <w:rFonts w:asciiTheme="minorHAnsi" w:eastAsiaTheme="minorEastAsia" w:hAnsiTheme="minorHAnsi" w:cstheme="minorBidi"/>
          <w:noProof/>
          <w:kern w:val="2"/>
          <w:sz w:val="22"/>
          <w14:ligatures w14:val="standardContextual"/>
        </w:rPr>
      </w:pPr>
      <w:r w:rsidRPr="00922C2A">
        <w:rPr>
          <w:noProof/>
        </w:rPr>
        <w:t>1.3.4.</w:t>
      </w:r>
      <w:r w:rsidRPr="00922C2A">
        <w:rPr>
          <w:rFonts w:asciiTheme="minorHAnsi" w:hAnsiTheme="minorHAnsi"/>
          <w:noProof/>
          <w:sz w:val="22"/>
        </w:rPr>
        <w:tab/>
      </w:r>
      <w:r w:rsidRPr="00922C2A">
        <w:rPr>
          <w:noProof/>
        </w:rPr>
        <w:t>Indicateurs de performance</w:t>
      </w:r>
      <w:r w:rsidRPr="00922C2A">
        <w:rPr>
          <w:noProof/>
          <w:webHidden/>
        </w:rPr>
        <w:tab/>
        <w:t>3</w:t>
      </w:r>
    </w:p>
    <w:p w14:paraId="0D287CB5" w14:textId="77777777" w:rsidR="00922C2A" w:rsidRPr="00922C2A" w:rsidRDefault="00922C2A" w:rsidP="00922C2A">
      <w:pPr>
        <w:pStyle w:val="TOC2"/>
        <w:rPr>
          <w:rFonts w:asciiTheme="minorHAnsi" w:eastAsiaTheme="minorEastAsia" w:hAnsiTheme="minorHAnsi" w:cstheme="minorBidi"/>
          <w:noProof/>
          <w:kern w:val="2"/>
          <w:sz w:val="22"/>
          <w14:ligatures w14:val="standardContextual"/>
        </w:rPr>
      </w:pPr>
      <w:r w:rsidRPr="00922C2A">
        <w:rPr>
          <w:noProof/>
        </w:rPr>
        <w:t>1.4.</w:t>
      </w:r>
      <w:r w:rsidRPr="00922C2A">
        <w:rPr>
          <w:rFonts w:asciiTheme="minorHAnsi" w:hAnsiTheme="minorHAnsi"/>
          <w:noProof/>
          <w:sz w:val="22"/>
        </w:rPr>
        <w:tab/>
      </w:r>
      <w:r w:rsidRPr="00922C2A">
        <w:rPr>
          <w:noProof/>
        </w:rPr>
        <w:t>La proposition/l’initiative porte sur:</w:t>
      </w:r>
      <w:r w:rsidRPr="00922C2A">
        <w:rPr>
          <w:noProof/>
          <w:webHidden/>
        </w:rPr>
        <w:tab/>
        <w:t>4</w:t>
      </w:r>
    </w:p>
    <w:p w14:paraId="6544E359" w14:textId="77777777" w:rsidR="00922C2A" w:rsidRPr="00922C2A" w:rsidRDefault="00922C2A" w:rsidP="00922C2A">
      <w:pPr>
        <w:pStyle w:val="TOC2"/>
        <w:rPr>
          <w:rFonts w:asciiTheme="minorHAnsi" w:eastAsiaTheme="minorEastAsia" w:hAnsiTheme="minorHAnsi" w:cstheme="minorBidi"/>
          <w:noProof/>
          <w:kern w:val="2"/>
          <w:sz w:val="22"/>
          <w14:ligatures w14:val="standardContextual"/>
        </w:rPr>
      </w:pPr>
      <w:r w:rsidRPr="00922C2A">
        <w:rPr>
          <w:noProof/>
        </w:rPr>
        <w:t>1.5.</w:t>
      </w:r>
      <w:r w:rsidRPr="00922C2A">
        <w:rPr>
          <w:rFonts w:asciiTheme="minorHAnsi" w:hAnsiTheme="minorHAnsi"/>
          <w:noProof/>
          <w:sz w:val="22"/>
        </w:rPr>
        <w:tab/>
      </w:r>
      <w:r w:rsidRPr="00922C2A">
        <w:rPr>
          <w:noProof/>
        </w:rPr>
        <w:t>Justification(s) de la proposition/de l’initiative</w:t>
      </w:r>
      <w:r w:rsidRPr="00922C2A">
        <w:rPr>
          <w:noProof/>
          <w:webHidden/>
        </w:rPr>
        <w:tab/>
        <w:t>5</w:t>
      </w:r>
    </w:p>
    <w:p w14:paraId="1ED2C4FF" w14:textId="77777777" w:rsidR="00922C2A" w:rsidRPr="00922C2A" w:rsidRDefault="00922C2A" w:rsidP="00922C2A">
      <w:pPr>
        <w:pStyle w:val="TOC3"/>
        <w:rPr>
          <w:rFonts w:asciiTheme="minorHAnsi" w:eastAsiaTheme="minorEastAsia" w:hAnsiTheme="minorHAnsi" w:cstheme="minorBidi"/>
          <w:noProof/>
          <w:kern w:val="2"/>
          <w:sz w:val="22"/>
          <w14:ligatures w14:val="standardContextual"/>
        </w:rPr>
      </w:pPr>
      <w:r w:rsidRPr="00922C2A">
        <w:rPr>
          <w:noProof/>
        </w:rPr>
        <w:t>1.5.1.</w:t>
      </w:r>
      <w:r w:rsidRPr="00922C2A">
        <w:rPr>
          <w:rFonts w:asciiTheme="minorHAnsi" w:hAnsiTheme="minorHAnsi"/>
          <w:noProof/>
          <w:sz w:val="22"/>
        </w:rPr>
        <w:tab/>
      </w:r>
      <w:r w:rsidRPr="00922C2A">
        <w:rPr>
          <w:noProof/>
        </w:rPr>
        <w:t>Besoin(s) à satisfaire à court ou à long terme, assorti(s) d’un calendrier détaillé pour la mise en œuvre de l’initiative</w:t>
      </w:r>
      <w:r w:rsidRPr="00922C2A">
        <w:rPr>
          <w:noProof/>
          <w:webHidden/>
        </w:rPr>
        <w:tab/>
        <w:t>5</w:t>
      </w:r>
    </w:p>
    <w:p w14:paraId="16DC2130" w14:textId="77777777" w:rsidR="00922C2A" w:rsidRPr="00922C2A" w:rsidRDefault="00922C2A" w:rsidP="00922C2A">
      <w:pPr>
        <w:pStyle w:val="TOC3"/>
        <w:rPr>
          <w:rFonts w:asciiTheme="minorHAnsi" w:eastAsiaTheme="minorEastAsia" w:hAnsiTheme="minorHAnsi" w:cstheme="minorBidi"/>
          <w:noProof/>
          <w:kern w:val="2"/>
          <w:sz w:val="22"/>
          <w14:ligatures w14:val="standardContextual"/>
        </w:rPr>
      </w:pPr>
      <w:r w:rsidRPr="00922C2A">
        <w:rPr>
          <w:noProof/>
        </w:rPr>
        <w:t>1.5.2.</w:t>
      </w:r>
      <w:r w:rsidRPr="00922C2A">
        <w:rPr>
          <w:rFonts w:asciiTheme="minorHAnsi" w:hAnsiTheme="minorHAnsi"/>
          <w:noProof/>
          <w:sz w:val="22"/>
        </w:rPr>
        <w:tab/>
      </w:r>
      <w:r w:rsidRPr="00922C2A">
        <w:rPr>
          <w:noProof/>
        </w:rPr>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r w:rsidRPr="00922C2A">
        <w:rPr>
          <w:noProof/>
          <w:webHidden/>
        </w:rPr>
        <w:tab/>
        <w:t>5</w:t>
      </w:r>
    </w:p>
    <w:p w14:paraId="15F1EAE8" w14:textId="77777777" w:rsidR="00922C2A" w:rsidRPr="00922C2A" w:rsidRDefault="00922C2A" w:rsidP="00922C2A">
      <w:pPr>
        <w:pStyle w:val="TOC3"/>
        <w:rPr>
          <w:rFonts w:asciiTheme="minorHAnsi" w:eastAsiaTheme="minorEastAsia" w:hAnsiTheme="minorHAnsi" w:cstheme="minorBidi"/>
          <w:noProof/>
          <w:kern w:val="2"/>
          <w:sz w:val="22"/>
          <w14:ligatures w14:val="standardContextual"/>
        </w:rPr>
      </w:pPr>
      <w:r w:rsidRPr="00922C2A">
        <w:rPr>
          <w:noProof/>
        </w:rPr>
        <w:t>1.5.3.</w:t>
      </w:r>
      <w:r w:rsidRPr="00922C2A">
        <w:rPr>
          <w:rFonts w:asciiTheme="minorHAnsi" w:hAnsiTheme="minorHAnsi"/>
          <w:noProof/>
          <w:sz w:val="22"/>
        </w:rPr>
        <w:tab/>
      </w:r>
      <w:r w:rsidRPr="00922C2A">
        <w:rPr>
          <w:noProof/>
        </w:rPr>
        <w:t>Leçons tirées d’expériences similaires</w:t>
      </w:r>
      <w:r w:rsidRPr="00922C2A">
        <w:rPr>
          <w:noProof/>
          <w:webHidden/>
        </w:rPr>
        <w:tab/>
        <w:t>5</w:t>
      </w:r>
    </w:p>
    <w:p w14:paraId="7CCD9028" w14:textId="77777777" w:rsidR="00922C2A" w:rsidRPr="00922C2A" w:rsidRDefault="00922C2A" w:rsidP="00922C2A">
      <w:pPr>
        <w:pStyle w:val="TOC3"/>
        <w:rPr>
          <w:rFonts w:asciiTheme="minorHAnsi" w:eastAsiaTheme="minorEastAsia" w:hAnsiTheme="minorHAnsi" w:cstheme="minorBidi"/>
          <w:noProof/>
          <w:kern w:val="2"/>
          <w:sz w:val="22"/>
          <w14:ligatures w14:val="standardContextual"/>
        </w:rPr>
      </w:pPr>
      <w:r w:rsidRPr="00922C2A">
        <w:rPr>
          <w:noProof/>
        </w:rPr>
        <w:t>1.5.4.</w:t>
      </w:r>
      <w:r w:rsidRPr="00922C2A">
        <w:rPr>
          <w:rFonts w:asciiTheme="minorHAnsi" w:hAnsiTheme="minorHAnsi"/>
          <w:noProof/>
          <w:sz w:val="22"/>
        </w:rPr>
        <w:tab/>
      </w:r>
      <w:r w:rsidRPr="00922C2A">
        <w:rPr>
          <w:noProof/>
        </w:rPr>
        <w:t>Compatibilité avec le cadre financier pluriannuel et synergies éventuelles avec d’autres instruments appropriés</w:t>
      </w:r>
      <w:r w:rsidRPr="00922C2A">
        <w:rPr>
          <w:noProof/>
          <w:webHidden/>
        </w:rPr>
        <w:tab/>
        <w:t>5</w:t>
      </w:r>
    </w:p>
    <w:p w14:paraId="7520527A" w14:textId="77777777" w:rsidR="00922C2A" w:rsidRPr="00922C2A" w:rsidRDefault="00922C2A" w:rsidP="00922C2A">
      <w:pPr>
        <w:pStyle w:val="TOC3"/>
        <w:rPr>
          <w:rFonts w:asciiTheme="minorHAnsi" w:eastAsiaTheme="minorEastAsia" w:hAnsiTheme="minorHAnsi" w:cstheme="minorBidi"/>
          <w:noProof/>
          <w:kern w:val="2"/>
          <w:sz w:val="22"/>
          <w14:ligatures w14:val="standardContextual"/>
        </w:rPr>
      </w:pPr>
      <w:r w:rsidRPr="00922C2A">
        <w:rPr>
          <w:noProof/>
        </w:rPr>
        <w:t>1.5.5.</w:t>
      </w:r>
      <w:r w:rsidRPr="00922C2A">
        <w:rPr>
          <w:rFonts w:asciiTheme="minorHAnsi" w:hAnsiTheme="minorHAnsi"/>
          <w:noProof/>
          <w:sz w:val="22"/>
        </w:rPr>
        <w:tab/>
      </w:r>
      <w:r w:rsidRPr="00922C2A">
        <w:rPr>
          <w:noProof/>
        </w:rPr>
        <w:t>Évaluation des différentes possibilités de financement disponibles, y compris des possibilités de redéploiement</w:t>
      </w:r>
      <w:r w:rsidRPr="00922C2A">
        <w:rPr>
          <w:noProof/>
          <w:webHidden/>
        </w:rPr>
        <w:tab/>
        <w:t>6</w:t>
      </w:r>
    </w:p>
    <w:p w14:paraId="74090D93" w14:textId="77777777" w:rsidR="00922C2A" w:rsidRPr="00922C2A" w:rsidRDefault="00922C2A" w:rsidP="00922C2A">
      <w:pPr>
        <w:pStyle w:val="TOC2"/>
        <w:rPr>
          <w:rFonts w:asciiTheme="minorHAnsi" w:eastAsiaTheme="minorEastAsia" w:hAnsiTheme="minorHAnsi" w:cstheme="minorBidi"/>
          <w:noProof/>
          <w:kern w:val="2"/>
          <w:sz w:val="22"/>
          <w14:ligatures w14:val="standardContextual"/>
        </w:rPr>
      </w:pPr>
      <w:r w:rsidRPr="00922C2A">
        <w:rPr>
          <w:noProof/>
        </w:rPr>
        <w:t>1.6.</w:t>
      </w:r>
      <w:r w:rsidRPr="00922C2A">
        <w:rPr>
          <w:rFonts w:asciiTheme="minorHAnsi" w:hAnsiTheme="minorHAnsi"/>
          <w:noProof/>
          <w:sz w:val="22"/>
        </w:rPr>
        <w:tab/>
      </w:r>
      <w:r w:rsidRPr="00922C2A">
        <w:rPr>
          <w:noProof/>
        </w:rPr>
        <w:t>Durée de la proposition/de l’initiative et de son incidence financière</w:t>
      </w:r>
      <w:r w:rsidRPr="00922C2A">
        <w:rPr>
          <w:noProof/>
          <w:webHidden/>
        </w:rPr>
        <w:tab/>
        <w:t>7</w:t>
      </w:r>
    </w:p>
    <w:p w14:paraId="1A5AB8F7" w14:textId="77777777" w:rsidR="00922C2A" w:rsidRPr="00922C2A" w:rsidRDefault="00922C2A" w:rsidP="00922C2A">
      <w:pPr>
        <w:pStyle w:val="TOC2"/>
        <w:rPr>
          <w:rFonts w:asciiTheme="minorHAnsi" w:eastAsiaTheme="minorEastAsia" w:hAnsiTheme="minorHAnsi" w:cstheme="minorBidi"/>
          <w:noProof/>
          <w:kern w:val="2"/>
          <w:sz w:val="22"/>
          <w14:ligatures w14:val="standardContextual"/>
        </w:rPr>
      </w:pPr>
      <w:r w:rsidRPr="00922C2A">
        <w:rPr>
          <w:noProof/>
        </w:rPr>
        <w:t>1.7.</w:t>
      </w:r>
      <w:r w:rsidRPr="00922C2A">
        <w:rPr>
          <w:rFonts w:asciiTheme="minorHAnsi" w:hAnsiTheme="minorHAnsi"/>
          <w:noProof/>
          <w:sz w:val="22"/>
        </w:rPr>
        <w:tab/>
      </w:r>
      <w:r w:rsidRPr="00922C2A">
        <w:rPr>
          <w:noProof/>
        </w:rPr>
        <w:t>Mode(s) d’exécution budgétaire prévu(s)</w:t>
      </w:r>
      <w:r w:rsidRPr="00922C2A">
        <w:rPr>
          <w:noProof/>
          <w:webHidden/>
        </w:rPr>
        <w:tab/>
        <w:t>7</w:t>
      </w:r>
    </w:p>
    <w:p w14:paraId="25769940" w14:textId="77777777" w:rsidR="00922C2A" w:rsidRPr="00922C2A" w:rsidRDefault="00922C2A" w:rsidP="00922C2A">
      <w:pPr>
        <w:pStyle w:val="TOC1"/>
        <w:rPr>
          <w:rFonts w:asciiTheme="minorHAnsi" w:eastAsiaTheme="minorEastAsia" w:hAnsiTheme="minorHAnsi" w:cstheme="minorBidi"/>
          <w:noProof/>
          <w:kern w:val="2"/>
          <w:sz w:val="22"/>
          <w14:ligatures w14:val="standardContextual"/>
        </w:rPr>
      </w:pPr>
      <w:r w:rsidRPr="00922C2A">
        <w:rPr>
          <w:noProof/>
        </w:rPr>
        <w:t>2.</w:t>
      </w:r>
      <w:r w:rsidRPr="00922C2A">
        <w:rPr>
          <w:rFonts w:asciiTheme="minorHAnsi" w:hAnsiTheme="minorHAnsi"/>
          <w:noProof/>
          <w:sz w:val="22"/>
        </w:rPr>
        <w:tab/>
      </w:r>
      <w:r w:rsidRPr="00922C2A">
        <w:rPr>
          <w:noProof/>
        </w:rPr>
        <w:t>MESURES DE GESTION</w:t>
      </w:r>
      <w:r w:rsidRPr="00922C2A">
        <w:rPr>
          <w:noProof/>
          <w:webHidden/>
        </w:rPr>
        <w:tab/>
        <w:t>8</w:t>
      </w:r>
    </w:p>
    <w:p w14:paraId="51E1E498" w14:textId="77777777" w:rsidR="00922C2A" w:rsidRPr="00922C2A" w:rsidRDefault="00922C2A" w:rsidP="00922C2A">
      <w:pPr>
        <w:pStyle w:val="TOC2"/>
        <w:rPr>
          <w:rFonts w:asciiTheme="minorHAnsi" w:eastAsiaTheme="minorEastAsia" w:hAnsiTheme="minorHAnsi" w:cstheme="minorBidi"/>
          <w:noProof/>
          <w:kern w:val="2"/>
          <w:sz w:val="22"/>
          <w14:ligatures w14:val="standardContextual"/>
        </w:rPr>
      </w:pPr>
      <w:r w:rsidRPr="00922C2A">
        <w:rPr>
          <w:noProof/>
        </w:rPr>
        <w:t>2.1.</w:t>
      </w:r>
      <w:r w:rsidRPr="00922C2A">
        <w:rPr>
          <w:rFonts w:asciiTheme="minorHAnsi" w:hAnsiTheme="minorHAnsi"/>
          <w:noProof/>
          <w:sz w:val="22"/>
        </w:rPr>
        <w:tab/>
      </w:r>
      <w:r w:rsidRPr="00922C2A">
        <w:rPr>
          <w:noProof/>
        </w:rPr>
        <w:t>Dispositions en matière de suivi et de compte rendu</w:t>
      </w:r>
      <w:r w:rsidRPr="00922C2A">
        <w:rPr>
          <w:noProof/>
          <w:webHidden/>
        </w:rPr>
        <w:tab/>
        <w:t>8</w:t>
      </w:r>
    </w:p>
    <w:p w14:paraId="620B8BD6" w14:textId="77777777" w:rsidR="00922C2A" w:rsidRPr="00922C2A" w:rsidRDefault="00922C2A" w:rsidP="00922C2A">
      <w:pPr>
        <w:pStyle w:val="TOC2"/>
        <w:rPr>
          <w:rFonts w:asciiTheme="minorHAnsi" w:eastAsiaTheme="minorEastAsia" w:hAnsiTheme="minorHAnsi" w:cstheme="minorBidi"/>
          <w:noProof/>
          <w:kern w:val="2"/>
          <w:sz w:val="22"/>
          <w14:ligatures w14:val="standardContextual"/>
        </w:rPr>
      </w:pPr>
      <w:r w:rsidRPr="00922C2A">
        <w:rPr>
          <w:noProof/>
        </w:rPr>
        <w:t>2.2.</w:t>
      </w:r>
      <w:r w:rsidRPr="00922C2A">
        <w:rPr>
          <w:rFonts w:asciiTheme="minorHAnsi" w:hAnsiTheme="minorHAnsi"/>
          <w:noProof/>
          <w:sz w:val="22"/>
        </w:rPr>
        <w:tab/>
      </w:r>
      <w:r w:rsidRPr="00922C2A">
        <w:rPr>
          <w:noProof/>
        </w:rPr>
        <w:t>Système(s) de gestion et de contrôle</w:t>
      </w:r>
      <w:r w:rsidRPr="00922C2A">
        <w:rPr>
          <w:noProof/>
          <w:webHidden/>
        </w:rPr>
        <w:tab/>
        <w:t>8</w:t>
      </w:r>
    </w:p>
    <w:p w14:paraId="70006ACE" w14:textId="77777777" w:rsidR="00922C2A" w:rsidRPr="00922C2A" w:rsidRDefault="00922C2A" w:rsidP="00922C2A">
      <w:pPr>
        <w:pStyle w:val="TOC3"/>
        <w:rPr>
          <w:rFonts w:asciiTheme="minorHAnsi" w:eastAsiaTheme="minorEastAsia" w:hAnsiTheme="minorHAnsi" w:cstheme="minorBidi"/>
          <w:noProof/>
          <w:kern w:val="2"/>
          <w:sz w:val="22"/>
          <w14:ligatures w14:val="standardContextual"/>
        </w:rPr>
      </w:pPr>
      <w:r w:rsidRPr="00922C2A">
        <w:rPr>
          <w:noProof/>
        </w:rPr>
        <w:t>2.2.1.</w:t>
      </w:r>
      <w:r w:rsidRPr="00922C2A">
        <w:rPr>
          <w:rFonts w:asciiTheme="minorHAnsi" w:hAnsiTheme="minorHAnsi"/>
          <w:noProof/>
          <w:sz w:val="22"/>
        </w:rPr>
        <w:tab/>
      </w:r>
      <w:r w:rsidRPr="00922C2A">
        <w:rPr>
          <w:noProof/>
        </w:rPr>
        <w:t>Justification du (des) mode(s) d’exécution budgétaire, du (des) mécanisme(s) de mise en œuvre du financement, des modalités de paiement et de la stratégie de contrôle proposée</w:t>
      </w:r>
      <w:r w:rsidRPr="00922C2A">
        <w:rPr>
          <w:noProof/>
          <w:webHidden/>
        </w:rPr>
        <w:tab/>
        <w:t>8</w:t>
      </w:r>
    </w:p>
    <w:p w14:paraId="5B0E4769" w14:textId="77777777" w:rsidR="00922C2A" w:rsidRPr="00922C2A" w:rsidRDefault="00922C2A" w:rsidP="00922C2A">
      <w:pPr>
        <w:pStyle w:val="TOC3"/>
        <w:rPr>
          <w:rFonts w:asciiTheme="minorHAnsi" w:eastAsiaTheme="minorEastAsia" w:hAnsiTheme="minorHAnsi" w:cstheme="minorBidi"/>
          <w:noProof/>
          <w:kern w:val="2"/>
          <w:sz w:val="22"/>
          <w14:ligatures w14:val="standardContextual"/>
        </w:rPr>
      </w:pPr>
      <w:r w:rsidRPr="00922C2A">
        <w:rPr>
          <w:noProof/>
        </w:rPr>
        <w:t>2.2.2.</w:t>
      </w:r>
      <w:r w:rsidRPr="00922C2A">
        <w:rPr>
          <w:rFonts w:asciiTheme="minorHAnsi" w:hAnsiTheme="minorHAnsi"/>
          <w:noProof/>
          <w:sz w:val="22"/>
        </w:rPr>
        <w:tab/>
      </w:r>
      <w:r w:rsidRPr="00922C2A">
        <w:rPr>
          <w:noProof/>
        </w:rPr>
        <w:t>Informations sur les risques recensés et sur le(s) système(s) de contrôle interne mis en place pour les atténuer</w:t>
      </w:r>
      <w:r w:rsidRPr="00922C2A">
        <w:rPr>
          <w:noProof/>
          <w:webHidden/>
        </w:rPr>
        <w:tab/>
        <w:t>8</w:t>
      </w:r>
    </w:p>
    <w:p w14:paraId="4DD67A9C" w14:textId="77777777" w:rsidR="00922C2A" w:rsidRPr="00922C2A" w:rsidRDefault="00922C2A" w:rsidP="00922C2A">
      <w:pPr>
        <w:pStyle w:val="TOC3"/>
        <w:rPr>
          <w:rFonts w:asciiTheme="minorHAnsi" w:eastAsiaTheme="minorEastAsia" w:hAnsiTheme="minorHAnsi" w:cstheme="minorBidi"/>
          <w:noProof/>
          <w:kern w:val="2"/>
          <w:sz w:val="22"/>
          <w14:ligatures w14:val="standardContextual"/>
        </w:rPr>
      </w:pPr>
      <w:r w:rsidRPr="00922C2A">
        <w:rPr>
          <w:noProof/>
        </w:rPr>
        <w:t>2.2.3.</w:t>
      </w:r>
      <w:r w:rsidRPr="00922C2A">
        <w:rPr>
          <w:rFonts w:asciiTheme="minorHAnsi" w:hAnsiTheme="minorHAnsi"/>
          <w:noProof/>
          <w:sz w:val="22"/>
        </w:rPr>
        <w:tab/>
      </w:r>
      <w:r w:rsidRPr="00922C2A">
        <w:rPr>
          <w:noProof/>
        </w:rPr>
        <w:t>Estimation et justification du rapport coût/efficacité des contrôles (rapport entre les coûts du contrôle et la valeur des fonds gérés concernés), et évaluation du niveau attendu de risque d’erreur (lors du paiement et lors de la clôture)</w:t>
      </w:r>
      <w:r w:rsidRPr="00922C2A">
        <w:rPr>
          <w:noProof/>
          <w:webHidden/>
        </w:rPr>
        <w:tab/>
        <w:t>10</w:t>
      </w:r>
    </w:p>
    <w:p w14:paraId="382A88FD" w14:textId="77777777" w:rsidR="00922C2A" w:rsidRPr="00922C2A" w:rsidRDefault="00922C2A" w:rsidP="00922C2A">
      <w:pPr>
        <w:pStyle w:val="TOC2"/>
        <w:rPr>
          <w:rFonts w:asciiTheme="minorHAnsi" w:eastAsiaTheme="minorEastAsia" w:hAnsiTheme="minorHAnsi" w:cstheme="minorBidi"/>
          <w:noProof/>
          <w:kern w:val="2"/>
          <w:sz w:val="22"/>
          <w14:ligatures w14:val="standardContextual"/>
        </w:rPr>
      </w:pPr>
      <w:r w:rsidRPr="00922C2A">
        <w:rPr>
          <w:noProof/>
        </w:rPr>
        <w:t>2.3.</w:t>
      </w:r>
      <w:r w:rsidRPr="00922C2A">
        <w:rPr>
          <w:rFonts w:asciiTheme="minorHAnsi" w:hAnsiTheme="minorHAnsi"/>
          <w:noProof/>
          <w:sz w:val="22"/>
        </w:rPr>
        <w:tab/>
      </w:r>
      <w:r w:rsidRPr="00922C2A">
        <w:rPr>
          <w:noProof/>
        </w:rPr>
        <w:t>Mesures de prévention des fraudes et irrégularités</w:t>
      </w:r>
      <w:r w:rsidRPr="00922C2A">
        <w:rPr>
          <w:noProof/>
          <w:webHidden/>
        </w:rPr>
        <w:tab/>
        <w:t>10</w:t>
      </w:r>
    </w:p>
    <w:p w14:paraId="52D63557" w14:textId="77777777" w:rsidR="00922C2A" w:rsidRPr="00922C2A" w:rsidRDefault="00922C2A" w:rsidP="00922C2A">
      <w:pPr>
        <w:pStyle w:val="TOC1"/>
        <w:rPr>
          <w:rFonts w:asciiTheme="minorHAnsi" w:eastAsiaTheme="minorEastAsia" w:hAnsiTheme="minorHAnsi" w:cstheme="minorBidi"/>
          <w:noProof/>
          <w:kern w:val="2"/>
          <w:sz w:val="22"/>
          <w14:ligatures w14:val="standardContextual"/>
        </w:rPr>
      </w:pPr>
      <w:r w:rsidRPr="00922C2A">
        <w:rPr>
          <w:noProof/>
        </w:rPr>
        <w:t>3.</w:t>
      </w:r>
      <w:r w:rsidRPr="00922C2A">
        <w:rPr>
          <w:rFonts w:asciiTheme="minorHAnsi" w:hAnsiTheme="minorHAnsi"/>
          <w:noProof/>
          <w:sz w:val="22"/>
        </w:rPr>
        <w:tab/>
      </w:r>
      <w:r w:rsidRPr="00922C2A">
        <w:rPr>
          <w:noProof/>
        </w:rPr>
        <w:t>INCIDENCE FINANCIÈRE ESTIMÉE DE LA PROPOSITION/DE L’INITIATIVE</w:t>
      </w:r>
      <w:r w:rsidRPr="00922C2A">
        <w:rPr>
          <w:noProof/>
          <w:webHidden/>
        </w:rPr>
        <w:tab/>
        <w:t>12</w:t>
      </w:r>
    </w:p>
    <w:p w14:paraId="7EC925DD" w14:textId="77777777" w:rsidR="00922C2A" w:rsidRPr="00922C2A" w:rsidRDefault="00922C2A" w:rsidP="00922C2A">
      <w:pPr>
        <w:pStyle w:val="TOC2"/>
        <w:rPr>
          <w:rFonts w:asciiTheme="minorHAnsi" w:eastAsiaTheme="minorEastAsia" w:hAnsiTheme="minorHAnsi" w:cstheme="minorBidi"/>
          <w:noProof/>
          <w:kern w:val="2"/>
          <w:sz w:val="22"/>
          <w14:ligatures w14:val="standardContextual"/>
        </w:rPr>
      </w:pPr>
      <w:r w:rsidRPr="00922C2A">
        <w:rPr>
          <w:noProof/>
        </w:rPr>
        <w:t>3.1.</w:t>
      </w:r>
      <w:r w:rsidRPr="00922C2A">
        <w:rPr>
          <w:rFonts w:asciiTheme="minorHAnsi" w:hAnsiTheme="minorHAnsi"/>
          <w:noProof/>
          <w:sz w:val="22"/>
        </w:rPr>
        <w:tab/>
      </w:r>
      <w:r w:rsidRPr="00922C2A">
        <w:rPr>
          <w:noProof/>
        </w:rPr>
        <w:t>Rubrique(s) du cadre financier pluriannuel et ligne(s) budgétaire(s) de dépenses concernée(s)</w:t>
      </w:r>
      <w:r w:rsidRPr="00922C2A">
        <w:rPr>
          <w:noProof/>
          <w:webHidden/>
        </w:rPr>
        <w:tab/>
        <w:t>12</w:t>
      </w:r>
    </w:p>
    <w:p w14:paraId="05BE98A2" w14:textId="77777777" w:rsidR="00922C2A" w:rsidRPr="00922C2A" w:rsidRDefault="00922C2A" w:rsidP="00922C2A">
      <w:pPr>
        <w:pStyle w:val="TOC2"/>
        <w:rPr>
          <w:rFonts w:asciiTheme="minorHAnsi" w:eastAsiaTheme="minorEastAsia" w:hAnsiTheme="minorHAnsi" w:cstheme="minorBidi"/>
          <w:noProof/>
          <w:kern w:val="2"/>
          <w:sz w:val="22"/>
          <w14:ligatures w14:val="standardContextual"/>
        </w:rPr>
      </w:pPr>
      <w:r w:rsidRPr="00922C2A">
        <w:rPr>
          <w:noProof/>
        </w:rPr>
        <w:t>3.2.</w:t>
      </w:r>
      <w:r w:rsidRPr="00922C2A">
        <w:rPr>
          <w:rFonts w:asciiTheme="minorHAnsi" w:hAnsiTheme="minorHAnsi"/>
          <w:noProof/>
          <w:sz w:val="22"/>
        </w:rPr>
        <w:tab/>
      </w:r>
      <w:r w:rsidRPr="00922C2A">
        <w:rPr>
          <w:noProof/>
        </w:rPr>
        <w:t>Incidence financière estimée de la proposition sur les crédits</w:t>
      </w:r>
      <w:r w:rsidRPr="00922C2A">
        <w:rPr>
          <w:noProof/>
          <w:webHidden/>
        </w:rPr>
        <w:tab/>
        <w:t>13</w:t>
      </w:r>
    </w:p>
    <w:p w14:paraId="7BF23060" w14:textId="77777777" w:rsidR="00922C2A" w:rsidRPr="00922C2A" w:rsidRDefault="00922C2A" w:rsidP="00922C2A">
      <w:pPr>
        <w:pStyle w:val="TOC3"/>
        <w:rPr>
          <w:rFonts w:asciiTheme="minorHAnsi" w:eastAsiaTheme="minorEastAsia" w:hAnsiTheme="minorHAnsi" w:cstheme="minorBidi"/>
          <w:noProof/>
          <w:kern w:val="2"/>
          <w:sz w:val="22"/>
          <w14:ligatures w14:val="standardContextual"/>
        </w:rPr>
      </w:pPr>
      <w:r w:rsidRPr="00922C2A">
        <w:rPr>
          <w:noProof/>
        </w:rPr>
        <w:t>3.2.1.</w:t>
      </w:r>
      <w:r w:rsidRPr="00922C2A">
        <w:rPr>
          <w:rFonts w:asciiTheme="minorHAnsi" w:hAnsiTheme="minorHAnsi"/>
          <w:noProof/>
          <w:sz w:val="22"/>
        </w:rPr>
        <w:tab/>
      </w:r>
      <w:r w:rsidRPr="00922C2A">
        <w:rPr>
          <w:noProof/>
        </w:rPr>
        <w:t>Synthèse de l’incidence estimée sur les crédits opérationnels</w:t>
      </w:r>
      <w:r w:rsidRPr="00922C2A">
        <w:rPr>
          <w:noProof/>
          <w:webHidden/>
        </w:rPr>
        <w:tab/>
        <w:t>13</w:t>
      </w:r>
    </w:p>
    <w:p w14:paraId="1536D58E" w14:textId="77777777" w:rsidR="00922C2A" w:rsidRPr="00922C2A" w:rsidRDefault="00922C2A" w:rsidP="00922C2A">
      <w:pPr>
        <w:pStyle w:val="TOC3"/>
        <w:rPr>
          <w:rFonts w:asciiTheme="minorHAnsi" w:eastAsiaTheme="minorEastAsia" w:hAnsiTheme="minorHAnsi" w:cstheme="minorBidi"/>
          <w:noProof/>
          <w:kern w:val="2"/>
          <w:sz w:val="22"/>
          <w14:ligatures w14:val="standardContextual"/>
        </w:rPr>
      </w:pPr>
      <w:r w:rsidRPr="00922C2A">
        <w:rPr>
          <w:noProof/>
        </w:rPr>
        <w:t>3.2.1.1.</w:t>
      </w:r>
      <w:r w:rsidRPr="00922C2A">
        <w:rPr>
          <w:rFonts w:asciiTheme="minorHAnsi" w:hAnsiTheme="minorHAnsi"/>
          <w:noProof/>
          <w:sz w:val="22"/>
        </w:rPr>
        <w:tab/>
      </w:r>
      <w:r w:rsidRPr="00922C2A">
        <w:rPr>
          <w:noProof/>
        </w:rPr>
        <w:t>Crédits issus du budget voté</w:t>
      </w:r>
      <w:r w:rsidRPr="00922C2A">
        <w:rPr>
          <w:noProof/>
          <w:webHidden/>
        </w:rPr>
        <w:tab/>
        <w:t>13</w:t>
      </w:r>
    </w:p>
    <w:p w14:paraId="73AB53AB" w14:textId="77777777" w:rsidR="00922C2A" w:rsidRPr="00922C2A" w:rsidRDefault="00922C2A" w:rsidP="00922C2A">
      <w:pPr>
        <w:pStyle w:val="TOC3"/>
        <w:rPr>
          <w:rFonts w:asciiTheme="minorHAnsi" w:eastAsiaTheme="minorEastAsia" w:hAnsiTheme="minorHAnsi" w:cstheme="minorBidi"/>
          <w:noProof/>
          <w:kern w:val="2"/>
          <w:sz w:val="22"/>
          <w14:ligatures w14:val="standardContextual"/>
        </w:rPr>
      </w:pPr>
      <w:r w:rsidRPr="00922C2A">
        <w:rPr>
          <w:noProof/>
        </w:rPr>
        <w:t>3.2.1.2.</w:t>
      </w:r>
      <w:r w:rsidRPr="00922C2A">
        <w:rPr>
          <w:rFonts w:asciiTheme="minorHAnsi" w:hAnsiTheme="minorHAnsi"/>
          <w:noProof/>
          <w:sz w:val="22"/>
        </w:rPr>
        <w:tab/>
      </w:r>
      <w:r w:rsidRPr="00922C2A">
        <w:rPr>
          <w:noProof/>
        </w:rPr>
        <w:t>Crédits issus de recettes affectées externes</w:t>
      </w:r>
      <w:r w:rsidRPr="00922C2A">
        <w:rPr>
          <w:noProof/>
          <w:webHidden/>
        </w:rPr>
        <w:tab/>
        <w:t>16</w:t>
      </w:r>
    </w:p>
    <w:p w14:paraId="0EB5B1F9" w14:textId="77777777" w:rsidR="00922C2A" w:rsidRPr="00922C2A" w:rsidRDefault="00922C2A" w:rsidP="00922C2A">
      <w:pPr>
        <w:pStyle w:val="TOC3"/>
        <w:rPr>
          <w:rFonts w:asciiTheme="minorHAnsi" w:eastAsiaTheme="minorEastAsia" w:hAnsiTheme="minorHAnsi" w:cstheme="minorBidi"/>
          <w:noProof/>
          <w:kern w:val="2"/>
          <w:sz w:val="22"/>
          <w14:ligatures w14:val="standardContextual"/>
        </w:rPr>
      </w:pPr>
      <w:r w:rsidRPr="00922C2A">
        <w:rPr>
          <w:noProof/>
        </w:rPr>
        <w:t>3.2.2.</w:t>
      </w:r>
      <w:r w:rsidRPr="00922C2A">
        <w:rPr>
          <w:rFonts w:asciiTheme="minorHAnsi" w:hAnsiTheme="minorHAnsi"/>
          <w:noProof/>
          <w:sz w:val="22"/>
        </w:rPr>
        <w:tab/>
      </w:r>
      <w:r w:rsidRPr="00922C2A">
        <w:rPr>
          <w:noProof/>
        </w:rPr>
        <w:t>Estimation des réalisations financées à partir des crédits opérationnels</w:t>
      </w:r>
      <w:r w:rsidRPr="00922C2A">
        <w:rPr>
          <w:noProof/>
          <w:webHidden/>
        </w:rPr>
        <w:tab/>
        <w:t>16</w:t>
      </w:r>
    </w:p>
    <w:p w14:paraId="6B7951D4" w14:textId="77777777" w:rsidR="00922C2A" w:rsidRPr="00922C2A" w:rsidRDefault="00922C2A" w:rsidP="00922C2A">
      <w:pPr>
        <w:pStyle w:val="TOC3"/>
        <w:rPr>
          <w:rFonts w:asciiTheme="minorHAnsi" w:eastAsiaTheme="minorEastAsia" w:hAnsiTheme="minorHAnsi" w:cstheme="minorBidi"/>
          <w:noProof/>
          <w:kern w:val="2"/>
          <w:sz w:val="22"/>
          <w14:ligatures w14:val="standardContextual"/>
        </w:rPr>
      </w:pPr>
      <w:r w:rsidRPr="00922C2A">
        <w:rPr>
          <w:noProof/>
        </w:rPr>
        <w:t>3.2.3.</w:t>
      </w:r>
      <w:r w:rsidRPr="00922C2A">
        <w:rPr>
          <w:rFonts w:asciiTheme="minorHAnsi" w:hAnsiTheme="minorHAnsi"/>
          <w:noProof/>
          <w:sz w:val="22"/>
        </w:rPr>
        <w:tab/>
      </w:r>
      <w:r w:rsidRPr="00922C2A">
        <w:rPr>
          <w:noProof/>
        </w:rPr>
        <w:t>Synthèse de l’incidence estimée sur les crédits administratifs</w:t>
      </w:r>
      <w:r w:rsidRPr="00922C2A">
        <w:rPr>
          <w:noProof/>
          <w:webHidden/>
        </w:rPr>
        <w:tab/>
        <w:t>18</w:t>
      </w:r>
    </w:p>
    <w:p w14:paraId="284530F2" w14:textId="77777777" w:rsidR="00922C2A" w:rsidRPr="00922C2A" w:rsidRDefault="00922C2A" w:rsidP="00922C2A">
      <w:pPr>
        <w:pStyle w:val="TOC3"/>
        <w:rPr>
          <w:rFonts w:asciiTheme="minorHAnsi" w:eastAsiaTheme="minorEastAsia" w:hAnsiTheme="minorHAnsi" w:cstheme="minorBidi"/>
          <w:noProof/>
          <w:kern w:val="2"/>
          <w:sz w:val="22"/>
          <w14:ligatures w14:val="standardContextual"/>
        </w:rPr>
      </w:pPr>
      <w:r w:rsidRPr="00922C2A">
        <w:rPr>
          <w:noProof/>
        </w:rPr>
        <w:t>3.2.3.1. Crédits issus du budget voté</w:t>
      </w:r>
      <w:r w:rsidRPr="00922C2A">
        <w:rPr>
          <w:noProof/>
          <w:webHidden/>
        </w:rPr>
        <w:tab/>
        <w:t>18</w:t>
      </w:r>
    </w:p>
    <w:p w14:paraId="0173825E" w14:textId="77777777" w:rsidR="00922C2A" w:rsidRPr="00922C2A" w:rsidRDefault="00922C2A" w:rsidP="00922C2A">
      <w:pPr>
        <w:pStyle w:val="TOC3"/>
        <w:rPr>
          <w:rFonts w:asciiTheme="minorHAnsi" w:eastAsiaTheme="minorEastAsia" w:hAnsiTheme="minorHAnsi" w:cstheme="minorBidi"/>
          <w:noProof/>
          <w:kern w:val="2"/>
          <w:sz w:val="22"/>
          <w14:ligatures w14:val="standardContextual"/>
        </w:rPr>
      </w:pPr>
      <w:r w:rsidRPr="00922C2A">
        <w:rPr>
          <w:noProof/>
        </w:rPr>
        <w:t>3.2.3.2.</w:t>
      </w:r>
      <w:r w:rsidRPr="00922C2A">
        <w:rPr>
          <w:rFonts w:asciiTheme="minorHAnsi" w:hAnsiTheme="minorHAnsi"/>
          <w:noProof/>
          <w:sz w:val="22"/>
        </w:rPr>
        <w:tab/>
      </w:r>
      <w:r w:rsidRPr="00922C2A">
        <w:rPr>
          <w:noProof/>
        </w:rPr>
        <w:t>Crédits issus de recettes affectées externes</w:t>
      </w:r>
      <w:r w:rsidRPr="00922C2A">
        <w:rPr>
          <w:noProof/>
          <w:webHidden/>
        </w:rPr>
        <w:tab/>
        <w:t>18</w:t>
      </w:r>
    </w:p>
    <w:p w14:paraId="475D0A71" w14:textId="77777777" w:rsidR="00922C2A" w:rsidRPr="00922C2A" w:rsidRDefault="00922C2A" w:rsidP="00922C2A">
      <w:pPr>
        <w:pStyle w:val="TOC3"/>
        <w:rPr>
          <w:rFonts w:asciiTheme="minorHAnsi" w:eastAsiaTheme="minorEastAsia" w:hAnsiTheme="minorHAnsi" w:cstheme="minorBidi"/>
          <w:noProof/>
          <w:kern w:val="2"/>
          <w:sz w:val="22"/>
          <w14:ligatures w14:val="standardContextual"/>
        </w:rPr>
      </w:pPr>
      <w:r w:rsidRPr="00922C2A">
        <w:rPr>
          <w:noProof/>
        </w:rPr>
        <w:t>3.2.3.3.</w:t>
      </w:r>
      <w:r w:rsidRPr="00922C2A">
        <w:rPr>
          <w:rFonts w:asciiTheme="minorHAnsi" w:hAnsiTheme="minorHAnsi"/>
          <w:noProof/>
          <w:sz w:val="22"/>
        </w:rPr>
        <w:tab/>
      </w:r>
      <w:r w:rsidRPr="00922C2A">
        <w:rPr>
          <w:noProof/>
        </w:rPr>
        <w:t>Total des crédits</w:t>
      </w:r>
      <w:r w:rsidRPr="00922C2A">
        <w:rPr>
          <w:noProof/>
          <w:webHidden/>
        </w:rPr>
        <w:tab/>
        <w:t>18</w:t>
      </w:r>
    </w:p>
    <w:p w14:paraId="57667707" w14:textId="77777777" w:rsidR="00922C2A" w:rsidRPr="00922C2A" w:rsidRDefault="00922C2A" w:rsidP="00922C2A">
      <w:pPr>
        <w:pStyle w:val="TOC3"/>
        <w:rPr>
          <w:rFonts w:asciiTheme="minorHAnsi" w:eastAsiaTheme="minorEastAsia" w:hAnsiTheme="minorHAnsi" w:cstheme="minorBidi"/>
          <w:noProof/>
          <w:kern w:val="2"/>
          <w:sz w:val="22"/>
          <w14:ligatures w14:val="standardContextual"/>
        </w:rPr>
      </w:pPr>
      <w:r w:rsidRPr="00922C2A">
        <w:rPr>
          <w:noProof/>
        </w:rPr>
        <w:t>3.2.4.</w:t>
      </w:r>
      <w:r w:rsidRPr="00922C2A">
        <w:rPr>
          <w:rFonts w:asciiTheme="minorHAnsi" w:hAnsiTheme="minorHAnsi"/>
          <w:noProof/>
          <w:sz w:val="22"/>
        </w:rPr>
        <w:tab/>
      </w:r>
      <w:r w:rsidRPr="00922C2A">
        <w:rPr>
          <w:noProof/>
        </w:rPr>
        <w:t>Besoins estimés en ressources humaines</w:t>
      </w:r>
      <w:r w:rsidRPr="00922C2A">
        <w:rPr>
          <w:noProof/>
          <w:webHidden/>
        </w:rPr>
        <w:tab/>
        <w:t>19</w:t>
      </w:r>
    </w:p>
    <w:p w14:paraId="10F13504" w14:textId="77777777" w:rsidR="00922C2A" w:rsidRPr="00922C2A" w:rsidRDefault="00922C2A" w:rsidP="00922C2A">
      <w:pPr>
        <w:pStyle w:val="TOC3"/>
        <w:rPr>
          <w:rFonts w:asciiTheme="minorHAnsi" w:eastAsiaTheme="minorEastAsia" w:hAnsiTheme="minorHAnsi" w:cstheme="minorBidi"/>
          <w:noProof/>
          <w:kern w:val="2"/>
          <w:sz w:val="22"/>
          <w14:ligatures w14:val="standardContextual"/>
        </w:rPr>
      </w:pPr>
      <w:r w:rsidRPr="00922C2A">
        <w:rPr>
          <w:noProof/>
        </w:rPr>
        <w:t>3.2.4.1.</w:t>
      </w:r>
      <w:r w:rsidRPr="00922C2A">
        <w:rPr>
          <w:rFonts w:asciiTheme="minorHAnsi" w:hAnsiTheme="minorHAnsi"/>
          <w:noProof/>
          <w:sz w:val="22"/>
        </w:rPr>
        <w:tab/>
      </w:r>
      <w:r w:rsidRPr="00922C2A">
        <w:rPr>
          <w:noProof/>
        </w:rPr>
        <w:t>Financement sur le budget voté</w:t>
      </w:r>
      <w:r w:rsidRPr="00922C2A">
        <w:rPr>
          <w:noProof/>
          <w:webHidden/>
        </w:rPr>
        <w:tab/>
        <w:t>19</w:t>
      </w:r>
    </w:p>
    <w:p w14:paraId="108B9C65" w14:textId="77777777" w:rsidR="00922C2A" w:rsidRPr="00922C2A" w:rsidRDefault="00922C2A" w:rsidP="00922C2A">
      <w:pPr>
        <w:pStyle w:val="TOC3"/>
        <w:rPr>
          <w:rFonts w:asciiTheme="minorHAnsi" w:eastAsiaTheme="minorEastAsia" w:hAnsiTheme="minorHAnsi" w:cstheme="minorBidi"/>
          <w:noProof/>
          <w:kern w:val="2"/>
          <w:sz w:val="22"/>
          <w14:ligatures w14:val="standardContextual"/>
        </w:rPr>
      </w:pPr>
      <w:r w:rsidRPr="00922C2A">
        <w:rPr>
          <w:noProof/>
        </w:rPr>
        <w:t>3.2.4.2.</w:t>
      </w:r>
      <w:r w:rsidRPr="00922C2A">
        <w:rPr>
          <w:rFonts w:asciiTheme="minorHAnsi" w:hAnsiTheme="minorHAnsi"/>
          <w:noProof/>
          <w:sz w:val="22"/>
        </w:rPr>
        <w:tab/>
      </w:r>
      <w:r w:rsidRPr="00922C2A">
        <w:rPr>
          <w:noProof/>
        </w:rPr>
        <w:t>Financement par des recettes affectées externes</w:t>
      </w:r>
      <w:r w:rsidRPr="00922C2A">
        <w:rPr>
          <w:noProof/>
          <w:webHidden/>
        </w:rPr>
        <w:tab/>
        <w:t>20</w:t>
      </w:r>
    </w:p>
    <w:p w14:paraId="56FB7C2C" w14:textId="77777777" w:rsidR="00922C2A" w:rsidRPr="00922C2A" w:rsidRDefault="00922C2A" w:rsidP="00922C2A">
      <w:pPr>
        <w:pStyle w:val="TOC3"/>
        <w:rPr>
          <w:rFonts w:asciiTheme="minorHAnsi" w:eastAsiaTheme="minorEastAsia" w:hAnsiTheme="minorHAnsi" w:cstheme="minorBidi"/>
          <w:noProof/>
          <w:kern w:val="2"/>
          <w:sz w:val="22"/>
          <w14:ligatures w14:val="standardContextual"/>
        </w:rPr>
      </w:pPr>
      <w:r w:rsidRPr="00922C2A">
        <w:rPr>
          <w:noProof/>
        </w:rPr>
        <w:t>3.2.4.3.</w:t>
      </w:r>
      <w:r w:rsidRPr="00922C2A">
        <w:rPr>
          <w:rFonts w:asciiTheme="minorHAnsi" w:hAnsiTheme="minorHAnsi"/>
          <w:noProof/>
          <w:sz w:val="22"/>
        </w:rPr>
        <w:tab/>
      </w:r>
      <w:r w:rsidRPr="00922C2A">
        <w:rPr>
          <w:noProof/>
        </w:rPr>
        <w:t>Total des besoins en ressources humaines</w:t>
      </w:r>
      <w:r w:rsidRPr="00922C2A">
        <w:rPr>
          <w:noProof/>
          <w:webHidden/>
        </w:rPr>
        <w:tab/>
        <w:t>20</w:t>
      </w:r>
    </w:p>
    <w:p w14:paraId="08D787A5" w14:textId="77777777" w:rsidR="00922C2A" w:rsidRPr="00922C2A" w:rsidRDefault="00922C2A" w:rsidP="00922C2A">
      <w:pPr>
        <w:pStyle w:val="TOC3"/>
        <w:rPr>
          <w:rFonts w:asciiTheme="minorHAnsi" w:eastAsiaTheme="minorEastAsia" w:hAnsiTheme="minorHAnsi" w:cstheme="minorBidi"/>
          <w:noProof/>
          <w:kern w:val="2"/>
          <w:sz w:val="22"/>
          <w14:ligatures w14:val="standardContextual"/>
        </w:rPr>
      </w:pPr>
      <w:r w:rsidRPr="00922C2A">
        <w:rPr>
          <w:noProof/>
        </w:rPr>
        <w:t>3.2.5.</w:t>
      </w:r>
      <w:r w:rsidRPr="00922C2A">
        <w:rPr>
          <w:rFonts w:asciiTheme="minorHAnsi" w:hAnsiTheme="minorHAnsi"/>
          <w:noProof/>
          <w:sz w:val="22"/>
        </w:rPr>
        <w:tab/>
      </w:r>
      <w:r w:rsidRPr="00922C2A">
        <w:rPr>
          <w:noProof/>
        </w:rPr>
        <w:t>Vue d’ensemble de l’incidence estimée sur les investissements liés aux technologies numériques</w:t>
      </w:r>
      <w:r w:rsidRPr="00922C2A">
        <w:rPr>
          <w:noProof/>
          <w:webHidden/>
        </w:rPr>
        <w:tab/>
        <w:t>23</w:t>
      </w:r>
    </w:p>
    <w:p w14:paraId="4F7B6862" w14:textId="77777777" w:rsidR="00922C2A" w:rsidRPr="00922C2A" w:rsidRDefault="00922C2A" w:rsidP="00922C2A">
      <w:pPr>
        <w:pStyle w:val="TOC3"/>
        <w:rPr>
          <w:rFonts w:asciiTheme="minorHAnsi" w:eastAsiaTheme="minorEastAsia" w:hAnsiTheme="minorHAnsi" w:cstheme="minorBidi"/>
          <w:noProof/>
          <w:kern w:val="2"/>
          <w:sz w:val="22"/>
          <w14:ligatures w14:val="standardContextual"/>
        </w:rPr>
      </w:pPr>
      <w:r w:rsidRPr="00922C2A">
        <w:rPr>
          <w:noProof/>
        </w:rPr>
        <w:t>3.2.6.</w:t>
      </w:r>
      <w:r w:rsidRPr="00922C2A">
        <w:rPr>
          <w:rFonts w:asciiTheme="minorHAnsi" w:hAnsiTheme="minorHAnsi"/>
          <w:noProof/>
          <w:sz w:val="22"/>
        </w:rPr>
        <w:tab/>
      </w:r>
      <w:r w:rsidRPr="00922C2A">
        <w:rPr>
          <w:noProof/>
        </w:rPr>
        <w:t>Compatibilité avec le cadre financier pluriannuel actuel</w:t>
      </w:r>
      <w:r w:rsidRPr="00922C2A">
        <w:rPr>
          <w:noProof/>
          <w:webHidden/>
        </w:rPr>
        <w:tab/>
        <w:t>23</w:t>
      </w:r>
    </w:p>
    <w:p w14:paraId="4C604E38" w14:textId="77777777" w:rsidR="00922C2A" w:rsidRPr="00922C2A" w:rsidRDefault="00922C2A" w:rsidP="00922C2A">
      <w:pPr>
        <w:pStyle w:val="TOC3"/>
        <w:rPr>
          <w:rFonts w:asciiTheme="minorHAnsi" w:eastAsiaTheme="minorEastAsia" w:hAnsiTheme="minorHAnsi" w:cstheme="minorBidi"/>
          <w:noProof/>
          <w:kern w:val="2"/>
          <w:sz w:val="22"/>
          <w14:ligatures w14:val="standardContextual"/>
        </w:rPr>
      </w:pPr>
      <w:r w:rsidRPr="00922C2A">
        <w:rPr>
          <w:noProof/>
        </w:rPr>
        <w:t>3.2.7.</w:t>
      </w:r>
      <w:r w:rsidRPr="00922C2A">
        <w:rPr>
          <w:rFonts w:asciiTheme="minorHAnsi" w:hAnsiTheme="minorHAnsi"/>
          <w:noProof/>
          <w:sz w:val="22"/>
        </w:rPr>
        <w:tab/>
      </w:r>
      <w:r w:rsidRPr="00922C2A">
        <w:rPr>
          <w:noProof/>
        </w:rPr>
        <w:t>Participation de tiers au financement</w:t>
      </w:r>
      <w:r w:rsidRPr="00922C2A">
        <w:rPr>
          <w:noProof/>
          <w:webHidden/>
        </w:rPr>
        <w:tab/>
        <w:t>24</w:t>
      </w:r>
    </w:p>
    <w:p w14:paraId="25A59349" w14:textId="77777777" w:rsidR="00922C2A" w:rsidRPr="00922C2A" w:rsidRDefault="00922C2A" w:rsidP="00922C2A">
      <w:pPr>
        <w:pStyle w:val="TOC2"/>
        <w:rPr>
          <w:rFonts w:asciiTheme="minorHAnsi" w:eastAsiaTheme="minorEastAsia" w:hAnsiTheme="minorHAnsi" w:cstheme="minorBidi"/>
          <w:noProof/>
          <w:kern w:val="2"/>
          <w:sz w:val="22"/>
          <w14:ligatures w14:val="standardContextual"/>
        </w:rPr>
      </w:pPr>
      <w:r w:rsidRPr="00922C2A">
        <w:rPr>
          <w:noProof/>
        </w:rPr>
        <w:t>3.3.</w:t>
      </w:r>
      <w:r w:rsidRPr="00922C2A">
        <w:rPr>
          <w:rFonts w:asciiTheme="minorHAnsi" w:hAnsiTheme="minorHAnsi"/>
          <w:noProof/>
          <w:sz w:val="22"/>
        </w:rPr>
        <w:tab/>
      </w:r>
      <w:r w:rsidRPr="00922C2A">
        <w:rPr>
          <w:noProof/>
        </w:rPr>
        <w:t>Incidence estimée sur les recettes</w:t>
      </w:r>
      <w:r w:rsidRPr="00922C2A">
        <w:rPr>
          <w:noProof/>
          <w:webHidden/>
        </w:rPr>
        <w:tab/>
        <w:t>24</w:t>
      </w:r>
    </w:p>
    <w:p w14:paraId="5C10224C" w14:textId="77777777" w:rsidR="00922C2A" w:rsidRPr="00922C2A" w:rsidRDefault="00922C2A" w:rsidP="00922C2A">
      <w:pPr>
        <w:pStyle w:val="TOC1"/>
        <w:rPr>
          <w:rFonts w:asciiTheme="minorHAnsi" w:eastAsiaTheme="minorEastAsia" w:hAnsiTheme="minorHAnsi" w:cstheme="minorBidi"/>
          <w:noProof/>
          <w:kern w:val="2"/>
          <w:sz w:val="22"/>
          <w14:ligatures w14:val="standardContextual"/>
        </w:rPr>
      </w:pPr>
      <w:r w:rsidRPr="00922C2A">
        <w:rPr>
          <w:noProof/>
        </w:rPr>
        <w:t>4.</w:t>
      </w:r>
      <w:r w:rsidRPr="00922C2A">
        <w:rPr>
          <w:rFonts w:asciiTheme="minorHAnsi" w:hAnsiTheme="minorHAnsi"/>
          <w:noProof/>
          <w:sz w:val="22"/>
        </w:rPr>
        <w:tab/>
      </w:r>
      <w:r w:rsidRPr="00922C2A">
        <w:rPr>
          <w:caps/>
          <w:noProof/>
        </w:rPr>
        <w:t>Dimensions numériques</w:t>
      </w:r>
      <w:r w:rsidRPr="00922C2A">
        <w:rPr>
          <w:noProof/>
          <w:webHidden/>
        </w:rPr>
        <w:tab/>
        <w:t>24</w:t>
      </w:r>
    </w:p>
    <w:p w14:paraId="7200A216" w14:textId="77777777" w:rsidR="00922C2A" w:rsidRPr="00922C2A" w:rsidRDefault="00922C2A" w:rsidP="00922C2A">
      <w:pPr>
        <w:pStyle w:val="TOC2"/>
        <w:rPr>
          <w:rFonts w:asciiTheme="minorHAnsi" w:eastAsiaTheme="minorEastAsia" w:hAnsiTheme="minorHAnsi" w:cstheme="minorBidi"/>
          <w:noProof/>
          <w:kern w:val="2"/>
          <w:sz w:val="22"/>
          <w14:ligatures w14:val="standardContextual"/>
        </w:rPr>
      </w:pPr>
      <w:r w:rsidRPr="00922C2A">
        <w:rPr>
          <w:noProof/>
        </w:rPr>
        <w:t>4.1.</w:t>
      </w:r>
      <w:r w:rsidRPr="00922C2A">
        <w:rPr>
          <w:rFonts w:asciiTheme="minorHAnsi" w:hAnsiTheme="minorHAnsi"/>
          <w:noProof/>
          <w:sz w:val="22"/>
        </w:rPr>
        <w:tab/>
      </w:r>
      <w:r w:rsidRPr="00922C2A">
        <w:rPr>
          <w:noProof/>
        </w:rPr>
        <w:t>Exigences pertinentes en matière numérique</w:t>
      </w:r>
      <w:r w:rsidRPr="00922C2A">
        <w:rPr>
          <w:noProof/>
          <w:webHidden/>
        </w:rPr>
        <w:tab/>
        <w:t>24</w:t>
      </w:r>
    </w:p>
    <w:p w14:paraId="1D571616" w14:textId="77777777" w:rsidR="00922C2A" w:rsidRPr="00922C2A" w:rsidRDefault="00922C2A" w:rsidP="00922C2A">
      <w:pPr>
        <w:pStyle w:val="TOC2"/>
        <w:rPr>
          <w:rFonts w:asciiTheme="minorHAnsi" w:eastAsiaTheme="minorEastAsia" w:hAnsiTheme="minorHAnsi" w:cstheme="minorBidi"/>
          <w:noProof/>
          <w:kern w:val="2"/>
          <w:sz w:val="22"/>
          <w14:ligatures w14:val="standardContextual"/>
        </w:rPr>
      </w:pPr>
      <w:r w:rsidRPr="00922C2A">
        <w:rPr>
          <w:noProof/>
        </w:rPr>
        <w:t>4.2.</w:t>
      </w:r>
      <w:r w:rsidRPr="00922C2A">
        <w:rPr>
          <w:rFonts w:asciiTheme="minorHAnsi" w:hAnsiTheme="minorHAnsi"/>
          <w:noProof/>
          <w:sz w:val="22"/>
        </w:rPr>
        <w:tab/>
      </w:r>
      <w:r w:rsidRPr="00922C2A">
        <w:rPr>
          <w:noProof/>
        </w:rPr>
        <w:t>Données</w:t>
      </w:r>
      <w:r w:rsidRPr="00922C2A">
        <w:rPr>
          <w:noProof/>
          <w:webHidden/>
        </w:rPr>
        <w:tab/>
        <w:t>25</w:t>
      </w:r>
    </w:p>
    <w:p w14:paraId="30F719A4" w14:textId="77777777" w:rsidR="00922C2A" w:rsidRPr="00922C2A" w:rsidRDefault="00922C2A" w:rsidP="00922C2A">
      <w:pPr>
        <w:pStyle w:val="TOC2"/>
        <w:rPr>
          <w:rFonts w:asciiTheme="minorHAnsi" w:eastAsiaTheme="minorEastAsia" w:hAnsiTheme="minorHAnsi" w:cstheme="minorBidi"/>
          <w:noProof/>
          <w:kern w:val="2"/>
          <w:sz w:val="22"/>
          <w14:ligatures w14:val="standardContextual"/>
        </w:rPr>
      </w:pPr>
      <w:r w:rsidRPr="00922C2A">
        <w:rPr>
          <w:noProof/>
        </w:rPr>
        <w:t>4.3.</w:t>
      </w:r>
      <w:r w:rsidRPr="00922C2A">
        <w:rPr>
          <w:rFonts w:asciiTheme="minorHAnsi" w:hAnsiTheme="minorHAnsi"/>
          <w:noProof/>
          <w:sz w:val="22"/>
        </w:rPr>
        <w:tab/>
      </w:r>
      <w:r w:rsidRPr="00922C2A">
        <w:rPr>
          <w:noProof/>
        </w:rPr>
        <w:t>Solutions numériques</w:t>
      </w:r>
      <w:r w:rsidRPr="00922C2A">
        <w:rPr>
          <w:noProof/>
          <w:webHidden/>
        </w:rPr>
        <w:tab/>
        <w:t>27</w:t>
      </w:r>
    </w:p>
    <w:p w14:paraId="129F85A4" w14:textId="77777777" w:rsidR="00922C2A" w:rsidRPr="00922C2A" w:rsidRDefault="00922C2A" w:rsidP="00922C2A">
      <w:pPr>
        <w:pStyle w:val="TOC2"/>
        <w:rPr>
          <w:rFonts w:asciiTheme="minorHAnsi" w:eastAsiaTheme="minorEastAsia" w:hAnsiTheme="minorHAnsi" w:cstheme="minorBidi"/>
          <w:noProof/>
          <w:kern w:val="2"/>
          <w:sz w:val="22"/>
          <w14:ligatures w14:val="standardContextual"/>
        </w:rPr>
      </w:pPr>
      <w:r w:rsidRPr="00922C2A">
        <w:rPr>
          <w:noProof/>
        </w:rPr>
        <w:t>4.4.</w:t>
      </w:r>
      <w:r w:rsidRPr="00922C2A">
        <w:rPr>
          <w:rFonts w:asciiTheme="minorHAnsi" w:hAnsiTheme="minorHAnsi"/>
          <w:noProof/>
          <w:sz w:val="22"/>
        </w:rPr>
        <w:tab/>
      </w:r>
      <w:r w:rsidRPr="00922C2A">
        <w:rPr>
          <w:noProof/>
        </w:rPr>
        <w:t>Évaluation de l’interopérabilité</w:t>
      </w:r>
      <w:r w:rsidRPr="00922C2A">
        <w:rPr>
          <w:noProof/>
          <w:webHidden/>
        </w:rPr>
        <w:tab/>
        <w:t>27</w:t>
      </w:r>
    </w:p>
    <w:p w14:paraId="0CD6AEFC" w14:textId="77777777" w:rsidR="00922C2A" w:rsidRPr="00922C2A" w:rsidRDefault="00922C2A" w:rsidP="00922C2A">
      <w:pPr>
        <w:pStyle w:val="TOC2"/>
        <w:rPr>
          <w:rFonts w:asciiTheme="minorHAnsi" w:eastAsiaTheme="minorEastAsia" w:hAnsiTheme="minorHAnsi" w:cstheme="minorBidi"/>
          <w:noProof/>
          <w:kern w:val="2"/>
          <w:sz w:val="22"/>
          <w14:ligatures w14:val="standardContextual"/>
        </w:rPr>
      </w:pPr>
      <w:r w:rsidRPr="00922C2A">
        <w:rPr>
          <w:noProof/>
        </w:rPr>
        <w:t>4.5.</w:t>
      </w:r>
      <w:r w:rsidRPr="00922C2A">
        <w:rPr>
          <w:rFonts w:asciiTheme="minorHAnsi" w:hAnsiTheme="minorHAnsi"/>
          <w:noProof/>
          <w:sz w:val="22"/>
        </w:rPr>
        <w:tab/>
      </w:r>
      <w:r w:rsidRPr="00922C2A">
        <w:rPr>
          <w:noProof/>
        </w:rPr>
        <w:t>Mesures de soutien de la mise en œuvre numérique</w:t>
      </w:r>
      <w:r w:rsidRPr="00922C2A">
        <w:rPr>
          <w:noProof/>
          <w:webHidden/>
        </w:rPr>
        <w:tab/>
        <w:t>28</w:t>
      </w:r>
    </w:p>
    <w:p w14:paraId="2303BB30" w14:textId="77777777" w:rsidR="00922C2A" w:rsidRPr="00922C2A" w:rsidRDefault="00922C2A" w:rsidP="00922C2A">
      <w:pPr>
        <w:pStyle w:val="TOC1"/>
        <w:ind w:left="0" w:firstLine="0"/>
        <w:rPr>
          <w:noProof/>
        </w:rPr>
        <w:sectPr w:rsidR="00922C2A" w:rsidRPr="00922C2A" w:rsidSect="00492C75">
          <w:pgSz w:w="11907" w:h="16840" w:code="9"/>
          <w:pgMar w:top="1134" w:right="1418" w:bottom="1134" w:left="1418" w:header="709" w:footer="709" w:gutter="0"/>
          <w:pgNumType w:start="1"/>
          <w:cols w:space="720"/>
          <w:docGrid w:linePitch="360"/>
        </w:sectPr>
      </w:pPr>
    </w:p>
    <w:p w14:paraId="6130D868" w14:textId="77777777" w:rsidR="00922C2A" w:rsidRPr="00922C2A" w:rsidRDefault="00922C2A" w:rsidP="00922C2A">
      <w:pPr>
        <w:pStyle w:val="ManualHeading1"/>
        <w:rPr>
          <w:noProof/>
        </w:rPr>
      </w:pPr>
      <w:bookmarkStart w:id="12" w:name="_Toc514938007"/>
      <w:bookmarkStart w:id="13" w:name="_Toc520485025"/>
      <w:bookmarkStart w:id="14" w:name="_Toc160804567"/>
      <w:bookmarkStart w:id="15" w:name="_Toc167220259"/>
      <w:bookmarkStart w:id="16" w:name="_Toc177548992"/>
      <w:r w:rsidRPr="00922C2A">
        <w:rPr>
          <w:noProof/>
        </w:rPr>
        <w:t>1.</w:t>
      </w:r>
      <w:r w:rsidRPr="00922C2A">
        <w:rPr>
          <w:noProof/>
        </w:rPr>
        <w:tab/>
        <w:t>CADRE DE LA PROPOSITION/DE L’INITIATIVE</w:t>
      </w:r>
      <w:bookmarkEnd w:id="12"/>
      <w:bookmarkEnd w:id="13"/>
      <w:bookmarkEnd w:id="14"/>
      <w:bookmarkEnd w:id="15"/>
      <w:bookmarkEnd w:id="16"/>
      <w:r w:rsidRPr="00922C2A">
        <w:rPr>
          <w:noProof/>
        </w:rPr>
        <w:t xml:space="preserve"> </w:t>
      </w:r>
    </w:p>
    <w:p w14:paraId="29EB01EC" w14:textId="77777777" w:rsidR="00922C2A" w:rsidRPr="00922C2A" w:rsidRDefault="00922C2A" w:rsidP="00922C2A">
      <w:pPr>
        <w:pStyle w:val="ManualHeading2"/>
        <w:rPr>
          <w:noProof/>
        </w:rPr>
      </w:pPr>
      <w:bookmarkStart w:id="17" w:name="_Toc514938008"/>
      <w:bookmarkStart w:id="18" w:name="_Toc520485026"/>
      <w:bookmarkStart w:id="19" w:name="_Toc160804568"/>
      <w:bookmarkStart w:id="20" w:name="_Toc167220260"/>
      <w:bookmarkStart w:id="21" w:name="_Toc177548993"/>
      <w:r w:rsidRPr="00922C2A">
        <w:rPr>
          <w:noProof/>
        </w:rPr>
        <w:t>1.1.</w:t>
      </w:r>
      <w:r w:rsidRPr="00922C2A">
        <w:rPr>
          <w:noProof/>
        </w:rPr>
        <w:tab/>
        <w:t>Dénomination de la proposition/de l’initiative</w:t>
      </w:r>
      <w:bookmarkEnd w:id="17"/>
      <w:bookmarkEnd w:id="18"/>
      <w:bookmarkEnd w:id="19"/>
      <w:bookmarkEnd w:id="20"/>
      <w:bookmarkEnd w:id="21"/>
    </w:p>
    <w:p w14:paraId="37B5830A"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RÈGLEMENT DU PARLEMENT EUROPÉEN ET DU CONSEIL</w:t>
      </w:r>
    </w:p>
    <w:p w14:paraId="4970FB56"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 xml:space="preserve">établissant un cadre visant à renforcer la disponibilité et la sécurité de l’approvisionnement des médicaments critiques ainsi que la disponibilité et l’accessibilité des médicaments d’intérêt commun, et modifiant le règlement (UE) 2024/795. </w:t>
      </w:r>
    </w:p>
    <w:p w14:paraId="0E66F0E1" w14:textId="77777777" w:rsidR="00922C2A" w:rsidRPr="00922C2A" w:rsidRDefault="00922C2A" w:rsidP="00922C2A">
      <w:pPr>
        <w:pStyle w:val="ManualHeading2"/>
        <w:rPr>
          <w:i/>
          <w:noProof/>
        </w:rPr>
      </w:pPr>
      <w:bookmarkStart w:id="22" w:name="_Toc514938011"/>
      <w:bookmarkStart w:id="23" w:name="_Toc520485027"/>
      <w:bookmarkStart w:id="24" w:name="_Toc160804569"/>
      <w:bookmarkStart w:id="25" w:name="_Toc167220261"/>
      <w:bookmarkStart w:id="26" w:name="_Toc177548994"/>
      <w:r w:rsidRPr="00922C2A">
        <w:rPr>
          <w:noProof/>
        </w:rPr>
        <w:t>1.2.</w:t>
      </w:r>
      <w:r w:rsidRPr="00922C2A">
        <w:rPr>
          <w:noProof/>
        </w:rPr>
        <w:tab/>
        <w:t>Domaine(s) politique(s) concerné(s)</w:t>
      </w:r>
      <w:bookmarkEnd w:id="22"/>
      <w:bookmarkEnd w:id="23"/>
      <w:bookmarkEnd w:id="24"/>
      <w:bookmarkEnd w:id="25"/>
      <w:bookmarkEnd w:id="26"/>
      <w:r w:rsidRPr="00922C2A">
        <w:rPr>
          <w:i/>
          <w:noProof/>
        </w:rPr>
        <w:t xml:space="preserve"> </w:t>
      </w:r>
    </w:p>
    <w:p w14:paraId="1E33AB07"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Rubrique 2: cohésion, résilience et valeurs</w:t>
      </w:r>
    </w:p>
    <w:p w14:paraId="3F34E35D"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«L’UE pour la santé»</w:t>
      </w:r>
    </w:p>
    <w:p w14:paraId="6B034CFC" w14:textId="77777777" w:rsidR="00922C2A" w:rsidRPr="00922C2A" w:rsidRDefault="00922C2A" w:rsidP="00922C2A">
      <w:pPr>
        <w:pStyle w:val="ManualHeading2"/>
        <w:rPr>
          <w:noProof/>
        </w:rPr>
      </w:pPr>
      <w:bookmarkStart w:id="27" w:name="_Toc514938015"/>
      <w:bookmarkStart w:id="28" w:name="_Toc520485029"/>
      <w:bookmarkStart w:id="29" w:name="_Toc160804571"/>
      <w:bookmarkStart w:id="30" w:name="_Toc167220263"/>
      <w:bookmarkStart w:id="31" w:name="_Toc177548995"/>
      <w:r w:rsidRPr="00922C2A">
        <w:rPr>
          <w:noProof/>
        </w:rPr>
        <w:t>1.3.</w:t>
      </w:r>
      <w:r w:rsidRPr="00922C2A">
        <w:rPr>
          <w:noProof/>
        </w:rPr>
        <w:tab/>
        <w:t>Objectif(s)</w:t>
      </w:r>
      <w:bookmarkEnd w:id="27"/>
      <w:bookmarkEnd w:id="28"/>
      <w:bookmarkEnd w:id="29"/>
      <w:bookmarkEnd w:id="30"/>
      <w:bookmarkEnd w:id="31"/>
    </w:p>
    <w:p w14:paraId="78AD5674" w14:textId="77777777" w:rsidR="00922C2A" w:rsidRPr="00922C2A" w:rsidRDefault="00922C2A" w:rsidP="00922C2A">
      <w:pPr>
        <w:pStyle w:val="ManualHeading3"/>
        <w:rPr>
          <w:noProof/>
        </w:rPr>
      </w:pPr>
      <w:bookmarkStart w:id="32" w:name="_Toc514938016"/>
      <w:bookmarkStart w:id="33" w:name="_Toc520485030"/>
      <w:bookmarkStart w:id="34" w:name="_Toc160804572"/>
      <w:bookmarkStart w:id="35" w:name="_Toc167220264"/>
      <w:bookmarkStart w:id="36" w:name="_Toc177548996"/>
      <w:r w:rsidRPr="00922C2A">
        <w:rPr>
          <w:noProof/>
        </w:rPr>
        <w:t>1.3.1.</w:t>
      </w:r>
      <w:r w:rsidRPr="00922C2A">
        <w:rPr>
          <w:noProof/>
        </w:rPr>
        <w:tab/>
        <w:t>Objectif général/objectifs généraux</w:t>
      </w:r>
      <w:bookmarkEnd w:id="32"/>
      <w:bookmarkEnd w:id="33"/>
      <w:bookmarkEnd w:id="34"/>
      <w:bookmarkEnd w:id="35"/>
      <w:bookmarkEnd w:id="36"/>
    </w:p>
    <w:p w14:paraId="2CDAAA89"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L’objectif général du présent règlement est de renforcer la sécurité de l’approvisionnement et la disponibilité des médicaments critiques au sein de l’Union, en garantissant ainsi un niveau élevé de protection de la santé publique et en soutenant la sécurité de l’Union. Il s’agit également d’améliorer la disponibilité et l’accessibilité d’autres médicaments spécifiques, lorsque le fonctionnement du marché ne garantit pas suffisamment la disponibilité et l’accessibilité de ces médicaments pour les patients, tout en tenant dûment compte de l’opportunité de garantir le caractère abordable des médicaments.</w:t>
      </w:r>
    </w:p>
    <w:p w14:paraId="5BCD1020" w14:textId="77777777" w:rsidR="00922C2A" w:rsidRPr="00922C2A" w:rsidRDefault="00922C2A" w:rsidP="00922C2A">
      <w:pPr>
        <w:pStyle w:val="ManualHeading3"/>
        <w:rPr>
          <w:noProof/>
        </w:rPr>
      </w:pPr>
      <w:bookmarkStart w:id="37" w:name="_Toc514938018"/>
      <w:bookmarkStart w:id="38" w:name="_Toc520485031"/>
      <w:bookmarkStart w:id="39" w:name="_Toc160804573"/>
      <w:bookmarkStart w:id="40" w:name="_Toc167220265"/>
      <w:bookmarkStart w:id="41" w:name="_Toc177548997"/>
      <w:r w:rsidRPr="00922C2A">
        <w:rPr>
          <w:noProof/>
        </w:rPr>
        <w:t>1.3.2.</w:t>
      </w:r>
      <w:r w:rsidRPr="00922C2A">
        <w:rPr>
          <w:noProof/>
        </w:rPr>
        <w:tab/>
        <w:t>Objectif(s) spécifique(s)</w:t>
      </w:r>
      <w:bookmarkEnd w:id="37"/>
      <w:bookmarkEnd w:id="38"/>
      <w:bookmarkEnd w:id="39"/>
      <w:bookmarkEnd w:id="40"/>
      <w:bookmarkEnd w:id="41"/>
    </w:p>
    <w:p w14:paraId="64F08AF7"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Les objectifs spécifiques de l’initiative sont les suivants:</w:t>
      </w:r>
    </w:p>
    <w:p w14:paraId="7B1022C8"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a)</w:t>
      </w:r>
      <w:r w:rsidRPr="00922C2A">
        <w:rPr>
          <w:noProof/>
        </w:rPr>
        <w:tab/>
        <w:t>faciliter les investissements dans les capacités de production de médicaments critiques, de leurs substances actives et d’autres intrants essentiels dans l’Union;</w:t>
      </w:r>
    </w:p>
    <w:p w14:paraId="351358EE"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b)</w:t>
      </w:r>
      <w:r w:rsidRPr="00922C2A">
        <w:rPr>
          <w:noProof/>
        </w:rPr>
        <w:tab/>
        <w:t>réduire le risque de ruptures d’approvisionnement et renforcer la disponibilité en encourageant la diversification et la résilience de la chaîne d’approvisionnement dans les procédures de passation de marchés publics pour les médicaments critiques et d’autres médicaments d’intérêt commun;</w:t>
      </w:r>
    </w:p>
    <w:p w14:paraId="4247691E"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c)</w:t>
      </w:r>
      <w:r w:rsidRPr="00922C2A">
        <w:rPr>
          <w:noProof/>
        </w:rPr>
        <w:tab/>
        <w:t xml:space="preserve">tirer parti de la demande agrégée des États membres intéressés au moyen de procédures de passation collaborative de marchés; </w:t>
      </w:r>
    </w:p>
    <w:p w14:paraId="489888C0"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d)</w:t>
      </w:r>
      <w:r w:rsidRPr="00922C2A">
        <w:rPr>
          <w:noProof/>
        </w:rPr>
        <w:tab/>
        <w:t>soutenir la diversification des chaînes d’approvisionnement en facilitant également la conclusion de partenariats stratégiques.</w:t>
      </w:r>
    </w:p>
    <w:p w14:paraId="1EC31A53" w14:textId="77777777" w:rsidR="00922C2A" w:rsidRPr="00922C2A" w:rsidRDefault="00922C2A" w:rsidP="00922C2A">
      <w:pPr>
        <w:pStyle w:val="ManualHeading3"/>
        <w:rPr>
          <w:noProof/>
        </w:rPr>
      </w:pPr>
      <w:bookmarkStart w:id="42" w:name="_Toc514938019"/>
      <w:bookmarkStart w:id="43" w:name="_Toc520485032"/>
      <w:bookmarkStart w:id="44" w:name="_Toc160804574"/>
      <w:bookmarkStart w:id="45" w:name="_Toc167220266"/>
      <w:bookmarkStart w:id="46" w:name="_Toc177548998"/>
      <w:r w:rsidRPr="00922C2A">
        <w:rPr>
          <w:noProof/>
        </w:rPr>
        <w:t>1.3.3.</w:t>
      </w:r>
      <w:r w:rsidRPr="00922C2A">
        <w:rPr>
          <w:noProof/>
        </w:rPr>
        <w:tab/>
        <w:t>Résultat(s) et incidence(s) attendus</w:t>
      </w:r>
      <w:bookmarkEnd w:id="42"/>
      <w:bookmarkEnd w:id="43"/>
      <w:bookmarkEnd w:id="44"/>
      <w:bookmarkEnd w:id="45"/>
      <w:bookmarkEnd w:id="46"/>
    </w:p>
    <w:p w14:paraId="3DD59D32" w14:textId="77777777" w:rsidR="00922C2A" w:rsidRPr="00922C2A" w:rsidRDefault="00922C2A" w:rsidP="00922C2A">
      <w:pPr>
        <w:pStyle w:val="Text1"/>
        <w:rPr>
          <w:i/>
          <w:noProof/>
          <w:sz w:val="20"/>
        </w:rPr>
      </w:pPr>
      <w:r w:rsidRPr="00922C2A">
        <w:rPr>
          <w:i/>
          <w:noProof/>
          <w:sz w:val="20"/>
        </w:rPr>
        <w:t>Préciser les effets que la proposition/l’initiative devrait avoir sur les bénéficiaires/la population visée.</w:t>
      </w:r>
    </w:p>
    <w:p w14:paraId="46FC6619"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L’acte proposé devrait renforcer la résilience des chaînes d’approvisionnement en médicaments de l’UE et contribuer ainsi à améliorer la sécurité de l’approvisionnement. Il devrait également réduire les pénuries de médicaments critiques et renforcer la santé publique et la confiance. Sur le plan économique, la proposition devrait renforcer la base de production des médicaments critiques et rendre le secteur pharmaceutique plus compétitif, notamment grâce à la diversification. Sur le plan social, l’acte proposé devrait améliorer l’accès des patients de l’UE aux médicaments critiques et à certains autres médicaments. Ces résultats contribueront directement à la réalisation de l’objectif de développement durable (ODD) nº 3 «Bonne santé et bien-être». Au-delà des avantages pour la santé publique, la proposition devrait surtout avoir une incidence sur l’industrie pharmaceutique engagée dans la fourniture de médicaments critiques, qui pourrait bénéficier d’un soutien administratif et réglementaire et d’un accès au financement pour certains projets stratégiques. L’acte proposé devrait par ailleurs avoir une incidence sur les autorités administratives nationales et les acheteurs chargés des marchés publics de médicaments critiques et d’autres médicaments d’intérêt commun.</w:t>
      </w:r>
    </w:p>
    <w:p w14:paraId="5BE5AC3D" w14:textId="77777777" w:rsidR="00922C2A" w:rsidRPr="00922C2A" w:rsidRDefault="00922C2A" w:rsidP="00922C2A">
      <w:pPr>
        <w:pStyle w:val="ManualHeading3"/>
        <w:rPr>
          <w:noProof/>
        </w:rPr>
      </w:pPr>
      <w:bookmarkStart w:id="47" w:name="_Toc514938023"/>
      <w:bookmarkStart w:id="48" w:name="_Toc520485033"/>
      <w:bookmarkStart w:id="49" w:name="_Toc160804575"/>
      <w:bookmarkStart w:id="50" w:name="_Toc167220267"/>
      <w:bookmarkStart w:id="51" w:name="_Toc177548999"/>
      <w:r w:rsidRPr="00922C2A">
        <w:rPr>
          <w:noProof/>
        </w:rPr>
        <w:t>1.3.4.</w:t>
      </w:r>
      <w:r w:rsidRPr="00922C2A">
        <w:rPr>
          <w:noProof/>
        </w:rPr>
        <w:tab/>
        <w:t>Indicateurs de performance</w:t>
      </w:r>
      <w:bookmarkEnd w:id="47"/>
      <w:bookmarkEnd w:id="48"/>
      <w:bookmarkEnd w:id="49"/>
      <w:bookmarkEnd w:id="50"/>
      <w:bookmarkEnd w:id="51"/>
    </w:p>
    <w:p w14:paraId="150D943A" w14:textId="77777777" w:rsidR="00922C2A" w:rsidRPr="00922C2A" w:rsidRDefault="00922C2A" w:rsidP="00922C2A">
      <w:pPr>
        <w:pStyle w:val="Text1"/>
        <w:rPr>
          <w:i/>
          <w:noProof/>
          <w:sz w:val="20"/>
        </w:rPr>
      </w:pPr>
      <w:r w:rsidRPr="00922C2A">
        <w:rPr>
          <w:i/>
          <w:noProof/>
          <w:sz w:val="20"/>
        </w:rPr>
        <w:t>Préciser les indicateurs permettant de suivre l’avancement et les réalisations.</w:t>
      </w:r>
    </w:p>
    <w:tbl>
      <w:tblPr>
        <w:tblW w:w="0" w:type="auto"/>
        <w:tblLayout w:type="fixed"/>
        <w:tblLook w:val="06A0" w:firstRow="1" w:lastRow="0" w:firstColumn="1" w:lastColumn="0" w:noHBand="1" w:noVBand="1"/>
      </w:tblPr>
      <w:tblGrid>
        <w:gridCol w:w="1008"/>
        <w:gridCol w:w="3468"/>
        <w:gridCol w:w="2826"/>
        <w:gridCol w:w="1759"/>
      </w:tblGrid>
      <w:tr w:rsidR="00922C2A" w:rsidRPr="00922C2A" w14:paraId="283D6043" w14:textId="77777777" w:rsidTr="006F49C9">
        <w:trPr>
          <w:trHeight w:val="285"/>
        </w:trPr>
        <w:tc>
          <w:tcPr>
            <w:tcW w:w="1008" w:type="dxa"/>
            <w:tcBorders>
              <w:top w:val="single" w:sz="4" w:space="0" w:color="auto"/>
              <w:left w:val="single" w:sz="4" w:space="0" w:color="auto"/>
              <w:bottom w:val="single" w:sz="4" w:space="0" w:color="auto"/>
              <w:right w:val="single" w:sz="4" w:space="0" w:color="auto"/>
            </w:tcBorders>
            <w:shd w:val="clear" w:color="auto" w:fill="156082"/>
            <w:tcMar>
              <w:top w:w="15" w:type="dxa"/>
              <w:left w:w="15" w:type="dxa"/>
              <w:right w:w="15" w:type="dxa"/>
            </w:tcMar>
            <w:vAlign w:val="bottom"/>
          </w:tcPr>
          <w:p w14:paraId="44FC3668" w14:textId="77777777" w:rsidR="00922C2A" w:rsidRPr="00922C2A" w:rsidRDefault="00922C2A" w:rsidP="006F49C9">
            <w:pPr>
              <w:spacing w:before="0" w:after="0"/>
              <w:jc w:val="left"/>
              <w:rPr>
                <w:rFonts w:eastAsia="Aptos Narrow"/>
                <w:b/>
                <w:noProof/>
                <w:color w:val="FFFFFF" w:themeColor="background1"/>
                <w:sz w:val="18"/>
                <w:szCs w:val="18"/>
              </w:rPr>
            </w:pPr>
            <w:r w:rsidRPr="00922C2A">
              <w:rPr>
                <w:b/>
                <w:noProof/>
                <w:color w:val="FFFFFF" w:themeColor="background1"/>
                <w:sz w:val="18"/>
              </w:rPr>
              <w:t xml:space="preserve">Objectif </w:t>
            </w:r>
          </w:p>
        </w:tc>
        <w:tc>
          <w:tcPr>
            <w:tcW w:w="3468" w:type="dxa"/>
            <w:tcBorders>
              <w:top w:val="single" w:sz="4" w:space="0" w:color="auto"/>
              <w:left w:val="single" w:sz="4" w:space="0" w:color="auto"/>
              <w:bottom w:val="single" w:sz="4" w:space="0" w:color="auto"/>
              <w:right w:val="single" w:sz="4" w:space="0" w:color="auto"/>
            </w:tcBorders>
            <w:shd w:val="clear" w:color="auto" w:fill="156082"/>
            <w:tcMar>
              <w:top w:w="15" w:type="dxa"/>
              <w:left w:w="15" w:type="dxa"/>
              <w:right w:w="15" w:type="dxa"/>
            </w:tcMar>
            <w:vAlign w:val="bottom"/>
          </w:tcPr>
          <w:p w14:paraId="1AC01C9C" w14:textId="77777777" w:rsidR="00922C2A" w:rsidRPr="00922C2A" w:rsidRDefault="00922C2A" w:rsidP="006F49C9">
            <w:pPr>
              <w:spacing w:before="0" w:after="0"/>
              <w:jc w:val="left"/>
              <w:rPr>
                <w:rFonts w:eastAsia="Aptos Narrow"/>
                <w:b/>
                <w:noProof/>
                <w:color w:val="FFFFFF" w:themeColor="background1"/>
                <w:sz w:val="18"/>
                <w:szCs w:val="18"/>
              </w:rPr>
            </w:pPr>
            <w:r w:rsidRPr="00922C2A">
              <w:rPr>
                <w:b/>
                <w:noProof/>
                <w:color w:val="FFFFFF" w:themeColor="background1"/>
                <w:sz w:val="18"/>
              </w:rPr>
              <w:t>Indicateur</w:t>
            </w:r>
          </w:p>
        </w:tc>
        <w:tc>
          <w:tcPr>
            <w:tcW w:w="2826" w:type="dxa"/>
            <w:tcBorders>
              <w:top w:val="single" w:sz="4" w:space="0" w:color="auto"/>
              <w:left w:val="single" w:sz="4" w:space="0" w:color="auto"/>
              <w:bottom w:val="single" w:sz="4" w:space="0" w:color="auto"/>
              <w:right w:val="single" w:sz="4" w:space="0" w:color="auto"/>
            </w:tcBorders>
            <w:shd w:val="clear" w:color="auto" w:fill="156082"/>
            <w:tcMar>
              <w:top w:w="15" w:type="dxa"/>
              <w:left w:w="15" w:type="dxa"/>
              <w:right w:w="15" w:type="dxa"/>
            </w:tcMar>
            <w:vAlign w:val="bottom"/>
          </w:tcPr>
          <w:p w14:paraId="57164491" w14:textId="77777777" w:rsidR="00922C2A" w:rsidRPr="00922C2A" w:rsidRDefault="00922C2A" w:rsidP="006F49C9">
            <w:pPr>
              <w:spacing w:before="0" w:after="0"/>
              <w:jc w:val="left"/>
              <w:rPr>
                <w:rFonts w:eastAsia="Aptos Narrow"/>
                <w:b/>
                <w:noProof/>
                <w:color w:val="FFFFFF" w:themeColor="background1"/>
                <w:sz w:val="18"/>
                <w:szCs w:val="18"/>
              </w:rPr>
            </w:pPr>
            <w:r w:rsidRPr="00922C2A">
              <w:rPr>
                <w:b/>
                <w:noProof/>
                <w:color w:val="FFFFFF" w:themeColor="background1"/>
                <w:sz w:val="18"/>
              </w:rPr>
              <w:t>Valeur cible et valeur de référence</w:t>
            </w:r>
          </w:p>
        </w:tc>
        <w:tc>
          <w:tcPr>
            <w:tcW w:w="1759" w:type="dxa"/>
            <w:tcBorders>
              <w:top w:val="single" w:sz="4" w:space="0" w:color="auto"/>
              <w:left w:val="single" w:sz="4" w:space="0" w:color="auto"/>
              <w:bottom w:val="single" w:sz="4" w:space="0" w:color="auto"/>
              <w:right w:val="single" w:sz="4" w:space="0" w:color="auto"/>
            </w:tcBorders>
            <w:shd w:val="clear" w:color="auto" w:fill="156082"/>
            <w:tcMar>
              <w:top w:w="15" w:type="dxa"/>
              <w:left w:w="15" w:type="dxa"/>
              <w:right w:w="15" w:type="dxa"/>
            </w:tcMar>
            <w:vAlign w:val="bottom"/>
          </w:tcPr>
          <w:p w14:paraId="0C515BDA" w14:textId="77777777" w:rsidR="00922C2A" w:rsidRPr="00922C2A" w:rsidRDefault="00922C2A" w:rsidP="006F49C9">
            <w:pPr>
              <w:spacing w:before="0" w:after="0"/>
              <w:jc w:val="left"/>
              <w:rPr>
                <w:rFonts w:eastAsia="Aptos Narrow"/>
                <w:b/>
                <w:noProof/>
                <w:color w:val="FFFFFF" w:themeColor="background1"/>
                <w:sz w:val="18"/>
                <w:szCs w:val="18"/>
              </w:rPr>
            </w:pPr>
            <w:r w:rsidRPr="00922C2A">
              <w:rPr>
                <w:b/>
                <w:noProof/>
                <w:color w:val="FFFFFF" w:themeColor="background1"/>
                <w:sz w:val="18"/>
              </w:rPr>
              <w:t>Source et disponibilité des données</w:t>
            </w:r>
          </w:p>
        </w:tc>
      </w:tr>
      <w:tr w:rsidR="00922C2A" w:rsidRPr="00922C2A" w14:paraId="522C04FC" w14:textId="77777777" w:rsidTr="006F49C9">
        <w:trPr>
          <w:trHeight w:val="555"/>
        </w:trPr>
        <w:tc>
          <w:tcPr>
            <w:tcW w:w="10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55A2A84E"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w:t>
            </w:r>
          </w:p>
        </w:tc>
        <w:tc>
          <w:tcPr>
            <w:tcW w:w="34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5C1F9A7E"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 xml:space="preserve">Nombre de médicaments critiques figurant sur la liste de l’Union des médicaments critiques </w:t>
            </w:r>
          </w:p>
        </w:tc>
        <w:tc>
          <w:tcPr>
            <w:tcW w:w="28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4376ABAA"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276 — ce nombre devrait augmenter puis se stabiliser</w:t>
            </w:r>
          </w:p>
        </w:tc>
        <w:tc>
          <w:tcPr>
            <w:tcW w:w="17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3AA47512"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EMA/Liste de l’Union des médicaments critiques déjà disponible</w:t>
            </w:r>
          </w:p>
        </w:tc>
      </w:tr>
      <w:tr w:rsidR="00922C2A" w:rsidRPr="00922C2A" w14:paraId="446ECF41" w14:textId="77777777" w:rsidTr="006F49C9">
        <w:trPr>
          <w:trHeight w:val="555"/>
        </w:trPr>
        <w:tc>
          <w:tcPr>
            <w:tcW w:w="10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7DC82264"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w:t>
            </w:r>
          </w:p>
        </w:tc>
        <w:tc>
          <w:tcPr>
            <w:tcW w:w="34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01DC5749"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Nombre de pénuries critiques portées à la connaissance du groupe de travail PCU pour les médicaments critiques figurant sur la liste de l’Union</w:t>
            </w:r>
          </w:p>
        </w:tc>
        <w:tc>
          <w:tcPr>
            <w:tcW w:w="28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7D0D2FDB"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Le nombre de pénuries de médicaments critiques signalées dépend du taux de notification. Les pénuries de médicaments critiques peuvent être dues à des forces extérieures (telles que l’augmentation de la demande en raison d'une nouvelle pandémie); par conséquent, toute évolution de ce nombre doit être interprétée avec prudence.</w:t>
            </w:r>
          </w:p>
        </w:tc>
        <w:tc>
          <w:tcPr>
            <w:tcW w:w="17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7DF1E86E"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EMA/déjà disponible</w:t>
            </w:r>
          </w:p>
        </w:tc>
      </w:tr>
      <w:tr w:rsidR="00922C2A" w:rsidRPr="00922C2A" w14:paraId="7041ED68" w14:textId="77777777" w:rsidTr="006F49C9">
        <w:trPr>
          <w:trHeight w:val="840"/>
        </w:trPr>
        <w:tc>
          <w:tcPr>
            <w:tcW w:w="10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6A11BDDD"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w:t>
            </w:r>
          </w:p>
        </w:tc>
        <w:tc>
          <w:tcPr>
            <w:tcW w:w="34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45ADAB8A"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Proportion (%) de pénuries critiques portées à la connaissance du groupe de travail PCU correspondant à un médicament critique inscrit sur la liste de l’Union.</w:t>
            </w:r>
          </w:p>
        </w:tc>
        <w:tc>
          <w:tcPr>
            <w:tcW w:w="28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329AA852"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Sur les 63 pénuries critiques de DCI notifiées à l’EMA par des pays de l’UE/EEE en 2024, 29 (environ 45 %) correspondaient aux médicaments critiques figurant sur la liste de l’Union. Cette proportion devrait diminuer.</w:t>
            </w:r>
          </w:p>
        </w:tc>
        <w:tc>
          <w:tcPr>
            <w:tcW w:w="17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72382DCC"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EMA/déjà disponible</w:t>
            </w:r>
          </w:p>
        </w:tc>
      </w:tr>
      <w:tr w:rsidR="00922C2A" w:rsidRPr="00922C2A" w14:paraId="68AE0704" w14:textId="77777777" w:rsidTr="006F49C9">
        <w:trPr>
          <w:trHeight w:val="840"/>
        </w:trPr>
        <w:tc>
          <w:tcPr>
            <w:tcW w:w="10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2C3DAA31"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 xml:space="preserve">Objectif spécifique a) </w:t>
            </w:r>
          </w:p>
        </w:tc>
        <w:tc>
          <w:tcPr>
            <w:tcW w:w="34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54B6D392"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 xml:space="preserve">Nombre de projets stratégiques recensés comme visant à remédier à une vulnérabilité existante dans les chaînes d’approvisionnement en médicaments critiques </w:t>
            </w:r>
          </w:p>
        </w:tc>
        <w:tc>
          <w:tcPr>
            <w:tcW w:w="28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04DF639B"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 xml:space="preserve">0/cible: nombre largement dépendant de la demande </w:t>
            </w:r>
          </w:p>
        </w:tc>
        <w:tc>
          <w:tcPr>
            <w:tcW w:w="17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08FCE370"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Rapports des États membres conformément à l’article 16</w:t>
            </w:r>
          </w:p>
        </w:tc>
      </w:tr>
      <w:tr w:rsidR="00922C2A" w:rsidRPr="00922C2A" w14:paraId="43ED00E0" w14:textId="77777777" w:rsidTr="006F49C9">
        <w:trPr>
          <w:trHeight w:val="840"/>
        </w:trPr>
        <w:tc>
          <w:tcPr>
            <w:tcW w:w="10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775021A8"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Objectif spécifique a)</w:t>
            </w:r>
          </w:p>
        </w:tc>
        <w:tc>
          <w:tcPr>
            <w:tcW w:w="34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582817E0"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Nombre de projets stratégiques pour les médicaments critiques bénéficiant d’un soutien financier national</w:t>
            </w:r>
          </w:p>
        </w:tc>
        <w:tc>
          <w:tcPr>
            <w:tcW w:w="28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1528D14E"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0/cible: nombre largement dépendant de la demande</w:t>
            </w:r>
          </w:p>
        </w:tc>
        <w:tc>
          <w:tcPr>
            <w:tcW w:w="17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59F26A83"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Rapports des États membres conformément à l’article 17</w:t>
            </w:r>
          </w:p>
        </w:tc>
      </w:tr>
      <w:tr w:rsidR="00922C2A" w:rsidRPr="00922C2A" w14:paraId="6949CB93" w14:textId="77777777" w:rsidTr="006F49C9">
        <w:trPr>
          <w:trHeight w:val="870"/>
        </w:trPr>
        <w:tc>
          <w:tcPr>
            <w:tcW w:w="10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764770AE" w14:textId="77777777" w:rsidR="00922C2A" w:rsidRPr="00922C2A" w:rsidRDefault="00922C2A" w:rsidP="006F49C9">
            <w:pPr>
              <w:spacing w:before="0" w:after="0"/>
              <w:jc w:val="left"/>
              <w:rPr>
                <w:rFonts w:eastAsia="Calibri"/>
                <w:noProof/>
                <w:color w:val="000000" w:themeColor="text1"/>
                <w:sz w:val="18"/>
                <w:szCs w:val="18"/>
              </w:rPr>
            </w:pPr>
            <w:r w:rsidRPr="00922C2A">
              <w:rPr>
                <w:noProof/>
                <w:color w:val="000000" w:themeColor="text1"/>
                <w:sz w:val="18"/>
              </w:rPr>
              <w:t>Objectif spécifique a)</w:t>
            </w:r>
          </w:p>
        </w:tc>
        <w:tc>
          <w:tcPr>
            <w:tcW w:w="34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2DBAC537"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Nombre de projets stratégiques pour les médicaments critiques bénéficiant d’un soutien financier de l’Union</w:t>
            </w:r>
          </w:p>
        </w:tc>
        <w:tc>
          <w:tcPr>
            <w:tcW w:w="28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712C8826"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0/cible: nombre largement dépendant de la demande</w:t>
            </w:r>
          </w:p>
        </w:tc>
        <w:tc>
          <w:tcPr>
            <w:tcW w:w="17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54700A59"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 xml:space="preserve"> Rapports des États membres conformément à l’article 17</w:t>
            </w:r>
          </w:p>
        </w:tc>
      </w:tr>
      <w:tr w:rsidR="00922C2A" w:rsidRPr="00922C2A" w14:paraId="2FCCD7F9" w14:textId="77777777" w:rsidTr="006F49C9">
        <w:trPr>
          <w:trHeight w:val="585"/>
        </w:trPr>
        <w:tc>
          <w:tcPr>
            <w:tcW w:w="10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4F13BF09" w14:textId="77777777" w:rsidR="00922C2A" w:rsidRPr="00922C2A" w:rsidRDefault="00922C2A" w:rsidP="006F49C9">
            <w:pPr>
              <w:spacing w:before="0" w:after="0"/>
              <w:jc w:val="left"/>
              <w:rPr>
                <w:rFonts w:eastAsia="Calibri"/>
                <w:noProof/>
                <w:color w:val="000000" w:themeColor="text1"/>
                <w:sz w:val="18"/>
                <w:szCs w:val="18"/>
              </w:rPr>
            </w:pPr>
            <w:r w:rsidRPr="00922C2A">
              <w:rPr>
                <w:noProof/>
                <w:color w:val="000000" w:themeColor="text1"/>
                <w:sz w:val="18"/>
              </w:rPr>
              <w:t>Objectif spécifique a)</w:t>
            </w:r>
          </w:p>
        </w:tc>
        <w:tc>
          <w:tcPr>
            <w:tcW w:w="34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4394A70B"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Nombre de conseils spécifiques dispensés par l’EMA aux promoteurs de projets stratégiques ayant des procédés de fabrication innovants</w:t>
            </w:r>
          </w:p>
        </w:tc>
        <w:tc>
          <w:tcPr>
            <w:tcW w:w="28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38D9249E"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0/cible: nombre largement dépendant de la demande</w:t>
            </w:r>
          </w:p>
        </w:tc>
        <w:tc>
          <w:tcPr>
            <w:tcW w:w="17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7D5E9025"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EMA</w:t>
            </w:r>
          </w:p>
        </w:tc>
      </w:tr>
      <w:tr w:rsidR="00922C2A" w:rsidRPr="00922C2A" w14:paraId="70255914" w14:textId="77777777" w:rsidTr="006F49C9">
        <w:trPr>
          <w:trHeight w:val="585"/>
        </w:trPr>
        <w:tc>
          <w:tcPr>
            <w:tcW w:w="10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60864119" w14:textId="77777777" w:rsidR="00922C2A" w:rsidRPr="00922C2A" w:rsidRDefault="00922C2A" w:rsidP="006F49C9">
            <w:pPr>
              <w:spacing w:before="0" w:after="0"/>
              <w:jc w:val="left"/>
              <w:rPr>
                <w:rFonts w:eastAsia="Calibri"/>
                <w:noProof/>
                <w:color w:val="000000" w:themeColor="text1"/>
                <w:sz w:val="18"/>
                <w:szCs w:val="18"/>
              </w:rPr>
            </w:pPr>
            <w:r w:rsidRPr="00922C2A">
              <w:rPr>
                <w:noProof/>
                <w:color w:val="000000" w:themeColor="text1"/>
                <w:sz w:val="18"/>
              </w:rPr>
              <w:t>Objectif spécifique b)</w:t>
            </w:r>
          </w:p>
        </w:tc>
        <w:tc>
          <w:tcPr>
            <w:tcW w:w="34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197C4D87"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 xml:space="preserve">Nombre de programmes nationaux établis </w:t>
            </w:r>
          </w:p>
        </w:tc>
        <w:tc>
          <w:tcPr>
            <w:tcW w:w="28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50B6E7AB"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 xml:space="preserve">0/cible: 27 </w:t>
            </w:r>
          </w:p>
        </w:tc>
        <w:tc>
          <w:tcPr>
            <w:tcW w:w="17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13E26ABC"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Rapports des États membres conformément à l’article 19</w:t>
            </w:r>
          </w:p>
        </w:tc>
      </w:tr>
      <w:tr w:rsidR="00922C2A" w:rsidRPr="00922C2A" w14:paraId="169B3092" w14:textId="77777777" w:rsidTr="006F49C9">
        <w:trPr>
          <w:trHeight w:val="585"/>
        </w:trPr>
        <w:tc>
          <w:tcPr>
            <w:tcW w:w="10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63D7499A" w14:textId="77777777" w:rsidR="00922C2A" w:rsidRPr="00922C2A" w:rsidRDefault="00922C2A" w:rsidP="006F49C9">
            <w:pPr>
              <w:spacing w:before="0" w:after="0"/>
              <w:jc w:val="left"/>
              <w:rPr>
                <w:rFonts w:eastAsia="Calibri"/>
                <w:noProof/>
                <w:color w:val="000000" w:themeColor="text1"/>
                <w:sz w:val="18"/>
                <w:szCs w:val="18"/>
              </w:rPr>
            </w:pPr>
            <w:r w:rsidRPr="00922C2A">
              <w:rPr>
                <w:noProof/>
                <w:color w:val="000000" w:themeColor="text1"/>
                <w:sz w:val="18"/>
              </w:rPr>
              <w:t>Objectif spécifique c)</w:t>
            </w:r>
          </w:p>
        </w:tc>
        <w:tc>
          <w:tcPr>
            <w:tcW w:w="34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552F842B"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 xml:space="preserve">Nombre de marchés publics transfrontières, de marchés publics pour le compte ou au nom des États membres, ou de marchés conjoints pour des médicaments critiques et d’autres médicaments d’intérêt commun </w:t>
            </w:r>
          </w:p>
        </w:tc>
        <w:tc>
          <w:tcPr>
            <w:tcW w:w="28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1AEE3CB1"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0/cible: nombre largement dépendant de la demande</w:t>
            </w:r>
          </w:p>
        </w:tc>
        <w:tc>
          <w:tcPr>
            <w:tcW w:w="17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409B0853"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Étant donné que les marchés seront passés par la Commission, les données seront facilement disponibles</w:t>
            </w:r>
          </w:p>
        </w:tc>
      </w:tr>
      <w:tr w:rsidR="00922C2A" w:rsidRPr="00922C2A" w14:paraId="5CCCCDEE" w14:textId="77777777" w:rsidTr="006F49C9">
        <w:trPr>
          <w:trHeight w:val="840"/>
        </w:trPr>
        <w:tc>
          <w:tcPr>
            <w:tcW w:w="10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5AA31167"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 xml:space="preserve">Objectif spécifique c) </w:t>
            </w:r>
          </w:p>
        </w:tc>
        <w:tc>
          <w:tcPr>
            <w:tcW w:w="34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3CDF7762"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Nombre de pays bénéficiant de marchés publics transfrontières, de marchés publics pour le compte ou au nom des États membres, ou de marchés conjoints pour des médicaments critiques et d’autres médicaments d’intérêt commun</w:t>
            </w:r>
          </w:p>
        </w:tc>
        <w:tc>
          <w:tcPr>
            <w:tcW w:w="28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63F3B1B5"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0/cible: nombre largement dépendant de la demande</w:t>
            </w:r>
          </w:p>
        </w:tc>
        <w:tc>
          <w:tcPr>
            <w:tcW w:w="17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16F5550F" w14:textId="77777777" w:rsidR="00922C2A" w:rsidRPr="00922C2A" w:rsidRDefault="00922C2A" w:rsidP="006F49C9">
            <w:pPr>
              <w:spacing w:before="0" w:after="0"/>
              <w:jc w:val="left"/>
              <w:rPr>
                <w:rFonts w:eastAsia="Aptos Narrow"/>
                <w:noProof/>
                <w:color w:val="000000" w:themeColor="text1"/>
                <w:sz w:val="18"/>
                <w:szCs w:val="18"/>
              </w:rPr>
            </w:pPr>
            <w:r w:rsidRPr="00922C2A">
              <w:rPr>
                <w:noProof/>
                <w:color w:val="000000" w:themeColor="text1"/>
                <w:sz w:val="18"/>
              </w:rPr>
              <w:t xml:space="preserve">Étant donné que les marchés seront passés par la Commission, les données seront facilement disponibles </w:t>
            </w:r>
          </w:p>
        </w:tc>
      </w:tr>
    </w:tbl>
    <w:p w14:paraId="3805071E" w14:textId="77777777" w:rsidR="00922C2A" w:rsidRPr="00922C2A" w:rsidRDefault="00922C2A" w:rsidP="00922C2A">
      <w:pPr>
        <w:pStyle w:val="Text1"/>
        <w:rPr>
          <w:i/>
          <w:noProof/>
          <w:sz w:val="20"/>
        </w:rPr>
      </w:pPr>
    </w:p>
    <w:p w14:paraId="33EED3B4" w14:textId="77777777" w:rsidR="00922C2A" w:rsidRPr="00922C2A" w:rsidRDefault="00922C2A" w:rsidP="00922C2A">
      <w:pPr>
        <w:pStyle w:val="ManualHeading2"/>
        <w:rPr>
          <w:noProof/>
        </w:rPr>
      </w:pPr>
      <w:bookmarkStart w:id="52" w:name="_Toc177549000"/>
      <w:r w:rsidRPr="00922C2A">
        <w:rPr>
          <w:noProof/>
        </w:rPr>
        <w:t>1.4.</w:t>
      </w:r>
      <w:r w:rsidRPr="00922C2A">
        <w:rPr>
          <w:noProof/>
        </w:rPr>
        <w:tab/>
        <w:t>La proposition/l’initiative porte sur:</w:t>
      </w:r>
      <w:bookmarkEnd w:id="52"/>
      <w:r w:rsidRPr="00922C2A">
        <w:rPr>
          <w:noProof/>
        </w:rPr>
        <w:t xml:space="preserve"> </w:t>
      </w:r>
    </w:p>
    <w:p w14:paraId="6C3C7701" w14:textId="77777777" w:rsidR="00922C2A" w:rsidRPr="00922C2A" w:rsidRDefault="00922C2A" w:rsidP="00922C2A">
      <w:pPr>
        <w:pStyle w:val="Text1"/>
        <w:rPr>
          <w:noProof/>
          <w:sz w:val="22"/>
        </w:rPr>
      </w:pPr>
      <w:r w:rsidRPr="00922C2A">
        <w:rPr>
          <w:rFonts w:ascii="Wingdings" w:hAnsi="Wingdings"/>
          <w:noProof/>
          <w:sz w:val="22"/>
        </w:rPr>
        <w:t></w:t>
      </w:r>
      <w:r w:rsidRPr="00922C2A">
        <w:rPr>
          <w:i/>
          <w:noProof/>
          <w:sz w:val="22"/>
        </w:rPr>
        <w:t xml:space="preserve"> </w:t>
      </w:r>
      <w:r w:rsidRPr="00922C2A">
        <w:rPr>
          <w:noProof/>
        </w:rPr>
        <w:t>une action nouvelle</w:t>
      </w:r>
      <w:r w:rsidRPr="00922C2A">
        <w:rPr>
          <w:noProof/>
          <w:sz w:val="22"/>
        </w:rPr>
        <w:t xml:space="preserve"> </w:t>
      </w:r>
    </w:p>
    <w:p w14:paraId="66AE60AA" w14:textId="77777777" w:rsidR="00922C2A" w:rsidRPr="00922C2A" w:rsidRDefault="00922C2A" w:rsidP="00922C2A">
      <w:pPr>
        <w:pStyle w:val="Text1"/>
        <w:rPr>
          <w:noProof/>
          <w:sz w:val="22"/>
        </w:rPr>
      </w:pPr>
      <w:r w:rsidRPr="00922C2A">
        <w:rPr>
          <w:rFonts w:ascii="Wingdings" w:hAnsi="Wingdings"/>
          <w:noProof/>
          <w:sz w:val="22"/>
        </w:rPr>
        <w:t></w:t>
      </w:r>
      <w:r w:rsidRPr="00922C2A">
        <w:rPr>
          <w:i/>
          <w:noProof/>
          <w:sz w:val="22"/>
        </w:rPr>
        <w:t xml:space="preserve"> </w:t>
      </w:r>
      <w:r w:rsidRPr="00922C2A">
        <w:rPr>
          <w:noProof/>
        </w:rPr>
        <w:t>une action nouvelle suite à un projet pilote/une action préparatoire</w:t>
      </w:r>
      <w:r w:rsidRPr="00922C2A">
        <w:rPr>
          <w:rStyle w:val="FootnoteReference"/>
          <w:noProof/>
        </w:rPr>
        <w:footnoteReference w:id="97"/>
      </w:r>
      <w:r w:rsidRPr="00922C2A">
        <w:rPr>
          <w:noProof/>
          <w:sz w:val="22"/>
        </w:rPr>
        <w:t xml:space="preserve"> </w:t>
      </w:r>
    </w:p>
    <w:p w14:paraId="4ABF4AF9" w14:textId="77777777" w:rsidR="00922C2A" w:rsidRPr="00922C2A" w:rsidRDefault="00922C2A" w:rsidP="00922C2A">
      <w:pPr>
        <w:pStyle w:val="Text1"/>
        <w:rPr>
          <w:noProof/>
          <w:sz w:val="22"/>
        </w:rPr>
      </w:pPr>
      <w:r w:rsidRPr="00922C2A">
        <w:rPr>
          <w:rFonts w:ascii="Wingdings" w:hAnsi="Wingdings"/>
          <w:noProof/>
          <w:sz w:val="22"/>
        </w:rPr>
        <w:t></w:t>
      </w:r>
      <w:r w:rsidRPr="00922C2A">
        <w:rPr>
          <w:i/>
          <w:noProof/>
          <w:sz w:val="22"/>
        </w:rPr>
        <w:t xml:space="preserve"> </w:t>
      </w:r>
      <w:r w:rsidRPr="00922C2A">
        <w:rPr>
          <w:noProof/>
        </w:rPr>
        <w:t>la prolongation d’une action existante</w:t>
      </w:r>
      <w:r w:rsidRPr="00922C2A">
        <w:rPr>
          <w:noProof/>
          <w:sz w:val="22"/>
        </w:rPr>
        <w:t xml:space="preserve"> </w:t>
      </w:r>
    </w:p>
    <w:p w14:paraId="27AC1DE8" w14:textId="77777777" w:rsidR="00922C2A" w:rsidRPr="00922C2A" w:rsidRDefault="00922C2A" w:rsidP="00922C2A">
      <w:pPr>
        <w:pStyle w:val="Text1"/>
        <w:rPr>
          <w:noProof/>
        </w:rPr>
      </w:pPr>
      <w:r w:rsidRPr="00922C2A">
        <w:rPr>
          <w:rFonts w:ascii="Wingdings" w:hAnsi="Wingdings"/>
          <w:noProof/>
          <w:sz w:val="22"/>
        </w:rPr>
        <w:t></w:t>
      </w:r>
      <w:r w:rsidRPr="00922C2A">
        <w:rPr>
          <w:i/>
          <w:noProof/>
          <w:sz w:val="22"/>
        </w:rPr>
        <w:t xml:space="preserve"> </w:t>
      </w:r>
      <w:r w:rsidRPr="00922C2A">
        <w:rPr>
          <w:noProof/>
        </w:rPr>
        <w:t>une fusion ou une réorientation d’une ou de plusieurs actions vers une autre action/une action nouvelle</w:t>
      </w:r>
    </w:p>
    <w:p w14:paraId="110412E5" w14:textId="77777777" w:rsidR="00922C2A" w:rsidRPr="00922C2A" w:rsidRDefault="00922C2A" w:rsidP="00922C2A">
      <w:pPr>
        <w:pStyle w:val="ManualHeading2"/>
        <w:rPr>
          <w:bCs/>
          <w:noProof/>
          <w:szCs w:val="24"/>
        </w:rPr>
      </w:pPr>
      <w:bookmarkStart w:id="53" w:name="_Toc514938025"/>
      <w:bookmarkStart w:id="54" w:name="_Toc520485034"/>
      <w:bookmarkStart w:id="55" w:name="_Toc160804576"/>
      <w:bookmarkStart w:id="56" w:name="_Toc167220268"/>
      <w:bookmarkStart w:id="57" w:name="_Toc177549001"/>
      <w:r w:rsidRPr="00922C2A">
        <w:rPr>
          <w:noProof/>
        </w:rPr>
        <w:t>1.5.</w:t>
      </w:r>
      <w:r w:rsidRPr="00922C2A">
        <w:rPr>
          <w:noProof/>
        </w:rPr>
        <w:tab/>
        <w:t>Justification(s) de la proposition/de l’initiative</w:t>
      </w:r>
      <w:bookmarkEnd w:id="53"/>
      <w:bookmarkEnd w:id="54"/>
      <w:bookmarkEnd w:id="55"/>
      <w:bookmarkEnd w:id="56"/>
      <w:bookmarkEnd w:id="57"/>
      <w:r w:rsidRPr="00922C2A">
        <w:rPr>
          <w:noProof/>
        </w:rPr>
        <w:t xml:space="preserve"> </w:t>
      </w:r>
    </w:p>
    <w:p w14:paraId="645584DA" w14:textId="77777777" w:rsidR="00922C2A" w:rsidRPr="00922C2A" w:rsidRDefault="00922C2A" w:rsidP="00922C2A">
      <w:pPr>
        <w:pStyle w:val="ManualHeading3"/>
        <w:rPr>
          <w:noProof/>
        </w:rPr>
      </w:pPr>
      <w:bookmarkStart w:id="58" w:name="_Toc514938026"/>
      <w:bookmarkStart w:id="59" w:name="_Toc520485035"/>
      <w:bookmarkStart w:id="60" w:name="_Toc160804577"/>
      <w:bookmarkStart w:id="61" w:name="_Toc167220269"/>
      <w:bookmarkStart w:id="62" w:name="_Toc177549002"/>
      <w:r w:rsidRPr="00922C2A">
        <w:rPr>
          <w:noProof/>
        </w:rPr>
        <w:t>1.5.1.</w:t>
      </w:r>
      <w:r w:rsidRPr="00922C2A">
        <w:rPr>
          <w:noProof/>
        </w:rPr>
        <w:tab/>
        <w:t>Besoin(s) à satisfaire à court ou à long terme, assorti(s) d’un calendrier détaillé pour la mise en œuvre de l’initiative</w:t>
      </w:r>
      <w:bookmarkEnd w:id="58"/>
      <w:bookmarkEnd w:id="59"/>
      <w:bookmarkEnd w:id="60"/>
      <w:bookmarkEnd w:id="61"/>
      <w:bookmarkEnd w:id="62"/>
    </w:p>
    <w:p w14:paraId="3FD678BC"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 xml:space="preserve">L’adoption est prévue pour le quatrième trimestre 2025 et la mise en œuvre débutera en 2026. </w:t>
      </w:r>
    </w:p>
    <w:p w14:paraId="21E2A076" w14:textId="77777777" w:rsidR="00922C2A" w:rsidRPr="00922C2A" w:rsidRDefault="00922C2A" w:rsidP="00922C2A">
      <w:pPr>
        <w:pStyle w:val="ManualHeading3"/>
        <w:rPr>
          <w:bCs/>
          <w:noProof/>
          <w:szCs w:val="24"/>
        </w:rPr>
      </w:pPr>
      <w:bookmarkStart w:id="63" w:name="_Toc514938029"/>
      <w:bookmarkStart w:id="64" w:name="_Toc520485036"/>
      <w:bookmarkStart w:id="65" w:name="_Toc160804578"/>
      <w:bookmarkStart w:id="66" w:name="_Toc167220270"/>
      <w:bookmarkStart w:id="67" w:name="_Toc177549003"/>
      <w:r w:rsidRPr="00922C2A">
        <w:rPr>
          <w:noProof/>
        </w:rPr>
        <w:t>1.5.2.</w:t>
      </w:r>
      <w:r w:rsidRPr="00922C2A">
        <w:rPr>
          <w:noProof/>
        </w:rPr>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bookmarkEnd w:id="63"/>
      <w:bookmarkEnd w:id="64"/>
      <w:bookmarkEnd w:id="65"/>
      <w:bookmarkEnd w:id="66"/>
      <w:bookmarkEnd w:id="67"/>
    </w:p>
    <w:p w14:paraId="0E329262"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Ces dix dernières années, tous les États membres de l’UE ont été touchés par des pénuries de médicaments. Si chaque État membre peut améliorer son propre approvisionnement pour certains médicaments, ces efforts sont fragmentés et ne suffisent pas à résoudre les problèmes plus larges de la chaîne d’approvisionnement transfrontière, notamment pour ce qui concerne la dépendance à l’égard de certains pays tiers. Pour remédier à ces problèmes et assurer un approvisionnement sûr et fiable en médicaments critiques, il est nécessaire que tous les États membres œuvrent de concert dans le cadre du présent acte proposé.</w:t>
      </w:r>
      <w:r w:rsidRPr="00922C2A">
        <w:rPr>
          <w:rFonts w:ascii="Segoe UI" w:hAnsi="Segoe UI"/>
          <w:noProof/>
          <w:sz w:val="18"/>
        </w:rPr>
        <w:t xml:space="preserve"> </w:t>
      </w:r>
      <w:r w:rsidRPr="00922C2A">
        <w:rPr>
          <w:noProof/>
        </w:rPr>
        <w:t xml:space="preserve">Par ailleurs, des problèmes d’accès peuvent également exister pour d’autres médicaments d’intérêt commun, touchant de manière disproportionnée certains États membres, tels que ceux dont le marché est de plus petite taille. Afin d’améliorer la disponibilité de ces médicaments et l’accès à ces derniers, le présent acte propose donc des mesures visant à tirer parti de la demande agrégée des États membres intéressés au moyen de procédures de passation collaborative de marchés. </w:t>
      </w:r>
    </w:p>
    <w:p w14:paraId="45265FF7" w14:textId="77777777" w:rsidR="00922C2A" w:rsidRPr="00922C2A" w:rsidRDefault="00922C2A" w:rsidP="00922C2A">
      <w:pPr>
        <w:pStyle w:val="ManualHeading3"/>
        <w:rPr>
          <w:noProof/>
        </w:rPr>
      </w:pPr>
      <w:bookmarkStart w:id="68" w:name="_Toc514938030"/>
      <w:bookmarkStart w:id="69" w:name="_Toc520485037"/>
      <w:bookmarkStart w:id="70" w:name="_Toc160804579"/>
      <w:bookmarkStart w:id="71" w:name="_Toc167220271"/>
      <w:bookmarkStart w:id="72" w:name="_Toc177549004"/>
      <w:r w:rsidRPr="00922C2A">
        <w:rPr>
          <w:noProof/>
        </w:rPr>
        <w:t>1.5.3.</w:t>
      </w:r>
      <w:r w:rsidRPr="00922C2A">
        <w:rPr>
          <w:noProof/>
        </w:rPr>
        <w:tab/>
        <w:t>Leçons tirées d’expériences similaires</w:t>
      </w:r>
      <w:bookmarkEnd w:id="68"/>
      <w:bookmarkEnd w:id="69"/>
      <w:bookmarkEnd w:id="70"/>
      <w:bookmarkEnd w:id="71"/>
      <w:bookmarkEnd w:id="72"/>
    </w:p>
    <w:p w14:paraId="6C3C6091"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ind w:left="851"/>
        <w:rPr>
          <w:noProof/>
        </w:rPr>
      </w:pPr>
      <w:r w:rsidRPr="00922C2A">
        <w:rPr>
          <w:noProof/>
        </w:rPr>
        <w:t>La liste de l’Union des médicaments critiques, établie en collaboration par les États membres, l’Agence européenne des médicaments et la Commission européenne, recense les médicaments essentiels pour traiter des affections graves pour lesquels peu de solutions de remplacement existent. Initialement publiée en décembre 2023 et mise à jour un an plus tard, elle comprend 276 substances actives. L’analyse, par la Commission, des vulnérabilités de la chaîne d’approvisionnement pour onze médicaments représentatifs a révélé la dépendance à l’égard de fournisseurs de pays tiers ainsi que des risques de concentration du marché, soulignant la nécessité d’interventions stratégiques pour renforcer la résilience grâce à des sources d’approvisionnement diversifiées, à des capacités de production flexibles et à une gestion rigoureuse des risques.</w:t>
      </w:r>
      <w:r w:rsidRPr="00922C2A">
        <w:rPr>
          <w:rFonts w:ascii="Segoe UI" w:hAnsi="Segoe UI"/>
          <w:noProof/>
          <w:sz w:val="18"/>
        </w:rPr>
        <w:t xml:space="preserve"> </w:t>
      </w:r>
    </w:p>
    <w:p w14:paraId="635192B6"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ind w:left="851"/>
        <w:rPr>
          <w:noProof/>
        </w:rPr>
      </w:pPr>
      <w:r w:rsidRPr="00922C2A">
        <w:rPr>
          <w:noProof/>
        </w:rPr>
        <w:t>Certains États membres ont participé à des marchés publics transfrontières, conformément à la directive sur les marchés publics. S’il a été jugé utile de rendre les petits marchés attrayants pour les fournisseurs et, partant, d’améliorer la disponibilité des médicaments, sa mise en œuvre nécessite beaucoup de temps et de ressources, en particulier dans la phase de démarrage, ce qui est considéré comme un facteur limitatif. Les avantages potentiels de l’agrégation de la demande de plusieurs États membres dans le cadre d’une procédure de passation de marché unique sont également illustrés par les expériences liées à la mise en œuvre de la passation conjointe de marchés de contre-mesures médicales et de vaccins contre la COVID</w:t>
      </w:r>
      <w:r w:rsidRPr="00922C2A">
        <w:rPr>
          <w:noProof/>
        </w:rPr>
        <w:noBreakHyphen/>
        <w:t xml:space="preserve">19. </w:t>
      </w:r>
    </w:p>
    <w:p w14:paraId="4B7629A8" w14:textId="77777777" w:rsidR="00922C2A" w:rsidRPr="00922C2A" w:rsidRDefault="00922C2A" w:rsidP="00922C2A">
      <w:pPr>
        <w:pStyle w:val="ManualHeading3"/>
        <w:rPr>
          <w:noProof/>
        </w:rPr>
      </w:pPr>
      <w:bookmarkStart w:id="73" w:name="_Toc514938033"/>
      <w:bookmarkStart w:id="74" w:name="_Toc520485038"/>
      <w:bookmarkStart w:id="75" w:name="_Toc160804580"/>
      <w:bookmarkStart w:id="76" w:name="_Toc167220272"/>
      <w:bookmarkStart w:id="77" w:name="_Toc177549005"/>
      <w:r w:rsidRPr="00922C2A">
        <w:rPr>
          <w:noProof/>
        </w:rPr>
        <w:t>1.5.4.</w:t>
      </w:r>
      <w:r w:rsidRPr="00922C2A">
        <w:rPr>
          <w:noProof/>
        </w:rPr>
        <w:tab/>
        <w:t>Compatibilité avec le cadre financier pluriannuel et synergies éventuelles avec d’autres instruments appropriés</w:t>
      </w:r>
      <w:bookmarkEnd w:id="73"/>
      <w:bookmarkEnd w:id="74"/>
      <w:bookmarkEnd w:id="75"/>
      <w:bookmarkEnd w:id="76"/>
      <w:bookmarkEnd w:id="77"/>
    </w:p>
    <w:p w14:paraId="0F28EE32"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Pour la durée du cadre financier pluriannuel 2021-2027, les projets stratégiques peuvent être soutenus par un financement de l’Union, y compris, mais pas exclusivement, le programme «L’UE pour la santé», Horizon Europe et le programme pour une Europe numérique, conformément aux objectifs énoncés dans le règlement établissant ces programmes. Les autorités chargées des programmes de l’Union couverts par le règlement STEP devraient en particulier envisager de soutenir des projets stratégiques visant à remédier aux vulnérabilités de la chaîne d’approvisionnement en médicaments critiques. Ces projets devraient être considérés comme contribuant aux objectifs de STEP.</w:t>
      </w:r>
    </w:p>
    <w:p w14:paraId="3046B7AD" w14:textId="77777777" w:rsidR="00922C2A" w:rsidRPr="00922C2A" w:rsidRDefault="00922C2A" w:rsidP="00922C2A">
      <w:pPr>
        <w:pStyle w:val="ManualHeading3"/>
        <w:rPr>
          <w:noProof/>
        </w:rPr>
      </w:pPr>
      <w:bookmarkStart w:id="78" w:name="_Toc514938036"/>
      <w:bookmarkStart w:id="79" w:name="_Toc520485039"/>
      <w:bookmarkStart w:id="80" w:name="_Toc160804581"/>
      <w:bookmarkStart w:id="81" w:name="_Toc167220273"/>
      <w:bookmarkStart w:id="82" w:name="_Toc177549006"/>
      <w:r w:rsidRPr="00922C2A">
        <w:rPr>
          <w:noProof/>
        </w:rPr>
        <w:t>1.5.5.</w:t>
      </w:r>
      <w:r w:rsidRPr="00922C2A">
        <w:rPr>
          <w:noProof/>
        </w:rPr>
        <w:tab/>
        <w:t>Évaluation des différentes possibilités de financement disponibles, y compris des possibilités de redéploiement</w:t>
      </w:r>
      <w:bookmarkEnd w:id="78"/>
      <w:bookmarkEnd w:id="79"/>
      <w:bookmarkEnd w:id="80"/>
      <w:bookmarkEnd w:id="81"/>
      <w:bookmarkEnd w:id="82"/>
    </w:p>
    <w:p w14:paraId="24013494"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s.o.</w:t>
      </w:r>
    </w:p>
    <w:p w14:paraId="5D4AC53D" w14:textId="77777777" w:rsidR="00922C2A" w:rsidRPr="00922C2A" w:rsidRDefault="00922C2A" w:rsidP="00922C2A">
      <w:pPr>
        <w:pStyle w:val="ManualHeading2"/>
        <w:rPr>
          <w:bCs/>
          <w:noProof/>
          <w:szCs w:val="24"/>
        </w:rPr>
      </w:pPr>
      <w:r w:rsidRPr="00922C2A">
        <w:rPr>
          <w:noProof/>
        </w:rPr>
        <w:br w:type="page"/>
      </w:r>
      <w:bookmarkStart w:id="83" w:name="_Toc514938039"/>
      <w:bookmarkStart w:id="84" w:name="_Toc520485040"/>
      <w:bookmarkStart w:id="85" w:name="_Toc160804582"/>
      <w:bookmarkStart w:id="86" w:name="_Toc167220274"/>
      <w:bookmarkStart w:id="87" w:name="_Toc177549007"/>
      <w:r w:rsidRPr="00922C2A">
        <w:rPr>
          <w:noProof/>
        </w:rPr>
        <w:t>1.6.</w:t>
      </w:r>
      <w:r w:rsidRPr="00922C2A">
        <w:rPr>
          <w:noProof/>
        </w:rPr>
        <w:tab/>
        <w:t>Durée de la proposition/de l’initiative</w:t>
      </w:r>
      <w:bookmarkEnd w:id="83"/>
      <w:bookmarkEnd w:id="84"/>
      <w:r w:rsidRPr="00922C2A">
        <w:rPr>
          <w:noProof/>
        </w:rPr>
        <w:t xml:space="preserve"> et de son incidence financière</w:t>
      </w:r>
      <w:bookmarkEnd w:id="85"/>
      <w:bookmarkEnd w:id="86"/>
      <w:bookmarkEnd w:id="87"/>
    </w:p>
    <w:p w14:paraId="187DAD33" w14:textId="77777777" w:rsidR="00922C2A" w:rsidRPr="00922C2A" w:rsidRDefault="00922C2A" w:rsidP="00922C2A">
      <w:pPr>
        <w:pStyle w:val="Text1"/>
        <w:rPr>
          <w:noProof/>
        </w:rPr>
      </w:pPr>
      <w:r w:rsidRPr="00922C2A">
        <w:rPr>
          <w:rFonts w:ascii="Wingdings" w:hAnsi="Wingdings"/>
          <w:noProof/>
        </w:rPr>
        <w:t></w:t>
      </w:r>
      <w:r w:rsidRPr="00922C2A">
        <w:rPr>
          <w:b/>
          <w:i/>
          <w:noProof/>
        </w:rPr>
        <w:t xml:space="preserve"> </w:t>
      </w:r>
      <w:r w:rsidRPr="00922C2A">
        <w:rPr>
          <w:b/>
          <w:noProof/>
        </w:rPr>
        <w:t xml:space="preserve">durée limitée </w:t>
      </w:r>
    </w:p>
    <w:p w14:paraId="286A308E" w14:textId="77777777" w:rsidR="00922C2A" w:rsidRPr="00922C2A" w:rsidRDefault="00922C2A" w:rsidP="00922C2A">
      <w:pPr>
        <w:pStyle w:val="ListDash2"/>
        <w:rPr>
          <w:noProof/>
        </w:rPr>
      </w:pPr>
      <w:r w:rsidRPr="00922C2A">
        <w:rPr>
          <w:rFonts w:ascii="Wingdings" w:hAnsi="Wingdings"/>
          <w:noProof/>
        </w:rPr>
        <w:t></w:t>
      </w:r>
      <w:r w:rsidRPr="00922C2A">
        <w:rPr>
          <w:noProof/>
        </w:rPr>
        <w:tab/>
        <w:t xml:space="preserve">en vigueur à partir de/du [JJ/MM]AAAA jusqu’en/au [JJ/MM]AAAA </w:t>
      </w:r>
    </w:p>
    <w:p w14:paraId="0CD585D1" w14:textId="77777777" w:rsidR="00922C2A" w:rsidRPr="00922C2A" w:rsidRDefault="00922C2A" w:rsidP="00922C2A">
      <w:pPr>
        <w:pStyle w:val="ListDash2"/>
        <w:rPr>
          <w:noProof/>
        </w:rPr>
      </w:pPr>
      <w:r w:rsidRPr="00922C2A">
        <w:rPr>
          <w:rFonts w:ascii="Wingdings" w:hAnsi="Wingdings"/>
          <w:noProof/>
        </w:rPr>
        <w:t></w:t>
      </w:r>
      <w:r w:rsidRPr="00922C2A">
        <w:rPr>
          <w:noProof/>
        </w:rPr>
        <w:tab/>
        <w:t xml:space="preserve">incidence financière de AAAA jusqu’en AAAA pour les crédits d’engagement et de AAAA jusqu’en AAAA pour les crédits de paiement. </w:t>
      </w:r>
    </w:p>
    <w:p w14:paraId="767B4850" w14:textId="77777777" w:rsidR="00922C2A" w:rsidRPr="00922C2A" w:rsidRDefault="00922C2A" w:rsidP="00922C2A">
      <w:pPr>
        <w:pStyle w:val="Text1"/>
        <w:rPr>
          <w:noProof/>
        </w:rPr>
      </w:pPr>
      <w:r w:rsidRPr="00922C2A">
        <w:rPr>
          <w:rFonts w:ascii="Wingdings" w:hAnsi="Wingdings"/>
          <w:noProof/>
        </w:rPr>
        <w:t></w:t>
      </w:r>
      <w:r w:rsidRPr="00922C2A">
        <w:rPr>
          <w:b/>
          <w:i/>
          <w:noProof/>
        </w:rPr>
        <w:t xml:space="preserve"> </w:t>
      </w:r>
      <w:r w:rsidRPr="00922C2A">
        <w:rPr>
          <w:b/>
          <w:noProof/>
        </w:rPr>
        <w:t>durée illimitée</w:t>
      </w:r>
    </w:p>
    <w:p w14:paraId="72921766" w14:textId="77777777" w:rsidR="00922C2A" w:rsidRPr="00922C2A" w:rsidRDefault="00922C2A" w:rsidP="00922C2A">
      <w:pPr>
        <w:pStyle w:val="ListDash1"/>
        <w:rPr>
          <w:noProof/>
        </w:rPr>
      </w:pPr>
      <w:r w:rsidRPr="00922C2A">
        <w:rPr>
          <w:noProof/>
        </w:rPr>
        <w:t>mise en œuvre avec une période de montée en puissance de 2026 jusqu’en 2027,</w:t>
      </w:r>
    </w:p>
    <w:p w14:paraId="6998AB73" w14:textId="77777777" w:rsidR="00922C2A" w:rsidRPr="00922C2A" w:rsidRDefault="00922C2A" w:rsidP="00922C2A">
      <w:pPr>
        <w:pStyle w:val="ListDash1"/>
        <w:rPr>
          <w:noProof/>
        </w:rPr>
      </w:pPr>
      <w:r w:rsidRPr="00922C2A">
        <w:rPr>
          <w:noProof/>
        </w:rPr>
        <w:t>puis un fonctionnement en rythme de croisière à partir de 2027.</w:t>
      </w:r>
    </w:p>
    <w:p w14:paraId="20F63D4F" w14:textId="77777777" w:rsidR="00922C2A" w:rsidRPr="00922C2A" w:rsidRDefault="00922C2A" w:rsidP="00922C2A">
      <w:pPr>
        <w:pStyle w:val="ManualHeading2"/>
        <w:rPr>
          <w:bCs/>
          <w:noProof/>
          <w:szCs w:val="24"/>
        </w:rPr>
      </w:pPr>
      <w:bookmarkStart w:id="88" w:name="_Toc514938040"/>
      <w:bookmarkStart w:id="89" w:name="_Toc520485041"/>
      <w:bookmarkStart w:id="90" w:name="_Toc160804583"/>
      <w:bookmarkStart w:id="91" w:name="_Toc167220275"/>
      <w:bookmarkStart w:id="92" w:name="_Toc177549008"/>
      <w:r w:rsidRPr="00922C2A">
        <w:rPr>
          <w:noProof/>
        </w:rPr>
        <w:t>1.7.</w:t>
      </w:r>
      <w:r w:rsidRPr="00922C2A">
        <w:rPr>
          <w:noProof/>
        </w:rPr>
        <w:tab/>
        <w:t>Mode(s) d’exécution budgétaire prévu(s)</w:t>
      </w:r>
      <w:r w:rsidRPr="00922C2A">
        <w:rPr>
          <w:rStyle w:val="FootnoteReference"/>
          <w:noProof/>
        </w:rPr>
        <w:footnoteReference w:id="98"/>
      </w:r>
      <w:r w:rsidRPr="00922C2A">
        <w:rPr>
          <w:rStyle w:val="FootnoteReference"/>
          <w:noProof/>
        </w:rPr>
        <w:t xml:space="preserve"> </w:t>
      </w:r>
      <w:bookmarkEnd w:id="88"/>
      <w:bookmarkEnd w:id="89"/>
      <w:bookmarkEnd w:id="90"/>
      <w:bookmarkEnd w:id="91"/>
      <w:bookmarkEnd w:id="92"/>
      <w:r w:rsidRPr="00922C2A">
        <w:rPr>
          <w:rStyle w:val="FootnoteReference"/>
          <w:noProof/>
        </w:rPr>
        <w:t xml:space="preserve"> </w:t>
      </w:r>
    </w:p>
    <w:p w14:paraId="219AD412" w14:textId="77777777" w:rsidR="00922C2A" w:rsidRPr="00922C2A" w:rsidRDefault="00922C2A" w:rsidP="00922C2A">
      <w:pPr>
        <w:pStyle w:val="Text1"/>
        <w:rPr>
          <w:noProof/>
        </w:rPr>
      </w:pPr>
      <w:r w:rsidRPr="00922C2A">
        <w:rPr>
          <w:rFonts w:ascii="Wingdings" w:hAnsi="Wingdings"/>
          <w:noProof/>
        </w:rPr>
        <w:t></w:t>
      </w:r>
      <w:r w:rsidRPr="00922C2A">
        <w:rPr>
          <w:i/>
          <w:noProof/>
        </w:rPr>
        <w:t xml:space="preserve"> </w:t>
      </w:r>
      <w:r w:rsidRPr="00922C2A">
        <w:rPr>
          <w:b/>
          <w:noProof/>
        </w:rPr>
        <w:t>Gestion directe</w:t>
      </w:r>
      <w:r w:rsidRPr="00922C2A">
        <w:rPr>
          <w:noProof/>
        </w:rPr>
        <w:t xml:space="preserve"> par la Commission</w:t>
      </w:r>
    </w:p>
    <w:p w14:paraId="4BC67E3F" w14:textId="77777777" w:rsidR="00922C2A" w:rsidRPr="00922C2A" w:rsidRDefault="00922C2A" w:rsidP="00922C2A">
      <w:pPr>
        <w:pStyle w:val="ListDash2"/>
        <w:rPr>
          <w:rFonts w:cs="EUAlbertina"/>
          <w:noProof/>
        </w:rPr>
      </w:pPr>
      <w:r w:rsidRPr="00922C2A">
        <w:rPr>
          <w:rFonts w:ascii="Wingdings" w:hAnsi="Wingdings"/>
          <w:noProof/>
        </w:rPr>
        <w:t></w:t>
      </w:r>
      <w:r w:rsidRPr="00922C2A">
        <w:rPr>
          <w:noProof/>
        </w:rPr>
        <w:t xml:space="preserve"> dans ses services, y compris par l’intermédiaire de son personnel dans les délégations de l’Union; </w:t>
      </w:r>
    </w:p>
    <w:p w14:paraId="18E60A36" w14:textId="77777777" w:rsidR="00922C2A" w:rsidRPr="00922C2A" w:rsidRDefault="00922C2A" w:rsidP="00922C2A">
      <w:pPr>
        <w:pStyle w:val="ListDash2"/>
        <w:rPr>
          <w:noProof/>
        </w:rPr>
      </w:pPr>
      <w:r w:rsidRPr="00922C2A">
        <w:rPr>
          <w:rFonts w:ascii="Wingdings" w:hAnsi="Wingdings"/>
          <w:noProof/>
        </w:rPr>
        <w:t></w:t>
      </w:r>
      <w:r w:rsidRPr="00922C2A">
        <w:rPr>
          <w:noProof/>
        </w:rPr>
        <w:tab/>
        <w:t xml:space="preserve">par les agences exécutives </w:t>
      </w:r>
    </w:p>
    <w:p w14:paraId="4C226C7E" w14:textId="77777777" w:rsidR="00922C2A" w:rsidRPr="00922C2A" w:rsidRDefault="00922C2A" w:rsidP="00922C2A">
      <w:pPr>
        <w:pStyle w:val="Text1"/>
        <w:rPr>
          <w:noProof/>
        </w:rPr>
      </w:pPr>
      <w:r w:rsidRPr="00922C2A">
        <w:rPr>
          <w:rFonts w:ascii="Wingdings" w:hAnsi="Wingdings"/>
          <w:noProof/>
        </w:rPr>
        <w:t></w:t>
      </w:r>
      <w:r w:rsidRPr="00922C2A">
        <w:rPr>
          <w:b/>
          <w:i/>
          <w:noProof/>
        </w:rPr>
        <w:t xml:space="preserve"> </w:t>
      </w:r>
      <w:r w:rsidRPr="00922C2A">
        <w:rPr>
          <w:b/>
          <w:noProof/>
        </w:rPr>
        <w:t>Gestion partagée</w:t>
      </w:r>
      <w:r w:rsidRPr="00922C2A">
        <w:rPr>
          <w:noProof/>
        </w:rPr>
        <w:t xml:space="preserve"> avec les États membres </w:t>
      </w:r>
    </w:p>
    <w:p w14:paraId="5FA9046C" w14:textId="77777777" w:rsidR="00922C2A" w:rsidRPr="00922C2A" w:rsidRDefault="00922C2A" w:rsidP="00922C2A">
      <w:pPr>
        <w:pStyle w:val="Text1"/>
        <w:rPr>
          <w:noProof/>
        </w:rPr>
      </w:pPr>
      <w:r w:rsidRPr="00922C2A">
        <w:rPr>
          <w:rFonts w:ascii="Wingdings" w:hAnsi="Wingdings"/>
          <w:noProof/>
        </w:rPr>
        <w:t></w:t>
      </w:r>
      <w:r w:rsidRPr="00922C2A">
        <w:rPr>
          <w:i/>
          <w:noProof/>
        </w:rPr>
        <w:t xml:space="preserve"> </w:t>
      </w:r>
      <w:r w:rsidRPr="00922C2A">
        <w:rPr>
          <w:b/>
          <w:noProof/>
        </w:rPr>
        <w:t>Gestion indirecte</w:t>
      </w:r>
      <w:r w:rsidRPr="00922C2A">
        <w:rPr>
          <w:noProof/>
        </w:rPr>
        <w:t xml:space="preserve"> en confiant des tâches d’exécution budgétaire:</w:t>
      </w:r>
    </w:p>
    <w:p w14:paraId="721B9D97" w14:textId="77777777" w:rsidR="00922C2A" w:rsidRPr="00922C2A" w:rsidRDefault="00922C2A" w:rsidP="00922C2A">
      <w:pPr>
        <w:pStyle w:val="ListDash2"/>
        <w:rPr>
          <w:noProof/>
        </w:rPr>
      </w:pPr>
      <w:r w:rsidRPr="00922C2A">
        <w:rPr>
          <w:rFonts w:ascii="Wingdings" w:hAnsi="Wingdings"/>
          <w:noProof/>
        </w:rPr>
        <w:t></w:t>
      </w:r>
      <w:r w:rsidRPr="00922C2A">
        <w:rPr>
          <w:noProof/>
        </w:rPr>
        <w:t xml:space="preserve"> à des pays tiers ou des organismes qu’ils ont désignés;</w:t>
      </w:r>
    </w:p>
    <w:p w14:paraId="28799B73" w14:textId="77777777" w:rsidR="00922C2A" w:rsidRPr="00922C2A" w:rsidRDefault="00922C2A" w:rsidP="00922C2A">
      <w:pPr>
        <w:pStyle w:val="ListDash2"/>
        <w:rPr>
          <w:noProof/>
        </w:rPr>
      </w:pPr>
      <w:r w:rsidRPr="00922C2A">
        <w:rPr>
          <w:rFonts w:ascii="Wingdings" w:hAnsi="Wingdings"/>
          <w:noProof/>
        </w:rPr>
        <w:t></w:t>
      </w:r>
      <w:r w:rsidRPr="00922C2A">
        <w:rPr>
          <w:noProof/>
        </w:rPr>
        <w:t xml:space="preserve"> à des organisations internationales et à leurs agences (à préciser);</w:t>
      </w:r>
    </w:p>
    <w:p w14:paraId="5C4D4C57" w14:textId="77777777" w:rsidR="00922C2A" w:rsidRPr="00922C2A" w:rsidRDefault="00922C2A" w:rsidP="00922C2A">
      <w:pPr>
        <w:pStyle w:val="ListDash2"/>
        <w:rPr>
          <w:noProof/>
        </w:rPr>
      </w:pPr>
      <w:r w:rsidRPr="00922C2A">
        <w:rPr>
          <w:rFonts w:ascii="Wingdings" w:hAnsi="Wingdings"/>
          <w:noProof/>
        </w:rPr>
        <w:t></w:t>
      </w:r>
      <w:r w:rsidRPr="00922C2A">
        <w:rPr>
          <w:noProof/>
        </w:rPr>
        <w:t xml:space="preserve"> à la Banque européenne d’investissement et au Fonds européen d’investissement;</w:t>
      </w:r>
    </w:p>
    <w:p w14:paraId="1C767CF9" w14:textId="77777777" w:rsidR="00922C2A" w:rsidRPr="00922C2A" w:rsidRDefault="00922C2A" w:rsidP="00922C2A">
      <w:pPr>
        <w:pStyle w:val="ListDash2"/>
        <w:rPr>
          <w:noProof/>
        </w:rPr>
      </w:pPr>
      <w:r w:rsidRPr="00922C2A">
        <w:rPr>
          <w:rFonts w:ascii="Wingdings" w:hAnsi="Wingdings"/>
          <w:noProof/>
        </w:rPr>
        <w:t></w:t>
      </w:r>
      <w:r w:rsidRPr="00922C2A">
        <w:rPr>
          <w:noProof/>
        </w:rPr>
        <w:t xml:space="preserve"> aux organismes visés aux articles 70 et 71 du règlement financier;</w:t>
      </w:r>
    </w:p>
    <w:p w14:paraId="08A52E5B" w14:textId="77777777" w:rsidR="00922C2A" w:rsidRPr="00922C2A" w:rsidRDefault="00922C2A" w:rsidP="00922C2A">
      <w:pPr>
        <w:pStyle w:val="ListDash2"/>
        <w:rPr>
          <w:noProof/>
        </w:rPr>
      </w:pPr>
      <w:r w:rsidRPr="00922C2A">
        <w:rPr>
          <w:rFonts w:ascii="Wingdings" w:hAnsi="Wingdings"/>
          <w:noProof/>
        </w:rPr>
        <w:t></w:t>
      </w:r>
      <w:r w:rsidRPr="00922C2A">
        <w:rPr>
          <w:noProof/>
        </w:rPr>
        <w:t xml:space="preserve"> à des établissements de droit public;</w:t>
      </w:r>
    </w:p>
    <w:p w14:paraId="43F020FD" w14:textId="77777777" w:rsidR="00922C2A" w:rsidRPr="00922C2A" w:rsidRDefault="00922C2A" w:rsidP="00922C2A">
      <w:pPr>
        <w:pStyle w:val="ListDash2"/>
        <w:rPr>
          <w:noProof/>
        </w:rPr>
      </w:pPr>
      <w:r w:rsidRPr="00922C2A">
        <w:rPr>
          <w:rFonts w:ascii="Wingdings" w:hAnsi="Wingdings"/>
          <w:noProof/>
        </w:rPr>
        <w:t></w:t>
      </w:r>
      <w:r w:rsidRPr="00922C2A">
        <w:rPr>
          <w:noProof/>
        </w:rPr>
        <w:t xml:space="preserve"> à des entités de droit privé investies d’une mission de service public, pour autant qu’elles soient dotées de garanties financières suffisantes;</w:t>
      </w:r>
    </w:p>
    <w:p w14:paraId="6E2E7222" w14:textId="77777777" w:rsidR="00922C2A" w:rsidRPr="00922C2A" w:rsidRDefault="00922C2A" w:rsidP="00922C2A">
      <w:pPr>
        <w:pStyle w:val="ListDash2"/>
        <w:rPr>
          <w:noProof/>
        </w:rPr>
      </w:pPr>
      <w:r w:rsidRPr="00922C2A">
        <w:rPr>
          <w:rFonts w:ascii="Wingdings" w:hAnsi="Wingdings"/>
          <w:noProof/>
        </w:rPr>
        <w:t></w:t>
      </w:r>
      <w:r w:rsidRPr="00922C2A">
        <w:rPr>
          <w:noProof/>
        </w:rPr>
        <w:t xml:space="preserve"> à des entités de droit privé d’un État membre qui sont chargées de la mise en œuvre d’un partenariat public-privé et dotées de garanties financières suffisantes;</w:t>
      </w:r>
    </w:p>
    <w:p w14:paraId="06DD7598" w14:textId="77777777" w:rsidR="00922C2A" w:rsidRPr="00922C2A" w:rsidRDefault="00922C2A" w:rsidP="00922C2A">
      <w:pPr>
        <w:pStyle w:val="ListDash2"/>
        <w:rPr>
          <w:noProof/>
        </w:rPr>
      </w:pPr>
      <w:r w:rsidRPr="00922C2A">
        <w:rPr>
          <w:rFonts w:ascii="Wingdings" w:hAnsi="Wingdings"/>
          <w:noProof/>
        </w:rPr>
        <w:t></w:t>
      </w:r>
      <w:r w:rsidRPr="00922C2A">
        <w:rPr>
          <w:noProof/>
        </w:rPr>
        <w:t xml:space="preserve"> à des organismes ou des personnes chargés de l’exécution d’actions spécifiques relevant de la politique étrangère et de sécurité commune, en vertu du titre V du traité sur l’Union européenne, identifiés dans l’acte de base concerné;</w:t>
      </w:r>
    </w:p>
    <w:p w14:paraId="78F509C7" w14:textId="77777777" w:rsidR="00922C2A" w:rsidRPr="00922C2A" w:rsidRDefault="00922C2A" w:rsidP="00922C2A">
      <w:pPr>
        <w:pStyle w:val="ListDash2"/>
        <w:rPr>
          <w:noProof/>
        </w:rPr>
      </w:pPr>
      <w:r w:rsidRPr="00922C2A">
        <w:rPr>
          <w:rFonts w:ascii="Wingdings" w:hAnsi="Wingdings"/>
          <w:noProof/>
        </w:rPr>
        <w:t></w:t>
      </w:r>
      <w:r w:rsidRPr="00922C2A">
        <w:rPr>
          <w:rFonts w:ascii="Wingdings" w:hAnsi="Wingdings"/>
          <w:noProof/>
        </w:rPr>
        <w:t></w:t>
      </w:r>
      <w:r w:rsidRPr="00922C2A">
        <w:rPr>
          <w:noProof/>
        </w:rPr>
        <w:t>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14:paraId="6B851505" w14:textId="77777777" w:rsidR="00922C2A" w:rsidRPr="00922C2A" w:rsidRDefault="00922C2A" w:rsidP="00922C2A">
      <w:pPr>
        <w:rPr>
          <w:noProof/>
        </w:rPr>
      </w:pPr>
      <w:r w:rsidRPr="00922C2A">
        <w:rPr>
          <w:noProof/>
        </w:rPr>
        <w:t xml:space="preserve">Remarques </w:t>
      </w:r>
    </w:p>
    <w:p w14:paraId="6B845939" w14:textId="77777777" w:rsidR="00922C2A" w:rsidRPr="00922C2A" w:rsidRDefault="00922C2A" w:rsidP="00922C2A">
      <w:pPr>
        <w:pStyle w:val="ManualHeading1"/>
        <w:rPr>
          <w:bCs/>
          <w:noProof/>
          <w:szCs w:val="24"/>
        </w:rPr>
      </w:pPr>
      <w:bookmarkStart w:id="93" w:name="_Toc514938041"/>
      <w:bookmarkStart w:id="94" w:name="_Toc520485042"/>
      <w:bookmarkStart w:id="95" w:name="_Toc160804584"/>
      <w:bookmarkStart w:id="96" w:name="_Toc167220276"/>
      <w:bookmarkStart w:id="97" w:name="_Toc177549009"/>
      <w:r w:rsidRPr="00922C2A">
        <w:rPr>
          <w:noProof/>
        </w:rPr>
        <w:t>2.</w:t>
      </w:r>
      <w:r w:rsidRPr="00922C2A">
        <w:rPr>
          <w:noProof/>
        </w:rPr>
        <w:tab/>
        <w:t>MESURES DE GESTION</w:t>
      </w:r>
      <w:bookmarkEnd w:id="93"/>
      <w:bookmarkEnd w:id="94"/>
      <w:bookmarkEnd w:id="95"/>
      <w:bookmarkEnd w:id="96"/>
      <w:bookmarkEnd w:id="97"/>
      <w:r w:rsidRPr="00922C2A">
        <w:rPr>
          <w:noProof/>
        </w:rPr>
        <w:t xml:space="preserve"> </w:t>
      </w:r>
    </w:p>
    <w:p w14:paraId="4F5FDC03" w14:textId="77777777" w:rsidR="00922C2A" w:rsidRPr="00922C2A" w:rsidRDefault="00922C2A" w:rsidP="00922C2A">
      <w:pPr>
        <w:pStyle w:val="ManualHeading2"/>
        <w:rPr>
          <w:noProof/>
        </w:rPr>
      </w:pPr>
      <w:bookmarkStart w:id="98" w:name="_Toc514938042"/>
      <w:bookmarkStart w:id="99" w:name="_Toc520485043"/>
      <w:bookmarkStart w:id="100" w:name="_Toc160804585"/>
      <w:bookmarkStart w:id="101" w:name="_Toc167220277"/>
      <w:bookmarkStart w:id="102" w:name="_Toc177549010"/>
      <w:r w:rsidRPr="00922C2A">
        <w:rPr>
          <w:noProof/>
        </w:rPr>
        <w:t>2.1.</w:t>
      </w:r>
      <w:r w:rsidRPr="00922C2A">
        <w:rPr>
          <w:noProof/>
        </w:rPr>
        <w:tab/>
        <w:t>Dispositions en matière de suivi et de compte rendu</w:t>
      </w:r>
      <w:bookmarkEnd w:id="98"/>
      <w:bookmarkEnd w:id="99"/>
      <w:bookmarkEnd w:id="100"/>
      <w:bookmarkEnd w:id="101"/>
      <w:bookmarkEnd w:id="102"/>
      <w:r w:rsidRPr="00922C2A">
        <w:rPr>
          <w:noProof/>
        </w:rPr>
        <w:t xml:space="preserve"> </w:t>
      </w:r>
    </w:p>
    <w:p w14:paraId="2B88461E" w14:textId="77777777" w:rsidR="00922C2A" w:rsidRPr="00922C2A" w:rsidRDefault="00922C2A" w:rsidP="00922C2A">
      <w:pPr>
        <w:pStyle w:val="Text1"/>
        <w:pBdr>
          <w:top w:val="single" w:sz="4" w:space="1" w:color="auto"/>
          <w:left w:val="single" w:sz="4" w:space="1" w:color="auto"/>
          <w:bottom w:val="single" w:sz="4" w:space="1" w:color="auto"/>
          <w:right w:val="single" w:sz="4" w:space="1" w:color="auto"/>
        </w:pBdr>
        <w:rPr>
          <w:noProof/>
        </w:rPr>
      </w:pPr>
      <w:r w:rsidRPr="00922C2A">
        <w:rPr>
          <w:noProof/>
        </w:rPr>
        <w:t xml:space="preserve">Suivi annuel prévu pour les indicateurs définis </w:t>
      </w:r>
    </w:p>
    <w:p w14:paraId="25F6BD60" w14:textId="77777777" w:rsidR="00922C2A" w:rsidRPr="00922C2A" w:rsidRDefault="00922C2A" w:rsidP="00922C2A">
      <w:pPr>
        <w:pStyle w:val="Text1"/>
        <w:pBdr>
          <w:top w:val="single" w:sz="4" w:space="1" w:color="auto"/>
          <w:left w:val="single" w:sz="4" w:space="1" w:color="auto"/>
          <w:bottom w:val="single" w:sz="4" w:space="1" w:color="auto"/>
          <w:right w:val="single" w:sz="4" w:space="1" w:color="auto"/>
        </w:pBdr>
        <w:rPr>
          <w:noProof/>
        </w:rPr>
      </w:pPr>
      <w:r w:rsidRPr="00922C2A">
        <w:rPr>
          <w:noProof/>
        </w:rPr>
        <w:t>La proposition s’appuie sur les axes de travail existants au sein de la Commission européenne et de l’Agence européenne des médicaments, qui faciliteront le suivi de plusieurs indicateurs. À cette fin, des informations et des données seront disponibles en permanence.</w:t>
      </w:r>
    </w:p>
    <w:p w14:paraId="05CBC280" w14:textId="77777777" w:rsidR="00922C2A" w:rsidRPr="00922C2A" w:rsidRDefault="00922C2A" w:rsidP="00922C2A">
      <w:pPr>
        <w:pStyle w:val="ManualHeading2"/>
        <w:rPr>
          <w:bCs/>
          <w:noProof/>
          <w:szCs w:val="24"/>
        </w:rPr>
      </w:pPr>
      <w:bookmarkStart w:id="103" w:name="_Toc514938045"/>
      <w:bookmarkStart w:id="104" w:name="_Toc520485044"/>
      <w:bookmarkStart w:id="105" w:name="_Toc160804586"/>
      <w:bookmarkStart w:id="106" w:name="_Toc167220278"/>
      <w:bookmarkStart w:id="107" w:name="_Toc177549011"/>
      <w:r w:rsidRPr="00922C2A">
        <w:rPr>
          <w:noProof/>
        </w:rPr>
        <w:t>2.2.</w:t>
      </w:r>
      <w:r w:rsidRPr="00922C2A">
        <w:rPr>
          <w:noProof/>
        </w:rPr>
        <w:tab/>
        <w:t>Système(s) de gestion et de contrôle</w:t>
      </w:r>
      <w:bookmarkEnd w:id="103"/>
      <w:bookmarkEnd w:id="104"/>
      <w:bookmarkEnd w:id="105"/>
      <w:bookmarkEnd w:id="106"/>
      <w:bookmarkEnd w:id="107"/>
      <w:r w:rsidRPr="00922C2A">
        <w:rPr>
          <w:noProof/>
        </w:rPr>
        <w:t xml:space="preserve"> </w:t>
      </w:r>
    </w:p>
    <w:p w14:paraId="74F16BEF" w14:textId="77777777" w:rsidR="00922C2A" w:rsidRPr="00922C2A" w:rsidRDefault="00922C2A" w:rsidP="00922C2A">
      <w:pPr>
        <w:pStyle w:val="ManualHeading3"/>
        <w:rPr>
          <w:noProof/>
        </w:rPr>
      </w:pPr>
      <w:bookmarkStart w:id="108" w:name="_Toc514938046"/>
      <w:bookmarkStart w:id="109" w:name="_Toc520485045"/>
      <w:bookmarkStart w:id="110" w:name="_Toc160804587"/>
      <w:bookmarkStart w:id="111" w:name="_Toc167220279"/>
      <w:bookmarkStart w:id="112" w:name="_Toc177549012"/>
      <w:r w:rsidRPr="00922C2A">
        <w:rPr>
          <w:noProof/>
        </w:rPr>
        <w:t>2.2.1.</w:t>
      </w:r>
      <w:r w:rsidRPr="00922C2A">
        <w:rPr>
          <w:noProof/>
        </w:rPr>
        <w:tab/>
        <w:t>Justification du (des) mode(s) d’exécution budgétaire, du (des) mécanisme(s) de mise en œuvre du financement, des modalités de paiement et de la stratégie de contrôle proposée</w:t>
      </w:r>
      <w:bookmarkEnd w:id="108"/>
      <w:bookmarkEnd w:id="109"/>
      <w:bookmarkEnd w:id="110"/>
      <w:bookmarkEnd w:id="111"/>
      <w:bookmarkEnd w:id="112"/>
    </w:p>
    <w:p w14:paraId="6CC69BF1" w14:textId="77777777" w:rsidR="00922C2A" w:rsidRPr="00922C2A" w:rsidRDefault="00922C2A" w:rsidP="00922C2A">
      <w:pPr>
        <w:pStyle w:val="Text1"/>
        <w:pBdr>
          <w:top w:val="single" w:sz="4" w:space="1" w:color="auto"/>
          <w:left w:val="single" w:sz="4" w:space="1" w:color="auto"/>
          <w:bottom w:val="single" w:sz="4" w:space="1" w:color="auto"/>
          <w:right w:val="single" w:sz="4" w:space="1" w:color="auto"/>
        </w:pBdr>
        <w:rPr>
          <w:noProof/>
        </w:rPr>
      </w:pPr>
      <w:r w:rsidRPr="00922C2A">
        <w:rPr>
          <w:noProof/>
        </w:rPr>
        <w:t xml:space="preserve">Les actions visant à renforcer la disponibilité et la sécurité de l’approvisionnement des médicaments critiques au sein de l’Union et à améliorer la disponibilité et l’accessibilité d’autres médicaments, lorsque le fonctionnement du marché ne garantit pas suffisamment la disponibilité et l’accessibilité de ces médicaments pour les patients, seront mises en œuvre dans le cadre d’une gestion directe, selon les modes de mise en œuvre proposés par le règlement financier, principalement sous la forme de subventions et de marchés publics. La gestion directe permet d’établir des conventions/contrats de subvention avec les bénéficiaires/contractants participant directement à des activités qui servent des politiques de l’Union. La Commission assure un suivi direct des résultats des actions financées. Les modalités de paiement des actions financées seront adaptées aux risques liés aux opérations financières. </w:t>
      </w:r>
    </w:p>
    <w:p w14:paraId="1A5970F4" w14:textId="77777777" w:rsidR="00922C2A" w:rsidRPr="00922C2A" w:rsidRDefault="00922C2A" w:rsidP="00922C2A">
      <w:pPr>
        <w:pStyle w:val="Text1"/>
        <w:pBdr>
          <w:top w:val="single" w:sz="4" w:space="1" w:color="auto"/>
          <w:left w:val="single" w:sz="4" w:space="1" w:color="auto"/>
          <w:bottom w:val="single" w:sz="4" w:space="1" w:color="auto"/>
          <w:right w:val="single" w:sz="4" w:space="1" w:color="auto"/>
        </w:pBdr>
        <w:rPr>
          <w:noProof/>
        </w:rPr>
      </w:pPr>
      <w:r w:rsidRPr="00922C2A">
        <w:rPr>
          <w:noProof/>
        </w:rPr>
        <w:t>Afin de garantir l’efficacité, l’efficience et l’économie des contrôles effectués par la Commission, la stratégie de suivi sera orientée vers un équilibre entre les contrôles ex ante et ex post et se concentrera sur trois étapes clés de la mise en œuvre des subventions et des contrats, conformément au règlement financier:</w:t>
      </w:r>
    </w:p>
    <w:p w14:paraId="744EF29D" w14:textId="77777777" w:rsidR="00922C2A" w:rsidRPr="00922C2A" w:rsidRDefault="00922C2A" w:rsidP="00922C2A">
      <w:pPr>
        <w:pStyle w:val="Tiret1"/>
        <w:numPr>
          <w:ilvl w:val="0"/>
          <w:numId w:val="17"/>
        </w:numPr>
        <w:pBdr>
          <w:top w:val="single" w:sz="4" w:space="1" w:color="auto"/>
          <w:left w:val="single" w:sz="4" w:space="1" w:color="auto"/>
          <w:bottom w:val="single" w:sz="4" w:space="1" w:color="auto"/>
          <w:right w:val="single" w:sz="4" w:space="1" w:color="auto"/>
        </w:pBdr>
        <w:rPr>
          <w:noProof/>
        </w:rPr>
      </w:pPr>
      <w:r w:rsidRPr="00922C2A">
        <w:rPr>
          <w:noProof/>
        </w:rPr>
        <w:t>la sélection des propositions/appels d’offres qui correspondent aux objectifs stratégiques du règlement;</w:t>
      </w:r>
    </w:p>
    <w:p w14:paraId="13BE7729" w14:textId="77777777" w:rsidR="00922C2A" w:rsidRPr="00922C2A" w:rsidRDefault="00922C2A" w:rsidP="00922C2A">
      <w:pPr>
        <w:pStyle w:val="Tiret1"/>
        <w:pBdr>
          <w:top w:val="single" w:sz="4" w:space="1" w:color="auto"/>
          <w:left w:val="single" w:sz="4" w:space="1" w:color="auto"/>
          <w:bottom w:val="single" w:sz="4" w:space="1" w:color="auto"/>
          <w:right w:val="single" w:sz="4" w:space="1" w:color="auto"/>
        </w:pBdr>
        <w:rPr>
          <w:noProof/>
        </w:rPr>
      </w:pPr>
      <w:r w:rsidRPr="00922C2A">
        <w:rPr>
          <w:noProof/>
        </w:rPr>
        <w:t>le suivi opérationnel et les contrôles ex ante portant sur la mise en œuvre des projets, la passation des marchés publics, le préfinancement, les paiements intermédiaires et finaux, la gestion des garanties. Des contrôles ex post sur les sites des bénéficiaires/contractants seront effectués pour un échantillon de transactions. Les transactions seront choisies au moyen d’une évaluation des risques combinée à une sélection aléatoire.</w:t>
      </w:r>
    </w:p>
    <w:p w14:paraId="0CEE18C5" w14:textId="77777777" w:rsidR="00922C2A" w:rsidRPr="00922C2A" w:rsidRDefault="00922C2A" w:rsidP="00922C2A">
      <w:pPr>
        <w:pStyle w:val="ManualHeading3"/>
        <w:rPr>
          <w:bCs/>
          <w:noProof/>
          <w:szCs w:val="24"/>
        </w:rPr>
      </w:pPr>
      <w:bookmarkStart w:id="113" w:name="_Toc514938047"/>
      <w:bookmarkStart w:id="114" w:name="_Toc520485046"/>
      <w:bookmarkStart w:id="115" w:name="_Toc160804588"/>
      <w:bookmarkStart w:id="116" w:name="_Toc167220280"/>
      <w:bookmarkStart w:id="117" w:name="_Toc177549013"/>
      <w:r w:rsidRPr="00922C2A">
        <w:rPr>
          <w:noProof/>
        </w:rPr>
        <w:t>2.2.2.</w:t>
      </w:r>
      <w:r w:rsidRPr="00922C2A">
        <w:rPr>
          <w:noProof/>
        </w:rPr>
        <w:tab/>
        <w:t>Informations sur les risques recensés et sur le(s) système(s) de contrôle interne mis en place pour les atténuer</w:t>
      </w:r>
      <w:bookmarkEnd w:id="113"/>
      <w:bookmarkEnd w:id="114"/>
      <w:bookmarkEnd w:id="115"/>
      <w:bookmarkEnd w:id="116"/>
      <w:bookmarkEnd w:id="117"/>
    </w:p>
    <w:p w14:paraId="2538EBE0"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La proposition sera mise en œuvre au moyen de subventions et de marchés publics, en tenant compte des possibilités de financement facilitées par la plateforme «Technologies stratégiques pour l’Europe» (STEP) et de celles offertes, entre autres, par le programme InvestEU, la facilité pour la reprise et la résilience, Horizon Europe, le programme «L’UE pour la santé», le programme pour une Europe numérique et les programmes relevant de la politique de cohésion, ainsi que par l’instrument d’appui technique. Les subventions et les marchés publics seront principalement attribués et conclus pour soutenir des projets stratégiques, ainsi que pour des activités de soutien aux organisations non gouvernementales et aux autorités compétentes respectives des États membres.</w:t>
      </w:r>
    </w:p>
    <w:p w14:paraId="13BDAD98"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Les principaux risques sont les suivants:</w:t>
      </w:r>
    </w:p>
    <w:p w14:paraId="6EB9630D"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 risque de ne pas atteindre pleinement les objectifs du règlement en raison d’une participation insuffisante ou de problèmes de qualité/retards dans la mise en œuvre des projets ou contrats sélectionnés;</w:t>
      </w:r>
    </w:p>
    <w:p w14:paraId="5919EAD3"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risque d’utilisation inefficace ou non économique des fonds accordés, tant pour les subventions (complexité des règles de financement) que pour les marchés (peu d’opérateurs économiques possédant les connaissances spécialisées requises, ce qui entraîne des possibilités insuffisantes de comparaison des offres de prix dans certains secteurs);</w:t>
      </w:r>
    </w:p>
    <w:p w14:paraId="5252794B"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 risque d’atteinte à la réputation de la Commission en cas de découverte d’activités frauduleuses ou criminelles; les systèmes de contrôle interne des tiers ne sont pas entièrement fiables en raison du nombre relativement élevé de contractants et de bénéficiaires hétérogènes, disposant chacun de son système de contrôle.</w:t>
      </w:r>
    </w:p>
    <w:p w14:paraId="41040784"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 xml:space="preserve">La Commission a mis en place des procédures internes visant à tenir compte des risques susmentionnés. Ces procédures internes sont pleinement conformes au règlement financier, comportent des mesures de lutte contre la fraude et sont fondées sur des considérations relatives aux coûts et aux avantages. Dans ce cadre, la Commission continue d’explorer les possibilités d’améliorer la gestion et de réaliser des gains d’efficacité. Les principales caractéristiques du dispositif de contrôle sont énoncées ci-après: </w:t>
      </w:r>
    </w:p>
    <w:p w14:paraId="52A1218D"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 xml:space="preserve">Contrôles préalables et concomitants à l’exécution des projets: </w:t>
      </w:r>
    </w:p>
    <w:p w14:paraId="0A910CD2"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 Un système adéquat de gestion de projet sera mis en place, axé sur les contributions des projets et des contrats aux objectifs stratégiques, en assurant une participation systématique de tous les acteurs, en établissant des comptes rendus réguliers sur la gestion du projet, complétés par des visites sur place au cas par cas, y compris des rapports sur les risques destinés à l’encadrement supérieur, le tout en maintenant la souplesse budgétaire adéquate.</w:t>
      </w:r>
    </w:p>
    <w:p w14:paraId="79A58BA8"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 Les modèles de convention de subvention et de contrat de services utilisés sont élaborés au sein de la Commission. Ces modèles prévoient un certain nombre de mécanismes de contrôle, comme des certificats d’audit, des garanties financières, des vérifications sur place et des inspections par l’OLAF. Les règles régissant l’éligibilité des coûts sont simplifiées grâce, par exemple, au recours aux coûts unitaires, aux montants forfaitaires, aux contributions indépendantes des coûts et aux autres possibilités offertes par le règlement financier. Cela permettra de réduire le coût des contrôles et d’orienter les vérifications et contrôles vers les domaines à haut risque.</w:t>
      </w:r>
    </w:p>
    <w:p w14:paraId="5EEBB526"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 xml:space="preserve">• Tous les membres du personnel souscrivent au code de bonne conduite administrative. Les membres du personnel participant à la procédure de sélection ou à la gestion des contrats/conventions de subvention signent (également) une déclaration d’absence de conflit d’intérêts. Le personnel reçoit régulièrement des formations et utilise des réseaux d’échange de bonnes pratiques. </w:t>
      </w:r>
    </w:p>
    <w:p w14:paraId="13915C3B"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 La réalisation technique des projets fait l’objet, à intervalles réguliers, de contrôles documentaires effectués sur la base des rapports techniques intermédiaires remis par les contractants et les bénéficiaires; des réunions avec les contractants/bénéficiaires et des visites sur place sont également prévues au cas par cas.</w:t>
      </w:r>
    </w:p>
    <w:p w14:paraId="4A8C0CB7"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Contrôles au terme du projet: Des audits ex post sont effectués sur un échantillon de transactions pour vérifier sur place l’admissibilité des demandes de remboursement. Ces contrôles sont destinés à prévenir, détecter et corriger les erreurs matérielles liées à la légalité et à la régularité des transactions financières. Pour maximiser l’incidence des contrôles, la procédure de sélection des bénéficiaires à soumettre à un audit prévoit de combiner une sélection en fonction du risque et un échantillonnage aléatoire et de prendre en considération, dans la mesure du possible, des aspects opérationnels lors des vérifications sur place.</w:t>
      </w:r>
    </w:p>
    <w:p w14:paraId="79D094AE" w14:textId="77777777" w:rsidR="00922C2A" w:rsidRPr="00922C2A" w:rsidRDefault="00922C2A" w:rsidP="00922C2A">
      <w:pPr>
        <w:pStyle w:val="ManualHeading3"/>
        <w:rPr>
          <w:noProof/>
        </w:rPr>
      </w:pPr>
      <w:bookmarkStart w:id="118" w:name="_Toc514938048"/>
      <w:bookmarkStart w:id="119" w:name="_Toc520485047"/>
      <w:bookmarkStart w:id="120" w:name="_Toc160804589"/>
      <w:bookmarkStart w:id="121" w:name="_Toc167220281"/>
      <w:bookmarkStart w:id="122" w:name="_Toc177549014"/>
      <w:r w:rsidRPr="00922C2A">
        <w:rPr>
          <w:noProof/>
        </w:rPr>
        <w:t>2.2.3.</w:t>
      </w:r>
      <w:r w:rsidRPr="00922C2A">
        <w:rPr>
          <w:noProof/>
        </w:rPr>
        <w:tab/>
        <w:t>Estimation et justification du rapport coût/efficacité des contrôles (rapport entre les coûts du contrôle et la valeur des fonds gérés concernés), et évaluation du niveau attendu de risque d’erreur (lors du paiement et lors de la clôture)</w:t>
      </w:r>
      <w:bookmarkEnd w:id="118"/>
      <w:bookmarkEnd w:id="119"/>
      <w:bookmarkEnd w:id="120"/>
      <w:bookmarkEnd w:id="121"/>
      <w:bookmarkEnd w:id="122"/>
      <w:r w:rsidRPr="00922C2A">
        <w:rPr>
          <w:noProof/>
        </w:rPr>
        <w:t xml:space="preserve"> </w:t>
      </w:r>
    </w:p>
    <w:p w14:paraId="51E4CCFF"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 xml:space="preserve">Les coûts annuels du niveau de contrôle suggéré dans le cadre du troisième programme de santé 2014-2020 représentent environ 4 à 7 % du budget annuel des dépenses opérationnelles. Ils s’expliquent par la diversité des transactions à contrôler. En effet, dans le domaine de la santé, la gestion directe implique l’attribution de nombreux contrats et subventions pour des actions de très petite à très grande taille, et le versement de nombreuses subventions de fonctionnement à des organisations non gouvernementales. Le risque lié à ces activités concerne la capacité des organisations, notamment celles de petite taille, à contrôler efficacement leurs dépenses. </w:t>
      </w:r>
    </w:p>
    <w:p w14:paraId="51994128"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La Commission estime que le coût moyen des contrôles devrait être le même pour les actions proposées au titre du présent règlement.</w:t>
      </w:r>
    </w:p>
    <w:p w14:paraId="7F65724B"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 xml:space="preserve">Dans le cadre du troisième programme de santé 2014-2020, sur une base de 5 ans, le taux d’erreur pour les audits sur place des subventions en gestion directe était de 1,8 %, tandis que pour les marchés publics, il était inférieur à 1 %. Ce niveau d’erreur est jugé acceptable, car il se situe en dessous du seuil de signification de 2 %. </w:t>
      </w:r>
    </w:p>
    <w:p w14:paraId="71DEB47C"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Les actions proposées n’auront pas d’incidence sur la manière dont les crédits sont actuellement gérés. Le système de contrôle existant s’est révélé apte à prévenir ou à relever les erreurs ou les irrégularités et, le cas échéant, à les corriger. Il sera adapté pour inclure les nouvelles actions et pour garantir que les taux d’erreur résiduels (après correction) restent inférieurs au seuil de 2 %.</w:t>
      </w:r>
      <w:bookmarkStart w:id="123" w:name="_Toc514938049"/>
      <w:bookmarkStart w:id="124" w:name="_Toc520485048"/>
      <w:bookmarkStart w:id="125" w:name="_Toc160804590"/>
      <w:bookmarkStart w:id="126" w:name="_Toc167220282"/>
      <w:bookmarkStart w:id="127" w:name="_Toc177549015"/>
    </w:p>
    <w:p w14:paraId="07BEE206" w14:textId="77777777" w:rsidR="00922C2A" w:rsidRPr="00922C2A" w:rsidRDefault="00922C2A" w:rsidP="00922C2A">
      <w:pPr>
        <w:pStyle w:val="ManualHeading2"/>
        <w:rPr>
          <w:bCs/>
          <w:noProof/>
          <w:szCs w:val="24"/>
        </w:rPr>
      </w:pPr>
      <w:r w:rsidRPr="00922C2A">
        <w:rPr>
          <w:noProof/>
        </w:rPr>
        <w:t>2.3</w:t>
      </w:r>
      <w:r w:rsidRPr="00922C2A">
        <w:rPr>
          <w:noProof/>
        </w:rPr>
        <w:tab/>
        <w:t>Mesures de prévention des fraudes et irrégularités</w:t>
      </w:r>
      <w:bookmarkEnd w:id="123"/>
      <w:bookmarkEnd w:id="124"/>
      <w:bookmarkEnd w:id="125"/>
      <w:bookmarkEnd w:id="126"/>
      <w:bookmarkEnd w:id="127"/>
      <w:r w:rsidRPr="00922C2A">
        <w:rPr>
          <w:noProof/>
        </w:rPr>
        <w:t xml:space="preserve"> </w:t>
      </w:r>
    </w:p>
    <w:p w14:paraId="40F1C617"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En ce qui concerne les activités relevant de la gestion directe, la Commission prend les mesures appropriées garantissant la protection des intérêts financiers de l’Union européenne par l’application de mesures préventives contre la fraude, la corruption et toute autre activité illégale, au moyen de contrôles efficaces et, si des irrégularités sont décelées, par le recouvrement des montants indûment versés et, s’il y a lieu, par l’application de sanctions effectives, proportionnées et dissuasives. À cet effet, la Commission a adopté une stratégie antifraude – mise à jour en dernier lieu en avril 2019 [COM(2019) 196] –, qui prévoit notamment les mesures de prévention, de détection et de correction énoncées ci-après.</w:t>
      </w:r>
    </w:p>
    <w:p w14:paraId="164925E4"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La Commission ou ses représentants et la Cour des comptes disposent d’un pouvoir d’audit, sur pièces et sur place, à l’égard de tous les bénéficiaires de subventions, contractants et sous-traitants qui ont reçu des fonds de l’Union. L’OLAF est autorisé à effectuer des contrôles et vérifications sur place auprès des opérateurs économiques concernés, directement ou indirectement, par un tel financement.</w:t>
      </w:r>
    </w:p>
    <w:p w14:paraId="0F3F64E3"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La Commission met également en œuvre une série de mesures telles que les mesures suivantes:</w:t>
      </w:r>
    </w:p>
    <w:p w14:paraId="0E0E0FC4"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 dans les décisions, conventions et contrats résultant de la mise en œuvre du règlement, la Commission, OLAF compris, et la Cour des comptes seront expressément habilitées à mener des audits, des vérifications sur place et des inspections; ainsi qu’à recouvrer les montants indûment versés et, le cas échéant, à imposer des sanctions administratives;</w:t>
      </w:r>
    </w:p>
    <w:p w14:paraId="4C7F87A0"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 pendant la phase d’évaluation des propositions ou offres reçues à la suite d’un appel, les candidats et soumissionnaires seront évalués en fonction des critères d’exclusion publiés, sur la base de déclarations et du système de détection rapide et d’exclusion (EDES);</w:t>
      </w:r>
    </w:p>
    <w:p w14:paraId="5382F285"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 les règles régissant l’éligibilité des dépenses seront simplifiées conformément aux dispositions du règlement financier;</w:t>
      </w:r>
    </w:p>
    <w:p w14:paraId="619EB9A6"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jc w:val="left"/>
        <w:rPr>
          <w:noProof/>
        </w:rPr>
        <w:sectPr w:rsidR="00922C2A" w:rsidRPr="00922C2A" w:rsidSect="00492C75">
          <w:pgSz w:w="11907" w:h="16840" w:code="9"/>
          <w:pgMar w:top="1134" w:right="1418" w:bottom="1134" w:left="1418" w:header="709" w:footer="709" w:gutter="0"/>
          <w:cols w:space="708"/>
          <w:docGrid w:linePitch="360"/>
        </w:sectPr>
      </w:pPr>
      <w:r w:rsidRPr="00922C2A">
        <w:rPr>
          <w:noProof/>
        </w:rPr>
        <w:t xml:space="preserve">- des formations sur des questions relatives à la fraude et aux irrégularités sont régulièrement dispensées à l’ensemble du personnel participant à la gestion des contrats, ainsi qu’aux auditeurs et aux contrôleurs qui vérifient les déclarations des bénéficiaires sur le terrain. </w:t>
      </w:r>
    </w:p>
    <w:p w14:paraId="2144ED46" w14:textId="77777777" w:rsidR="00922C2A" w:rsidRPr="00922C2A" w:rsidRDefault="00922C2A" w:rsidP="00922C2A">
      <w:pPr>
        <w:pStyle w:val="ManualHeading1"/>
        <w:rPr>
          <w:bCs/>
          <w:noProof/>
          <w:szCs w:val="24"/>
        </w:rPr>
      </w:pPr>
      <w:bookmarkStart w:id="128" w:name="_Toc514938050"/>
      <w:bookmarkStart w:id="129" w:name="_Toc520485049"/>
      <w:bookmarkStart w:id="130" w:name="_Toc160804591"/>
      <w:bookmarkStart w:id="131" w:name="_Toc167220283"/>
      <w:bookmarkStart w:id="132" w:name="_Toc177549016"/>
      <w:r w:rsidRPr="00922C2A">
        <w:rPr>
          <w:noProof/>
        </w:rPr>
        <w:t>3.</w:t>
      </w:r>
      <w:r w:rsidRPr="00922C2A">
        <w:rPr>
          <w:noProof/>
        </w:rPr>
        <w:tab/>
        <w:t>INCIDENCE FINANCIÈRE ESTIMÉE DE LA PROPOSITION/DE L’INITIATIVE</w:t>
      </w:r>
      <w:bookmarkEnd w:id="128"/>
      <w:bookmarkEnd w:id="129"/>
      <w:bookmarkEnd w:id="130"/>
      <w:bookmarkEnd w:id="131"/>
      <w:bookmarkEnd w:id="132"/>
      <w:r w:rsidRPr="00922C2A">
        <w:rPr>
          <w:noProof/>
        </w:rPr>
        <w:t xml:space="preserve"> </w:t>
      </w:r>
    </w:p>
    <w:p w14:paraId="6C4F5358" w14:textId="77777777" w:rsidR="00922C2A" w:rsidRPr="00922C2A" w:rsidRDefault="00922C2A" w:rsidP="00922C2A">
      <w:pPr>
        <w:pStyle w:val="ManualHeading2"/>
        <w:rPr>
          <w:noProof/>
        </w:rPr>
      </w:pPr>
      <w:bookmarkStart w:id="133" w:name="_Toc514938051"/>
      <w:bookmarkStart w:id="134" w:name="_Toc520485050"/>
      <w:bookmarkStart w:id="135" w:name="_Toc160804592"/>
      <w:bookmarkStart w:id="136" w:name="_Toc167220284"/>
      <w:bookmarkStart w:id="137" w:name="_Toc177549017"/>
      <w:r w:rsidRPr="00922C2A">
        <w:rPr>
          <w:noProof/>
        </w:rPr>
        <w:t>3.1.</w:t>
      </w:r>
      <w:r w:rsidRPr="00922C2A">
        <w:rPr>
          <w:noProof/>
        </w:rPr>
        <w:tab/>
        <w:t>Rubrique(s) du cadre financier pluriannuel et ligne(s) budgétaire(s) de dépenses concernée(s)</w:t>
      </w:r>
      <w:bookmarkEnd w:id="133"/>
      <w:bookmarkEnd w:id="134"/>
      <w:bookmarkEnd w:id="135"/>
      <w:bookmarkEnd w:id="136"/>
      <w:bookmarkEnd w:id="137"/>
      <w:r w:rsidRPr="00922C2A">
        <w:rPr>
          <w:noProof/>
        </w:rPr>
        <w:t xml:space="preserve"> </w:t>
      </w:r>
    </w:p>
    <w:p w14:paraId="3A3D4AA9" w14:textId="77777777" w:rsidR="00922C2A" w:rsidRPr="00922C2A" w:rsidRDefault="00922C2A" w:rsidP="00922C2A">
      <w:pPr>
        <w:pStyle w:val="ListBullet1"/>
        <w:rPr>
          <w:noProof/>
        </w:rPr>
      </w:pPr>
      <w:r w:rsidRPr="00922C2A">
        <w:rPr>
          <w:noProof/>
        </w:rPr>
        <w:t xml:space="preserve">Lignes budgétaires existantes </w:t>
      </w:r>
    </w:p>
    <w:p w14:paraId="5C65FA41" w14:textId="77777777" w:rsidR="00922C2A" w:rsidRPr="00922C2A" w:rsidRDefault="00922C2A" w:rsidP="00922C2A">
      <w:pPr>
        <w:pStyle w:val="Text1"/>
        <w:rPr>
          <w:i/>
          <w:noProof/>
        </w:rPr>
      </w:pPr>
      <w:r w:rsidRPr="00922C2A">
        <w:rPr>
          <w:i/>
          <w:noProof/>
          <w:u w:val="single"/>
        </w:rPr>
        <w:t>Dans l’ordre</w:t>
      </w:r>
      <w:r w:rsidRPr="00922C2A">
        <w:rPr>
          <w:i/>
          <w:noProof/>
        </w:rPr>
        <w:t xml:space="preserve"> des rubriques du cadre financier pluriannuel et des lignes budgétaires.</w:t>
      </w:r>
    </w:p>
    <w:p w14:paraId="4F3E66AE" w14:textId="77777777" w:rsidR="00922C2A" w:rsidRPr="00922C2A" w:rsidRDefault="00922C2A" w:rsidP="00922C2A">
      <w:pPr>
        <w:pStyle w:val="Text1"/>
        <w:rPr>
          <w:i/>
          <w:noProof/>
        </w:rPr>
      </w:pP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922C2A" w:rsidRPr="00922C2A" w14:paraId="39A519DC" w14:textId="77777777" w:rsidTr="006F49C9">
        <w:trPr>
          <w:jc w:val="center"/>
        </w:trPr>
        <w:tc>
          <w:tcPr>
            <w:tcW w:w="1092" w:type="dxa"/>
            <w:vMerge w:val="restart"/>
            <w:vAlign w:val="center"/>
          </w:tcPr>
          <w:p w14:paraId="27F5FD99" w14:textId="77777777" w:rsidR="00922C2A" w:rsidRPr="00922C2A" w:rsidRDefault="00922C2A" w:rsidP="006F49C9">
            <w:pPr>
              <w:spacing w:before="60" w:after="60"/>
              <w:jc w:val="center"/>
              <w:rPr>
                <w:noProof/>
              </w:rPr>
            </w:pPr>
            <w:r w:rsidRPr="00922C2A">
              <w:rPr>
                <w:noProof/>
                <w:sz w:val="18"/>
              </w:rPr>
              <w:t>Rubrique du cadre financier pluriannuel</w:t>
            </w:r>
          </w:p>
        </w:tc>
        <w:tc>
          <w:tcPr>
            <w:tcW w:w="4002" w:type="dxa"/>
            <w:vAlign w:val="center"/>
          </w:tcPr>
          <w:p w14:paraId="230EAF00" w14:textId="77777777" w:rsidR="00922C2A" w:rsidRPr="00922C2A" w:rsidRDefault="00922C2A" w:rsidP="006F49C9">
            <w:pPr>
              <w:spacing w:before="60" w:after="60"/>
              <w:jc w:val="center"/>
              <w:rPr>
                <w:noProof/>
              </w:rPr>
            </w:pPr>
            <w:r w:rsidRPr="00922C2A">
              <w:rPr>
                <w:noProof/>
                <w:sz w:val="20"/>
              </w:rPr>
              <w:t>Ligne budgétaire</w:t>
            </w:r>
          </w:p>
        </w:tc>
        <w:tc>
          <w:tcPr>
            <w:tcW w:w="1092" w:type="dxa"/>
            <w:vAlign w:val="center"/>
          </w:tcPr>
          <w:p w14:paraId="055C535E" w14:textId="77777777" w:rsidR="00922C2A" w:rsidRPr="00922C2A" w:rsidRDefault="00922C2A" w:rsidP="006F49C9">
            <w:pPr>
              <w:spacing w:before="60" w:after="60"/>
              <w:jc w:val="center"/>
              <w:rPr>
                <w:noProof/>
              </w:rPr>
            </w:pPr>
            <w:r w:rsidRPr="00922C2A">
              <w:rPr>
                <w:noProof/>
                <w:sz w:val="18"/>
              </w:rPr>
              <w:t>Nature de la dépense</w:t>
            </w:r>
          </w:p>
        </w:tc>
        <w:tc>
          <w:tcPr>
            <w:tcW w:w="4487" w:type="dxa"/>
            <w:gridSpan w:val="4"/>
            <w:vAlign w:val="center"/>
          </w:tcPr>
          <w:p w14:paraId="41F6F1C0" w14:textId="77777777" w:rsidR="00922C2A" w:rsidRPr="00922C2A" w:rsidRDefault="00922C2A" w:rsidP="006F49C9">
            <w:pPr>
              <w:spacing w:before="60" w:after="60"/>
              <w:jc w:val="center"/>
              <w:rPr>
                <w:noProof/>
              </w:rPr>
            </w:pPr>
            <w:r w:rsidRPr="00922C2A">
              <w:rPr>
                <w:noProof/>
                <w:sz w:val="20"/>
              </w:rPr>
              <w:t xml:space="preserve">Participation </w:t>
            </w:r>
          </w:p>
        </w:tc>
      </w:tr>
      <w:tr w:rsidR="00922C2A" w:rsidRPr="00922C2A" w14:paraId="0B54ADCE" w14:textId="77777777" w:rsidTr="006F49C9">
        <w:trPr>
          <w:cantSplit/>
          <w:jc w:val="center"/>
        </w:trPr>
        <w:tc>
          <w:tcPr>
            <w:tcW w:w="1092" w:type="dxa"/>
            <w:vMerge/>
            <w:vAlign w:val="center"/>
          </w:tcPr>
          <w:p w14:paraId="0DDDCEDD" w14:textId="77777777" w:rsidR="00922C2A" w:rsidRPr="00922C2A" w:rsidRDefault="00922C2A" w:rsidP="006F49C9">
            <w:pPr>
              <w:jc w:val="center"/>
              <w:rPr>
                <w:noProof/>
              </w:rPr>
            </w:pPr>
          </w:p>
        </w:tc>
        <w:tc>
          <w:tcPr>
            <w:tcW w:w="4002" w:type="dxa"/>
            <w:vAlign w:val="center"/>
          </w:tcPr>
          <w:p w14:paraId="1155A1C5" w14:textId="77777777" w:rsidR="00922C2A" w:rsidRPr="00922C2A" w:rsidRDefault="00922C2A" w:rsidP="006F49C9">
            <w:pPr>
              <w:rPr>
                <w:noProof/>
              </w:rPr>
            </w:pPr>
            <w:r w:rsidRPr="00922C2A">
              <w:rPr>
                <w:noProof/>
                <w:sz w:val="20"/>
              </w:rPr>
              <w:t xml:space="preserve">Numéro </w:t>
            </w:r>
            <w:r w:rsidRPr="00922C2A">
              <w:rPr>
                <w:noProof/>
                <w:sz w:val="22"/>
              </w:rPr>
              <w:cr/>
            </w:r>
            <w:r w:rsidRPr="00922C2A">
              <w:rPr>
                <w:noProof/>
                <w:sz w:val="22"/>
              </w:rPr>
              <w:br/>
            </w:r>
          </w:p>
        </w:tc>
        <w:tc>
          <w:tcPr>
            <w:tcW w:w="1092" w:type="dxa"/>
            <w:vAlign w:val="center"/>
          </w:tcPr>
          <w:p w14:paraId="1D2BBFDC" w14:textId="77777777" w:rsidR="00922C2A" w:rsidRPr="00922C2A" w:rsidRDefault="00922C2A" w:rsidP="006F49C9">
            <w:pPr>
              <w:jc w:val="center"/>
              <w:rPr>
                <w:noProof/>
              </w:rPr>
            </w:pPr>
            <w:r w:rsidRPr="00922C2A">
              <w:rPr>
                <w:noProof/>
                <w:sz w:val="18"/>
              </w:rPr>
              <w:t>CD/CND</w:t>
            </w:r>
            <w:r w:rsidRPr="00922C2A">
              <w:rPr>
                <w:rStyle w:val="FootnoteReference"/>
                <w:noProof/>
                <w:sz w:val="18"/>
              </w:rPr>
              <w:footnoteReference w:id="99"/>
            </w:r>
          </w:p>
        </w:tc>
        <w:tc>
          <w:tcPr>
            <w:tcW w:w="966" w:type="dxa"/>
            <w:vAlign w:val="center"/>
          </w:tcPr>
          <w:p w14:paraId="326C24BA" w14:textId="77777777" w:rsidR="00922C2A" w:rsidRPr="00922C2A" w:rsidRDefault="00922C2A" w:rsidP="006F49C9">
            <w:pPr>
              <w:jc w:val="center"/>
              <w:rPr>
                <w:b/>
                <w:noProof/>
                <w:sz w:val="18"/>
              </w:rPr>
            </w:pPr>
            <w:r w:rsidRPr="00922C2A">
              <w:rPr>
                <w:noProof/>
                <w:sz w:val="18"/>
              </w:rPr>
              <w:t>de pays AELE</w:t>
            </w:r>
            <w:r w:rsidRPr="00922C2A">
              <w:rPr>
                <w:rStyle w:val="FootnoteReference"/>
                <w:noProof/>
                <w:sz w:val="18"/>
              </w:rPr>
              <w:footnoteReference w:id="100"/>
            </w:r>
          </w:p>
        </w:tc>
        <w:tc>
          <w:tcPr>
            <w:tcW w:w="1092" w:type="dxa"/>
            <w:vAlign w:val="center"/>
          </w:tcPr>
          <w:p w14:paraId="79C9CA2F" w14:textId="77777777" w:rsidR="00922C2A" w:rsidRPr="00922C2A" w:rsidRDefault="00922C2A" w:rsidP="006F49C9">
            <w:pPr>
              <w:jc w:val="center"/>
              <w:rPr>
                <w:noProof/>
                <w:sz w:val="18"/>
              </w:rPr>
            </w:pPr>
            <w:r w:rsidRPr="00922C2A">
              <w:rPr>
                <w:noProof/>
                <w:sz w:val="18"/>
              </w:rPr>
              <w:t>de pays candidats et pays candidats potentiels</w:t>
            </w:r>
            <w:r w:rsidRPr="00922C2A">
              <w:rPr>
                <w:rStyle w:val="FootnoteReference"/>
                <w:noProof/>
                <w:sz w:val="18"/>
              </w:rPr>
              <w:footnoteReference w:id="101"/>
            </w:r>
          </w:p>
        </w:tc>
        <w:tc>
          <w:tcPr>
            <w:tcW w:w="966" w:type="dxa"/>
            <w:vAlign w:val="center"/>
          </w:tcPr>
          <w:p w14:paraId="4D5E6C60" w14:textId="77777777" w:rsidR="00922C2A" w:rsidRPr="00922C2A" w:rsidRDefault="00922C2A" w:rsidP="006F49C9">
            <w:pPr>
              <w:jc w:val="center"/>
              <w:rPr>
                <w:noProof/>
                <w:sz w:val="18"/>
              </w:rPr>
            </w:pPr>
            <w:r w:rsidRPr="00922C2A">
              <w:rPr>
                <w:noProof/>
                <w:sz w:val="18"/>
              </w:rPr>
              <w:t>d’autres pays tiers</w:t>
            </w:r>
          </w:p>
        </w:tc>
        <w:tc>
          <w:tcPr>
            <w:tcW w:w="1463" w:type="dxa"/>
            <w:vAlign w:val="center"/>
          </w:tcPr>
          <w:p w14:paraId="3A709018" w14:textId="77777777" w:rsidR="00922C2A" w:rsidRPr="00922C2A" w:rsidRDefault="00922C2A" w:rsidP="006F49C9">
            <w:pPr>
              <w:jc w:val="center"/>
              <w:rPr>
                <w:noProof/>
              </w:rPr>
            </w:pPr>
            <w:r w:rsidRPr="00922C2A">
              <w:rPr>
                <w:noProof/>
                <w:sz w:val="18"/>
              </w:rPr>
              <w:t>autres recettes affectées</w:t>
            </w:r>
          </w:p>
        </w:tc>
      </w:tr>
      <w:tr w:rsidR="00922C2A" w:rsidRPr="00922C2A" w14:paraId="23FD3FB8" w14:textId="77777777" w:rsidTr="006F49C9">
        <w:trPr>
          <w:jc w:val="center"/>
        </w:trPr>
        <w:tc>
          <w:tcPr>
            <w:tcW w:w="1092" w:type="dxa"/>
            <w:vAlign w:val="center"/>
          </w:tcPr>
          <w:p w14:paraId="4A9C7D72" w14:textId="77777777" w:rsidR="00922C2A" w:rsidRPr="00922C2A" w:rsidRDefault="00922C2A" w:rsidP="006F49C9">
            <w:pPr>
              <w:jc w:val="center"/>
              <w:rPr>
                <w:noProof/>
              </w:rPr>
            </w:pPr>
            <w:r w:rsidRPr="00922C2A">
              <w:rPr>
                <w:noProof/>
              </w:rPr>
              <w:t>2</w:t>
            </w:r>
          </w:p>
        </w:tc>
        <w:tc>
          <w:tcPr>
            <w:tcW w:w="4002" w:type="dxa"/>
            <w:vAlign w:val="center"/>
          </w:tcPr>
          <w:p w14:paraId="70854E6F" w14:textId="77777777" w:rsidR="00922C2A" w:rsidRPr="00922C2A" w:rsidRDefault="00922C2A" w:rsidP="006F49C9">
            <w:pPr>
              <w:spacing w:before="60"/>
              <w:rPr>
                <w:noProof/>
              </w:rPr>
            </w:pPr>
            <w:r w:rsidRPr="00922C2A">
              <w:rPr>
                <w:noProof/>
                <w:sz w:val="22"/>
              </w:rPr>
              <w:t>06 06 01 - Programme «L’UE pour la santé»</w:t>
            </w:r>
          </w:p>
          <w:p w14:paraId="451EF83A" w14:textId="77777777" w:rsidR="00922C2A" w:rsidRPr="00922C2A" w:rsidRDefault="00922C2A" w:rsidP="006F49C9">
            <w:pPr>
              <w:spacing w:after="60"/>
              <w:rPr>
                <w:noProof/>
              </w:rPr>
            </w:pPr>
          </w:p>
        </w:tc>
        <w:tc>
          <w:tcPr>
            <w:tcW w:w="1092" w:type="dxa"/>
            <w:vAlign w:val="center"/>
          </w:tcPr>
          <w:p w14:paraId="5025A54E" w14:textId="77777777" w:rsidR="00922C2A" w:rsidRPr="00922C2A" w:rsidRDefault="00922C2A" w:rsidP="006F49C9">
            <w:pPr>
              <w:jc w:val="center"/>
              <w:rPr>
                <w:noProof/>
                <w:color w:val="0000FF"/>
              </w:rPr>
            </w:pPr>
            <w:r w:rsidRPr="00922C2A">
              <w:rPr>
                <w:noProof/>
                <w:sz w:val="22"/>
              </w:rPr>
              <w:t>CD</w:t>
            </w:r>
          </w:p>
        </w:tc>
        <w:tc>
          <w:tcPr>
            <w:tcW w:w="966" w:type="dxa"/>
            <w:vAlign w:val="center"/>
          </w:tcPr>
          <w:p w14:paraId="4F43922D" w14:textId="77777777" w:rsidR="00922C2A" w:rsidRPr="00922C2A" w:rsidRDefault="00922C2A" w:rsidP="006F49C9">
            <w:pPr>
              <w:jc w:val="center"/>
              <w:rPr>
                <w:noProof/>
                <w:sz w:val="20"/>
                <w:szCs w:val="20"/>
              </w:rPr>
            </w:pPr>
            <w:r w:rsidRPr="00922C2A">
              <w:rPr>
                <w:noProof/>
                <w:sz w:val="20"/>
              </w:rPr>
              <w:t>OUI</w:t>
            </w:r>
          </w:p>
        </w:tc>
        <w:tc>
          <w:tcPr>
            <w:tcW w:w="1092" w:type="dxa"/>
            <w:vAlign w:val="center"/>
          </w:tcPr>
          <w:p w14:paraId="6E4BB750" w14:textId="77777777" w:rsidR="00922C2A" w:rsidRPr="00922C2A" w:rsidRDefault="00922C2A" w:rsidP="006F49C9">
            <w:pPr>
              <w:jc w:val="center"/>
              <w:rPr>
                <w:noProof/>
                <w:sz w:val="20"/>
                <w:szCs w:val="20"/>
              </w:rPr>
            </w:pPr>
            <w:r w:rsidRPr="00922C2A">
              <w:rPr>
                <w:noProof/>
                <w:sz w:val="20"/>
              </w:rPr>
              <w:t>OUI</w:t>
            </w:r>
          </w:p>
        </w:tc>
        <w:tc>
          <w:tcPr>
            <w:tcW w:w="966" w:type="dxa"/>
            <w:vAlign w:val="center"/>
          </w:tcPr>
          <w:p w14:paraId="69C478A3" w14:textId="77777777" w:rsidR="00922C2A" w:rsidRPr="00922C2A" w:rsidRDefault="00922C2A" w:rsidP="006F49C9">
            <w:pPr>
              <w:jc w:val="center"/>
              <w:rPr>
                <w:noProof/>
                <w:sz w:val="20"/>
                <w:szCs w:val="20"/>
              </w:rPr>
            </w:pPr>
            <w:r w:rsidRPr="00922C2A">
              <w:rPr>
                <w:noProof/>
                <w:sz w:val="20"/>
              </w:rPr>
              <w:t>OUI</w:t>
            </w:r>
          </w:p>
        </w:tc>
        <w:tc>
          <w:tcPr>
            <w:tcW w:w="1463" w:type="dxa"/>
            <w:vAlign w:val="center"/>
          </w:tcPr>
          <w:p w14:paraId="3154F9BB" w14:textId="77777777" w:rsidR="00922C2A" w:rsidRPr="00922C2A" w:rsidRDefault="00922C2A" w:rsidP="006F49C9">
            <w:pPr>
              <w:jc w:val="center"/>
              <w:rPr>
                <w:noProof/>
                <w:sz w:val="20"/>
                <w:szCs w:val="20"/>
              </w:rPr>
            </w:pPr>
            <w:r w:rsidRPr="00922C2A">
              <w:rPr>
                <w:noProof/>
                <w:sz w:val="20"/>
              </w:rPr>
              <w:t>NON</w:t>
            </w:r>
          </w:p>
        </w:tc>
      </w:tr>
    </w:tbl>
    <w:p w14:paraId="458245F1" w14:textId="77777777" w:rsidR="00922C2A" w:rsidRPr="00922C2A" w:rsidRDefault="00922C2A" w:rsidP="00922C2A">
      <w:pPr>
        <w:rPr>
          <w:noProof/>
        </w:rPr>
        <w:sectPr w:rsidR="00922C2A" w:rsidRPr="00922C2A" w:rsidSect="00492C75">
          <w:pgSz w:w="11907" w:h="16840" w:code="1"/>
          <w:pgMar w:top="1134" w:right="1418" w:bottom="1134" w:left="1418" w:header="709" w:footer="709" w:gutter="0"/>
          <w:cols w:space="708"/>
          <w:docGrid w:linePitch="360"/>
        </w:sectPr>
      </w:pPr>
    </w:p>
    <w:p w14:paraId="31C20F0F" w14:textId="77777777" w:rsidR="00922C2A" w:rsidRPr="00922C2A" w:rsidRDefault="00922C2A" w:rsidP="00922C2A">
      <w:pPr>
        <w:pStyle w:val="ManualHeading2"/>
        <w:rPr>
          <w:bCs/>
          <w:noProof/>
          <w:szCs w:val="24"/>
        </w:rPr>
      </w:pPr>
      <w:bookmarkStart w:id="138" w:name="_Toc514938052"/>
      <w:bookmarkStart w:id="139" w:name="_Toc520485051"/>
      <w:bookmarkStart w:id="140" w:name="_Toc160804593"/>
      <w:bookmarkStart w:id="141" w:name="_Toc167220285"/>
      <w:bookmarkStart w:id="142" w:name="_Toc177549018"/>
      <w:r w:rsidRPr="00922C2A">
        <w:rPr>
          <w:noProof/>
        </w:rPr>
        <w:t>3.2.</w:t>
      </w:r>
      <w:r w:rsidRPr="00922C2A">
        <w:rPr>
          <w:noProof/>
        </w:rPr>
        <w:tab/>
        <w:t>Incidence financière estimée de la proposition sur les crédits</w:t>
      </w:r>
      <w:bookmarkEnd w:id="138"/>
      <w:bookmarkEnd w:id="139"/>
      <w:bookmarkEnd w:id="140"/>
      <w:bookmarkEnd w:id="141"/>
      <w:bookmarkEnd w:id="142"/>
      <w:r w:rsidRPr="00922C2A">
        <w:rPr>
          <w:noProof/>
        </w:rPr>
        <w:t xml:space="preserve"> </w:t>
      </w:r>
    </w:p>
    <w:p w14:paraId="7CC88A7D" w14:textId="77777777" w:rsidR="00922C2A" w:rsidRPr="00922C2A" w:rsidRDefault="00922C2A" w:rsidP="00922C2A">
      <w:pPr>
        <w:pStyle w:val="ManualHeading3"/>
        <w:rPr>
          <w:noProof/>
        </w:rPr>
      </w:pPr>
      <w:bookmarkStart w:id="143" w:name="_Toc514938053"/>
      <w:bookmarkStart w:id="144" w:name="_Toc520485052"/>
      <w:bookmarkStart w:id="145" w:name="_Toc160804594"/>
      <w:bookmarkStart w:id="146" w:name="_Toc167220286"/>
      <w:bookmarkStart w:id="147" w:name="_Toc177549019"/>
      <w:r w:rsidRPr="00922C2A">
        <w:rPr>
          <w:noProof/>
        </w:rPr>
        <w:t>3.2.1.</w:t>
      </w:r>
      <w:r w:rsidRPr="00922C2A">
        <w:rPr>
          <w:noProof/>
        </w:rPr>
        <w:tab/>
        <w:t>Synthèse de l’incidence estimée sur les crédits opérationnels</w:t>
      </w:r>
      <w:bookmarkEnd w:id="143"/>
      <w:bookmarkEnd w:id="144"/>
      <w:bookmarkEnd w:id="145"/>
      <w:bookmarkEnd w:id="146"/>
      <w:bookmarkEnd w:id="147"/>
      <w:r w:rsidRPr="00922C2A">
        <w:rPr>
          <w:noProof/>
        </w:rPr>
        <w:t xml:space="preserve"> </w:t>
      </w:r>
    </w:p>
    <w:p w14:paraId="3475C7A9" w14:textId="77777777" w:rsidR="00922C2A" w:rsidRPr="00922C2A" w:rsidRDefault="00922C2A" w:rsidP="00922C2A">
      <w:pPr>
        <w:pStyle w:val="ListDash1"/>
        <w:rPr>
          <w:noProof/>
        </w:rPr>
      </w:pPr>
      <w:r w:rsidRPr="00922C2A">
        <w:rPr>
          <w:rFonts w:ascii="Wingdings" w:hAnsi="Wingdings"/>
          <w:noProof/>
        </w:rPr>
        <w:t></w:t>
      </w:r>
      <w:r w:rsidRPr="00922C2A">
        <w:rPr>
          <w:noProof/>
        </w:rPr>
        <w:tab/>
        <w:t xml:space="preserve">La proposition/l’initiative n’engendre pas l’utilisation de crédits opérationnels </w:t>
      </w:r>
    </w:p>
    <w:p w14:paraId="257967C0" w14:textId="77777777" w:rsidR="00922C2A" w:rsidRPr="00922C2A" w:rsidRDefault="00922C2A" w:rsidP="00922C2A">
      <w:pPr>
        <w:pStyle w:val="ListDash1"/>
        <w:rPr>
          <w:noProof/>
        </w:rPr>
      </w:pPr>
      <w:r w:rsidRPr="00922C2A">
        <w:rPr>
          <w:rFonts w:ascii="Wingdings" w:hAnsi="Wingdings"/>
          <w:noProof/>
        </w:rPr>
        <w:t></w:t>
      </w:r>
      <w:r w:rsidRPr="00922C2A">
        <w:rPr>
          <w:noProof/>
        </w:rPr>
        <w:tab/>
        <w:t>La proposition/l’initiative engendre l’utilisation de crédits opérationnels, comme expliqué ci-après</w:t>
      </w:r>
    </w:p>
    <w:p w14:paraId="3D8E03EC" w14:textId="77777777" w:rsidR="00922C2A" w:rsidRPr="00922C2A" w:rsidRDefault="00922C2A" w:rsidP="00922C2A">
      <w:pPr>
        <w:rPr>
          <w:noProof/>
        </w:rPr>
      </w:pPr>
      <w:r w:rsidRPr="00922C2A">
        <w:rPr>
          <w:noProof/>
        </w:rPr>
        <w:t>Les crédits seront redéployés dans le cadre de l’enveloppe existante du programme «L’UE pour la santé».</w:t>
      </w:r>
    </w:p>
    <w:p w14:paraId="0C39400A" w14:textId="77777777" w:rsidR="00922C2A" w:rsidRPr="00922C2A" w:rsidRDefault="00922C2A" w:rsidP="00922C2A">
      <w:pPr>
        <w:pStyle w:val="ManualHeading3"/>
        <w:rPr>
          <w:noProof/>
        </w:rPr>
      </w:pPr>
      <w:bookmarkStart w:id="148" w:name="_Toc160804595"/>
      <w:bookmarkStart w:id="149" w:name="_Toc167220287"/>
      <w:bookmarkStart w:id="150" w:name="_Toc177549020"/>
      <w:r w:rsidRPr="00922C2A">
        <w:rPr>
          <w:noProof/>
        </w:rPr>
        <w:t>3.2.1.1.</w:t>
      </w:r>
      <w:r w:rsidRPr="00922C2A">
        <w:rPr>
          <w:noProof/>
        </w:rPr>
        <w:tab/>
        <w:t>Crédits issus du budget voté</w:t>
      </w:r>
      <w:bookmarkEnd w:id="148"/>
      <w:bookmarkEnd w:id="149"/>
      <w:bookmarkEnd w:id="150"/>
    </w:p>
    <w:p w14:paraId="0B5A882B" w14:textId="77777777" w:rsidR="00922C2A" w:rsidRPr="00922C2A" w:rsidRDefault="00922C2A" w:rsidP="00922C2A">
      <w:pPr>
        <w:jc w:val="right"/>
        <w:rPr>
          <w:noProof/>
          <w:sz w:val="18"/>
          <w:szCs w:val="18"/>
        </w:rPr>
      </w:pPr>
      <w:r w:rsidRPr="00922C2A">
        <w:rPr>
          <w:noProof/>
          <w:sz w:val="18"/>
        </w:rPr>
        <w:t>En Mio EUR (à la 3</w:t>
      </w:r>
      <w:r w:rsidRPr="00922C2A">
        <w:rPr>
          <w:noProof/>
          <w:sz w:val="18"/>
          <w:vertAlign w:val="superscript"/>
        </w:rPr>
        <w:t>e</w:t>
      </w:r>
      <w:r w:rsidRPr="00922C2A">
        <w:rPr>
          <w:noProof/>
          <w:sz w:val="18"/>
        </w:rPr>
        <w:t> décimale)</w:t>
      </w:r>
    </w:p>
    <w:p w14:paraId="2B268681" w14:textId="77777777" w:rsidR="00922C2A" w:rsidRPr="00922C2A" w:rsidRDefault="00922C2A" w:rsidP="00922C2A">
      <w:pPr>
        <w:jc w:val="right"/>
        <w:rPr>
          <w:noProof/>
          <w:sz w:val="18"/>
          <w:szCs w:val="18"/>
        </w:rPr>
      </w:pPr>
    </w:p>
    <w:tbl>
      <w:tblPr>
        <w:tblW w:w="11635" w:type="dxa"/>
        <w:tblInd w:w="108" w:type="dxa"/>
        <w:tblLook w:val="04A0" w:firstRow="1" w:lastRow="0" w:firstColumn="1" w:lastColumn="0" w:noHBand="0" w:noVBand="1"/>
      </w:tblPr>
      <w:tblGrid>
        <w:gridCol w:w="3874"/>
        <w:gridCol w:w="1396"/>
        <w:gridCol w:w="456"/>
        <w:gridCol w:w="340"/>
        <w:gridCol w:w="1063"/>
        <w:gridCol w:w="1061"/>
        <w:gridCol w:w="1073"/>
        <w:gridCol w:w="1071"/>
        <w:gridCol w:w="1301"/>
      </w:tblGrid>
      <w:tr w:rsidR="00922C2A" w:rsidRPr="00922C2A" w14:paraId="31AFA8A6" w14:textId="77777777" w:rsidTr="006F49C9">
        <w:trPr>
          <w:trHeight w:val="315"/>
        </w:trPr>
        <w:tc>
          <w:tcPr>
            <w:tcW w:w="3874" w:type="dxa"/>
            <w:tcBorders>
              <w:top w:val="nil"/>
              <w:left w:val="nil"/>
              <w:bottom w:val="nil"/>
              <w:right w:val="nil"/>
            </w:tcBorders>
            <w:shd w:val="clear" w:color="auto" w:fill="auto"/>
            <w:noWrap/>
            <w:vAlign w:val="bottom"/>
            <w:hideMark/>
          </w:tcPr>
          <w:p w14:paraId="0002D524" w14:textId="77777777" w:rsidR="00922C2A" w:rsidRPr="00922C2A" w:rsidRDefault="00922C2A" w:rsidP="006F49C9">
            <w:pPr>
              <w:spacing w:before="0" w:after="0"/>
              <w:jc w:val="center"/>
              <w:rPr>
                <w:rFonts w:eastAsia="Times New Roman"/>
                <w:b/>
                <w:bCs/>
                <w:noProof/>
                <w:color w:val="000000"/>
                <w:sz w:val="28"/>
                <w:szCs w:val="28"/>
                <w:lang w:eastAsia="en-IE"/>
              </w:rPr>
            </w:pPr>
          </w:p>
        </w:tc>
        <w:tc>
          <w:tcPr>
            <w:tcW w:w="1396" w:type="dxa"/>
            <w:tcBorders>
              <w:top w:val="nil"/>
              <w:left w:val="nil"/>
              <w:bottom w:val="nil"/>
              <w:right w:val="nil"/>
            </w:tcBorders>
            <w:shd w:val="clear" w:color="auto" w:fill="auto"/>
            <w:noWrap/>
            <w:vAlign w:val="bottom"/>
            <w:hideMark/>
          </w:tcPr>
          <w:p w14:paraId="07B76421" w14:textId="77777777" w:rsidR="00922C2A" w:rsidRPr="00922C2A" w:rsidRDefault="00922C2A" w:rsidP="006F49C9">
            <w:pPr>
              <w:spacing w:before="0" w:after="0"/>
              <w:jc w:val="left"/>
              <w:rPr>
                <w:rFonts w:eastAsia="Times New Roman"/>
                <w:noProof/>
                <w:sz w:val="20"/>
                <w:szCs w:val="20"/>
                <w:lang w:eastAsia="en-IE"/>
              </w:rPr>
            </w:pPr>
          </w:p>
        </w:tc>
        <w:tc>
          <w:tcPr>
            <w:tcW w:w="456" w:type="dxa"/>
            <w:tcBorders>
              <w:top w:val="nil"/>
              <w:left w:val="nil"/>
              <w:bottom w:val="nil"/>
              <w:right w:val="nil"/>
            </w:tcBorders>
            <w:shd w:val="clear" w:color="auto" w:fill="auto"/>
            <w:noWrap/>
            <w:vAlign w:val="bottom"/>
            <w:hideMark/>
          </w:tcPr>
          <w:p w14:paraId="2188F340" w14:textId="77777777" w:rsidR="00922C2A" w:rsidRPr="00922C2A" w:rsidRDefault="00922C2A" w:rsidP="006F49C9">
            <w:pPr>
              <w:spacing w:before="0" w:after="0"/>
              <w:jc w:val="left"/>
              <w:rPr>
                <w:rFonts w:eastAsia="Times New Roman"/>
                <w:noProof/>
                <w:sz w:val="20"/>
                <w:szCs w:val="20"/>
                <w:lang w:eastAsia="en-IE"/>
              </w:rPr>
            </w:pPr>
          </w:p>
        </w:tc>
        <w:tc>
          <w:tcPr>
            <w:tcW w:w="340" w:type="dxa"/>
            <w:tcBorders>
              <w:top w:val="nil"/>
              <w:left w:val="nil"/>
              <w:bottom w:val="nil"/>
              <w:right w:val="nil"/>
            </w:tcBorders>
            <w:shd w:val="clear" w:color="auto" w:fill="auto"/>
            <w:noWrap/>
            <w:vAlign w:val="bottom"/>
            <w:hideMark/>
          </w:tcPr>
          <w:p w14:paraId="1DE89479" w14:textId="77777777" w:rsidR="00922C2A" w:rsidRPr="00922C2A" w:rsidRDefault="00922C2A" w:rsidP="006F49C9">
            <w:pPr>
              <w:spacing w:before="0" w:after="0"/>
              <w:jc w:val="left"/>
              <w:rPr>
                <w:rFonts w:eastAsia="Times New Roman"/>
                <w:noProof/>
                <w:sz w:val="20"/>
                <w:szCs w:val="20"/>
                <w:lang w:eastAsia="en-IE"/>
              </w:rPr>
            </w:pPr>
          </w:p>
        </w:tc>
        <w:tc>
          <w:tcPr>
            <w:tcW w:w="1063" w:type="dxa"/>
            <w:tcBorders>
              <w:top w:val="nil"/>
              <w:left w:val="nil"/>
              <w:bottom w:val="nil"/>
              <w:right w:val="nil"/>
            </w:tcBorders>
            <w:shd w:val="clear" w:color="auto" w:fill="auto"/>
            <w:noWrap/>
            <w:vAlign w:val="bottom"/>
            <w:hideMark/>
          </w:tcPr>
          <w:p w14:paraId="7E94A57E" w14:textId="77777777" w:rsidR="00922C2A" w:rsidRPr="00922C2A" w:rsidRDefault="00922C2A" w:rsidP="006F49C9">
            <w:pPr>
              <w:spacing w:before="0" w:after="0"/>
              <w:jc w:val="left"/>
              <w:rPr>
                <w:rFonts w:eastAsia="Times New Roman"/>
                <w:noProof/>
                <w:sz w:val="20"/>
                <w:szCs w:val="20"/>
                <w:lang w:eastAsia="en-IE"/>
              </w:rPr>
            </w:pPr>
          </w:p>
        </w:tc>
        <w:tc>
          <w:tcPr>
            <w:tcW w:w="1061" w:type="dxa"/>
            <w:tcBorders>
              <w:top w:val="nil"/>
              <w:left w:val="nil"/>
              <w:bottom w:val="nil"/>
              <w:right w:val="nil"/>
            </w:tcBorders>
            <w:shd w:val="clear" w:color="auto" w:fill="auto"/>
            <w:noWrap/>
            <w:vAlign w:val="bottom"/>
            <w:hideMark/>
          </w:tcPr>
          <w:p w14:paraId="279DD42D" w14:textId="77777777" w:rsidR="00922C2A" w:rsidRPr="00922C2A" w:rsidRDefault="00922C2A" w:rsidP="006F49C9">
            <w:pPr>
              <w:spacing w:before="0" w:after="0"/>
              <w:jc w:val="left"/>
              <w:rPr>
                <w:rFonts w:eastAsia="Times New Roman"/>
                <w:noProof/>
                <w:sz w:val="20"/>
                <w:szCs w:val="20"/>
                <w:lang w:eastAsia="en-IE"/>
              </w:rPr>
            </w:pPr>
          </w:p>
        </w:tc>
        <w:tc>
          <w:tcPr>
            <w:tcW w:w="1073" w:type="dxa"/>
            <w:tcBorders>
              <w:top w:val="nil"/>
              <w:left w:val="nil"/>
              <w:bottom w:val="nil"/>
              <w:right w:val="nil"/>
            </w:tcBorders>
            <w:shd w:val="clear" w:color="auto" w:fill="auto"/>
            <w:noWrap/>
            <w:vAlign w:val="bottom"/>
            <w:hideMark/>
          </w:tcPr>
          <w:p w14:paraId="6CE1907F" w14:textId="77777777" w:rsidR="00922C2A" w:rsidRPr="00922C2A" w:rsidRDefault="00922C2A" w:rsidP="006F49C9">
            <w:pPr>
              <w:spacing w:before="0" w:after="0"/>
              <w:jc w:val="left"/>
              <w:rPr>
                <w:rFonts w:eastAsia="Times New Roman"/>
                <w:noProof/>
                <w:sz w:val="20"/>
                <w:szCs w:val="20"/>
                <w:lang w:eastAsia="en-IE"/>
              </w:rPr>
            </w:pPr>
          </w:p>
        </w:tc>
        <w:tc>
          <w:tcPr>
            <w:tcW w:w="1071" w:type="dxa"/>
            <w:tcBorders>
              <w:top w:val="nil"/>
              <w:left w:val="nil"/>
              <w:bottom w:val="nil"/>
              <w:right w:val="nil"/>
            </w:tcBorders>
            <w:shd w:val="clear" w:color="auto" w:fill="auto"/>
            <w:noWrap/>
            <w:vAlign w:val="bottom"/>
            <w:hideMark/>
          </w:tcPr>
          <w:p w14:paraId="24714349" w14:textId="77777777" w:rsidR="00922C2A" w:rsidRPr="00922C2A" w:rsidRDefault="00922C2A" w:rsidP="006F49C9">
            <w:pPr>
              <w:spacing w:before="0" w:after="0"/>
              <w:jc w:val="left"/>
              <w:rPr>
                <w:rFonts w:eastAsia="Times New Roman"/>
                <w:noProof/>
                <w:sz w:val="20"/>
                <w:szCs w:val="20"/>
                <w:lang w:eastAsia="en-IE"/>
              </w:rPr>
            </w:pPr>
          </w:p>
        </w:tc>
        <w:tc>
          <w:tcPr>
            <w:tcW w:w="1301" w:type="dxa"/>
            <w:tcBorders>
              <w:top w:val="nil"/>
              <w:left w:val="nil"/>
              <w:bottom w:val="single" w:sz="4" w:space="0" w:color="auto"/>
              <w:right w:val="nil"/>
            </w:tcBorders>
            <w:shd w:val="clear" w:color="auto" w:fill="auto"/>
            <w:noWrap/>
            <w:vAlign w:val="bottom"/>
            <w:hideMark/>
          </w:tcPr>
          <w:p w14:paraId="282F17C5" w14:textId="77777777" w:rsidR="00922C2A" w:rsidRPr="00922C2A" w:rsidRDefault="00922C2A" w:rsidP="006F49C9">
            <w:pPr>
              <w:spacing w:before="0" w:after="0"/>
              <w:jc w:val="left"/>
              <w:rPr>
                <w:rFonts w:eastAsia="Times New Roman"/>
                <w:noProof/>
                <w:sz w:val="20"/>
                <w:szCs w:val="20"/>
                <w:lang w:eastAsia="en-IE"/>
              </w:rPr>
            </w:pPr>
          </w:p>
        </w:tc>
      </w:tr>
      <w:tr w:rsidR="00922C2A" w:rsidRPr="00922C2A" w14:paraId="065D903E" w14:textId="77777777" w:rsidTr="006F49C9">
        <w:trPr>
          <w:trHeight w:val="420"/>
        </w:trPr>
        <w:tc>
          <w:tcPr>
            <w:tcW w:w="6066" w:type="dxa"/>
            <w:gridSpan w:val="4"/>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3AE5B81B" w14:textId="77777777" w:rsidR="00922C2A" w:rsidRPr="00922C2A" w:rsidRDefault="00922C2A" w:rsidP="006F49C9">
            <w:pPr>
              <w:spacing w:before="0" w:after="0"/>
              <w:jc w:val="center"/>
              <w:rPr>
                <w:rFonts w:eastAsia="Times New Roman"/>
                <w:noProof/>
                <w:color w:val="000000"/>
                <w:sz w:val="22"/>
                <w:lang w:eastAsia="en-IE"/>
              </w:rPr>
            </w:pPr>
          </w:p>
        </w:tc>
        <w:tc>
          <w:tcPr>
            <w:tcW w:w="1063" w:type="dxa"/>
            <w:tcBorders>
              <w:top w:val="single" w:sz="8" w:space="0" w:color="auto"/>
              <w:left w:val="nil"/>
              <w:bottom w:val="single" w:sz="8" w:space="0" w:color="auto"/>
              <w:right w:val="single" w:sz="8" w:space="0" w:color="auto"/>
            </w:tcBorders>
            <w:shd w:val="clear" w:color="auto" w:fill="auto"/>
            <w:vAlign w:val="center"/>
            <w:hideMark/>
          </w:tcPr>
          <w:p w14:paraId="19D4A872"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c>
          <w:tcPr>
            <w:tcW w:w="1061" w:type="dxa"/>
            <w:tcBorders>
              <w:top w:val="single" w:sz="8" w:space="0" w:color="auto"/>
              <w:left w:val="nil"/>
              <w:bottom w:val="single" w:sz="8" w:space="0" w:color="auto"/>
              <w:right w:val="single" w:sz="8" w:space="0" w:color="auto"/>
            </w:tcBorders>
            <w:shd w:val="clear" w:color="auto" w:fill="auto"/>
            <w:vAlign w:val="center"/>
            <w:hideMark/>
          </w:tcPr>
          <w:p w14:paraId="0E4EDF94"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c>
          <w:tcPr>
            <w:tcW w:w="1073" w:type="dxa"/>
            <w:tcBorders>
              <w:top w:val="single" w:sz="8" w:space="0" w:color="auto"/>
              <w:left w:val="nil"/>
              <w:bottom w:val="single" w:sz="8" w:space="0" w:color="auto"/>
              <w:right w:val="single" w:sz="8" w:space="0" w:color="auto"/>
            </w:tcBorders>
            <w:shd w:val="clear" w:color="auto" w:fill="auto"/>
            <w:vAlign w:val="center"/>
            <w:hideMark/>
          </w:tcPr>
          <w:p w14:paraId="02E3F328"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c>
          <w:tcPr>
            <w:tcW w:w="1071" w:type="dxa"/>
            <w:tcBorders>
              <w:top w:val="single" w:sz="8" w:space="0" w:color="auto"/>
              <w:left w:val="nil"/>
              <w:bottom w:val="single" w:sz="8" w:space="0" w:color="auto"/>
              <w:right w:val="single" w:sz="4" w:space="0" w:color="auto"/>
            </w:tcBorders>
            <w:shd w:val="clear" w:color="auto" w:fill="auto"/>
            <w:vAlign w:val="center"/>
            <w:hideMark/>
          </w:tcPr>
          <w:p w14:paraId="7DF3F675"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c>
          <w:tcPr>
            <w:tcW w:w="1301" w:type="dxa"/>
            <w:vMerge w:val="restart"/>
            <w:tcBorders>
              <w:top w:val="single" w:sz="4" w:space="0" w:color="auto"/>
              <w:left w:val="single" w:sz="4" w:space="0" w:color="auto"/>
              <w:bottom w:val="single" w:sz="8" w:space="0" w:color="auto"/>
              <w:right w:val="single" w:sz="4" w:space="0" w:color="auto"/>
            </w:tcBorders>
            <w:shd w:val="clear" w:color="auto" w:fill="auto"/>
            <w:vAlign w:val="center"/>
            <w:hideMark/>
          </w:tcPr>
          <w:p w14:paraId="1342D7CD"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TOTAL CFP</w:t>
            </w:r>
            <w:r w:rsidRPr="00922C2A">
              <w:rPr>
                <w:b/>
                <w:noProof/>
                <w:color w:val="000000"/>
                <w:sz w:val="20"/>
              </w:rPr>
              <w:cr/>
            </w:r>
            <w:r w:rsidRPr="00922C2A">
              <w:rPr>
                <w:b/>
                <w:noProof/>
                <w:color w:val="000000"/>
                <w:sz w:val="20"/>
              </w:rPr>
              <w:br/>
              <w:t>2021-2027</w:t>
            </w:r>
          </w:p>
        </w:tc>
      </w:tr>
      <w:tr w:rsidR="00922C2A" w:rsidRPr="00922C2A" w14:paraId="7C58FEE0" w14:textId="77777777" w:rsidTr="006F49C9">
        <w:trPr>
          <w:trHeight w:val="315"/>
        </w:trPr>
        <w:tc>
          <w:tcPr>
            <w:tcW w:w="6066" w:type="dxa"/>
            <w:gridSpan w:val="4"/>
            <w:vMerge/>
            <w:vAlign w:val="center"/>
            <w:hideMark/>
          </w:tcPr>
          <w:p w14:paraId="4E7359EA" w14:textId="77777777" w:rsidR="00922C2A" w:rsidRPr="00922C2A" w:rsidRDefault="00922C2A" w:rsidP="006F49C9">
            <w:pPr>
              <w:spacing w:before="0" w:after="0"/>
              <w:jc w:val="left"/>
              <w:rPr>
                <w:rFonts w:eastAsia="Times New Roman"/>
                <w:noProof/>
                <w:color w:val="000000"/>
                <w:sz w:val="22"/>
                <w:lang w:eastAsia="en-IE"/>
              </w:rPr>
            </w:pPr>
          </w:p>
        </w:tc>
        <w:tc>
          <w:tcPr>
            <w:tcW w:w="1063" w:type="dxa"/>
            <w:tcBorders>
              <w:top w:val="nil"/>
              <w:left w:val="nil"/>
              <w:bottom w:val="single" w:sz="8" w:space="0" w:color="auto"/>
              <w:right w:val="single" w:sz="8" w:space="0" w:color="auto"/>
            </w:tcBorders>
            <w:shd w:val="clear" w:color="auto" w:fill="auto"/>
            <w:vAlign w:val="center"/>
            <w:hideMark/>
          </w:tcPr>
          <w:p w14:paraId="3A4D331C"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2024</w:t>
            </w:r>
          </w:p>
        </w:tc>
        <w:tc>
          <w:tcPr>
            <w:tcW w:w="1061" w:type="dxa"/>
            <w:tcBorders>
              <w:top w:val="nil"/>
              <w:left w:val="nil"/>
              <w:bottom w:val="single" w:sz="8" w:space="0" w:color="auto"/>
              <w:right w:val="single" w:sz="8" w:space="0" w:color="auto"/>
            </w:tcBorders>
            <w:shd w:val="clear" w:color="auto" w:fill="auto"/>
            <w:vAlign w:val="center"/>
            <w:hideMark/>
          </w:tcPr>
          <w:p w14:paraId="3EAE8F7D"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2025</w:t>
            </w:r>
          </w:p>
        </w:tc>
        <w:tc>
          <w:tcPr>
            <w:tcW w:w="1073" w:type="dxa"/>
            <w:tcBorders>
              <w:top w:val="nil"/>
              <w:left w:val="nil"/>
              <w:bottom w:val="single" w:sz="8" w:space="0" w:color="auto"/>
              <w:right w:val="single" w:sz="8" w:space="0" w:color="auto"/>
            </w:tcBorders>
            <w:shd w:val="clear" w:color="auto" w:fill="auto"/>
            <w:vAlign w:val="center"/>
            <w:hideMark/>
          </w:tcPr>
          <w:p w14:paraId="49C391D7"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2026</w:t>
            </w:r>
          </w:p>
        </w:tc>
        <w:tc>
          <w:tcPr>
            <w:tcW w:w="1071" w:type="dxa"/>
            <w:tcBorders>
              <w:top w:val="nil"/>
              <w:left w:val="nil"/>
              <w:bottom w:val="single" w:sz="8" w:space="0" w:color="auto"/>
              <w:right w:val="single" w:sz="4" w:space="0" w:color="auto"/>
            </w:tcBorders>
            <w:shd w:val="clear" w:color="auto" w:fill="auto"/>
            <w:vAlign w:val="center"/>
            <w:hideMark/>
          </w:tcPr>
          <w:p w14:paraId="6EBEC05E"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2027</w:t>
            </w:r>
          </w:p>
        </w:tc>
        <w:tc>
          <w:tcPr>
            <w:tcW w:w="1301" w:type="dxa"/>
            <w:vMerge/>
            <w:tcBorders>
              <w:top w:val="single" w:sz="8" w:space="0" w:color="auto"/>
              <w:left w:val="single" w:sz="4" w:space="0" w:color="auto"/>
              <w:bottom w:val="single" w:sz="4" w:space="0" w:color="auto"/>
              <w:right w:val="single" w:sz="4" w:space="0" w:color="auto"/>
            </w:tcBorders>
            <w:vAlign w:val="center"/>
            <w:hideMark/>
          </w:tcPr>
          <w:p w14:paraId="26E6B921" w14:textId="77777777" w:rsidR="00922C2A" w:rsidRPr="00922C2A" w:rsidRDefault="00922C2A" w:rsidP="006F49C9">
            <w:pPr>
              <w:spacing w:before="0" w:after="0"/>
              <w:jc w:val="left"/>
              <w:rPr>
                <w:rFonts w:eastAsia="Times New Roman"/>
                <w:b/>
                <w:bCs/>
                <w:noProof/>
                <w:color w:val="000000"/>
                <w:sz w:val="20"/>
                <w:szCs w:val="20"/>
                <w:lang w:eastAsia="en-IE"/>
              </w:rPr>
            </w:pPr>
          </w:p>
        </w:tc>
      </w:tr>
      <w:tr w:rsidR="00922C2A" w:rsidRPr="00922C2A" w14:paraId="3C57F62C" w14:textId="77777777" w:rsidTr="006F49C9">
        <w:trPr>
          <w:trHeight w:val="300"/>
        </w:trPr>
        <w:tc>
          <w:tcPr>
            <w:tcW w:w="11635" w:type="dxa"/>
            <w:gridSpan w:val="9"/>
            <w:tcBorders>
              <w:top w:val="single" w:sz="8" w:space="0" w:color="auto"/>
              <w:left w:val="single" w:sz="8" w:space="0" w:color="auto"/>
              <w:bottom w:val="single" w:sz="8" w:space="0" w:color="auto"/>
              <w:right w:val="single" w:sz="8" w:space="0" w:color="auto"/>
            </w:tcBorders>
            <w:shd w:val="clear" w:color="auto" w:fill="auto"/>
            <w:vAlign w:val="center"/>
            <w:hideMark/>
          </w:tcPr>
          <w:p w14:paraId="7D36DA0C" w14:textId="77777777" w:rsidR="00922C2A" w:rsidRPr="00922C2A" w:rsidRDefault="00922C2A" w:rsidP="006F49C9">
            <w:pPr>
              <w:spacing w:before="0" w:after="0"/>
              <w:jc w:val="left"/>
              <w:rPr>
                <w:rFonts w:eastAsia="Times New Roman"/>
                <w:noProof/>
                <w:color w:val="000000"/>
                <w:sz w:val="21"/>
                <w:szCs w:val="21"/>
              </w:rPr>
            </w:pPr>
            <w:r w:rsidRPr="00922C2A">
              <w:rPr>
                <w:noProof/>
                <w:color w:val="000000"/>
                <w:sz w:val="21"/>
              </w:rPr>
              <w:t xml:space="preserve">Crédits opérationnels </w:t>
            </w:r>
          </w:p>
        </w:tc>
      </w:tr>
      <w:tr w:rsidR="00922C2A" w:rsidRPr="00922C2A" w14:paraId="770F8E0C" w14:textId="77777777" w:rsidTr="006F49C9">
        <w:trPr>
          <w:trHeight w:val="315"/>
        </w:trPr>
        <w:tc>
          <w:tcPr>
            <w:tcW w:w="3874" w:type="dxa"/>
            <w:vMerge w:val="restart"/>
            <w:tcBorders>
              <w:top w:val="nil"/>
              <w:left w:val="single" w:sz="8" w:space="0" w:color="auto"/>
              <w:bottom w:val="single" w:sz="8" w:space="0" w:color="auto"/>
              <w:right w:val="single" w:sz="8" w:space="0" w:color="auto"/>
            </w:tcBorders>
            <w:shd w:val="clear" w:color="auto" w:fill="auto"/>
            <w:noWrap/>
            <w:vAlign w:val="center"/>
            <w:hideMark/>
          </w:tcPr>
          <w:p w14:paraId="158BBA8C" w14:textId="77777777" w:rsidR="00922C2A" w:rsidRPr="00922C2A" w:rsidRDefault="00922C2A" w:rsidP="006F49C9">
            <w:pPr>
              <w:spacing w:before="0" w:after="0"/>
              <w:jc w:val="left"/>
              <w:rPr>
                <w:rFonts w:eastAsia="Times New Roman"/>
                <w:noProof/>
                <w:color w:val="000000"/>
                <w:sz w:val="22"/>
              </w:rPr>
            </w:pPr>
            <w:r w:rsidRPr="00922C2A">
              <w:rPr>
                <w:noProof/>
                <w:color w:val="000000"/>
                <w:sz w:val="22"/>
              </w:rPr>
              <w:t>06 06 01 - Programme «L’UE pour la santé»</w:t>
            </w:r>
          </w:p>
        </w:tc>
        <w:tc>
          <w:tcPr>
            <w:tcW w:w="1396" w:type="dxa"/>
            <w:tcBorders>
              <w:top w:val="nil"/>
              <w:left w:val="nil"/>
              <w:bottom w:val="single" w:sz="8" w:space="0" w:color="auto"/>
              <w:right w:val="single" w:sz="8" w:space="0" w:color="auto"/>
            </w:tcBorders>
            <w:shd w:val="clear" w:color="auto" w:fill="auto"/>
            <w:vAlign w:val="center"/>
            <w:hideMark/>
          </w:tcPr>
          <w:p w14:paraId="2C80480E" w14:textId="77777777" w:rsidR="00922C2A" w:rsidRPr="00922C2A" w:rsidRDefault="00922C2A" w:rsidP="006F49C9">
            <w:pPr>
              <w:spacing w:before="0" w:after="0"/>
              <w:rPr>
                <w:rFonts w:eastAsia="Times New Roman"/>
                <w:noProof/>
                <w:color w:val="000000"/>
                <w:sz w:val="18"/>
                <w:szCs w:val="18"/>
              </w:rPr>
            </w:pPr>
            <w:r w:rsidRPr="00922C2A">
              <w:rPr>
                <w:noProof/>
                <w:color w:val="000000"/>
                <w:sz w:val="18"/>
              </w:rPr>
              <w:t>Engagements</w:t>
            </w:r>
          </w:p>
        </w:tc>
        <w:tc>
          <w:tcPr>
            <w:tcW w:w="796" w:type="dxa"/>
            <w:gridSpan w:val="2"/>
            <w:tcBorders>
              <w:top w:val="single" w:sz="8" w:space="0" w:color="auto"/>
              <w:left w:val="nil"/>
              <w:bottom w:val="single" w:sz="8" w:space="0" w:color="auto"/>
              <w:right w:val="single" w:sz="8" w:space="0" w:color="auto"/>
            </w:tcBorders>
            <w:shd w:val="clear" w:color="auto" w:fill="auto"/>
            <w:vAlign w:val="center"/>
            <w:hideMark/>
          </w:tcPr>
          <w:p w14:paraId="50590798" w14:textId="77777777" w:rsidR="00922C2A" w:rsidRPr="00922C2A" w:rsidRDefault="00922C2A" w:rsidP="006F49C9">
            <w:pPr>
              <w:spacing w:before="0" w:after="0"/>
              <w:jc w:val="center"/>
              <w:rPr>
                <w:rFonts w:eastAsia="Times New Roman"/>
                <w:noProof/>
                <w:color w:val="000000"/>
                <w:sz w:val="14"/>
                <w:szCs w:val="14"/>
              </w:rPr>
            </w:pPr>
            <w:r w:rsidRPr="00922C2A">
              <w:rPr>
                <w:noProof/>
                <w:color w:val="000000"/>
                <w:sz w:val="14"/>
              </w:rPr>
              <w:t>(1a)</w:t>
            </w:r>
          </w:p>
        </w:tc>
        <w:tc>
          <w:tcPr>
            <w:tcW w:w="1063" w:type="dxa"/>
            <w:tcBorders>
              <w:top w:val="nil"/>
              <w:left w:val="nil"/>
              <w:bottom w:val="single" w:sz="8" w:space="0" w:color="auto"/>
              <w:right w:val="single" w:sz="8" w:space="0" w:color="auto"/>
            </w:tcBorders>
            <w:shd w:val="clear" w:color="auto" w:fill="auto"/>
            <w:vAlign w:val="center"/>
            <w:hideMark/>
          </w:tcPr>
          <w:p w14:paraId="02852924"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 </w:t>
            </w:r>
          </w:p>
        </w:tc>
        <w:tc>
          <w:tcPr>
            <w:tcW w:w="1061" w:type="dxa"/>
            <w:tcBorders>
              <w:top w:val="nil"/>
              <w:left w:val="nil"/>
              <w:bottom w:val="single" w:sz="8" w:space="0" w:color="auto"/>
              <w:right w:val="single" w:sz="8" w:space="0" w:color="auto"/>
            </w:tcBorders>
            <w:shd w:val="clear" w:color="auto" w:fill="auto"/>
            <w:vAlign w:val="center"/>
            <w:hideMark/>
          </w:tcPr>
          <w:p w14:paraId="4987F22A"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 </w:t>
            </w:r>
          </w:p>
        </w:tc>
        <w:tc>
          <w:tcPr>
            <w:tcW w:w="1073" w:type="dxa"/>
            <w:tcBorders>
              <w:top w:val="nil"/>
              <w:left w:val="nil"/>
              <w:bottom w:val="single" w:sz="8" w:space="0" w:color="auto"/>
              <w:right w:val="single" w:sz="8" w:space="0" w:color="auto"/>
            </w:tcBorders>
            <w:shd w:val="clear" w:color="auto" w:fill="auto"/>
            <w:vAlign w:val="center"/>
            <w:hideMark/>
          </w:tcPr>
          <w:p w14:paraId="7F6215EA"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40,405</w:t>
            </w:r>
          </w:p>
        </w:tc>
        <w:tc>
          <w:tcPr>
            <w:tcW w:w="1071" w:type="dxa"/>
            <w:tcBorders>
              <w:top w:val="nil"/>
              <w:left w:val="nil"/>
              <w:bottom w:val="single" w:sz="8" w:space="0" w:color="auto"/>
              <w:right w:val="single" w:sz="8" w:space="0" w:color="auto"/>
            </w:tcBorders>
            <w:shd w:val="clear" w:color="auto" w:fill="auto"/>
            <w:vAlign w:val="center"/>
            <w:hideMark/>
          </w:tcPr>
          <w:p w14:paraId="70EFAEFC"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41,213</w:t>
            </w:r>
          </w:p>
        </w:tc>
        <w:tc>
          <w:tcPr>
            <w:tcW w:w="1301" w:type="dxa"/>
            <w:tcBorders>
              <w:top w:val="nil"/>
              <w:left w:val="nil"/>
              <w:bottom w:val="single" w:sz="8" w:space="0" w:color="auto"/>
              <w:right w:val="single" w:sz="8" w:space="0" w:color="auto"/>
            </w:tcBorders>
            <w:shd w:val="clear" w:color="auto" w:fill="D9D9D9" w:themeFill="background1" w:themeFillShade="D9"/>
            <w:vAlign w:val="center"/>
            <w:hideMark/>
          </w:tcPr>
          <w:p w14:paraId="3618F8DA"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81,618</w:t>
            </w:r>
          </w:p>
        </w:tc>
      </w:tr>
      <w:tr w:rsidR="00922C2A" w:rsidRPr="00922C2A" w14:paraId="2F85F4D6" w14:textId="77777777" w:rsidTr="006F49C9">
        <w:trPr>
          <w:trHeight w:val="315"/>
        </w:trPr>
        <w:tc>
          <w:tcPr>
            <w:tcW w:w="3874" w:type="dxa"/>
            <w:vMerge/>
            <w:vAlign w:val="center"/>
            <w:hideMark/>
          </w:tcPr>
          <w:p w14:paraId="2AC94DCF" w14:textId="77777777" w:rsidR="00922C2A" w:rsidRPr="00922C2A" w:rsidRDefault="00922C2A" w:rsidP="006F49C9">
            <w:pPr>
              <w:spacing w:before="0" w:after="0"/>
              <w:jc w:val="left"/>
              <w:rPr>
                <w:rFonts w:eastAsia="Times New Roman"/>
                <w:noProof/>
                <w:color w:val="000000"/>
                <w:sz w:val="22"/>
                <w:lang w:eastAsia="en-IE"/>
              </w:rPr>
            </w:pPr>
          </w:p>
        </w:tc>
        <w:tc>
          <w:tcPr>
            <w:tcW w:w="1396" w:type="dxa"/>
            <w:tcBorders>
              <w:top w:val="nil"/>
              <w:left w:val="nil"/>
              <w:bottom w:val="single" w:sz="8" w:space="0" w:color="auto"/>
              <w:right w:val="single" w:sz="8" w:space="0" w:color="auto"/>
            </w:tcBorders>
            <w:shd w:val="clear" w:color="auto" w:fill="auto"/>
            <w:vAlign w:val="center"/>
            <w:hideMark/>
          </w:tcPr>
          <w:p w14:paraId="07BAC3F6" w14:textId="77777777" w:rsidR="00922C2A" w:rsidRPr="00922C2A" w:rsidRDefault="00922C2A" w:rsidP="006F49C9">
            <w:pPr>
              <w:spacing w:before="0" w:after="0"/>
              <w:rPr>
                <w:rFonts w:eastAsia="Times New Roman"/>
                <w:noProof/>
                <w:color w:val="000000"/>
                <w:sz w:val="18"/>
                <w:szCs w:val="18"/>
              </w:rPr>
            </w:pPr>
            <w:r w:rsidRPr="00922C2A">
              <w:rPr>
                <w:noProof/>
                <w:color w:val="000000"/>
                <w:sz w:val="18"/>
              </w:rPr>
              <w:t>Paiements</w:t>
            </w:r>
          </w:p>
        </w:tc>
        <w:tc>
          <w:tcPr>
            <w:tcW w:w="796" w:type="dxa"/>
            <w:gridSpan w:val="2"/>
            <w:tcBorders>
              <w:top w:val="single" w:sz="8" w:space="0" w:color="auto"/>
              <w:left w:val="nil"/>
              <w:bottom w:val="single" w:sz="8" w:space="0" w:color="auto"/>
              <w:right w:val="single" w:sz="8" w:space="0" w:color="auto"/>
            </w:tcBorders>
            <w:shd w:val="clear" w:color="auto" w:fill="auto"/>
            <w:vAlign w:val="center"/>
            <w:hideMark/>
          </w:tcPr>
          <w:p w14:paraId="22FC6BF7" w14:textId="77777777" w:rsidR="00922C2A" w:rsidRPr="00922C2A" w:rsidRDefault="00922C2A" w:rsidP="006F49C9">
            <w:pPr>
              <w:spacing w:before="0" w:after="0"/>
              <w:jc w:val="center"/>
              <w:rPr>
                <w:rFonts w:eastAsia="Times New Roman"/>
                <w:noProof/>
                <w:color w:val="000000"/>
                <w:sz w:val="14"/>
                <w:szCs w:val="14"/>
              </w:rPr>
            </w:pPr>
            <w:r w:rsidRPr="00922C2A">
              <w:rPr>
                <w:noProof/>
                <w:color w:val="000000"/>
                <w:sz w:val="14"/>
              </w:rPr>
              <w:t>(2a)</w:t>
            </w:r>
          </w:p>
        </w:tc>
        <w:tc>
          <w:tcPr>
            <w:tcW w:w="1063" w:type="dxa"/>
            <w:tcBorders>
              <w:top w:val="nil"/>
              <w:left w:val="nil"/>
              <w:bottom w:val="single" w:sz="8" w:space="0" w:color="auto"/>
              <w:right w:val="single" w:sz="8" w:space="0" w:color="auto"/>
            </w:tcBorders>
            <w:shd w:val="clear" w:color="auto" w:fill="auto"/>
            <w:vAlign w:val="center"/>
            <w:hideMark/>
          </w:tcPr>
          <w:p w14:paraId="48C6B407"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 </w:t>
            </w:r>
          </w:p>
        </w:tc>
        <w:tc>
          <w:tcPr>
            <w:tcW w:w="1061" w:type="dxa"/>
            <w:tcBorders>
              <w:top w:val="nil"/>
              <w:left w:val="nil"/>
              <w:bottom w:val="single" w:sz="8" w:space="0" w:color="auto"/>
              <w:right w:val="single" w:sz="8" w:space="0" w:color="auto"/>
            </w:tcBorders>
            <w:shd w:val="clear" w:color="auto" w:fill="auto"/>
            <w:vAlign w:val="center"/>
            <w:hideMark/>
          </w:tcPr>
          <w:p w14:paraId="09F54D75"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 </w:t>
            </w:r>
          </w:p>
        </w:tc>
        <w:tc>
          <w:tcPr>
            <w:tcW w:w="1073" w:type="dxa"/>
            <w:tcBorders>
              <w:top w:val="nil"/>
              <w:left w:val="nil"/>
              <w:bottom w:val="single" w:sz="8" w:space="0" w:color="auto"/>
              <w:right w:val="single" w:sz="8" w:space="0" w:color="auto"/>
            </w:tcBorders>
            <w:shd w:val="clear" w:color="auto" w:fill="auto"/>
            <w:vAlign w:val="center"/>
            <w:hideMark/>
          </w:tcPr>
          <w:p w14:paraId="22A93DF9"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28,284</w:t>
            </w:r>
          </w:p>
        </w:tc>
        <w:tc>
          <w:tcPr>
            <w:tcW w:w="1071" w:type="dxa"/>
            <w:tcBorders>
              <w:top w:val="nil"/>
              <w:left w:val="nil"/>
              <w:bottom w:val="single" w:sz="8" w:space="0" w:color="auto"/>
              <w:right w:val="single" w:sz="8" w:space="0" w:color="auto"/>
            </w:tcBorders>
            <w:shd w:val="clear" w:color="auto" w:fill="auto"/>
            <w:vAlign w:val="center"/>
            <w:hideMark/>
          </w:tcPr>
          <w:p w14:paraId="51BB4356"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40,971</w:t>
            </w:r>
          </w:p>
        </w:tc>
        <w:tc>
          <w:tcPr>
            <w:tcW w:w="1301" w:type="dxa"/>
            <w:tcBorders>
              <w:top w:val="nil"/>
              <w:left w:val="nil"/>
              <w:bottom w:val="single" w:sz="8" w:space="0" w:color="auto"/>
              <w:right w:val="single" w:sz="8" w:space="0" w:color="auto"/>
            </w:tcBorders>
            <w:shd w:val="clear" w:color="auto" w:fill="D9D9D9" w:themeFill="background1" w:themeFillShade="D9"/>
            <w:vAlign w:val="center"/>
            <w:hideMark/>
          </w:tcPr>
          <w:p w14:paraId="181317D5"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69,254</w:t>
            </w:r>
          </w:p>
        </w:tc>
      </w:tr>
      <w:tr w:rsidR="00922C2A" w:rsidRPr="00922C2A" w14:paraId="7005D8C1" w14:textId="77777777" w:rsidTr="006F49C9">
        <w:trPr>
          <w:trHeight w:val="315"/>
        </w:trPr>
        <w:tc>
          <w:tcPr>
            <w:tcW w:w="3874" w:type="dxa"/>
            <w:vMerge w:val="restart"/>
            <w:tcBorders>
              <w:top w:val="nil"/>
              <w:left w:val="single" w:sz="8" w:space="0" w:color="auto"/>
              <w:bottom w:val="single" w:sz="8" w:space="0" w:color="auto"/>
              <w:right w:val="single" w:sz="8" w:space="0" w:color="auto"/>
            </w:tcBorders>
            <w:shd w:val="clear" w:color="auto" w:fill="auto"/>
            <w:vAlign w:val="center"/>
            <w:hideMark/>
          </w:tcPr>
          <w:p w14:paraId="410E80E5" w14:textId="77777777" w:rsidR="00922C2A" w:rsidRPr="00922C2A" w:rsidRDefault="00922C2A" w:rsidP="006F49C9">
            <w:pPr>
              <w:spacing w:before="0" w:after="0"/>
              <w:rPr>
                <w:rFonts w:eastAsia="Times New Roman"/>
                <w:noProof/>
                <w:color w:val="000000"/>
                <w:sz w:val="20"/>
                <w:szCs w:val="20"/>
              </w:rPr>
            </w:pPr>
            <w:r w:rsidRPr="00922C2A">
              <w:rPr>
                <w:noProof/>
                <w:color w:val="000000"/>
                <w:sz w:val="20"/>
              </w:rPr>
              <w:t>06 10 03 Contribution de l’Union à l’Agence européenne des médicaments</w:t>
            </w:r>
          </w:p>
        </w:tc>
        <w:tc>
          <w:tcPr>
            <w:tcW w:w="1396" w:type="dxa"/>
            <w:tcBorders>
              <w:top w:val="nil"/>
              <w:left w:val="nil"/>
              <w:bottom w:val="single" w:sz="8" w:space="0" w:color="auto"/>
              <w:right w:val="single" w:sz="8" w:space="0" w:color="auto"/>
            </w:tcBorders>
            <w:shd w:val="clear" w:color="auto" w:fill="auto"/>
            <w:vAlign w:val="center"/>
            <w:hideMark/>
          </w:tcPr>
          <w:p w14:paraId="6473B226" w14:textId="77777777" w:rsidR="00922C2A" w:rsidRPr="00922C2A" w:rsidRDefault="00922C2A" w:rsidP="006F49C9">
            <w:pPr>
              <w:spacing w:before="0" w:after="0"/>
              <w:rPr>
                <w:rFonts w:eastAsia="Times New Roman"/>
                <w:noProof/>
                <w:color w:val="000000"/>
                <w:sz w:val="18"/>
                <w:szCs w:val="18"/>
              </w:rPr>
            </w:pPr>
            <w:r w:rsidRPr="00922C2A">
              <w:rPr>
                <w:noProof/>
                <w:color w:val="000000"/>
                <w:sz w:val="18"/>
              </w:rPr>
              <w:t>Engagements</w:t>
            </w:r>
          </w:p>
        </w:tc>
        <w:tc>
          <w:tcPr>
            <w:tcW w:w="796" w:type="dxa"/>
            <w:gridSpan w:val="2"/>
            <w:tcBorders>
              <w:top w:val="single" w:sz="8" w:space="0" w:color="auto"/>
              <w:left w:val="nil"/>
              <w:bottom w:val="single" w:sz="8" w:space="0" w:color="auto"/>
              <w:right w:val="single" w:sz="8" w:space="0" w:color="auto"/>
            </w:tcBorders>
            <w:shd w:val="clear" w:color="auto" w:fill="auto"/>
            <w:vAlign w:val="center"/>
            <w:hideMark/>
          </w:tcPr>
          <w:p w14:paraId="4586374B" w14:textId="77777777" w:rsidR="00922C2A" w:rsidRPr="00922C2A" w:rsidRDefault="00922C2A" w:rsidP="006F49C9">
            <w:pPr>
              <w:spacing w:before="0" w:after="0"/>
              <w:jc w:val="center"/>
              <w:rPr>
                <w:rFonts w:eastAsia="Times New Roman"/>
                <w:noProof/>
                <w:color w:val="000000"/>
                <w:sz w:val="14"/>
                <w:szCs w:val="14"/>
              </w:rPr>
            </w:pPr>
            <w:r w:rsidRPr="00922C2A">
              <w:rPr>
                <w:noProof/>
                <w:color w:val="000000"/>
                <w:sz w:val="14"/>
              </w:rPr>
              <w:t>(1b)</w:t>
            </w:r>
          </w:p>
        </w:tc>
        <w:tc>
          <w:tcPr>
            <w:tcW w:w="1063" w:type="dxa"/>
            <w:tcBorders>
              <w:top w:val="nil"/>
              <w:left w:val="nil"/>
              <w:bottom w:val="single" w:sz="8" w:space="0" w:color="auto"/>
              <w:right w:val="single" w:sz="8" w:space="0" w:color="auto"/>
            </w:tcBorders>
            <w:shd w:val="clear" w:color="auto" w:fill="auto"/>
            <w:vAlign w:val="center"/>
            <w:hideMark/>
          </w:tcPr>
          <w:p w14:paraId="490409C5"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 </w:t>
            </w:r>
          </w:p>
        </w:tc>
        <w:tc>
          <w:tcPr>
            <w:tcW w:w="1061" w:type="dxa"/>
            <w:tcBorders>
              <w:top w:val="nil"/>
              <w:left w:val="nil"/>
              <w:bottom w:val="single" w:sz="8" w:space="0" w:color="auto"/>
              <w:right w:val="single" w:sz="8" w:space="0" w:color="auto"/>
            </w:tcBorders>
            <w:shd w:val="clear" w:color="auto" w:fill="auto"/>
            <w:vAlign w:val="center"/>
            <w:hideMark/>
          </w:tcPr>
          <w:p w14:paraId="3AF79605"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 </w:t>
            </w:r>
          </w:p>
        </w:tc>
        <w:tc>
          <w:tcPr>
            <w:tcW w:w="1073" w:type="dxa"/>
            <w:tcBorders>
              <w:top w:val="nil"/>
              <w:left w:val="nil"/>
              <w:bottom w:val="single" w:sz="8" w:space="0" w:color="auto"/>
              <w:right w:val="single" w:sz="8" w:space="0" w:color="auto"/>
            </w:tcBorders>
            <w:shd w:val="clear" w:color="auto" w:fill="auto"/>
            <w:vAlign w:val="center"/>
            <w:hideMark/>
          </w:tcPr>
          <w:p w14:paraId="47431449"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0,651</w:t>
            </w:r>
          </w:p>
        </w:tc>
        <w:tc>
          <w:tcPr>
            <w:tcW w:w="1071" w:type="dxa"/>
            <w:tcBorders>
              <w:top w:val="nil"/>
              <w:left w:val="nil"/>
              <w:bottom w:val="single" w:sz="8" w:space="0" w:color="auto"/>
              <w:right w:val="single" w:sz="8" w:space="0" w:color="auto"/>
            </w:tcBorders>
            <w:shd w:val="clear" w:color="auto" w:fill="auto"/>
            <w:vAlign w:val="center"/>
            <w:hideMark/>
          </w:tcPr>
          <w:p w14:paraId="736DFF85"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0,758</w:t>
            </w:r>
          </w:p>
        </w:tc>
        <w:tc>
          <w:tcPr>
            <w:tcW w:w="1301" w:type="dxa"/>
            <w:tcBorders>
              <w:top w:val="nil"/>
              <w:left w:val="nil"/>
              <w:bottom w:val="single" w:sz="8" w:space="0" w:color="auto"/>
              <w:right w:val="single" w:sz="8" w:space="0" w:color="auto"/>
            </w:tcBorders>
            <w:shd w:val="clear" w:color="auto" w:fill="D9D9D9" w:themeFill="background1" w:themeFillShade="D9"/>
            <w:vAlign w:val="center"/>
            <w:hideMark/>
          </w:tcPr>
          <w:p w14:paraId="5DF08AB3"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1,408</w:t>
            </w:r>
          </w:p>
        </w:tc>
      </w:tr>
      <w:tr w:rsidR="00922C2A" w:rsidRPr="00922C2A" w14:paraId="5F46EFAC" w14:textId="77777777" w:rsidTr="006F49C9">
        <w:trPr>
          <w:trHeight w:val="315"/>
        </w:trPr>
        <w:tc>
          <w:tcPr>
            <w:tcW w:w="3874" w:type="dxa"/>
            <w:vMerge/>
            <w:vAlign w:val="center"/>
            <w:hideMark/>
          </w:tcPr>
          <w:p w14:paraId="2B595B40" w14:textId="77777777" w:rsidR="00922C2A" w:rsidRPr="00922C2A" w:rsidRDefault="00922C2A" w:rsidP="006F49C9">
            <w:pPr>
              <w:spacing w:before="0" w:after="0"/>
              <w:jc w:val="left"/>
              <w:rPr>
                <w:rFonts w:eastAsia="Times New Roman"/>
                <w:noProof/>
                <w:color w:val="000000"/>
                <w:sz w:val="20"/>
                <w:szCs w:val="20"/>
                <w:lang w:eastAsia="en-IE"/>
              </w:rPr>
            </w:pPr>
          </w:p>
        </w:tc>
        <w:tc>
          <w:tcPr>
            <w:tcW w:w="1396" w:type="dxa"/>
            <w:tcBorders>
              <w:top w:val="nil"/>
              <w:left w:val="nil"/>
              <w:bottom w:val="single" w:sz="8" w:space="0" w:color="auto"/>
              <w:right w:val="single" w:sz="8" w:space="0" w:color="auto"/>
            </w:tcBorders>
            <w:shd w:val="clear" w:color="auto" w:fill="auto"/>
            <w:vAlign w:val="center"/>
            <w:hideMark/>
          </w:tcPr>
          <w:p w14:paraId="1E0E78E6" w14:textId="77777777" w:rsidR="00922C2A" w:rsidRPr="00922C2A" w:rsidRDefault="00922C2A" w:rsidP="006F49C9">
            <w:pPr>
              <w:spacing w:before="0" w:after="0"/>
              <w:rPr>
                <w:rFonts w:eastAsia="Times New Roman"/>
                <w:noProof/>
                <w:color w:val="000000"/>
                <w:sz w:val="18"/>
                <w:szCs w:val="18"/>
              </w:rPr>
            </w:pPr>
            <w:r w:rsidRPr="00922C2A">
              <w:rPr>
                <w:noProof/>
                <w:color w:val="000000"/>
                <w:sz w:val="18"/>
              </w:rPr>
              <w:t>Paiements</w:t>
            </w:r>
          </w:p>
        </w:tc>
        <w:tc>
          <w:tcPr>
            <w:tcW w:w="796" w:type="dxa"/>
            <w:gridSpan w:val="2"/>
            <w:tcBorders>
              <w:top w:val="single" w:sz="8" w:space="0" w:color="auto"/>
              <w:left w:val="nil"/>
              <w:bottom w:val="single" w:sz="8" w:space="0" w:color="auto"/>
              <w:right w:val="single" w:sz="8" w:space="0" w:color="auto"/>
            </w:tcBorders>
            <w:shd w:val="clear" w:color="auto" w:fill="auto"/>
            <w:vAlign w:val="center"/>
            <w:hideMark/>
          </w:tcPr>
          <w:p w14:paraId="2C40D072" w14:textId="77777777" w:rsidR="00922C2A" w:rsidRPr="00922C2A" w:rsidRDefault="00922C2A" w:rsidP="006F49C9">
            <w:pPr>
              <w:spacing w:before="0" w:after="0"/>
              <w:jc w:val="center"/>
              <w:rPr>
                <w:rFonts w:eastAsia="Times New Roman"/>
                <w:noProof/>
                <w:color w:val="000000"/>
                <w:sz w:val="14"/>
                <w:szCs w:val="14"/>
              </w:rPr>
            </w:pPr>
            <w:r w:rsidRPr="00922C2A">
              <w:rPr>
                <w:noProof/>
                <w:color w:val="000000"/>
                <w:sz w:val="14"/>
              </w:rPr>
              <w:t>(2b)</w:t>
            </w:r>
          </w:p>
        </w:tc>
        <w:tc>
          <w:tcPr>
            <w:tcW w:w="1063" w:type="dxa"/>
            <w:tcBorders>
              <w:top w:val="nil"/>
              <w:left w:val="nil"/>
              <w:bottom w:val="single" w:sz="8" w:space="0" w:color="auto"/>
              <w:right w:val="single" w:sz="8" w:space="0" w:color="auto"/>
            </w:tcBorders>
            <w:shd w:val="clear" w:color="auto" w:fill="auto"/>
            <w:vAlign w:val="center"/>
            <w:hideMark/>
          </w:tcPr>
          <w:p w14:paraId="4D89646E"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 </w:t>
            </w:r>
          </w:p>
        </w:tc>
        <w:tc>
          <w:tcPr>
            <w:tcW w:w="1061" w:type="dxa"/>
            <w:tcBorders>
              <w:top w:val="nil"/>
              <w:left w:val="nil"/>
              <w:bottom w:val="single" w:sz="8" w:space="0" w:color="auto"/>
              <w:right w:val="single" w:sz="8" w:space="0" w:color="auto"/>
            </w:tcBorders>
            <w:shd w:val="clear" w:color="auto" w:fill="auto"/>
            <w:vAlign w:val="center"/>
            <w:hideMark/>
          </w:tcPr>
          <w:p w14:paraId="2ADEA096"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 </w:t>
            </w:r>
          </w:p>
        </w:tc>
        <w:tc>
          <w:tcPr>
            <w:tcW w:w="1073" w:type="dxa"/>
            <w:tcBorders>
              <w:top w:val="nil"/>
              <w:left w:val="nil"/>
              <w:bottom w:val="single" w:sz="8" w:space="0" w:color="auto"/>
              <w:right w:val="single" w:sz="8" w:space="0" w:color="auto"/>
            </w:tcBorders>
            <w:shd w:val="clear" w:color="auto" w:fill="auto"/>
            <w:vAlign w:val="center"/>
            <w:hideMark/>
          </w:tcPr>
          <w:p w14:paraId="39C35F0D"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0,651</w:t>
            </w:r>
          </w:p>
        </w:tc>
        <w:tc>
          <w:tcPr>
            <w:tcW w:w="1071" w:type="dxa"/>
            <w:tcBorders>
              <w:top w:val="nil"/>
              <w:left w:val="nil"/>
              <w:bottom w:val="single" w:sz="8" w:space="0" w:color="auto"/>
              <w:right w:val="single" w:sz="8" w:space="0" w:color="auto"/>
            </w:tcBorders>
            <w:shd w:val="clear" w:color="auto" w:fill="auto"/>
            <w:vAlign w:val="center"/>
            <w:hideMark/>
          </w:tcPr>
          <w:p w14:paraId="17225748"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0,758</w:t>
            </w:r>
          </w:p>
        </w:tc>
        <w:tc>
          <w:tcPr>
            <w:tcW w:w="1301" w:type="dxa"/>
            <w:tcBorders>
              <w:top w:val="nil"/>
              <w:left w:val="nil"/>
              <w:bottom w:val="single" w:sz="8" w:space="0" w:color="auto"/>
              <w:right w:val="single" w:sz="8" w:space="0" w:color="auto"/>
            </w:tcBorders>
            <w:shd w:val="clear" w:color="auto" w:fill="D9D9D9" w:themeFill="background1" w:themeFillShade="D9"/>
            <w:vAlign w:val="center"/>
            <w:hideMark/>
          </w:tcPr>
          <w:p w14:paraId="1B7B2BAB"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1,408</w:t>
            </w:r>
          </w:p>
        </w:tc>
      </w:tr>
      <w:tr w:rsidR="00922C2A" w:rsidRPr="00922C2A" w14:paraId="3610DA45" w14:textId="77777777" w:rsidTr="006F49C9">
        <w:trPr>
          <w:trHeight w:val="315"/>
        </w:trPr>
        <w:tc>
          <w:tcPr>
            <w:tcW w:w="11635" w:type="dxa"/>
            <w:gridSpan w:val="9"/>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F658E4C" w14:textId="77777777" w:rsidR="00922C2A" w:rsidRPr="00922C2A" w:rsidRDefault="00922C2A" w:rsidP="006F49C9">
            <w:pPr>
              <w:spacing w:before="0" w:after="0"/>
              <w:jc w:val="left"/>
              <w:rPr>
                <w:rFonts w:eastAsia="Times New Roman"/>
                <w:noProof/>
                <w:color w:val="000000"/>
                <w:sz w:val="22"/>
              </w:rPr>
            </w:pPr>
            <w:r w:rsidRPr="00922C2A">
              <w:rPr>
                <w:noProof/>
                <w:color w:val="000000"/>
                <w:sz w:val="22"/>
              </w:rPr>
              <w:t>Crédits de nature administrative financés par l’enveloppe de certains programmes spécifiques</w:t>
            </w:r>
          </w:p>
        </w:tc>
      </w:tr>
      <w:tr w:rsidR="00922C2A" w:rsidRPr="00922C2A" w14:paraId="18348B18" w14:textId="77777777" w:rsidTr="006F49C9">
        <w:trPr>
          <w:trHeight w:val="315"/>
        </w:trPr>
        <w:tc>
          <w:tcPr>
            <w:tcW w:w="3874" w:type="dxa"/>
            <w:tcBorders>
              <w:top w:val="nil"/>
              <w:left w:val="single" w:sz="8" w:space="0" w:color="auto"/>
              <w:bottom w:val="single" w:sz="8" w:space="0" w:color="auto"/>
              <w:right w:val="single" w:sz="8" w:space="0" w:color="auto"/>
            </w:tcBorders>
            <w:shd w:val="clear" w:color="auto" w:fill="auto"/>
            <w:vAlign w:val="center"/>
            <w:hideMark/>
          </w:tcPr>
          <w:p w14:paraId="3F9248AE" w14:textId="77777777" w:rsidR="00922C2A" w:rsidRPr="00922C2A" w:rsidRDefault="00922C2A" w:rsidP="006F49C9">
            <w:pPr>
              <w:spacing w:before="0" w:after="0"/>
              <w:rPr>
                <w:rFonts w:eastAsia="Times New Roman"/>
                <w:noProof/>
                <w:color w:val="000000"/>
                <w:sz w:val="20"/>
                <w:szCs w:val="20"/>
              </w:rPr>
            </w:pPr>
            <w:r w:rsidRPr="00922C2A">
              <w:rPr>
                <w:noProof/>
                <w:color w:val="000000"/>
                <w:sz w:val="20"/>
              </w:rPr>
              <w:t>Ligne budgétaire</w:t>
            </w:r>
          </w:p>
        </w:tc>
        <w:tc>
          <w:tcPr>
            <w:tcW w:w="1396" w:type="dxa"/>
            <w:tcBorders>
              <w:top w:val="nil"/>
              <w:left w:val="nil"/>
              <w:bottom w:val="single" w:sz="8" w:space="0" w:color="auto"/>
              <w:right w:val="single" w:sz="8" w:space="0" w:color="auto"/>
            </w:tcBorders>
            <w:shd w:val="clear" w:color="auto" w:fill="auto"/>
            <w:vAlign w:val="center"/>
            <w:hideMark/>
          </w:tcPr>
          <w:p w14:paraId="69FB1D37" w14:textId="77777777" w:rsidR="00922C2A" w:rsidRPr="00922C2A" w:rsidRDefault="00922C2A" w:rsidP="006F49C9">
            <w:pPr>
              <w:spacing w:before="0" w:after="0"/>
              <w:jc w:val="right"/>
              <w:rPr>
                <w:rFonts w:eastAsia="Times New Roman"/>
                <w:noProof/>
                <w:color w:val="000000"/>
                <w:sz w:val="18"/>
                <w:szCs w:val="18"/>
              </w:rPr>
            </w:pPr>
            <w:r w:rsidRPr="00922C2A">
              <w:rPr>
                <w:noProof/>
                <w:color w:val="000000"/>
                <w:sz w:val="18"/>
              </w:rPr>
              <w:t> </w:t>
            </w:r>
          </w:p>
        </w:tc>
        <w:tc>
          <w:tcPr>
            <w:tcW w:w="796" w:type="dxa"/>
            <w:gridSpan w:val="2"/>
            <w:tcBorders>
              <w:top w:val="single" w:sz="8" w:space="0" w:color="auto"/>
              <w:left w:val="nil"/>
              <w:bottom w:val="single" w:sz="8" w:space="0" w:color="auto"/>
              <w:right w:val="single" w:sz="8" w:space="0" w:color="auto"/>
            </w:tcBorders>
            <w:shd w:val="clear" w:color="auto" w:fill="auto"/>
            <w:vAlign w:val="center"/>
            <w:hideMark/>
          </w:tcPr>
          <w:p w14:paraId="619CB74C" w14:textId="77777777" w:rsidR="00922C2A" w:rsidRPr="00922C2A" w:rsidRDefault="00922C2A" w:rsidP="006F49C9">
            <w:pPr>
              <w:spacing w:before="0" w:after="0"/>
              <w:jc w:val="center"/>
              <w:rPr>
                <w:rFonts w:eastAsia="Times New Roman"/>
                <w:noProof/>
                <w:color w:val="000000"/>
                <w:sz w:val="14"/>
                <w:szCs w:val="14"/>
              </w:rPr>
            </w:pPr>
            <w:r w:rsidRPr="00922C2A">
              <w:rPr>
                <w:noProof/>
                <w:color w:val="000000"/>
                <w:sz w:val="14"/>
              </w:rPr>
              <w:t>(3)</w:t>
            </w:r>
          </w:p>
        </w:tc>
        <w:tc>
          <w:tcPr>
            <w:tcW w:w="1063" w:type="dxa"/>
            <w:tcBorders>
              <w:top w:val="nil"/>
              <w:left w:val="nil"/>
              <w:bottom w:val="single" w:sz="8" w:space="0" w:color="auto"/>
              <w:right w:val="single" w:sz="8" w:space="0" w:color="auto"/>
            </w:tcBorders>
            <w:shd w:val="clear" w:color="auto" w:fill="auto"/>
            <w:vAlign w:val="center"/>
            <w:hideMark/>
          </w:tcPr>
          <w:p w14:paraId="5430C32A"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 </w:t>
            </w:r>
          </w:p>
        </w:tc>
        <w:tc>
          <w:tcPr>
            <w:tcW w:w="1061" w:type="dxa"/>
            <w:tcBorders>
              <w:top w:val="nil"/>
              <w:left w:val="nil"/>
              <w:bottom w:val="single" w:sz="8" w:space="0" w:color="auto"/>
              <w:right w:val="single" w:sz="8" w:space="0" w:color="auto"/>
            </w:tcBorders>
            <w:shd w:val="clear" w:color="auto" w:fill="auto"/>
            <w:vAlign w:val="center"/>
            <w:hideMark/>
          </w:tcPr>
          <w:p w14:paraId="6DBBF2F4"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 </w:t>
            </w:r>
          </w:p>
        </w:tc>
        <w:tc>
          <w:tcPr>
            <w:tcW w:w="1073" w:type="dxa"/>
            <w:tcBorders>
              <w:top w:val="nil"/>
              <w:left w:val="nil"/>
              <w:bottom w:val="single" w:sz="8" w:space="0" w:color="auto"/>
              <w:right w:val="single" w:sz="8" w:space="0" w:color="auto"/>
            </w:tcBorders>
            <w:shd w:val="clear" w:color="auto" w:fill="auto"/>
            <w:vAlign w:val="center"/>
            <w:hideMark/>
          </w:tcPr>
          <w:p w14:paraId="5E646C88"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 </w:t>
            </w:r>
          </w:p>
        </w:tc>
        <w:tc>
          <w:tcPr>
            <w:tcW w:w="1071" w:type="dxa"/>
            <w:tcBorders>
              <w:top w:val="nil"/>
              <w:left w:val="nil"/>
              <w:bottom w:val="single" w:sz="8" w:space="0" w:color="auto"/>
              <w:right w:val="single" w:sz="8" w:space="0" w:color="auto"/>
            </w:tcBorders>
            <w:shd w:val="clear" w:color="auto" w:fill="auto"/>
            <w:vAlign w:val="center"/>
            <w:hideMark/>
          </w:tcPr>
          <w:p w14:paraId="4DA47AD7"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 </w:t>
            </w:r>
          </w:p>
        </w:tc>
        <w:tc>
          <w:tcPr>
            <w:tcW w:w="1301" w:type="dxa"/>
            <w:tcBorders>
              <w:top w:val="nil"/>
              <w:left w:val="nil"/>
              <w:bottom w:val="single" w:sz="8" w:space="0" w:color="auto"/>
              <w:right w:val="single" w:sz="8" w:space="0" w:color="auto"/>
            </w:tcBorders>
            <w:shd w:val="clear" w:color="auto" w:fill="D9D9D9" w:themeFill="background1" w:themeFillShade="D9"/>
            <w:vAlign w:val="center"/>
            <w:hideMark/>
          </w:tcPr>
          <w:p w14:paraId="3A09775A"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0,000</w:t>
            </w:r>
          </w:p>
        </w:tc>
      </w:tr>
      <w:tr w:rsidR="00922C2A" w:rsidRPr="00922C2A" w14:paraId="12FF0BB0" w14:textId="77777777" w:rsidTr="006F49C9">
        <w:trPr>
          <w:trHeight w:val="315"/>
        </w:trPr>
        <w:tc>
          <w:tcPr>
            <w:tcW w:w="3874" w:type="dxa"/>
            <w:tcBorders>
              <w:top w:val="nil"/>
              <w:left w:val="single" w:sz="8" w:space="0" w:color="auto"/>
              <w:bottom w:val="single" w:sz="8" w:space="0" w:color="auto"/>
              <w:right w:val="single" w:sz="8" w:space="0" w:color="auto"/>
            </w:tcBorders>
            <w:shd w:val="clear" w:color="auto" w:fill="auto"/>
            <w:vAlign w:val="center"/>
            <w:hideMark/>
          </w:tcPr>
          <w:p w14:paraId="32C8D191" w14:textId="77777777" w:rsidR="00922C2A" w:rsidRPr="00922C2A" w:rsidRDefault="00922C2A" w:rsidP="006F49C9">
            <w:pPr>
              <w:spacing w:before="0" w:after="0"/>
              <w:jc w:val="center"/>
              <w:rPr>
                <w:rFonts w:eastAsia="Times New Roman"/>
                <w:b/>
                <w:bCs/>
                <w:noProof/>
                <w:color w:val="000000"/>
                <w:sz w:val="22"/>
              </w:rPr>
            </w:pPr>
            <w:r w:rsidRPr="00922C2A">
              <w:rPr>
                <w:b/>
                <w:noProof/>
                <w:color w:val="000000"/>
                <w:sz w:val="22"/>
              </w:rPr>
              <w:t>TOTAL des crédits</w:t>
            </w:r>
          </w:p>
        </w:tc>
        <w:tc>
          <w:tcPr>
            <w:tcW w:w="1396" w:type="dxa"/>
            <w:tcBorders>
              <w:top w:val="nil"/>
              <w:left w:val="nil"/>
              <w:bottom w:val="single" w:sz="8" w:space="0" w:color="auto"/>
              <w:right w:val="single" w:sz="8" w:space="0" w:color="auto"/>
            </w:tcBorders>
            <w:shd w:val="clear" w:color="auto" w:fill="auto"/>
            <w:vAlign w:val="center"/>
            <w:hideMark/>
          </w:tcPr>
          <w:p w14:paraId="5D1C63D7" w14:textId="77777777" w:rsidR="00922C2A" w:rsidRPr="00922C2A" w:rsidRDefault="00922C2A" w:rsidP="006F49C9">
            <w:pPr>
              <w:spacing w:before="0" w:after="0"/>
              <w:rPr>
                <w:rFonts w:eastAsia="Times New Roman"/>
                <w:noProof/>
                <w:color w:val="000000"/>
                <w:sz w:val="18"/>
                <w:szCs w:val="18"/>
              </w:rPr>
            </w:pPr>
            <w:r w:rsidRPr="00922C2A">
              <w:rPr>
                <w:noProof/>
                <w:color w:val="000000"/>
                <w:sz w:val="18"/>
              </w:rPr>
              <w:t>Engagements</w:t>
            </w:r>
          </w:p>
        </w:tc>
        <w:tc>
          <w:tcPr>
            <w:tcW w:w="796" w:type="dxa"/>
            <w:gridSpan w:val="2"/>
            <w:tcBorders>
              <w:top w:val="single" w:sz="8" w:space="0" w:color="auto"/>
              <w:left w:val="nil"/>
              <w:bottom w:val="single" w:sz="8" w:space="0" w:color="auto"/>
              <w:right w:val="single" w:sz="8" w:space="0" w:color="auto"/>
            </w:tcBorders>
            <w:shd w:val="clear" w:color="auto" w:fill="auto"/>
            <w:vAlign w:val="center"/>
            <w:hideMark/>
          </w:tcPr>
          <w:p w14:paraId="252F29D7" w14:textId="77777777" w:rsidR="00922C2A" w:rsidRPr="00922C2A" w:rsidRDefault="00922C2A" w:rsidP="006F49C9">
            <w:pPr>
              <w:spacing w:before="0" w:after="0"/>
              <w:jc w:val="center"/>
              <w:rPr>
                <w:rFonts w:eastAsia="Times New Roman"/>
                <w:noProof/>
                <w:color w:val="000000"/>
                <w:sz w:val="14"/>
                <w:szCs w:val="14"/>
              </w:rPr>
            </w:pPr>
            <w:r w:rsidRPr="00922C2A">
              <w:rPr>
                <w:noProof/>
                <w:color w:val="000000"/>
                <w:sz w:val="14"/>
              </w:rPr>
              <w:t>=1a+1b+3</w:t>
            </w:r>
          </w:p>
        </w:tc>
        <w:tc>
          <w:tcPr>
            <w:tcW w:w="1063" w:type="dxa"/>
            <w:tcBorders>
              <w:top w:val="nil"/>
              <w:left w:val="nil"/>
              <w:bottom w:val="single" w:sz="8" w:space="0" w:color="auto"/>
              <w:right w:val="single" w:sz="8" w:space="0" w:color="auto"/>
            </w:tcBorders>
            <w:shd w:val="clear" w:color="auto" w:fill="D9D9D9" w:themeFill="background1" w:themeFillShade="D9"/>
            <w:vAlign w:val="center"/>
            <w:hideMark/>
          </w:tcPr>
          <w:p w14:paraId="1D64E4D0"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0,000</w:t>
            </w:r>
          </w:p>
        </w:tc>
        <w:tc>
          <w:tcPr>
            <w:tcW w:w="1061" w:type="dxa"/>
            <w:tcBorders>
              <w:top w:val="nil"/>
              <w:left w:val="nil"/>
              <w:bottom w:val="single" w:sz="8" w:space="0" w:color="auto"/>
              <w:right w:val="single" w:sz="8" w:space="0" w:color="auto"/>
            </w:tcBorders>
            <w:shd w:val="clear" w:color="auto" w:fill="D9D9D9" w:themeFill="background1" w:themeFillShade="D9"/>
            <w:vAlign w:val="center"/>
            <w:hideMark/>
          </w:tcPr>
          <w:p w14:paraId="42AAD2E2"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0,000</w:t>
            </w:r>
          </w:p>
        </w:tc>
        <w:tc>
          <w:tcPr>
            <w:tcW w:w="1073" w:type="dxa"/>
            <w:tcBorders>
              <w:top w:val="nil"/>
              <w:left w:val="nil"/>
              <w:bottom w:val="single" w:sz="8" w:space="0" w:color="auto"/>
              <w:right w:val="single" w:sz="8" w:space="0" w:color="auto"/>
            </w:tcBorders>
            <w:shd w:val="clear" w:color="auto" w:fill="D9D9D9" w:themeFill="background1" w:themeFillShade="D9"/>
            <w:vAlign w:val="center"/>
            <w:hideMark/>
          </w:tcPr>
          <w:p w14:paraId="2E690158"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41,056</w:t>
            </w:r>
          </w:p>
        </w:tc>
        <w:tc>
          <w:tcPr>
            <w:tcW w:w="1071" w:type="dxa"/>
            <w:tcBorders>
              <w:top w:val="nil"/>
              <w:left w:val="nil"/>
              <w:bottom w:val="single" w:sz="8" w:space="0" w:color="auto"/>
              <w:right w:val="single" w:sz="8" w:space="0" w:color="auto"/>
            </w:tcBorders>
            <w:shd w:val="clear" w:color="auto" w:fill="D9D9D9" w:themeFill="background1" w:themeFillShade="D9"/>
            <w:vAlign w:val="center"/>
            <w:hideMark/>
          </w:tcPr>
          <w:p w14:paraId="0D654D43"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41,971</w:t>
            </w:r>
          </w:p>
        </w:tc>
        <w:tc>
          <w:tcPr>
            <w:tcW w:w="1301" w:type="dxa"/>
            <w:tcBorders>
              <w:top w:val="nil"/>
              <w:left w:val="nil"/>
              <w:bottom w:val="single" w:sz="8" w:space="0" w:color="auto"/>
              <w:right w:val="single" w:sz="8" w:space="0" w:color="auto"/>
            </w:tcBorders>
            <w:shd w:val="clear" w:color="auto" w:fill="D9D9D9" w:themeFill="background1" w:themeFillShade="D9"/>
            <w:vAlign w:val="center"/>
            <w:hideMark/>
          </w:tcPr>
          <w:p w14:paraId="0251B0FA"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83,027</w:t>
            </w:r>
          </w:p>
        </w:tc>
      </w:tr>
      <w:tr w:rsidR="00922C2A" w:rsidRPr="00922C2A" w14:paraId="65EEEA79" w14:textId="77777777" w:rsidTr="006F49C9">
        <w:trPr>
          <w:trHeight w:val="315"/>
        </w:trPr>
        <w:tc>
          <w:tcPr>
            <w:tcW w:w="3874" w:type="dxa"/>
            <w:tcBorders>
              <w:top w:val="nil"/>
              <w:left w:val="single" w:sz="8" w:space="0" w:color="auto"/>
              <w:bottom w:val="single" w:sz="8" w:space="0" w:color="auto"/>
              <w:right w:val="single" w:sz="8" w:space="0" w:color="auto"/>
            </w:tcBorders>
            <w:shd w:val="clear" w:color="auto" w:fill="auto"/>
            <w:vAlign w:val="center"/>
            <w:hideMark/>
          </w:tcPr>
          <w:p w14:paraId="5D702080" w14:textId="77777777" w:rsidR="00922C2A" w:rsidRPr="00922C2A" w:rsidRDefault="00922C2A" w:rsidP="006F49C9">
            <w:pPr>
              <w:spacing w:before="0" w:after="0"/>
              <w:jc w:val="center"/>
              <w:rPr>
                <w:rFonts w:eastAsia="Times New Roman"/>
                <w:b/>
                <w:bCs/>
                <w:noProof/>
                <w:color w:val="000000"/>
                <w:sz w:val="22"/>
                <w:lang w:eastAsia="en-IE"/>
              </w:rPr>
            </w:pPr>
          </w:p>
        </w:tc>
        <w:tc>
          <w:tcPr>
            <w:tcW w:w="1396" w:type="dxa"/>
            <w:tcBorders>
              <w:top w:val="nil"/>
              <w:left w:val="nil"/>
              <w:bottom w:val="single" w:sz="8" w:space="0" w:color="auto"/>
              <w:right w:val="single" w:sz="8" w:space="0" w:color="auto"/>
            </w:tcBorders>
            <w:shd w:val="clear" w:color="auto" w:fill="auto"/>
            <w:vAlign w:val="center"/>
            <w:hideMark/>
          </w:tcPr>
          <w:p w14:paraId="319BBCDF" w14:textId="77777777" w:rsidR="00922C2A" w:rsidRPr="00922C2A" w:rsidRDefault="00922C2A" w:rsidP="006F49C9">
            <w:pPr>
              <w:spacing w:before="0" w:after="0"/>
              <w:rPr>
                <w:rFonts w:eastAsia="Times New Roman"/>
                <w:noProof/>
                <w:color w:val="000000"/>
                <w:sz w:val="18"/>
                <w:szCs w:val="18"/>
              </w:rPr>
            </w:pPr>
            <w:r w:rsidRPr="00922C2A">
              <w:rPr>
                <w:noProof/>
                <w:color w:val="000000"/>
                <w:sz w:val="18"/>
              </w:rPr>
              <w:t>Paiements</w:t>
            </w:r>
          </w:p>
        </w:tc>
        <w:tc>
          <w:tcPr>
            <w:tcW w:w="796" w:type="dxa"/>
            <w:gridSpan w:val="2"/>
            <w:tcBorders>
              <w:top w:val="single" w:sz="8" w:space="0" w:color="auto"/>
              <w:left w:val="nil"/>
              <w:bottom w:val="single" w:sz="8" w:space="0" w:color="auto"/>
              <w:right w:val="single" w:sz="8" w:space="0" w:color="auto"/>
            </w:tcBorders>
            <w:shd w:val="clear" w:color="auto" w:fill="auto"/>
            <w:vAlign w:val="center"/>
            <w:hideMark/>
          </w:tcPr>
          <w:p w14:paraId="3EA97FD8" w14:textId="77777777" w:rsidR="00922C2A" w:rsidRPr="00922C2A" w:rsidRDefault="00922C2A" w:rsidP="006F49C9">
            <w:pPr>
              <w:spacing w:before="0" w:after="0"/>
              <w:jc w:val="center"/>
              <w:rPr>
                <w:rFonts w:eastAsia="Times New Roman"/>
                <w:noProof/>
                <w:color w:val="000000"/>
                <w:sz w:val="14"/>
                <w:szCs w:val="14"/>
              </w:rPr>
            </w:pPr>
            <w:r w:rsidRPr="00922C2A">
              <w:rPr>
                <w:noProof/>
                <w:color w:val="000000"/>
                <w:sz w:val="14"/>
              </w:rPr>
              <w:t>=2a+2b+3</w:t>
            </w:r>
          </w:p>
        </w:tc>
        <w:tc>
          <w:tcPr>
            <w:tcW w:w="1063" w:type="dxa"/>
            <w:tcBorders>
              <w:top w:val="nil"/>
              <w:left w:val="nil"/>
              <w:bottom w:val="single" w:sz="8" w:space="0" w:color="auto"/>
              <w:right w:val="single" w:sz="8" w:space="0" w:color="auto"/>
            </w:tcBorders>
            <w:shd w:val="clear" w:color="auto" w:fill="D9D9D9" w:themeFill="background1" w:themeFillShade="D9"/>
            <w:vAlign w:val="center"/>
            <w:hideMark/>
          </w:tcPr>
          <w:p w14:paraId="079A4A3A"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0,000</w:t>
            </w:r>
          </w:p>
        </w:tc>
        <w:tc>
          <w:tcPr>
            <w:tcW w:w="1061" w:type="dxa"/>
            <w:tcBorders>
              <w:top w:val="nil"/>
              <w:left w:val="nil"/>
              <w:bottom w:val="single" w:sz="8" w:space="0" w:color="auto"/>
              <w:right w:val="single" w:sz="8" w:space="0" w:color="auto"/>
            </w:tcBorders>
            <w:shd w:val="clear" w:color="auto" w:fill="D9D9D9" w:themeFill="background1" w:themeFillShade="D9"/>
            <w:vAlign w:val="center"/>
            <w:hideMark/>
          </w:tcPr>
          <w:p w14:paraId="451E54DB"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0,000</w:t>
            </w:r>
          </w:p>
        </w:tc>
        <w:tc>
          <w:tcPr>
            <w:tcW w:w="1073" w:type="dxa"/>
            <w:tcBorders>
              <w:top w:val="nil"/>
              <w:left w:val="nil"/>
              <w:bottom w:val="single" w:sz="8" w:space="0" w:color="auto"/>
              <w:right w:val="single" w:sz="8" w:space="0" w:color="auto"/>
            </w:tcBorders>
            <w:shd w:val="clear" w:color="auto" w:fill="D9D9D9" w:themeFill="background1" w:themeFillShade="D9"/>
            <w:vAlign w:val="center"/>
            <w:hideMark/>
          </w:tcPr>
          <w:p w14:paraId="37AA41D5"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28,934</w:t>
            </w:r>
          </w:p>
        </w:tc>
        <w:tc>
          <w:tcPr>
            <w:tcW w:w="1071" w:type="dxa"/>
            <w:tcBorders>
              <w:top w:val="nil"/>
              <w:left w:val="nil"/>
              <w:bottom w:val="single" w:sz="8" w:space="0" w:color="auto"/>
              <w:right w:val="single" w:sz="8" w:space="0" w:color="auto"/>
            </w:tcBorders>
            <w:shd w:val="clear" w:color="auto" w:fill="D9D9D9" w:themeFill="background1" w:themeFillShade="D9"/>
            <w:vAlign w:val="center"/>
            <w:hideMark/>
          </w:tcPr>
          <w:p w14:paraId="19AC4DEA"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41,729</w:t>
            </w:r>
          </w:p>
        </w:tc>
        <w:tc>
          <w:tcPr>
            <w:tcW w:w="1301" w:type="dxa"/>
            <w:tcBorders>
              <w:top w:val="nil"/>
              <w:left w:val="nil"/>
              <w:bottom w:val="single" w:sz="8" w:space="0" w:color="auto"/>
              <w:right w:val="single" w:sz="8" w:space="0" w:color="auto"/>
            </w:tcBorders>
            <w:shd w:val="clear" w:color="auto" w:fill="D9D9D9" w:themeFill="background1" w:themeFillShade="D9"/>
            <w:vAlign w:val="center"/>
            <w:hideMark/>
          </w:tcPr>
          <w:p w14:paraId="0235D311"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70,663</w:t>
            </w:r>
          </w:p>
        </w:tc>
      </w:tr>
    </w:tbl>
    <w:p w14:paraId="19A5FFC0" w14:textId="77777777" w:rsidR="00922C2A" w:rsidRPr="00922C2A" w:rsidRDefault="00922C2A" w:rsidP="00922C2A">
      <w:pPr>
        <w:jc w:val="left"/>
        <w:rPr>
          <w:noProof/>
          <w:sz w:val="18"/>
          <w:szCs w:val="18"/>
        </w:rPr>
      </w:pPr>
    </w:p>
    <w:p w14:paraId="1051206D" w14:textId="77777777" w:rsidR="00922C2A" w:rsidRPr="00922C2A" w:rsidRDefault="00922C2A" w:rsidP="00922C2A">
      <w:pPr>
        <w:jc w:val="right"/>
        <w:rPr>
          <w:noProof/>
          <w:sz w:val="18"/>
          <w:szCs w:val="18"/>
        </w:rPr>
      </w:pPr>
    </w:p>
    <w:p w14:paraId="1355A781" w14:textId="77777777" w:rsidR="00922C2A" w:rsidRPr="00922C2A" w:rsidRDefault="00922C2A" w:rsidP="00922C2A">
      <w:pPr>
        <w:tabs>
          <w:tab w:val="left" w:pos="510"/>
        </w:tabs>
        <w:rPr>
          <w:noProof/>
          <w:sz w:val="18"/>
          <w:szCs w:val="18"/>
        </w:rPr>
      </w:pPr>
    </w:p>
    <w:p w14:paraId="5807B24A" w14:textId="77777777" w:rsidR="00922C2A" w:rsidRPr="00922C2A" w:rsidRDefault="00922C2A" w:rsidP="00922C2A">
      <w:pPr>
        <w:rPr>
          <w:noProof/>
          <w:sz w:val="16"/>
        </w:rPr>
      </w:pPr>
    </w:p>
    <w:p w14:paraId="3A4FA417" w14:textId="77777777" w:rsidR="00922C2A" w:rsidRPr="00922C2A" w:rsidRDefault="00922C2A" w:rsidP="00922C2A">
      <w:pPr>
        <w:rPr>
          <w:noProof/>
          <w:sz w:val="16"/>
        </w:rPr>
      </w:pPr>
    </w:p>
    <w:p w14:paraId="1C56CCB7" w14:textId="77777777" w:rsidR="00922C2A" w:rsidRPr="00922C2A" w:rsidRDefault="00922C2A" w:rsidP="00922C2A">
      <w:pPr>
        <w:rPr>
          <w:noProof/>
          <w:sz w:val="16"/>
        </w:rPr>
      </w:pPr>
    </w:p>
    <w:p w14:paraId="48F85176" w14:textId="77777777" w:rsidR="00922C2A" w:rsidRPr="00922C2A" w:rsidRDefault="00922C2A" w:rsidP="00922C2A">
      <w:pPr>
        <w:rPr>
          <w:noProof/>
          <w:sz w:val="16"/>
        </w:rPr>
      </w:pPr>
      <w:r w:rsidRPr="00922C2A">
        <w:rPr>
          <w:noProof/>
          <w:sz w:val="16"/>
        </w:rPr>
        <w:t>En Mio EUR (à la 3</w:t>
      </w:r>
      <w:r w:rsidRPr="00922C2A">
        <w:rPr>
          <w:noProof/>
          <w:sz w:val="16"/>
          <w:vertAlign w:val="superscript"/>
        </w:rPr>
        <w:t>e</w:t>
      </w:r>
      <w:r w:rsidRPr="00922C2A">
        <w:rPr>
          <w:noProof/>
          <w:sz w:val="16"/>
        </w:rPr>
        <w:t> décimale)</w:t>
      </w:r>
    </w:p>
    <w:p w14:paraId="7959F28E" w14:textId="77777777" w:rsidR="00922C2A" w:rsidRPr="00922C2A" w:rsidRDefault="00922C2A" w:rsidP="00922C2A">
      <w:pPr>
        <w:rPr>
          <w:noProof/>
          <w:sz w:val="16"/>
        </w:rPr>
      </w:pPr>
    </w:p>
    <w:tbl>
      <w:tblPr>
        <w:tblW w:w="11351" w:type="dxa"/>
        <w:tblInd w:w="118" w:type="dxa"/>
        <w:tblLook w:val="04A0" w:firstRow="1" w:lastRow="0" w:firstColumn="1" w:lastColumn="0" w:noHBand="0" w:noVBand="1"/>
      </w:tblPr>
      <w:tblGrid>
        <w:gridCol w:w="3195"/>
        <w:gridCol w:w="1237"/>
        <w:gridCol w:w="1110"/>
        <w:gridCol w:w="1113"/>
        <w:gridCol w:w="1113"/>
        <w:gridCol w:w="1115"/>
        <w:gridCol w:w="1115"/>
        <w:gridCol w:w="1353"/>
      </w:tblGrid>
      <w:tr w:rsidR="00922C2A" w:rsidRPr="00922C2A" w14:paraId="06583B61" w14:textId="77777777" w:rsidTr="006F49C9">
        <w:trPr>
          <w:trHeight w:val="300"/>
        </w:trPr>
        <w:tc>
          <w:tcPr>
            <w:tcW w:w="5542"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ABB37DC" w14:textId="77777777" w:rsidR="00922C2A" w:rsidRPr="00922C2A" w:rsidRDefault="00922C2A" w:rsidP="006F49C9">
            <w:pPr>
              <w:spacing w:before="0" w:after="0"/>
              <w:jc w:val="center"/>
              <w:rPr>
                <w:rFonts w:eastAsia="Times New Roman"/>
                <w:b/>
                <w:bCs/>
                <w:noProof/>
                <w:color w:val="000000"/>
                <w:sz w:val="22"/>
              </w:rPr>
            </w:pPr>
            <w:r w:rsidRPr="00922C2A">
              <w:rPr>
                <w:b/>
                <w:noProof/>
                <w:color w:val="000000"/>
                <w:sz w:val="22"/>
              </w:rPr>
              <w:t> </w:t>
            </w:r>
          </w:p>
        </w:tc>
        <w:tc>
          <w:tcPr>
            <w:tcW w:w="1113" w:type="dxa"/>
            <w:tcBorders>
              <w:top w:val="single" w:sz="8" w:space="0" w:color="auto"/>
              <w:left w:val="nil"/>
              <w:bottom w:val="single" w:sz="8" w:space="0" w:color="auto"/>
              <w:right w:val="single" w:sz="8" w:space="0" w:color="auto"/>
            </w:tcBorders>
            <w:shd w:val="clear" w:color="auto" w:fill="auto"/>
            <w:vAlign w:val="center"/>
            <w:hideMark/>
          </w:tcPr>
          <w:p w14:paraId="4B5AB994"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c>
          <w:tcPr>
            <w:tcW w:w="1113" w:type="dxa"/>
            <w:tcBorders>
              <w:top w:val="single" w:sz="8" w:space="0" w:color="auto"/>
              <w:left w:val="nil"/>
              <w:bottom w:val="single" w:sz="8" w:space="0" w:color="auto"/>
              <w:right w:val="single" w:sz="8" w:space="0" w:color="auto"/>
            </w:tcBorders>
            <w:shd w:val="clear" w:color="auto" w:fill="auto"/>
            <w:vAlign w:val="center"/>
            <w:hideMark/>
          </w:tcPr>
          <w:p w14:paraId="728E479E"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c>
          <w:tcPr>
            <w:tcW w:w="1115" w:type="dxa"/>
            <w:tcBorders>
              <w:top w:val="single" w:sz="8" w:space="0" w:color="auto"/>
              <w:left w:val="nil"/>
              <w:bottom w:val="single" w:sz="8" w:space="0" w:color="auto"/>
              <w:right w:val="single" w:sz="8" w:space="0" w:color="auto"/>
            </w:tcBorders>
            <w:shd w:val="clear" w:color="auto" w:fill="auto"/>
            <w:vAlign w:val="center"/>
            <w:hideMark/>
          </w:tcPr>
          <w:p w14:paraId="575E64F8"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c>
          <w:tcPr>
            <w:tcW w:w="1115" w:type="dxa"/>
            <w:tcBorders>
              <w:top w:val="single" w:sz="8" w:space="0" w:color="auto"/>
              <w:left w:val="nil"/>
              <w:bottom w:val="single" w:sz="8" w:space="0" w:color="auto"/>
              <w:right w:val="single" w:sz="8" w:space="0" w:color="auto"/>
            </w:tcBorders>
            <w:shd w:val="clear" w:color="auto" w:fill="auto"/>
            <w:vAlign w:val="center"/>
            <w:hideMark/>
          </w:tcPr>
          <w:p w14:paraId="5B545F93"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c>
          <w:tcPr>
            <w:tcW w:w="1353"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4EE3704E"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TOTAL CFP</w:t>
            </w:r>
            <w:r w:rsidRPr="00922C2A">
              <w:rPr>
                <w:b/>
                <w:noProof/>
                <w:color w:val="000000"/>
                <w:sz w:val="20"/>
              </w:rPr>
              <w:cr/>
            </w:r>
            <w:r w:rsidRPr="00922C2A">
              <w:rPr>
                <w:b/>
                <w:noProof/>
                <w:color w:val="000000"/>
                <w:sz w:val="20"/>
              </w:rPr>
              <w:br/>
              <w:t>2021-2027</w:t>
            </w:r>
          </w:p>
        </w:tc>
      </w:tr>
      <w:tr w:rsidR="00922C2A" w:rsidRPr="00922C2A" w14:paraId="0A1FD31F" w14:textId="77777777" w:rsidTr="006F49C9">
        <w:trPr>
          <w:trHeight w:val="300"/>
        </w:trPr>
        <w:tc>
          <w:tcPr>
            <w:tcW w:w="5542" w:type="dxa"/>
            <w:gridSpan w:val="3"/>
            <w:vMerge/>
            <w:tcBorders>
              <w:top w:val="single" w:sz="8" w:space="0" w:color="auto"/>
              <w:left w:val="single" w:sz="8" w:space="0" w:color="auto"/>
              <w:bottom w:val="single" w:sz="8" w:space="0" w:color="000000"/>
              <w:right w:val="single" w:sz="8" w:space="0" w:color="000000"/>
            </w:tcBorders>
            <w:vAlign w:val="center"/>
            <w:hideMark/>
          </w:tcPr>
          <w:p w14:paraId="01EA9FF4" w14:textId="77777777" w:rsidR="00922C2A" w:rsidRPr="00922C2A" w:rsidRDefault="00922C2A" w:rsidP="006F49C9">
            <w:pPr>
              <w:spacing w:before="0" w:after="0"/>
              <w:jc w:val="left"/>
              <w:rPr>
                <w:rFonts w:eastAsia="Times New Roman"/>
                <w:b/>
                <w:bCs/>
                <w:noProof/>
                <w:color w:val="000000"/>
                <w:sz w:val="22"/>
                <w:lang w:eastAsia="en-IE"/>
              </w:rPr>
            </w:pPr>
          </w:p>
        </w:tc>
        <w:tc>
          <w:tcPr>
            <w:tcW w:w="1113" w:type="dxa"/>
            <w:tcBorders>
              <w:top w:val="nil"/>
              <w:left w:val="nil"/>
              <w:bottom w:val="single" w:sz="8" w:space="0" w:color="auto"/>
              <w:right w:val="single" w:sz="8" w:space="0" w:color="auto"/>
            </w:tcBorders>
            <w:shd w:val="clear" w:color="auto" w:fill="auto"/>
            <w:vAlign w:val="center"/>
            <w:hideMark/>
          </w:tcPr>
          <w:p w14:paraId="21071175"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2024</w:t>
            </w:r>
          </w:p>
        </w:tc>
        <w:tc>
          <w:tcPr>
            <w:tcW w:w="1113" w:type="dxa"/>
            <w:tcBorders>
              <w:top w:val="nil"/>
              <w:left w:val="nil"/>
              <w:bottom w:val="single" w:sz="8" w:space="0" w:color="auto"/>
              <w:right w:val="single" w:sz="8" w:space="0" w:color="auto"/>
            </w:tcBorders>
            <w:shd w:val="clear" w:color="auto" w:fill="auto"/>
            <w:vAlign w:val="center"/>
            <w:hideMark/>
          </w:tcPr>
          <w:p w14:paraId="273589BA"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2025</w:t>
            </w:r>
          </w:p>
        </w:tc>
        <w:tc>
          <w:tcPr>
            <w:tcW w:w="1115" w:type="dxa"/>
            <w:tcBorders>
              <w:top w:val="nil"/>
              <w:left w:val="nil"/>
              <w:bottom w:val="single" w:sz="8" w:space="0" w:color="auto"/>
              <w:right w:val="single" w:sz="8" w:space="0" w:color="auto"/>
            </w:tcBorders>
            <w:shd w:val="clear" w:color="auto" w:fill="auto"/>
            <w:vAlign w:val="center"/>
            <w:hideMark/>
          </w:tcPr>
          <w:p w14:paraId="4BF17558"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2026</w:t>
            </w:r>
          </w:p>
        </w:tc>
        <w:tc>
          <w:tcPr>
            <w:tcW w:w="1115" w:type="dxa"/>
            <w:tcBorders>
              <w:top w:val="nil"/>
              <w:left w:val="nil"/>
              <w:bottom w:val="single" w:sz="8" w:space="0" w:color="auto"/>
              <w:right w:val="single" w:sz="8" w:space="0" w:color="auto"/>
            </w:tcBorders>
            <w:shd w:val="clear" w:color="auto" w:fill="auto"/>
            <w:vAlign w:val="center"/>
            <w:hideMark/>
          </w:tcPr>
          <w:p w14:paraId="092F8378"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2027</w:t>
            </w:r>
          </w:p>
        </w:tc>
        <w:tc>
          <w:tcPr>
            <w:tcW w:w="1353" w:type="dxa"/>
            <w:vMerge/>
            <w:tcBorders>
              <w:top w:val="single" w:sz="8" w:space="0" w:color="auto"/>
              <w:left w:val="single" w:sz="8" w:space="0" w:color="auto"/>
              <w:bottom w:val="single" w:sz="8" w:space="0" w:color="auto"/>
              <w:right w:val="single" w:sz="8" w:space="0" w:color="auto"/>
            </w:tcBorders>
            <w:vAlign w:val="center"/>
            <w:hideMark/>
          </w:tcPr>
          <w:p w14:paraId="7ED3458B" w14:textId="77777777" w:rsidR="00922C2A" w:rsidRPr="00922C2A" w:rsidRDefault="00922C2A" w:rsidP="006F49C9">
            <w:pPr>
              <w:spacing w:before="0" w:after="0"/>
              <w:jc w:val="left"/>
              <w:rPr>
                <w:rFonts w:eastAsia="Times New Roman"/>
                <w:b/>
                <w:bCs/>
                <w:noProof/>
                <w:color w:val="000000"/>
                <w:sz w:val="20"/>
                <w:szCs w:val="20"/>
                <w:lang w:eastAsia="en-IE"/>
              </w:rPr>
            </w:pPr>
          </w:p>
        </w:tc>
      </w:tr>
      <w:tr w:rsidR="00922C2A" w:rsidRPr="00922C2A" w14:paraId="3E15D140" w14:textId="77777777" w:rsidTr="006F49C9">
        <w:trPr>
          <w:trHeight w:val="432"/>
        </w:trPr>
        <w:tc>
          <w:tcPr>
            <w:tcW w:w="3195" w:type="dxa"/>
            <w:vMerge w:val="restart"/>
            <w:tcBorders>
              <w:top w:val="nil"/>
              <w:left w:val="single" w:sz="8" w:space="0" w:color="auto"/>
              <w:bottom w:val="single" w:sz="8" w:space="0" w:color="auto"/>
              <w:right w:val="single" w:sz="8" w:space="0" w:color="auto"/>
            </w:tcBorders>
            <w:shd w:val="clear" w:color="auto" w:fill="auto"/>
            <w:vAlign w:val="center"/>
            <w:hideMark/>
          </w:tcPr>
          <w:p w14:paraId="01F2F5DA" w14:textId="77777777" w:rsidR="00922C2A" w:rsidRPr="00922C2A" w:rsidRDefault="00922C2A" w:rsidP="006F49C9">
            <w:pPr>
              <w:spacing w:before="0" w:after="0"/>
              <w:rPr>
                <w:rFonts w:eastAsia="Times New Roman"/>
                <w:noProof/>
                <w:color w:val="000000"/>
                <w:sz w:val="21"/>
                <w:szCs w:val="21"/>
              </w:rPr>
            </w:pPr>
            <w:r w:rsidRPr="00922C2A">
              <w:rPr>
                <w:noProof/>
                <w:color w:val="000000"/>
                <w:sz w:val="21"/>
              </w:rPr>
              <w:t xml:space="preserve">TOTAL des crédits opérationnels </w:t>
            </w:r>
            <w:r w:rsidRPr="00922C2A">
              <w:rPr>
                <w:noProof/>
                <w:color w:val="000000"/>
                <w:sz w:val="21"/>
              </w:rPr>
              <w:cr/>
            </w:r>
            <w:r w:rsidRPr="00922C2A">
              <w:rPr>
                <w:noProof/>
                <w:color w:val="000000"/>
                <w:sz w:val="21"/>
              </w:rPr>
              <w:br/>
              <w:t>(y compris la contribution à l’organisme décentralisé)</w:t>
            </w:r>
          </w:p>
        </w:tc>
        <w:tc>
          <w:tcPr>
            <w:tcW w:w="1237" w:type="dxa"/>
            <w:tcBorders>
              <w:top w:val="nil"/>
              <w:left w:val="nil"/>
              <w:bottom w:val="single" w:sz="8" w:space="0" w:color="auto"/>
              <w:right w:val="single" w:sz="8" w:space="0" w:color="auto"/>
            </w:tcBorders>
            <w:shd w:val="clear" w:color="auto" w:fill="auto"/>
            <w:vAlign w:val="center"/>
            <w:hideMark/>
          </w:tcPr>
          <w:p w14:paraId="60CE5867" w14:textId="77777777" w:rsidR="00922C2A" w:rsidRPr="00922C2A" w:rsidRDefault="00922C2A" w:rsidP="006F49C9">
            <w:pPr>
              <w:spacing w:before="0" w:after="0"/>
              <w:rPr>
                <w:rFonts w:eastAsia="Times New Roman"/>
                <w:noProof/>
                <w:color w:val="000000"/>
                <w:sz w:val="18"/>
                <w:szCs w:val="18"/>
              </w:rPr>
            </w:pPr>
            <w:r w:rsidRPr="00922C2A">
              <w:rPr>
                <w:noProof/>
                <w:color w:val="000000"/>
                <w:sz w:val="18"/>
              </w:rPr>
              <w:t>Engagements</w:t>
            </w:r>
          </w:p>
        </w:tc>
        <w:tc>
          <w:tcPr>
            <w:tcW w:w="1110" w:type="dxa"/>
            <w:tcBorders>
              <w:top w:val="single" w:sz="8" w:space="0" w:color="auto"/>
              <w:left w:val="nil"/>
              <w:bottom w:val="single" w:sz="8" w:space="0" w:color="auto"/>
              <w:right w:val="single" w:sz="8" w:space="0" w:color="auto"/>
            </w:tcBorders>
            <w:shd w:val="clear" w:color="auto" w:fill="auto"/>
            <w:vAlign w:val="center"/>
            <w:hideMark/>
          </w:tcPr>
          <w:p w14:paraId="672247B3" w14:textId="77777777" w:rsidR="00922C2A" w:rsidRPr="00922C2A" w:rsidRDefault="00922C2A" w:rsidP="006F49C9">
            <w:pPr>
              <w:spacing w:before="0" w:after="0"/>
              <w:jc w:val="center"/>
              <w:rPr>
                <w:rFonts w:eastAsia="Times New Roman"/>
                <w:noProof/>
                <w:color w:val="000000"/>
                <w:sz w:val="14"/>
                <w:szCs w:val="14"/>
              </w:rPr>
            </w:pPr>
            <w:r w:rsidRPr="00922C2A">
              <w:rPr>
                <w:noProof/>
                <w:color w:val="000000"/>
                <w:sz w:val="14"/>
              </w:rPr>
              <w:t>(4)</w:t>
            </w:r>
          </w:p>
        </w:tc>
        <w:tc>
          <w:tcPr>
            <w:tcW w:w="1113" w:type="dxa"/>
            <w:tcBorders>
              <w:top w:val="nil"/>
              <w:left w:val="nil"/>
              <w:bottom w:val="single" w:sz="8" w:space="0" w:color="auto"/>
              <w:right w:val="single" w:sz="8" w:space="0" w:color="auto"/>
            </w:tcBorders>
            <w:shd w:val="clear" w:color="000000" w:fill="D9D9D9"/>
            <w:vAlign w:val="center"/>
            <w:hideMark/>
          </w:tcPr>
          <w:p w14:paraId="29259E88"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0,000</w:t>
            </w:r>
          </w:p>
        </w:tc>
        <w:tc>
          <w:tcPr>
            <w:tcW w:w="1113" w:type="dxa"/>
            <w:tcBorders>
              <w:top w:val="nil"/>
              <w:left w:val="nil"/>
              <w:bottom w:val="single" w:sz="8" w:space="0" w:color="auto"/>
              <w:right w:val="single" w:sz="8" w:space="0" w:color="auto"/>
            </w:tcBorders>
            <w:shd w:val="clear" w:color="000000" w:fill="D9D9D9"/>
            <w:vAlign w:val="center"/>
            <w:hideMark/>
          </w:tcPr>
          <w:p w14:paraId="233F8E97"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0,000</w:t>
            </w:r>
          </w:p>
        </w:tc>
        <w:tc>
          <w:tcPr>
            <w:tcW w:w="1115" w:type="dxa"/>
            <w:tcBorders>
              <w:top w:val="nil"/>
              <w:left w:val="nil"/>
              <w:bottom w:val="single" w:sz="8" w:space="0" w:color="auto"/>
              <w:right w:val="single" w:sz="8" w:space="0" w:color="auto"/>
            </w:tcBorders>
            <w:shd w:val="clear" w:color="000000" w:fill="D9D9D9"/>
            <w:vAlign w:val="center"/>
            <w:hideMark/>
          </w:tcPr>
          <w:p w14:paraId="584DFFC2"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41,056</w:t>
            </w:r>
          </w:p>
        </w:tc>
        <w:tc>
          <w:tcPr>
            <w:tcW w:w="1115" w:type="dxa"/>
            <w:tcBorders>
              <w:top w:val="nil"/>
              <w:left w:val="nil"/>
              <w:bottom w:val="single" w:sz="8" w:space="0" w:color="auto"/>
              <w:right w:val="single" w:sz="8" w:space="0" w:color="auto"/>
            </w:tcBorders>
            <w:shd w:val="clear" w:color="000000" w:fill="D9D9D9"/>
            <w:vAlign w:val="center"/>
            <w:hideMark/>
          </w:tcPr>
          <w:p w14:paraId="4359AB90"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41,971</w:t>
            </w:r>
          </w:p>
        </w:tc>
        <w:tc>
          <w:tcPr>
            <w:tcW w:w="1353" w:type="dxa"/>
            <w:tcBorders>
              <w:top w:val="nil"/>
              <w:left w:val="nil"/>
              <w:bottom w:val="single" w:sz="8" w:space="0" w:color="auto"/>
              <w:right w:val="single" w:sz="8" w:space="0" w:color="auto"/>
            </w:tcBorders>
            <w:shd w:val="clear" w:color="000000" w:fill="D9D9D9"/>
            <w:vAlign w:val="center"/>
            <w:hideMark/>
          </w:tcPr>
          <w:p w14:paraId="62179757"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83,027</w:t>
            </w:r>
          </w:p>
        </w:tc>
      </w:tr>
      <w:tr w:rsidR="00922C2A" w:rsidRPr="00922C2A" w14:paraId="76B77DAA" w14:textId="77777777" w:rsidTr="006F49C9">
        <w:trPr>
          <w:trHeight w:val="458"/>
        </w:trPr>
        <w:tc>
          <w:tcPr>
            <w:tcW w:w="3195" w:type="dxa"/>
            <w:vMerge/>
            <w:tcBorders>
              <w:top w:val="nil"/>
              <w:left w:val="single" w:sz="8" w:space="0" w:color="auto"/>
              <w:bottom w:val="single" w:sz="8" w:space="0" w:color="auto"/>
              <w:right w:val="single" w:sz="8" w:space="0" w:color="auto"/>
            </w:tcBorders>
            <w:vAlign w:val="center"/>
            <w:hideMark/>
          </w:tcPr>
          <w:p w14:paraId="66096CA0" w14:textId="77777777" w:rsidR="00922C2A" w:rsidRPr="00922C2A" w:rsidRDefault="00922C2A" w:rsidP="006F49C9">
            <w:pPr>
              <w:spacing w:before="0" w:after="0"/>
              <w:jc w:val="left"/>
              <w:rPr>
                <w:rFonts w:eastAsia="Times New Roman"/>
                <w:noProof/>
                <w:color w:val="000000"/>
                <w:sz w:val="21"/>
                <w:szCs w:val="21"/>
                <w:lang w:eastAsia="en-IE"/>
              </w:rPr>
            </w:pPr>
          </w:p>
        </w:tc>
        <w:tc>
          <w:tcPr>
            <w:tcW w:w="1237" w:type="dxa"/>
            <w:tcBorders>
              <w:top w:val="nil"/>
              <w:left w:val="nil"/>
              <w:bottom w:val="single" w:sz="8" w:space="0" w:color="auto"/>
              <w:right w:val="single" w:sz="8" w:space="0" w:color="auto"/>
            </w:tcBorders>
            <w:shd w:val="clear" w:color="auto" w:fill="auto"/>
            <w:vAlign w:val="center"/>
            <w:hideMark/>
          </w:tcPr>
          <w:p w14:paraId="129910F1" w14:textId="77777777" w:rsidR="00922C2A" w:rsidRPr="00922C2A" w:rsidRDefault="00922C2A" w:rsidP="006F49C9">
            <w:pPr>
              <w:spacing w:before="0" w:after="0"/>
              <w:rPr>
                <w:rFonts w:eastAsia="Times New Roman"/>
                <w:noProof/>
                <w:color w:val="000000"/>
                <w:sz w:val="18"/>
                <w:szCs w:val="18"/>
              </w:rPr>
            </w:pPr>
            <w:r w:rsidRPr="00922C2A">
              <w:rPr>
                <w:noProof/>
                <w:color w:val="000000"/>
                <w:sz w:val="18"/>
              </w:rPr>
              <w:t>Paiements</w:t>
            </w:r>
          </w:p>
        </w:tc>
        <w:tc>
          <w:tcPr>
            <w:tcW w:w="1110" w:type="dxa"/>
            <w:tcBorders>
              <w:top w:val="single" w:sz="8" w:space="0" w:color="auto"/>
              <w:left w:val="nil"/>
              <w:bottom w:val="single" w:sz="8" w:space="0" w:color="auto"/>
              <w:right w:val="single" w:sz="8" w:space="0" w:color="auto"/>
            </w:tcBorders>
            <w:shd w:val="clear" w:color="auto" w:fill="auto"/>
            <w:vAlign w:val="center"/>
            <w:hideMark/>
          </w:tcPr>
          <w:p w14:paraId="152BA6B9" w14:textId="77777777" w:rsidR="00922C2A" w:rsidRPr="00922C2A" w:rsidRDefault="00922C2A" w:rsidP="006F49C9">
            <w:pPr>
              <w:spacing w:before="0" w:after="0"/>
              <w:jc w:val="center"/>
              <w:rPr>
                <w:rFonts w:eastAsia="Times New Roman"/>
                <w:noProof/>
                <w:color w:val="000000"/>
                <w:sz w:val="14"/>
                <w:szCs w:val="14"/>
              </w:rPr>
            </w:pPr>
            <w:r w:rsidRPr="00922C2A">
              <w:rPr>
                <w:noProof/>
                <w:color w:val="000000"/>
                <w:sz w:val="14"/>
              </w:rPr>
              <w:t>(5)</w:t>
            </w:r>
          </w:p>
        </w:tc>
        <w:tc>
          <w:tcPr>
            <w:tcW w:w="1113" w:type="dxa"/>
            <w:tcBorders>
              <w:top w:val="nil"/>
              <w:left w:val="nil"/>
              <w:bottom w:val="single" w:sz="8" w:space="0" w:color="auto"/>
              <w:right w:val="single" w:sz="8" w:space="0" w:color="auto"/>
            </w:tcBorders>
            <w:shd w:val="clear" w:color="000000" w:fill="D9D9D9"/>
            <w:vAlign w:val="center"/>
            <w:hideMark/>
          </w:tcPr>
          <w:p w14:paraId="46A7D163"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0,000</w:t>
            </w:r>
          </w:p>
        </w:tc>
        <w:tc>
          <w:tcPr>
            <w:tcW w:w="1113" w:type="dxa"/>
            <w:tcBorders>
              <w:top w:val="nil"/>
              <w:left w:val="nil"/>
              <w:bottom w:val="single" w:sz="8" w:space="0" w:color="auto"/>
              <w:right w:val="single" w:sz="8" w:space="0" w:color="auto"/>
            </w:tcBorders>
            <w:shd w:val="clear" w:color="000000" w:fill="D9D9D9"/>
            <w:vAlign w:val="center"/>
            <w:hideMark/>
          </w:tcPr>
          <w:p w14:paraId="2F189610"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0,000</w:t>
            </w:r>
          </w:p>
        </w:tc>
        <w:tc>
          <w:tcPr>
            <w:tcW w:w="1115" w:type="dxa"/>
            <w:tcBorders>
              <w:top w:val="nil"/>
              <w:left w:val="nil"/>
              <w:bottom w:val="single" w:sz="8" w:space="0" w:color="auto"/>
              <w:right w:val="single" w:sz="8" w:space="0" w:color="auto"/>
            </w:tcBorders>
            <w:shd w:val="clear" w:color="000000" w:fill="D9D9D9"/>
            <w:vAlign w:val="center"/>
            <w:hideMark/>
          </w:tcPr>
          <w:p w14:paraId="5D41A825"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28,934</w:t>
            </w:r>
          </w:p>
        </w:tc>
        <w:tc>
          <w:tcPr>
            <w:tcW w:w="1115" w:type="dxa"/>
            <w:tcBorders>
              <w:top w:val="nil"/>
              <w:left w:val="nil"/>
              <w:bottom w:val="single" w:sz="8" w:space="0" w:color="auto"/>
              <w:right w:val="single" w:sz="8" w:space="0" w:color="auto"/>
            </w:tcBorders>
            <w:shd w:val="clear" w:color="000000" w:fill="D9D9D9"/>
            <w:vAlign w:val="center"/>
            <w:hideMark/>
          </w:tcPr>
          <w:p w14:paraId="3ADC8675"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41,729</w:t>
            </w:r>
          </w:p>
        </w:tc>
        <w:tc>
          <w:tcPr>
            <w:tcW w:w="1353" w:type="dxa"/>
            <w:tcBorders>
              <w:top w:val="nil"/>
              <w:left w:val="nil"/>
              <w:bottom w:val="single" w:sz="8" w:space="0" w:color="auto"/>
              <w:right w:val="single" w:sz="8" w:space="0" w:color="auto"/>
            </w:tcBorders>
            <w:shd w:val="clear" w:color="000000" w:fill="D9D9D9"/>
            <w:vAlign w:val="center"/>
            <w:hideMark/>
          </w:tcPr>
          <w:p w14:paraId="391F0960"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70,663</w:t>
            </w:r>
          </w:p>
        </w:tc>
      </w:tr>
      <w:tr w:rsidR="00922C2A" w:rsidRPr="00922C2A" w14:paraId="53528A56" w14:textId="77777777" w:rsidTr="006F49C9">
        <w:trPr>
          <w:trHeight w:val="923"/>
        </w:trPr>
        <w:tc>
          <w:tcPr>
            <w:tcW w:w="4432"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85CE222" w14:textId="77777777" w:rsidR="00922C2A" w:rsidRPr="00922C2A" w:rsidRDefault="00922C2A" w:rsidP="006F49C9">
            <w:pPr>
              <w:spacing w:before="0" w:after="0"/>
              <w:rPr>
                <w:rFonts w:eastAsia="Times New Roman"/>
                <w:noProof/>
                <w:color w:val="000000"/>
                <w:sz w:val="21"/>
                <w:szCs w:val="21"/>
              </w:rPr>
            </w:pPr>
            <w:r w:rsidRPr="00922C2A">
              <w:rPr>
                <w:noProof/>
                <w:color w:val="000000"/>
                <w:sz w:val="21"/>
              </w:rPr>
              <w:t xml:space="preserve">TOTAL des crédits de nature administrative financés par l’enveloppe de certains programmes spécifiques </w:t>
            </w:r>
          </w:p>
        </w:tc>
        <w:tc>
          <w:tcPr>
            <w:tcW w:w="1110" w:type="dxa"/>
            <w:tcBorders>
              <w:top w:val="single" w:sz="8" w:space="0" w:color="auto"/>
              <w:left w:val="nil"/>
              <w:bottom w:val="single" w:sz="8" w:space="0" w:color="auto"/>
              <w:right w:val="single" w:sz="8" w:space="0" w:color="auto"/>
            </w:tcBorders>
            <w:shd w:val="clear" w:color="auto" w:fill="auto"/>
            <w:vAlign w:val="center"/>
            <w:hideMark/>
          </w:tcPr>
          <w:p w14:paraId="1E5C2A77" w14:textId="77777777" w:rsidR="00922C2A" w:rsidRPr="00922C2A" w:rsidRDefault="00922C2A" w:rsidP="006F49C9">
            <w:pPr>
              <w:spacing w:before="0" w:after="0"/>
              <w:jc w:val="center"/>
              <w:rPr>
                <w:rFonts w:eastAsia="Times New Roman"/>
                <w:noProof/>
                <w:color w:val="000000"/>
                <w:sz w:val="14"/>
                <w:szCs w:val="14"/>
              </w:rPr>
            </w:pPr>
            <w:r w:rsidRPr="00922C2A">
              <w:rPr>
                <w:noProof/>
                <w:color w:val="000000"/>
                <w:sz w:val="14"/>
              </w:rPr>
              <w:t>(6)</w:t>
            </w:r>
          </w:p>
        </w:tc>
        <w:tc>
          <w:tcPr>
            <w:tcW w:w="1113" w:type="dxa"/>
            <w:tcBorders>
              <w:top w:val="nil"/>
              <w:left w:val="nil"/>
              <w:bottom w:val="single" w:sz="8" w:space="0" w:color="auto"/>
              <w:right w:val="single" w:sz="8" w:space="0" w:color="auto"/>
            </w:tcBorders>
            <w:shd w:val="clear" w:color="000000" w:fill="D9D9D9"/>
            <w:vAlign w:val="center"/>
            <w:hideMark/>
          </w:tcPr>
          <w:p w14:paraId="50D5D14D"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0,000</w:t>
            </w:r>
          </w:p>
        </w:tc>
        <w:tc>
          <w:tcPr>
            <w:tcW w:w="1113" w:type="dxa"/>
            <w:tcBorders>
              <w:top w:val="nil"/>
              <w:left w:val="nil"/>
              <w:bottom w:val="single" w:sz="8" w:space="0" w:color="auto"/>
              <w:right w:val="single" w:sz="8" w:space="0" w:color="auto"/>
            </w:tcBorders>
            <w:shd w:val="clear" w:color="000000" w:fill="D9D9D9"/>
            <w:vAlign w:val="center"/>
            <w:hideMark/>
          </w:tcPr>
          <w:p w14:paraId="35CB480C"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0,000</w:t>
            </w:r>
          </w:p>
        </w:tc>
        <w:tc>
          <w:tcPr>
            <w:tcW w:w="1115" w:type="dxa"/>
            <w:tcBorders>
              <w:top w:val="nil"/>
              <w:left w:val="nil"/>
              <w:bottom w:val="single" w:sz="8" w:space="0" w:color="auto"/>
              <w:right w:val="single" w:sz="8" w:space="0" w:color="auto"/>
            </w:tcBorders>
            <w:shd w:val="clear" w:color="000000" w:fill="D9D9D9"/>
            <w:vAlign w:val="center"/>
            <w:hideMark/>
          </w:tcPr>
          <w:p w14:paraId="5297BC5D"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0,000</w:t>
            </w:r>
          </w:p>
        </w:tc>
        <w:tc>
          <w:tcPr>
            <w:tcW w:w="1115" w:type="dxa"/>
            <w:tcBorders>
              <w:top w:val="nil"/>
              <w:left w:val="nil"/>
              <w:bottom w:val="single" w:sz="8" w:space="0" w:color="auto"/>
              <w:right w:val="single" w:sz="8" w:space="0" w:color="auto"/>
            </w:tcBorders>
            <w:shd w:val="clear" w:color="000000" w:fill="D9D9D9"/>
            <w:vAlign w:val="center"/>
            <w:hideMark/>
          </w:tcPr>
          <w:p w14:paraId="22222AFB"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0,000</w:t>
            </w:r>
          </w:p>
        </w:tc>
        <w:tc>
          <w:tcPr>
            <w:tcW w:w="1353" w:type="dxa"/>
            <w:tcBorders>
              <w:top w:val="nil"/>
              <w:left w:val="nil"/>
              <w:bottom w:val="single" w:sz="8" w:space="0" w:color="auto"/>
              <w:right w:val="single" w:sz="8" w:space="0" w:color="auto"/>
            </w:tcBorders>
            <w:shd w:val="clear" w:color="000000" w:fill="D9D9D9"/>
            <w:vAlign w:val="center"/>
            <w:hideMark/>
          </w:tcPr>
          <w:p w14:paraId="13D7A7F1"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0,000</w:t>
            </w:r>
          </w:p>
        </w:tc>
      </w:tr>
      <w:tr w:rsidR="00922C2A" w:rsidRPr="00922C2A" w14:paraId="112199D7" w14:textId="77777777" w:rsidTr="006F49C9">
        <w:trPr>
          <w:trHeight w:val="585"/>
        </w:trPr>
        <w:tc>
          <w:tcPr>
            <w:tcW w:w="3195" w:type="dxa"/>
            <w:tcBorders>
              <w:top w:val="nil"/>
              <w:left w:val="single" w:sz="8" w:space="0" w:color="auto"/>
              <w:bottom w:val="nil"/>
              <w:right w:val="single" w:sz="8" w:space="0" w:color="auto"/>
            </w:tcBorders>
            <w:shd w:val="thinDiagStripe" w:color="C0C0C0" w:fill="F1F1F1"/>
            <w:vAlign w:val="center"/>
            <w:hideMark/>
          </w:tcPr>
          <w:p w14:paraId="2091F184" w14:textId="77777777" w:rsidR="00922C2A" w:rsidRPr="00922C2A" w:rsidRDefault="00922C2A" w:rsidP="006F49C9">
            <w:pPr>
              <w:spacing w:before="0" w:after="0"/>
              <w:jc w:val="center"/>
              <w:rPr>
                <w:rFonts w:eastAsia="Times New Roman"/>
                <w:b/>
                <w:bCs/>
                <w:noProof/>
                <w:color w:val="000000"/>
                <w:sz w:val="22"/>
              </w:rPr>
            </w:pPr>
            <w:r w:rsidRPr="00922C2A">
              <w:rPr>
                <w:b/>
                <w:noProof/>
                <w:color w:val="000000"/>
                <w:sz w:val="22"/>
              </w:rPr>
              <w:t>TOTAL des crédits</w:t>
            </w:r>
            <w:r w:rsidRPr="00922C2A">
              <w:rPr>
                <w:b/>
                <w:noProof/>
                <w:color w:val="000000"/>
                <w:sz w:val="22"/>
              </w:rPr>
              <w:cr/>
            </w:r>
            <w:r w:rsidRPr="00922C2A">
              <w:rPr>
                <w:b/>
                <w:noProof/>
                <w:color w:val="000000"/>
                <w:sz w:val="22"/>
              </w:rPr>
              <w:br/>
              <w:t>pour la RUBRIQUE 2</w:t>
            </w:r>
          </w:p>
        </w:tc>
        <w:tc>
          <w:tcPr>
            <w:tcW w:w="1237" w:type="dxa"/>
            <w:tcBorders>
              <w:top w:val="nil"/>
              <w:left w:val="nil"/>
              <w:bottom w:val="single" w:sz="8" w:space="0" w:color="auto"/>
              <w:right w:val="single" w:sz="8" w:space="0" w:color="auto"/>
            </w:tcBorders>
            <w:shd w:val="clear" w:color="auto" w:fill="auto"/>
            <w:vAlign w:val="center"/>
            <w:hideMark/>
          </w:tcPr>
          <w:p w14:paraId="19EB1A7D" w14:textId="77777777" w:rsidR="00922C2A" w:rsidRPr="00922C2A" w:rsidRDefault="00922C2A" w:rsidP="006F49C9">
            <w:pPr>
              <w:spacing w:before="0" w:after="0"/>
              <w:rPr>
                <w:rFonts w:eastAsia="Times New Roman"/>
                <w:noProof/>
                <w:color w:val="000000"/>
                <w:sz w:val="18"/>
                <w:szCs w:val="18"/>
              </w:rPr>
            </w:pPr>
            <w:r w:rsidRPr="00922C2A">
              <w:rPr>
                <w:noProof/>
                <w:color w:val="000000"/>
                <w:sz w:val="18"/>
              </w:rPr>
              <w:t>Engagements</w:t>
            </w:r>
          </w:p>
        </w:tc>
        <w:tc>
          <w:tcPr>
            <w:tcW w:w="1110" w:type="dxa"/>
            <w:tcBorders>
              <w:top w:val="single" w:sz="8" w:space="0" w:color="auto"/>
              <w:left w:val="nil"/>
              <w:bottom w:val="single" w:sz="8" w:space="0" w:color="auto"/>
              <w:right w:val="single" w:sz="8" w:space="0" w:color="auto"/>
            </w:tcBorders>
            <w:shd w:val="clear" w:color="auto" w:fill="auto"/>
            <w:vAlign w:val="center"/>
            <w:hideMark/>
          </w:tcPr>
          <w:p w14:paraId="6B63F677" w14:textId="77777777" w:rsidR="00922C2A" w:rsidRPr="00922C2A" w:rsidRDefault="00922C2A" w:rsidP="006F49C9">
            <w:pPr>
              <w:spacing w:before="0" w:after="0"/>
              <w:jc w:val="center"/>
              <w:rPr>
                <w:rFonts w:eastAsia="Times New Roman"/>
                <w:noProof/>
                <w:color w:val="000000"/>
                <w:sz w:val="14"/>
                <w:szCs w:val="14"/>
              </w:rPr>
            </w:pPr>
            <w:r w:rsidRPr="00922C2A">
              <w:rPr>
                <w:noProof/>
                <w:color w:val="000000"/>
                <w:sz w:val="14"/>
              </w:rPr>
              <w:t>=4+6</w:t>
            </w:r>
          </w:p>
        </w:tc>
        <w:tc>
          <w:tcPr>
            <w:tcW w:w="1113" w:type="dxa"/>
            <w:tcBorders>
              <w:top w:val="nil"/>
              <w:left w:val="nil"/>
              <w:bottom w:val="single" w:sz="8" w:space="0" w:color="auto"/>
              <w:right w:val="single" w:sz="8" w:space="0" w:color="auto"/>
            </w:tcBorders>
            <w:shd w:val="clear" w:color="000000" w:fill="D9D9D9"/>
            <w:vAlign w:val="center"/>
            <w:hideMark/>
          </w:tcPr>
          <w:p w14:paraId="74F310E3"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0,000</w:t>
            </w:r>
          </w:p>
        </w:tc>
        <w:tc>
          <w:tcPr>
            <w:tcW w:w="1113" w:type="dxa"/>
            <w:tcBorders>
              <w:top w:val="nil"/>
              <w:left w:val="nil"/>
              <w:bottom w:val="single" w:sz="8" w:space="0" w:color="auto"/>
              <w:right w:val="single" w:sz="8" w:space="0" w:color="auto"/>
            </w:tcBorders>
            <w:shd w:val="clear" w:color="000000" w:fill="D9D9D9"/>
            <w:vAlign w:val="center"/>
            <w:hideMark/>
          </w:tcPr>
          <w:p w14:paraId="2BDBD6C4"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0,000</w:t>
            </w:r>
          </w:p>
        </w:tc>
        <w:tc>
          <w:tcPr>
            <w:tcW w:w="1115" w:type="dxa"/>
            <w:tcBorders>
              <w:top w:val="nil"/>
              <w:left w:val="nil"/>
              <w:bottom w:val="single" w:sz="8" w:space="0" w:color="auto"/>
              <w:right w:val="single" w:sz="8" w:space="0" w:color="auto"/>
            </w:tcBorders>
            <w:shd w:val="clear" w:color="000000" w:fill="D9D9D9"/>
            <w:vAlign w:val="center"/>
            <w:hideMark/>
          </w:tcPr>
          <w:p w14:paraId="2BCAF240"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41,056</w:t>
            </w:r>
          </w:p>
        </w:tc>
        <w:tc>
          <w:tcPr>
            <w:tcW w:w="1115" w:type="dxa"/>
            <w:tcBorders>
              <w:top w:val="nil"/>
              <w:left w:val="nil"/>
              <w:bottom w:val="single" w:sz="8" w:space="0" w:color="auto"/>
              <w:right w:val="single" w:sz="8" w:space="0" w:color="auto"/>
            </w:tcBorders>
            <w:shd w:val="clear" w:color="000000" w:fill="D9D9D9"/>
            <w:vAlign w:val="center"/>
            <w:hideMark/>
          </w:tcPr>
          <w:p w14:paraId="23BC3AF2"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41,971</w:t>
            </w:r>
          </w:p>
        </w:tc>
        <w:tc>
          <w:tcPr>
            <w:tcW w:w="1353" w:type="dxa"/>
            <w:tcBorders>
              <w:top w:val="nil"/>
              <w:left w:val="nil"/>
              <w:bottom w:val="single" w:sz="8" w:space="0" w:color="auto"/>
              <w:right w:val="single" w:sz="8" w:space="0" w:color="auto"/>
            </w:tcBorders>
            <w:shd w:val="clear" w:color="000000" w:fill="D9D9D9"/>
            <w:vAlign w:val="center"/>
            <w:hideMark/>
          </w:tcPr>
          <w:p w14:paraId="072E2A83"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83,027</w:t>
            </w:r>
          </w:p>
        </w:tc>
      </w:tr>
      <w:tr w:rsidR="00922C2A" w:rsidRPr="00922C2A" w14:paraId="3F799D70" w14:textId="77777777" w:rsidTr="006F49C9">
        <w:trPr>
          <w:trHeight w:val="529"/>
        </w:trPr>
        <w:tc>
          <w:tcPr>
            <w:tcW w:w="3195" w:type="dxa"/>
            <w:tcBorders>
              <w:top w:val="nil"/>
              <w:left w:val="single" w:sz="8" w:space="0" w:color="auto"/>
              <w:bottom w:val="single" w:sz="8" w:space="0" w:color="auto"/>
              <w:right w:val="single" w:sz="8" w:space="0" w:color="auto"/>
            </w:tcBorders>
            <w:shd w:val="thinDiagStripe" w:color="C0C0C0" w:fill="F1F1F1"/>
            <w:vAlign w:val="center"/>
            <w:hideMark/>
          </w:tcPr>
          <w:p w14:paraId="51179410" w14:textId="77777777" w:rsidR="00922C2A" w:rsidRPr="00922C2A" w:rsidRDefault="00922C2A" w:rsidP="006F49C9">
            <w:pPr>
              <w:spacing w:before="0" w:after="0"/>
              <w:jc w:val="center"/>
              <w:rPr>
                <w:rFonts w:eastAsia="Times New Roman"/>
                <w:noProof/>
                <w:color w:val="000000"/>
                <w:sz w:val="22"/>
              </w:rPr>
            </w:pPr>
            <w:r w:rsidRPr="00922C2A">
              <w:rPr>
                <w:noProof/>
                <w:color w:val="000000"/>
                <w:sz w:val="22"/>
              </w:rPr>
              <w:t>du cadre financier pluriannuel</w:t>
            </w:r>
          </w:p>
        </w:tc>
        <w:tc>
          <w:tcPr>
            <w:tcW w:w="1237" w:type="dxa"/>
            <w:tcBorders>
              <w:top w:val="nil"/>
              <w:left w:val="nil"/>
              <w:bottom w:val="single" w:sz="8" w:space="0" w:color="auto"/>
              <w:right w:val="single" w:sz="8" w:space="0" w:color="auto"/>
            </w:tcBorders>
            <w:shd w:val="clear" w:color="auto" w:fill="auto"/>
            <w:vAlign w:val="center"/>
            <w:hideMark/>
          </w:tcPr>
          <w:p w14:paraId="1098042E" w14:textId="77777777" w:rsidR="00922C2A" w:rsidRPr="00922C2A" w:rsidRDefault="00922C2A" w:rsidP="006F49C9">
            <w:pPr>
              <w:spacing w:before="0" w:after="0"/>
              <w:rPr>
                <w:rFonts w:eastAsia="Times New Roman"/>
                <w:noProof/>
                <w:color w:val="000000"/>
                <w:sz w:val="18"/>
                <w:szCs w:val="18"/>
              </w:rPr>
            </w:pPr>
            <w:r w:rsidRPr="00922C2A">
              <w:rPr>
                <w:noProof/>
                <w:color w:val="000000"/>
                <w:sz w:val="18"/>
              </w:rPr>
              <w:t>Paiements</w:t>
            </w:r>
          </w:p>
        </w:tc>
        <w:tc>
          <w:tcPr>
            <w:tcW w:w="1110" w:type="dxa"/>
            <w:tcBorders>
              <w:top w:val="single" w:sz="8" w:space="0" w:color="auto"/>
              <w:left w:val="nil"/>
              <w:bottom w:val="single" w:sz="8" w:space="0" w:color="auto"/>
              <w:right w:val="single" w:sz="8" w:space="0" w:color="auto"/>
            </w:tcBorders>
            <w:shd w:val="clear" w:color="auto" w:fill="auto"/>
            <w:vAlign w:val="center"/>
            <w:hideMark/>
          </w:tcPr>
          <w:p w14:paraId="32E50E70" w14:textId="77777777" w:rsidR="00922C2A" w:rsidRPr="00922C2A" w:rsidRDefault="00922C2A" w:rsidP="006F49C9">
            <w:pPr>
              <w:spacing w:before="0" w:after="0"/>
              <w:jc w:val="center"/>
              <w:rPr>
                <w:rFonts w:eastAsia="Times New Roman"/>
                <w:noProof/>
                <w:color w:val="000000"/>
                <w:sz w:val="14"/>
                <w:szCs w:val="14"/>
              </w:rPr>
            </w:pPr>
            <w:r w:rsidRPr="00922C2A">
              <w:rPr>
                <w:noProof/>
                <w:color w:val="000000"/>
                <w:sz w:val="14"/>
              </w:rPr>
              <w:t>=5+6</w:t>
            </w:r>
          </w:p>
        </w:tc>
        <w:tc>
          <w:tcPr>
            <w:tcW w:w="1113" w:type="dxa"/>
            <w:tcBorders>
              <w:top w:val="nil"/>
              <w:left w:val="nil"/>
              <w:bottom w:val="single" w:sz="8" w:space="0" w:color="auto"/>
              <w:right w:val="single" w:sz="8" w:space="0" w:color="auto"/>
            </w:tcBorders>
            <w:shd w:val="clear" w:color="000000" w:fill="D9D9D9"/>
            <w:vAlign w:val="center"/>
            <w:hideMark/>
          </w:tcPr>
          <w:p w14:paraId="18679B3B"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0,000</w:t>
            </w:r>
          </w:p>
        </w:tc>
        <w:tc>
          <w:tcPr>
            <w:tcW w:w="1113" w:type="dxa"/>
            <w:tcBorders>
              <w:top w:val="nil"/>
              <w:left w:val="nil"/>
              <w:bottom w:val="single" w:sz="8" w:space="0" w:color="auto"/>
              <w:right w:val="single" w:sz="8" w:space="0" w:color="auto"/>
            </w:tcBorders>
            <w:shd w:val="clear" w:color="000000" w:fill="D9D9D9"/>
            <w:vAlign w:val="center"/>
            <w:hideMark/>
          </w:tcPr>
          <w:p w14:paraId="59BAF748"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0,000</w:t>
            </w:r>
          </w:p>
        </w:tc>
        <w:tc>
          <w:tcPr>
            <w:tcW w:w="1115" w:type="dxa"/>
            <w:tcBorders>
              <w:top w:val="nil"/>
              <w:left w:val="nil"/>
              <w:bottom w:val="single" w:sz="8" w:space="0" w:color="auto"/>
              <w:right w:val="single" w:sz="8" w:space="0" w:color="auto"/>
            </w:tcBorders>
            <w:shd w:val="clear" w:color="000000" w:fill="D9D9D9"/>
            <w:vAlign w:val="center"/>
            <w:hideMark/>
          </w:tcPr>
          <w:p w14:paraId="74AD5E9E"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28,934</w:t>
            </w:r>
          </w:p>
        </w:tc>
        <w:tc>
          <w:tcPr>
            <w:tcW w:w="1115" w:type="dxa"/>
            <w:tcBorders>
              <w:top w:val="nil"/>
              <w:left w:val="nil"/>
              <w:bottom w:val="single" w:sz="8" w:space="0" w:color="auto"/>
              <w:right w:val="single" w:sz="8" w:space="0" w:color="auto"/>
            </w:tcBorders>
            <w:shd w:val="clear" w:color="000000" w:fill="D9D9D9"/>
            <w:vAlign w:val="center"/>
            <w:hideMark/>
          </w:tcPr>
          <w:p w14:paraId="3A13CEF5"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41,729</w:t>
            </w:r>
          </w:p>
        </w:tc>
        <w:tc>
          <w:tcPr>
            <w:tcW w:w="1353" w:type="dxa"/>
            <w:tcBorders>
              <w:top w:val="nil"/>
              <w:left w:val="nil"/>
              <w:bottom w:val="single" w:sz="8" w:space="0" w:color="auto"/>
              <w:right w:val="single" w:sz="8" w:space="0" w:color="auto"/>
            </w:tcBorders>
            <w:shd w:val="clear" w:color="000000" w:fill="D9D9D9"/>
            <w:vAlign w:val="center"/>
            <w:hideMark/>
          </w:tcPr>
          <w:p w14:paraId="24F754B6"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70,663</w:t>
            </w:r>
          </w:p>
        </w:tc>
      </w:tr>
    </w:tbl>
    <w:p w14:paraId="3799AAEE" w14:textId="77777777" w:rsidR="00922C2A" w:rsidRPr="00922C2A" w:rsidRDefault="00922C2A" w:rsidP="00922C2A">
      <w:pPr>
        <w:rPr>
          <w:noProof/>
          <w:sz w:val="16"/>
        </w:rPr>
      </w:pPr>
      <w:r w:rsidRPr="00922C2A">
        <w:rPr>
          <w:noProof/>
          <w:sz w:val="16"/>
        </w:rPr>
        <w:t>En Mio EUR (à la 3</w:t>
      </w:r>
      <w:r w:rsidRPr="00922C2A">
        <w:rPr>
          <w:noProof/>
          <w:sz w:val="16"/>
          <w:vertAlign w:val="superscript"/>
        </w:rPr>
        <w:t>e</w:t>
      </w:r>
      <w:r w:rsidRPr="00922C2A">
        <w:rPr>
          <w:noProof/>
          <w:sz w:val="16"/>
        </w:rPr>
        <w:t> décimale)</w:t>
      </w:r>
    </w:p>
    <w:p w14:paraId="1D3F2CC0" w14:textId="77777777" w:rsidR="00922C2A" w:rsidRPr="00922C2A" w:rsidRDefault="00922C2A" w:rsidP="00922C2A">
      <w:pPr>
        <w:rPr>
          <w:noProof/>
          <w:sz w:val="16"/>
        </w:rPr>
      </w:pPr>
    </w:p>
    <w:tbl>
      <w:tblPr>
        <w:tblW w:w="11351" w:type="dxa"/>
        <w:tblInd w:w="118" w:type="dxa"/>
        <w:tblLook w:val="04A0" w:firstRow="1" w:lastRow="0" w:firstColumn="1" w:lastColumn="0" w:noHBand="0" w:noVBand="1"/>
      </w:tblPr>
      <w:tblGrid>
        <w:gridCol w:w="3195"/>
        <w:gridCol w:w="1237"/>
        <w:gridCol w:w="1110"/>
        <w:gridCol w:w="1113"/>
        <w:gridCol w:w="1113"/>
        <w:gridCol w:w="1115"/>
        <w:gridCol w:w="1115"/>
        <w:gridCol w:w="1353"/>
      </w:tblGrid>
      <w:tr w:rsidR="00922C2A" w:rsidRPr="00922C2A" w14:paraId="4899451D" w14:textId="77777777" w:rsidTr="006F49C9">
        <w:trPr>
          <w:trHeight w:val="300"/>
        </w:trPr>
        <w:tc>
          <w:tcPr>
            <w:tcW w:w="5542"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A495BF" w14:textId="77777777" w:rsidR="00922C2A" w:rsidRPr="00922C2A" w:rsidRDefault="00922C2A" w:rsidP="006F49C9">
            <w:pPr>
              <w:spacing w:before="0" w:after="0"/>
              <w:jc w:val="center"/>
              <w:rPr>
                <w:rFonts w:eastAsia="Times New Roman"/>
                <w:noProof/>
                <w:color w:val="000000"/>
                <w:sz w:val="22"/>
                <w:lang w:eastAsia="en-IE"/>
              </w:rPr>
            </w:pPr>
          </w:p>
        </w:tc>
        <w:tc>
          <w:tcPr>
            <w:tcW w:w="1113" w:type="dxa"/>
            <w:tcBorders>
              <w:top w:val="single" w:sz="8" w:space="0" w:color="auto"/>
              <w:left w:val="single" w:sz="4" w:space="0" w:color="auto"/>
              <w:bottom w:val="nil"/>
              <w:right w:val="single" w:sz="8" w:space="0" w:color="auto"/>
            </w:tcBorders>
            <w:shd w:val="clear" w:color="auto" w:fill="auto"/>
            <w:vAlign w:val="center"/>
            <w:hideMark/>
          </w:tcPr>
          <w:p w14:paraId="14118B9E"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c>
          <w:tcPr>
            <w:tcW w:w="1113" w:type="dxa"/>
            <w:tcBorders>
              <w:top w:val="single" w:sz="8" w:space="0" w:color="auto"/>
              <w:left w:val="nil"/>
              <w:bottom w:val="nil"/>
              <w:right w:val="single" w:sz="8" w:space="0" w:color="auto"/>
            </w:tcBorders>
            <w:shd w:val="clear" w:color="auto" w:fill="auto"/>
            <w:vAlign w:val="center"/>
            <w:hideMark/>
          </w:tcPr>
          <w:p w14:paraId="0025EDF7"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c>
          <w:tcPr>
            <w:tcW w:w="1115" w:type="dxa"/>
            <w:tcBorders>
              <w:top w:val="single" w:sz="8" w:space="0" w:color="auto"/>
              <w:left w:val="nil"/>
              <w:bottom w:val="nil"/>
              <w:right w:val="single" w:sz="8" w:space="0" w:color="auto"/>
            </w:tcBorders>
            <w:shd w:val="clear" w:color="auto" w:fill="auto"/>
            <w:vAlign w:val="center"/>
            <w:hideMark/>
          </w:tcPr>
          <w:p w14:paraId="4A26CDBC"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c>
          <w:tcPr>
            <w:tcW w:w="1115" w:type="dxa"/>
            <w:tcBorders>
              <w:top w:val="single" w:sz="8" w:space="0" w:color="auto"/>
              <w:left w:val="nil"/>
              <w:bottom w:val="nil"/>
              <w:right w:val="single" w:sz="8" w:space="0" w:color="auto"/>
            </w:tcBorders>
            <w:shd w:val="clear" w:color="auto" w:fill="auto"/>
            <w:vAlign w:val="center"/>
            <w:hideMark/>
          </w:tcPr>
          <w:p w14:paraId="4DAF7732"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c>
          <w:tcPr>
            <w:tcW w:w="1353" w:type="dxa"/>
            <w:vMerge w:val="restart"/>
            <w:tcBorders>
              <w:top w:val="single" w:sz="8" w:space="0" w:color="auto"/>
              <w:left w:val="single" w:sz="8" w:space="0" w:color="auto"/>
              <w:bottom w:val="single" w:sz="8" w:space="0" w:color="000000" w:themeColor="text1"/>
              <w:right w:val="single" w:sz="8" w:space="0" w:color="auto"/>
            </w:tcBorders>
            <w:shd w:val="clear" w:color="auto" w:fill="auto"/>
            <w:vAlign w:val="center"/>
            <w:hideMark/>
          </w:tcPr>
          <w:p w14:paraId="5F7C8F7B"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TOTAL CFP</w:t>
            </w:r>
            <w:r w:rsidRPr="00922C2A">
              <w:rPr>
                <w:b/>
                <w:noProof/>
                <w:color w:val="000000"/>
                <w:sz w:val="20"/>
              </w:rPr>
              <w:cr/>
            </w:r>
            <w:r w:rsidRPr="00922C2A">
              <w:rPr>
                <w:b/>
                <w:noProof/>
                <w:color w:val="000000"/>
                <w:sz w:val="20"/>
              </w:rPr>
              <w:br/>
              <w:t>2021-2027</w:t>
            </w:r>
          </w:p>
        </w:tc>
      </w:tr>
      <w:tr w:rsidR="00922C2A" w:rsidRPr="00922C2A" w14:paraId="46FD4972" w14:textId="77777777" w:rsidTr="006F49C9">
        <w:trPr>
          <w:trHeight w:val="315"/>
        </w:trPr>
        <w:tc>
          <w:tcPr>
            <w:tcW w:w="5542" w:type="dxa"/>
            <w:gridSpan w:val="3"/>
            <w:vMerge/>
            <w:tcBorders>
              <w:top w:val="single" w:sz="8" w:space="0" w:color="000000" w:themeColor="text1"/>
              <w:left w:val="single" w:sz="4" w:space="0" w:color="auto"/>
              <w:bottom w:val="single" w:sz="4" w:space="0" w:color="auto"/>
              <w:right w:val="single" w:sz="4" w:space="0" w:color="auto"/>
            </w:tcBorders>
            <w:vAlign w:val="center"/>
            <w:hideMark/>
          </w:tcPr>
          <w:p w14:paraId="3AFD44CC" w14:textId="77777777" w:rsidR="00922C2A" w:rsidRPr="00922C2A" w:rsidRDefault="00922C2A" w:rsidP="006F49C9">
            <w:pPr>
              <w:spacing w:before="0" w:after="0"/>
              <w:jc w:val="left"/>
              <w:rPr>
                <w:rFonts w:eastAsia="Times New Roman"/>
                <w:noProof/>
                <w:color w:val="000000"/>
                <w:sz w:val="22"/>
                <w:lang w:eastAsia="en-IE"/>
              </w:rPr>
            </w:pPr>
          </w:p>
        </w:tc>
        <w:tc>
          <w:tcPr>
            <w:tcW w:w="1113" w:type="dxa"/>
            <w:tcBorders>
              <w:top w:val="nil"/>
              <w:left w:val="single" w:sz="4" w:space="0" w:color="auto"/>
              <w:bottom w:val="single" w:sz="8" w:space="0" w:color="auto"/>
              <w:right w:val="single" w:sz="8" w:space="0" w:color="auto"/>
            </w:tcBorders>
            <w:shd w:val="clear" w:color="auto" w:fill="auto"/>
            <w:vAlign w:val="center"/>
            <w:hideMark/>
          </w:tcPr>
          <w:p w14:paraId="21452918"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2024</w:t>
            </w:r>
          </w:p>
        </w:tc>
        <w:tc>
          <w:tcPr>
            <w:tcW w:w="1113" w:type="dxa"/>
            <w:tcBorders>
              <w:top w:val="nil"/>
              <w:left w:val="nil"/>
              <w:bottom w:val="single" w:sz="8" w:space="0" w:color="auto"/>
              <w:right w:val="single" w:sz="8" w:space="0" w:color="auto"/>
            </w:tcBorders>
            <w:shd w:val="clear" w:color="auto" w:fill="auto"/>
            <w:vAlign w:val="center"/>
            <w:hideMark/>
          </w:tcPr>
          <w:p w14:paraId="75462F2B"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2025</w:t>
            </w:r>
          </w:p>
        </w:tc>
        <w:tc>
          <w:tcPr>
            <w:tcW w:w="1115" w:type="dxa"/>
            <w:tcBorders>
              <w:top w:val="nil"/>
              <w:left w:val="nil"/>
              <w:bottom w:val="single" w:sz="8" w:space="0" w:color="auto"/>
              <w:right w:val="single" w:sz="8" w:space="0" w:color="auto"/>
            </w:tcBorders>
            <w:shd w:val="clear" w:color="auto" w:fill="auto"/>
            <w:vAlign w:val="center"/>
            <w:hideMark/>
          </w:tcPr>
          <w:p w14:paraId="208C8054"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2026</w:t>
            </w:r>
          </w:p>
        </w:tc>
        <w:tc>
          <w:tcPr>
            <w:tcW w:w="1115" w:type="dxa"/>
            <w:tcBorders>
              <w:top w:val="nil"/>
              <w:left w:val="nil"/>
              <w:bottom w:val="single" w:sz="8" w:space="0" w:color="auto"/>
              <w:right w:val="single" w:sz="8" w:space="0" w:color="auto"/>
            </w:tcBorders>
            <w:shd w:val="clear" w:color="auto" w:fill="auto"/>
            <w:vAlign w:val="center"/>
            <w:hideMark/>
          </w:tcPr>
          <w:p w14:paraId="4923EC29"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2027</w:t>
            </w:r>
          </w:p>
        </w:tc>
        <w:tc>
          <w:tcPr>
            <w:tcW w:w="1353" w:type="dxa"/>
            <w:vMerge/>
            <w:vAlign w:val="center"/>
            <w:hideMark/>
          </w:tcPr>
          <w:p w14:paraId="0227ABFA" w14:textId="77777777" w:rsidR="00922C2A" w:rsidRPr="00922C2A" w:rsidRDefault="00922C2A" w:rsidP="006F49C9">
            <w:pPr>
              <w:spacing w:before="0" w:after="0"/>
              <w:jc w:val="left"/>
              <w:rPr>
                <w:rFonts w:eastAsia="Times New Roman"/>
                <w:b/>
                <w:bCs/>
                <w:noProof/>
                <w:color w:val="000000"/>
                <w:sz w:val="20"/>
                <w:szCs w:val="20"/>
                <w:lang w:eastAsia="en-IE"/>
              </w:rPr>
            </w:pPr>
          </w:p>
        </w:tc>
      </w:tr>
      <w:tr w:rsidR="00922C2A" w:rsidRPr="00922C2A" w14:paraId="08449750" w14:textId="77777777" w:rsidTr="006F49C9">
        <w:trPr>
          <w:trHeight w:val="315"/>
        </w:trPr>
        <w:tc>
          <w:tcPr>
            <w:tcW w:w="3195" w:type="dxa"/>
            <w:vMerge w:val="restart"/>
            <w:tcBorders>
              <w:top w:val="single" w:sz="4" w:space="0" w:color="auto"/>
              <w:left w:val="single" w:sz="8" w:space="0" w:color="auto"/>
              <w:bottom w:val="single" w:sz="8" w:space="0" w:color="auto"/>
              <w:right w:val="single" w:sz="8" w:space="0" w:color="auto"/>
            </w:tcBorders>
            <w:shd w:val="clear" w:color="auto" w:fill="auto"/>
            <w:vAlign w:val="center"/>
            <w:hideMark/>
          </w:tcPr>
          <w:p w14:paraId="7DF77A05" w14:textId="77777777" w:rsidR="00922C2A" w:rsidRPr="00922C2A" w:rsidRDefault="00922C2A" w:rsidP="006F49C9">
            <w:pPr>
              <w:spacing w:before="0" w:after="0"/>
              <w:rPr>
                <w:rFonts w:eastAsia="Times New Roman"/>
                <w:noProof/>
                <w:color w:val="000000"/>
                <w:sz w:val="21"/>
                <w:szCs w:val="21"/>
              </w:rPr>
            </w:pPr>
            <w:r w:rsidRPr="00922C2A">
              <w:rPr>
                <w:noProof/>
                <w:color w:val="000000"/>
                <w:sz w:val="21"/>
              </w:rPr>
              <w:t>• TOTAL des crédits opérationnels (toutes les rubriques opérationnelles)</w:t>
            </w:r>
          </w:p>
        </w:tc>
        <w:tc>
          <w:tcPr>
            <w:tcW w:w="1237" w:type="dxa"/>
            <w:tcBorders>
              <w:top w:val="single" w:sz="4" w:space="0" w:color="auto"/>
              <w:left w:val="nil"/>
              <w:bottom w:val="single" w:sz="8" w:space="0" w:color="auto"/>
              <w:right w:val="single" w:sz="8" w:space="0" w:color="auto"/>
            </w:tcBorders>
            <w:shd w:val="clear" w:color="auto" w:fill="auto"/>
            <w:vAlign w:val="center"/>
            <w:hideMark/>
          </w:tcPr>
          <w:p w14:paraId="1A112055" w14:textId="77777777" w:rsidR="00922C2A" w:rsidRPr="00922C2A" w:rsidRDefault="00922C2A" w:rsidP="006F49C9">
            <w:pPr>
              <w:spacing w:before="0" w:after="0"/>
              <w:rPr>
                <w:rFonts w:eastAsia="Times New Roman"/>
                <w:noProof/>
                <w:color w:val="000000"/>
                <w:sz w:val="18"/>
                <w:szCs w:val="18"/>
              </w:rPr>
            </w:pPr>
            <w:r w:rsidRPr="00922C2A">
              <w:rPr>
                <w:noProof/>
                <w:color w:val="000000"/>
                <w:sz w:val="18"/>
              </w:rPr>
              <w:t>Engagements</w:t>
            </w:r>
          </w:p>
        </w:tc>
        <w:tc>
          <w:tcPr>
            <w:tcW w:w="1110" w:type="dxa"/>
            <w:tcBorders>
              <w:top w:val="single" w:sz="4" w:space="0" w:color="auto"/>
              <w:left w:val="nil"/>
              <w:bottom w:val="single" w:sz="8" w:space="0" w:color="auto"/>
              <w:right w:val="single" w:sz="8" w:space="0" w:color="000000" w:themeColor="text1"/>
            </w:tcBorders>
            <w:shd w:val="clear" w:color="auto" w:fill="auto"/>
            <w:vAlign w:val="center"/>
            <w:hideMark/>
          </w:tcPr>
          <w:p w14:paraId="1E1222F0" w14:textId="77777777" w:rsidR="00922C2A" w:rsidRPr="00922C2A" w:rsidRDefault="00922C2A" w:rsidP="006F49C9">
            <w:pPr>
              <w:spacing w:before="0" w:after="0"/>
              <w:jc w:val="center"/>
              <w:rPr>
                <w:rFonts w:eastAsia="Times New Roman"/>
                <w:noProof/>
                <w:color w:val="000000"/>
                <w:sz w:val="14"/>
                <w:szCs w:val="14"/>
              </w:rPr>
            </w:pPr>
            <w:r w:rsidRPr="00922C2A">
              <w:rPr>
                <w:noProof/>
                <w:color w:val="000000"/>
                <w:sz w:val="14"/>
              </w:rPr>
              <w:t>(4)</w:t>
            </w:r>
          </w:p>
        </w:tc>
        <w:tc>
          <w:tcPr>
            <w:tcW w:w="1113" w:type="dxa"/>
            <w:tcBorders>
              <w:top w:val="nil"/>
              <w:left w:val="nil"/>
              <w:bottom w:val="single" w:sz="8" w:space="0" w:color="auto"/>
              <w:right w:val="single" w:sz="8" w:space="0" w:color="auto"/>
            </w:tcBorders>
            <w:shd w:val="clear" w:color="auto" w:fill="D9D9D9" w:themeFill="background1" w:themeFillShade="D9"/>
            <w:vAlign w:val="center"/>
            <w:hideMark/>
          </w:tcPr>
          <w:p w14:paraId="38D324A9"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w:t>
            </w:r>
          </w:p>
        </w:tc>
        <w:tc>
          <w:tcPr>
            <w:tcW w:w="1113" w:type="dxa"/>
            <w:tcBorders>
              <w:top w:val="nil"/>
              <w:left w:val="nil"/>
              <w:bottom w:val="single" w:sz="8" w:space="0" w:color="auto"/>
              <w:right w:val="single" w:sz="8" w:space="0" w:color="auto"/>
            </w:tcBorders>
            <w:shd w:val="clear" w:color="auto" w:fill="D9D9D9" w:themeFill="background1" w:themeFillShade="D9"/>
            <w:vAlign w:val="center"/>
            <w:hideMark/>
          </w:tcPr>
          <w:p w14:paraId="17322836"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w:t>
            </w:r>
          </w:p>
        </w:tc>
        <w:tc>
          <w:tcPr>
            <w:tcW w:w="1115" w:type="dxa"/>
            <w:tcBorders>
              <w:top w:val="nil"/>
              <w:left w:val="nil"/>
              <w:bottom w:val="single" w:sz="8" w:space="0" w:color="auto"/>
              <w:right w:val="single" w:sz="8" w:space="0" w:color="auto"/>
            </w:tcBorders>
            <w:shd w:val="clear" w:color="auto" w:fill="D9D9D9" w:themeFill="background1" w:themeFillShade="D9"/>
            <w:vAlign w:val="center"/>
            <w:hideMark/>
          </w:tcPr>
          <w:p w14:paraId="7A3D57A9"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41,056</w:t>
            </w:r>
          </w:p>
        </w:tc>
        <w:tc>
          <w:tcPr>
            <w:tcW w:w="1115" w:type="dxa"/>
            <w:tcBorders>
              <w:top w:val="nil"/>
              <w:left w:val="nil"/>
              <w:bottom w:val="single" w:sz="8" w:space="0" w:color="auto"/>
              <w:right w:val="single" w:sz="8" w:space="0" w:color="auto"/>
            </w:tcBorders>
            <w:shd w:val="clear" w:color="auto" w:fill="D9D9D9" w:themeFill="background1" w:themeFillShade="D9"/>
            <w:vAlign w:val="center"/>
            <w:hideMark/>
          </w:tcPr>
          <w:p w14:paraId="1E58E981"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41,971</w:t>
            </w:r>
          </w:p>
        </w:tc>
        <w:tc>
          <w:tcPr>
            <w:tcW w:w="1353" w:type="dxa"/>
            <w:tcBorders>
              <w:top w:val="nil"/>
              <w:left w:val="nil"/>
              <w:bottom w:val="single" w:sz="8" w:space="0" w:color="auto"/>
              <w:right w:val="single" w:sz="8" w:space="0" w:color="auto"/>
            </w:tcBorders>
            <w:shd w:val="clear" w:color="auto" w:fill="D9D9D9" w:themeFill="background1" w:themeFillShade="D9"/>
            <w:vAlign w:val="center"/>
            <w:hideMark/>
          </w:tcPr>
          <w:p w14:paraId="5402BE1F"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83,027</w:t>
            </w:r>
          </w:p>
        </w:tc>
      </w:tr>
      <w:tr w:rsidR="00922C2A" w:rsidRPr="00922C2A" w14:paraId="45DBD9E5" w14:textId="77777777" w:rsidTr="006F49C9">
        <w:trPr>
          <w:trHeight w:val="315"/>
        </w:trPr>
        <w:tc>
          <w:tcPr>
            <w:tcW w:w="3195" w:type="dxa"/>
            <w:vMerge/>
            <w:vAlign w:val="center"/>
            <w:hideMark/>
          </w:tcPr>
          <w:p w14:paraId="4A6D88B1" w14:textId="77777777" w:rsidR="00922C2A" w:rsidRPr="00922C2A" w:rsidRDefault="00922C2A" w:rsidP="006F49C9">
            <w:pPr>
              <w:spacing w:before="0" w:after="0"/>
              <w:jc w:val="left"/>
              <w:rPr>
                <w:rFonts w:eastAsia="Times New Roman"/>
                <w:noProof/>
                <w:color w:val="000000"/>
                <w:sz w:val="21"/>
                <w:szCs w:val="21"/>
                <w:lang w:eastAsia="en-IE"/>
              </w:rPr>
            </w:pPr>
          </w:p>
        </w:tc>
        <w:tc>
          <w:tcPr>
            <w:tcW w:w="1237" w:type="dxa"/>
            <w:tcBorders>
              <w:top w:val="nil"/>
              <w:left w:val="nil"/>
              <w:bottom w:val="single" w:sz="8" w:space="0" w:color="auto"/>
              <w:right w:val="single" w:sz="8" w:space="0" w:color="auto"/>
            </w:tcBorders>
            <w:shd w:val="clear" w:color="auto" w:fill="auto"/>
            <w:vAlign w:val="center"/>
            <w:hideMark/>
          </w:tcPr>
          <w:p w14:paraId="6721C3B8" w14:textId="77777777" w:rsidR="00922C2A" w:rsidRPr="00922C2A" w:rsidRDefault="00922C2A" w:rsidP="006F49C9">
            <w:pPr>
              <w:spacing w:before="0" w:after="0"/>
              <w:rPr>
                <w:rFonts w:eastAsia="Times New Roman"/>
                <w:noProof/>
                <w:color w:val="000000"/>
                <w:sz w:val="18"/>
                <w:szCs w:val="18"/>
              </w:rPr>
            </w:pPr>
            <w:r w:rsidRPr="00922C2A">
              <w:rPr>
                <w:noProof/>
                <w:color w:val="000000"/>
                <w:sz w:val="18"/>
              </w:rPr>
              <w:t>Paiements</w:t>
            </w:r>
          </w:p>
        </w:tc>
        <w:tc>
          <w:tcPr>
            <w:tcW w:w="1110" w:type="dxa"/>
            <w:tcBorders>
              <w:top w:val="single" w:sz="8" w:space="0" w:color="auto"/>
              <w:left w:val="nil"/>
              <w:bottom w:val="single" w:sz="8" w:space="0" w:color="auto"/>
              <w:right w:val="single" w:sz="8" w:space="0" w:color="000000" w:themeColor="text1"/>
            </w:tcBorders>
            <w:shd w:val="clear" w:color="auto" w:fill="auto"/>
            <w:vAlign w:val="center"/>
            <w:hideMark/>
          </w:tcPr>
          <w:p w14:paraId="155E4662" w14:textId="77777777" w:rsidR="00922C2A" w:rsidRPr="00922C2A" w:rsidRDefault="00922C2A" w:rsidP="006F49C9">
            <w:pPr>
              <w:spacing w:before="0" w:after="0"/>
              <w:jc w:val="center"/>
              <w:rPr>
                <w:rFonts w:eastAsia="Times New Roman"/>
                <w:noProof/>
                <w:color w:val="000000"/>
                <w:sz w:val="14"/>
                <w:szCs w:val="14"/>
              </w:rPr>
            </w:pPr>
            <w:r w:rsidRPr="00922C2A">
              <w:rPr>
                <w:noProof/>
                <w:color w:val="000000"/>
                <w:sz w:val="14"/>
              </w:rPr>
              <w:t>(5)</w:t>
            </w:r>
          </w:p>
        </w:tc>
        <w:tc>
          <w:tcPr>
            <w:tcW w:w="1113" w:type="dxa"/>
            <w:tcBorders>
              <w:top w:val="nil"/>
              <w:left w:val="nil"/>
              <w:bottom w:val="single" w:sz="8" w:space="0" w:color="auto"/>
              <w:right w:val="single" w:sz="8" w:space="0" w:color="auto"/>
            </w:tcBorders>
            <w:shd w:val="clear" w:color="auto" w:fill="D9D9D9" w:themeFill="background1" w:themeFillShade="D9"/>
            <w:vAlign w:val="center"/>
            <w:hideMark/>
          </w:tcPr>
          <w:p w14:paraId="5CBEDD97"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w:t>
            </w:r>
          </w:p>
        </w:tc>
        <w:tc>
          <w:tcPr>
            <w:tcW w:w="1113" w:type="dxa"/>
            <w:tcBorders>
              <w:top w:val="nil"/>
              <w:left w:val="nil"/>
              <w:bottom w:val="single" w:sz="8" w:space="0" w:color="auto"/>
              <w:right w:val="single" w:sz="8" w:space="0" w:color="auto"/>
            </w:tcBorders>
            <w:shd w:val="clear" w:color="auto" w:fill="D9D9D9" w:themeFill="background1" w:themeFillShade="D9"/>
            <w:vAlign w:val="center"/>
            <w:hideMark/>
          </w:tcPr>
          <w:p w14:paraId="2147C858"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w:t>
            </w:r>
          </w:p>
        </w:tc>
        <w:tc>
          <w:tcPr>
            <w:tcW w:w="1115" w:type="dxa"/>
            <w:tcBorders>
              <w:top w:val="nil"/>
              <w:left w:val="nil"/>
              <w:bottom w:val="single" w:sz="8" w:space="0" w:color="auto"/>
              <w:right w:val="single" w:sz="8" w:space="0" w:color="auto"/>
            </w:tcBorders>
            <w:shd w:val="clear" w:color="auto" w:fill="D9D9D9" w:themeFill="background1" w:themeFillShade="D9"/>
            <w:vAlign w:val="center"/>
            <w:hideMark/>
          </w:tcPr>
          <w:p w14:paraId="59DD8D51"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28,934</w:t>
            </w:r>
          </w:p>
        </w:tc>
        <w:tc>
          <w:tcPr>
            <w:tcW w:w="1115" w:type="dxa"/>
            <w:tcBorders>
              <w:top w:val="nil"/>
              <w:left w:val="nil"/>
              <w:bottom w:val="single" w:sz="8" w:space="0" w:color="auto"/>
              <w:right w:val="single" w:sz="8" w:space="0" w:color="auto"/>
            </w:tcBorders>
            <w:shd w:val="clear" w:color="auto" w:fill="D9D9D9" w:themeFill="background1" w:themeFillShade="D9"/>
            <w:vAlign w:val="center"/>
            <w:hideMark/>
          </w:tcPr>
          <w:p w14:paraId="238342DB"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41,729</w:t>
            </w:r>
          </w:p>
        </w:tc>
        <w:tc>
          <w:tcPr>
            <w:tcW w:w="1353" w:type="dxa"/>
            <w:tcBorders>
              <w:top w:val="nil"/>
              <w:left w:val="nil"/>
              <w:bottom w:val="single" w:sz="8" w:space="0" w:color="auto"/>
              <w:right w:val="single" w:sz="8" w:space="0" w:color="auto"/>
            </w:tcBorders>
            <w:shd w:val="clear" w:color="auto" w:fill="D9D9D9" w:themeFill="background1" w:themeFillShade="D9"/>
            <w:vAlign w:val="center"/>
            <w:hideMark/>
          </w:tcPr>
          <w:p w14:paraId="7DA88AA5"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70,663</w:t>
            </w:r>
          </w:p>
        </w:tc>
      </w:tr>
      <w:tr w:rsidR="00922C2A" w:rsidRPr="00922C2A" w14:paraId="53192EAE" w14:textId="77777777" w:rsidTr="006F49C9">
        <w:trPr>
          <w:trHeight w:val="990"/>
        </w:trPr>
        <w:tc>
          <w:tcPr>
            <w:tcW w:w="4432" w:type="dxa"/>
            <w:gridSpan w:val="2"/>
            <w:tcBorders>
              <w:top w:val="single" w:sz="8" w:space="0" w:color="auto"/>
              <w:left w:val="single" w:sz="8" w:space="0" w:color="auto"/>
              <w:bottom w:val="single" w:sz="8" w:space="0" w:color="auto"/>
              <w:right w:val="single" w:sz="8" w:space="0" w:color="000000" w:themeColor="text1"/>
            </w:tcBorders>
            <w:shd w:val="clear" w:color="auto" w:fill="auto"/>
            <w:vAlign w:val="center"/>
            <w:hideMark/>
          </w:tcPr>
          <w:p w14:paraId="1E430D12" w14:textId="77777777" w:rsidR="00922C2A" w:rsidRPr="00922C2A" w:rsidRDefault="00922C2A" w:rsidP="006F49C9">
            <w:pPr>
              <w:spacing w:before="0" w:after="0"/>
              <w:rPr>
                <w:rFonts w:eastAsia="Times New Roman"/>
                <w:noProof/>
                <w:color w:val="000000"/>
                <w:sz w:val="21"/>
                <w:szCs w:val="21"/>
              </w:rPr>
            </w:pPr>
            <w:r w:rsidRPr="00922C2A">
              <w:rPr>
                <w:noProof/>
                <w:color w:val="000000"/>
                <w:sz w:val="21"/>
              </w:rPr>
              <w:t>• TOTAL des crédits de nature administrative financés par l’enveloppe de certains programmes spécifiques (toutes les rubriques opérationnelles)</w:t>
            </w:r>
          </w:p>
        </w:tc>
        <w:tc>
          <w:tcPr>
            <w:tcW w:w="1110" w:type="dxa"/>
            <w:tcBorders>
              <w:top w:val="single" w:sz="8" w:space="0" w:color="auto"/>
              <w:left w:val="nil"/>
              <w:bottom w:val="single" w:sz="8" w:space="0" w:color="auto"/>
              <w:right w:val="single" w:sz="8" w:space="0" w:color="000000" w:themeColor="text1"/>
            </w:tcBorders>
            <w:shd w:val="clear" w:color="auto" w:fill="auto"/>
            <w:vAlign w:val="center"/>
            <w:hideMark/>
          </w:tcPr>
          <w:p w14:paraId="0D592E14" w14:textId="77777777" w:rsidR="00922C2A" w:rsidRPr="00922C2A" w:rsidRDefault="00922C2A" w:rsidP="006F49C9">
            <w:pPr>
              <w:spacing w:before="0" w:after="0"/>
              <w:jc w:val="center"/>
              <w:rPr>
                <w:rFonts w:eastAsia="Times New Roman"/>
                <w:noProof/>
                <w:color w:val="000000"/>
                <w:sz w:val="14"/>
                <w:szCs w:val="14"/>
              </w:rPr>
            </w:pPr>
            <w:r w:rsidRPr="00922C2A">
              <w:rPr>
                <w:noProof/>
                <w:color w:val="000000"/>
                <w:sz w:val="14"/>
              </w:rPr>
              <w:t>(6)</w:t>
            </w:r>
          </w:p>
        </w:tc>
        <w:tc>
          <w:tcPr>
            <w:tcW w:w="1113" w:type="dxa"/>
            <w:tcBorders>
              <w:top w:val="nil"/>
              <w:left w:val="nil"/>
              <w:bottom w:val="single" w:sz="8" w:space="0" w:color="auto"/>
              <w:right w:val="single" w:sz="8" w:space="0" w:color="auto"/>
            </w:tcBorders>
            <w:shd w:val="clear" w:color="auto" w:fill="D9D9D9" w:themeFill="background1" w:themeFillShade="D9"/>
            <w:vAlign w:val="center"/>
            <w:hideMark/>
          </w:tcPr>
          <w:p w14:paraId="31497422"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w:t>
            </w:r>
          </w:p>
        </w:tc>
        <w:tc>
          <w:tcPr>
            <w:tcW w:w="1113" w:type="dxa"/>
            <w:tcBorders>
              <w:top w:val="nil"/>
              <w:left w:val="nil"/>
              <w:bottom w:val="single" w:sz="8" w:space="0" w:color="auto"/>
              <w:right w:val="single" w:sz="8" w:space="0" w:color="auto"/>
            </w:tcBorders>
            <w:shd w:val="clear" w:color="auto" w:fill="D9D9D9" w:themeFill="background1" w:themeFillShade="D9"/>
            <w:vAlign w:val="center"/>
            <w:hideMark/>
          </w:tcPr>
          <w:p w14:paraId="69F8FF09"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w:t>
            </w:r>
          </w:p>
        </w:tc>
        <w:tc>
          <w:tcPr>
            <w:tcW w:w="1115" w:type="dxa"/>
            <w:tcBorders>
              <w:top w:val="nil"/>
              <w:left w:val="nil"/>
              <w:bottom w:val="single" w:sz="8" w:space="0" w:color="auto"/>
              <w:right w:val="single" w:sz="8" w:space="0" w:color="auto"/>
            </w:tcBorders>
            <w:shd w:val="clear" w:color="auto" w:fill="D9D9D9" w:themeFill="background1" w:themeFillShade="D9"/>
            <w:vAlign w:val="center"/>
            <w:hideMark/>
          </w:tcPr>
          <w:p w14:paraId="105CEF70"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w:t>
            </w:r>
          </w:p>
        </w:tc>
        <w:tc>
          <w:tcPr>
            <w:tcW w:w="1115" w:type="dxa"/>
            <w:tcBorders>
              <w:top w:val="nil"/>
              <w:left w:val="nil"/>
              <w:bottom w:val="single" w:sz="8" w:space="0" w:color="auto"/>
              <w:right w:val="single" w:sz="8" w:space="0" w:color="auto"/>
            </w:tcBorders>
            <w:shd w:val="clear" w:color="auto" w:fill="D9D9D9" w:themeFill="background1" w:themeFillShade="D9"/>
            <w:vAlign w:val="center"/>
            <w:hideMark/>
          </w:tcPr>
          <w:p w14:paraId="585A5621"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w:t>
            </w:r>
          </w:p>
        </w:tc>
        <w:tc>
          <w:tcPr>
            <w:tcW w:w="1353" w:type="dxa"/>
            <w:tcBorders>
              <w:top w:val="nil"/>
              <w:left w:val="nil"/>
              <w:bottom w:val="single" w:sz="8" w:space="0" w:color="auto"/>
              <w:right w:val="single" w:sz="8" w:space="0" w:color="auto"/>
            </w:tcBorders>
            <w:shd w:val="clear" w:color="auto" w:fill="D9D9D9" w:themeFill="background1" w:themeFillShade="D9"/>
            <w:vAlign w:val="center"/>
            <w:hideMark/>
          </w:tcPr>
          <w:p w14:paraId="1CA723E8"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0</w:t>
            </w:r>
          </w:p>
        </w:tc>
      </w:tr>
      <w:tr w:rsidR="00922C2A" w:rsidRPr="00922C2A" w14:paraId="5A73DD21" w14:textId="77777777" w:rsidTr="006F49C9">
        <w:trPr>
          <w:trHeight w:val="585"/>
        </w:trPr>
        <w:tc>
          <w:tcPr>
            <w:tcW w:w="3195" w:type="dxa"/>
            <w:tcBorders>
              <w:top w:val="nil"/>
              <w:left w:val="single" w:sz="8" w:space="0" w:color="auto"/>
              <w:bottom w:val="nil"/>
              <w:right w:val="single" w:sz="8" w:space="0" w:color="auto"/>
            </w:tcBorders>
            <w:shd w:val="clear" w:color="auto" w:fill="F1F1F1"/>
            <w:vAlign w:val="center"/>
            <w:hideMark/>
          </w:tcPr>
          <w:p w14:paraId="0820BA48" w14:textId="77777777" w:rsidR="00922C2A" w:rsidRPr="00922C2A" w:rsidRDefault="00922C2A" w:rsidP="006F49C9">
            <w:pPr>
              <w:spacing w:before="0" w:after="0"/>
              <w:jc w:val="center"/>
              <w:rPr>
                <w:rFonts w:eastAsia="Times New Roman"/>
                <w:b/>
                <w:bCs/>
                <w:noProof/>
                <w:color w:val="000000"/>
                <w:sz w:val="22"/>
              </w:rPr>
            </w:pPr>
            <w:r w:rsidRPr="00922C2A">
              <w:rPr>
                <w:b/>
                <w:noProof/>
                <w:color w:val="000000"/>
                <w:sz w:val="22"/>
              </w:rPr>
              <w:t>TOTAL des crédits</w:t>
            </w:r>
            <w:r w:rsidRPr="00922C2A">
              <w:rPr>
                <w:b/>
                <w:noProof/>
                <w:color w:val="000000"/>
                <w:sz w:val="22"/>
              </w:rPr>
              <w:cr/>
            </w:r>
            <w:r w:rsidRPr="00922C2A">
              <w:rPr>
                <w:b/>
                <w:noProof/>
                <w:color w:val="000000"/>
                <w:sz w:val="22"/>
              </w:rPr>
              <w:br/>
              <w:t>pour les RUBRIQUES 1 à 6</w:t>
            </w:r>
          </w:p>
        </w:tc>
        <w:tc>
          <w:tcPr>
            <w:tcW w:w="1237" w:type="dxa"/>
            <w:tcBorders>
              <w:top w:val="nil"/>
              <w:left w:val="nil"/>
              <w:bottom w:val="nil"/>
              <w:right w:val="single" w:sz="8" w:space="0" w:color="auto"/>
            </w:tcBorders>
            <w:shd w:val="clear" w:color="auto" w:fill="auto"/>
            <w:vAlign w:val="center"/>
            <w:hideMark/>
          </w:tcPr>
          <w:p w14:paraId="6A97134D" w14:textId="77777777" w:rsidR="00922C2A" w:rsidRPr="00922C2A" w:rsidRDefault="00922C2A" w:rsidP="006F49C9">
            <w:pPr>
              <w:spacing w:before="0" w:after="0"/>
              <w:rPr>
                <w:rFonts w:eastAsia="Times New Roman"/>
                <w:noProof/>
                <w:color w:val="000000"/>
                <w:sz w:val="18"/>
                <w:szCs w:val="18"/>
              </w:rPr>
            </w:pPr>
            <w:r w:rsidRPr="00922C2A">
              <w:rPr>
                <w:noProof/>
                <w:color w:val="000000"/>
                <w:sz w:val="18"/>
              </w:rPr>
              <w:t>Engagements</w:t>
            </w:r>
          </w:p>
        </w:tc>
        <w:tc>
          <w:tcPr>
            <w:tcW w:w="1110" w:type="dxa"/>
            <w:tcBorders>
              <w:top w:val="single" w:sz="8" w:space="0" w:color="auto"/>
              <w:left w:val="nil"/>
              <w:bottom w:val="nil"/>
              <w:right w:val="single" w:sz="8" w:space="0" w:color="000000" w:themeColor="text1"/>
            </w:tcBorders>
            <w:shd w:val="clear" w:color="auto" w:fill="auto"/>
            <w:vAlign w:val="center"/>
            <w:hideMark/>
          </w:tcPr>
          <w:p w14:paraId="40CC6530" w14:textId="77777777" w:rsidR="00922C2A" w:rsidRPr="00922C2A" w:rsidRDefault="00922C2A" w:rsidP="006F49C9">
            <w:pPr>
              <w:spacing w:before="0" w:after="0"/>
              <w:jc w:val="center"/>
              <w:rPr>
                <w:rFonts w:eastAsia="Times New Roman"/>
                <w:noProof/>
                <w:color w:val="000000"/>
                <w:sz w:val="14"/>
                <w:szCs w:val="14"/>
              </w:rPr>
            </w:pPr>
            <w:r w:rsidRPr="00922C2A">
              <w:rPr>
                <w:noProof/>
                <w:color w:val="000000"/>
                <w:sz w:val="14"/>
              </w:rPr>
              <w:t>=4+6</w:t>
            </w:r>
          </w:p>
        </w:tc>
        <w:tc>
          <w:tcPr>
            <w:tcW w:w="1113" w:type="dxa"/>
            <w:tcBorders>
              <w:top w:val="nil"/>
              <w:left w:val="nil"/>
              <w:bottom w:val="single" w:sz="8" w:space="0" w:color="auto"/>
              <w:right w:val="single" w:sz="8" w:space="0" w:color="auto"/>
            </w:tcBorders>
            <w:shd w:val="clear" w:color="auto" w:fill="D9D9D9" w:themeFill="background1" w:themeFillShade="D9"/>
            <w:vAlign w:val="center"/>
            <w:hideMark/>
          </w:tcPr>
          <w:p w14:paraId="7C52B1B5"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0,000</w:t>
            </w:r>
          </w:p>
        </w:tc>
        <w:tc>
          <w:tcPr>
            <w:tcW w:w="1113" w:type="dxa"/>
            <w:tcBorders>
              <w:top w:val="nil"/>
              <w:left w:val="nil"/>
              <w:bottom w:val="single" w:sz="8" w:space="0" w:color="auto"/>
              <w:right w:val="single" w:sz="8" w:space="0" w:color="auto"/>
            </w:tcBorders>
            <w:shd w:val="clear" w:color="auto" w:fill="D9D9D9" w:themeFill="background1" w:themeFillShade="D9"/>
            <w:vAlign w:val="center"/>
            <w:hideMark/>
          </w:tcPr>
          <w:p w14:paraId="0B7873B4"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0,000</w:t>
            </w:r>
          </w:p>
        </w:tc>
        <w:tc>
          <w:tcPr>
            <w:tcW w:w="1115" w:type="dxa"/>
            <w:tcBorders>
              <w:top w:val="nil"/>
              <w:left w:val="nil"/>
              <w:bottom w:val="single" w:sz="8" w:space="0" w:color="auto"/>
              <w:right w:val="single" w:sz="8" w:space="0" w:color="auto"/>
            </w:tcBorders>
            <w:shd w:val="clear" w:color="auto" w:fill="D9D9D9" w:themeFill="background1" w:themeFillShade="D9"/>
            <w:vAlign w:val="center"/>
            <w:hideMark/>
          </w:tcPr>
          <w:p w14:paraId="26FB791D"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41,056</w:t>
            </w:r>
          </w:p>
        </w:tc>
        <w:tc>
          <w:tcPr>
            <w:tcW w:w="1115" w:type="dxa"/>
            <w:tcBorders>
              <w:top w:val="nil"/>
              <w:left w:val="nil"/>
              <w:bottom w:val="single" w:sz="8" w:space="0" w:color="auto"/>
              <w:right w:val="single" w:sz="8" w:space="0" w:color="auto"/>
            </w:tcBorders>
            <w:shd w:val="clear" w:color="auto" w:fill="D9D9D9" w:themeFill="background1" w:themeFillShade="D9"/>
            <w:vAlign w:val="center"/>
            <w:hideMark/>
          </w:tcPr>
          <w:p w14:paraId="18621445"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41,971</w:t>
            </w:r>
          </w:p>
        </w:tc>
        <w:tc>
          <w:tcPr>
            <w:tcW w:w="1353" w:type="dxa"/>
            <w:tcBorders>
              <w:top w:val="nil"/>
              <w:left w:val="nil"/>
              <w:bottom w:val="single" w:sz="8" w:space="0" w:color="auto"/>
              <w:right w:val="single" w:sz="8" w:space="0" w:color="auto"/>
            </w:tcBorders>
            <w:shd w:val="clear" w:color="auto" w:fill="D9D9D9" w:themeFill="background1" w:themeFillShade="D9"/>
            <w:vAlign w:val="center"/>
            <w:hideMark/>
          </w:tcPr>
          <w:p w14:paraId="05B06087"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83,027</w:t>
            </w:r>
          </w:p>
        </w:tc>
      </w:tr>
      <w:tr w:rsidR="00922C2A" w:rsidRPr="00922C2A" w14:paraId="4C2CE452" w14:textId="77777777" w:rsidTr="006F49C9">
        <w:trPr>
          <w:trHeight w:val="589"/>
        </w:trPr>
        <w:tc>
          <w:tcPr>
            <w:tcW w:w="3195" w:type="dxa"/>
            <w:tcBorders>
              <w:top w:val="nil"/>
              <w:left w:val="single" w:sz="8" w:space="0" w:color="auto"/>
              <w:bottom w:val="single" w:sz="8" w:space="0" w:color="auto"/>
              <w:right w:val="single" w:sz="8" w:space="0" w:color="auto"/>
            </w:tcBorders>
            <w:shd w:val="clear" w:color="auto" w:fill="F1F1F1"/>
            <w:vAlign w:val="center"/>
            <w:hideMark/>
          </w:tcPr>
          <w:p w14:paraId="29F71CC5"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du cadre financier pluriannuel</w:t>
            </w:r>
            <w:r w:rsidRPr="00922C2A">
              <w:rPr>
                <w:noProof/>
                <w:color w:val="000000"/>
                <w:sz w:val="20"/>
              </w:rPr>
              <w:cr/>
            </w:r>
            <w:r w:rsidRPr="00922C2A">
              <w:rPr>
                <w:noProof/>
                <w:color w:val="000000"/>
                <w:sz w:val="20"/>
              </w:rPr>
              <w:br/>
              <w:t>(Montant de référence)</w:t>
            </w:r>
          </w:p>
        </w:tc>
        <w:tc>
          <w:tcPr>
            <w:tcW w:w="1237" w:type="dxa"/>
            <w:tcBorders>
              <w:top w:val="nil"/>
              <w:left w:val="nil"/>
              <w:bottom w:val="single" w:sz="8" w:space="0" w:color="auto"/>
              <w:right w:val="single" w:sz="8" w:space="0" w:color="auto"/>
            </w:tcBorders>
            <w:shd w:val="clear" w:color="auto" w:fill="auto"/>
            <w:vAlign w:val="center"/>
            <w:hideMark/>
          </w:tcPr>
          <w:p w14:paraId="08178CFC" w14:textId="77777777" w:rsidR="00922C2A" w:rsidRPr="00922C2A" w:rsidRDefault="00922C2A" w:rsidP="006F49C9">
            <w:pPr>
              <w:spacing w:before="0" w:after="0"/>
              <w:rPr>
                <w:rFonts w:eastAsia="Times New Roman"/>
                <w:noProof/>
                <w:color w:val="000000"/>
                <w:sz w:val="18"/>
                <w:szCs w:val="18"/>
              </w:rPr>
            </w:pPr>
            <w:r w:rsidRPr="00922C2A">
              <w:rPr>
                <w:noProof/>
                <w:color w:val="000000"/>
                <w:sz w:val="18"/>
              </w:rPr>
              <w:t>Paiements</w:t>
            </w:r>
          </w:p>
        </w:tc>
        <w:tc>
          <w:tcPr>
            <w:tcW w:w="1110" w:type="dxa"/>
            <w:tcBorders>
              <w:top w:val="single" w:sz="8" w:space="0" w:color="auto"/>
              <w:left w:val="nil"/>
              <w:bottom w:val="single" w:sz="8" w:space="0" w:color="auto"/>
              <w:right w:val="single" w:sz="8" w:space="0" w:color="000000" w:themeColor="text1"/>
            </w:tcBorders>
            <w:shd w:val="clear" w:color="auto" w:fill="auto"/>
            <w:vAlign w:val="center"/>
            <w:hideMark/>
          </w:tcPr>
          <w:p w14:paraId="0A8843BE" w14:textId="77777777" w:rsidR="00922C2A" w:rsidRPr="00922C2A" w:rsidRDefault="00922C2A" w:rsidP="006F49C9">
            <w:pPr>
              <w:spacing w:before="0" w:after="0"/>
              <w:jc w:val="center"/>
              <w:rPr>
                <w:rFonts w:eastAsia="Times New Roman"/>
                <w:noProof/>
                <w:color w:val="000000"/>
                <w:sz w:val="14"/>
                <w:szCs w:val="14"/>
              </w:rPr>
            </w:pPr>
            <w:r w:rsidRPr="00922C2A">
              <w:rPr>
                <w:noProof/>
                <w:color w:val="000000"/>
                <w:sz w:val="14"/>
              </w:rPr>
              <w:t>=5+6</w:t>
            </w:r>
          </w:p>
        </w:tc>
        <w:tc>
          <w:tcPr>
            <w:tcW w:w="1113" w:type="dxa"/>
            <w:tcBorders>
              <w:top w:val="nil"/>
              <w:left w:val="nil"/>
              <w:bottom w:val="single" w:sz="8" w:space="0" w:color="auto"/>
              <w:right w:val="single" w:sz="8" w:space="0" w:color="auto"/>
            </w:tcBorders>
            <w:shd w:val="clear" w:color="auto" w:fill="D9D9D9" w:themeFill="background1" w:themeFillShade="D9"/>
            <w:vAlign w:val="center"/>
            <w:hideMark/>
          </w:tcPr>
          <w:p w14:paraId="289B793C"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0,000</w:t>
            </w:r>
          </w:p>
        </w:tc>
        <w:tc>
          <w:tcPr>
            <w:tcW w:w="1113" w:type="dxa"/>
            <w:tcBorders>
              <w:top w:val="nil"/>
              <w:left w:val="nil"/>
              <w:bottom w:val="single" w:sz="8" w:space="0" w:color="auto"/>
              <w:right w:val="single" w:sz="8" w:space="0" w:color="auto"/>
            </w:tcBorders>
            <w:shd w:val="clear" w:color="auto" w:fill="D9D9D9" w:themeFill="background1" w:themeFillShade="D9"/>
            <w:vAlign w:val="center"/>
            <w:hideMark/>
          </w:tcPr>
          <w:p w14:paraId="6F86C8E3"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0,000</w:t>
            </w:r>
          </w:p>
        </w:tc>
        <w:tc>
          <w:tcPr>
            <w:tcW w:w="1115" w:type="dxa"/>
            <w:tcBorders>
              <w:top w:val="nil"/>
              <w:left w:val="nil"/>
              <w:bottom w:val="single" w:sz="8" w:space="0" w:color="auto"/>
              <w:right w:val="single" w:sz="8" w:space="0" w:color="auto"/>
            </w:tcBorders>
            <w:shd w:val="clear" w:color="auto" w:fill="D9D9D9" w:themeFill="background1" w:themeFillShade="D9"/>
            <w:vAlign w:val="center"/>
            <w:hideMark/>
          </w:tcPr>
          <w:p w14:paraId="20D5A15B"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28,934</w:t>
            </w:r>
          </w:p>
        </w:tc>
        <w:tc>
          <w:tcPr>
            <w:tcW w:w="1115" w:type="dxa"/>
            <w:tcBorders>
              <w:top w:val="nil"/>
              <w:left w:val="nil"/>
              <w:bottom w:val="single" w:sz="8" w:space="0" w:color="auto"/>
              <w:right w:val="single" w:sz="8" w:space="0" w:color="auto"/>
            </w:tcBorders>
            <w:shd w:val="clear" w:color="auto" w:fill="D9D9D9" w:themeFill="background1" w:themeFillShade="D9"/>
            <w:vAlign w:val="center"/>
            <w:hideMark/>
          </w:tcPr>
          <w:p w14:paraId="3E9BE152"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41,729</w:t>
            </w:r>
          </w:p>
        </w:tc>
        <w:tc>
          <w:tcPr>
            <w:tcW w:w="1353" w:type="dxa"/>
            <w:tcBorders>
              <w:top w:val="nil"/>
              <w:left w:val="nil"/>
              <w:bottom w:val="single" w:sz="8" w:space="0" w:color="auto"/>
              <w:right w:val="single" w:sz="8" w:space="0" w:color="auto"/>
            </w:tcBorders>
            <w:shd w:val="clear" w:color="auto" w:fill="D9D9D9" w:themeFill="background1" w:themeFillShade="D9"/>
            <w:vAlign w:val="center"/>
            <w:hideMark/>
          </w:tcPr>
          <w:p w14:paraId="7D1FE8A4"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70,663</w:t>
            </w:r>
          </w:p>
        </w:tc>
      </w:tr>
    </w:tbl>
    <w:p w14:paraId="71400AA8" w14:textId="77777777" w:rsidR="00922C2A" w:rsidRPr="00922C2A" w:rsidRDefault="00922C2A" w:rsidP="00922C2A">
      <w:pPr>
        <w:rPr>
          <w:noProof/>
          <w:sz w:val="16"/>
        </w:rPr>
      </w:pPr>
    </w:p>
    <w:p w14:paraId="40E5CC50" w14:textId="77777777" w:rsidR="00922C2A" w:rsidRPr="00922C2A" w:rsidRDefault="00922C2A" w:rsidP="00922C2A">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922C2A" w:rsidRPr="00922C2A" w14:paraId="3552D35E" w14:textId="77777777" w:rsidTr="006F49C9">
        <w:trPr>
          <w:jc w:val="center"/>
        </w:trPr>
        <w:tc>
          <w:tcPr>
            <w:tcW w:w="1739" w:type="pct"/>
            <w:shd w:val="thinDiagStripe" w:color="C0C0C0" w:fill="auto"/>
            <w:vAlign w:val="center"/>
          </w:tcPr>
          <w:p w14:paraId="4ADBE783" w14:textId="77777777" w:rsidR="00922C2A" w:rsidRPr="00922C2A" w:rsidRDefault="00922C2A" w:rsidP="006F49C9">
            <w:pPr>
              <w:spacing w:before="60" w:after="60"/>
              <w:jc w:val="center"/>
              <w:rPr>
                <w:b/>
                <w:noProof/>
              </w:rPr>
            </w:pPr>
            <w:r w:rsidRPr="00922C2A">
              <w:rPr>
                <w:noProof/>
              </w:rPr>
              <w:br w:type="page"/>
            </w:r>
            <w:r w:rsidRPr="00922C2A">
              <w:rPr>
                <w:b/>
                <w:noProof/>
                <w:sz w:val="22"/>
              </w:rPr>
              <w:t xml:space="preserve">Rubrique du cadre financier pluriannuel </w:t>
            </w:r>
          </w:p>
        </w:tc>
        <w:tc>
          <w:tcPr>
            <w:tcW w:w="396" w:type="pct"/>
            <w:shd w:val="thinDiagStripe" w:color="C0C0C0" w:fill="auto"/>
            <w:vAlign w:val="center"/>
          </w:tcPr>
          <w:p w14:paraId="714D6D3F" w14:textId="77777777" w:rsidR="00922C2A" w:rsidRPr="00922C2A" w:rsidRDefault="00922C2A" w:rsidP="006F49C9">
            <w:pPr>
              <w:spacing w:before="60" w:after="60"/>
              <w:jc w:val="center"/>
              <w:rPr>
                <w:noProof/>
              </w:rPr>
            </w:pPr>
            <w:r w:rsidRPr="00922C2A">
              <w:rPr>
                <w:b/>
                <w:noProof/>
                <w:sz w:val="22"/>
              </w:rPr>
              <w:t>7</w:t>
            </w:r>
          </w:p>
        </w:tc>
        <w:tc>
          <w:tcPr>
            <w:tcW w:w="2865" w:type="pct"/>
            <w:vAlign w:val="center"/>
          </w:tcPr>
          <w:p w14:paraId="4264EFDD" w14:textId="77777777" w:rsidR="00922C2A" w:rsidRPr="00922C2A" w:rsidRDefault="00922C2A" w:rsidP="006F49C9">
            <w:pPr>
              <w:spacing w:before="60" w:after="60"/>
              <w:rPr>
                <w:noProof/>
              </w:rPr>
            </w:pPr>
            <w:r w:rsidRPr="00922C2A">
              <w:rPr>
                <w:noProof/>
                <w:sz w:val="22"/>
              </w:rPr>
              <w:t>«Dépenses administratives»</w:t>
            </w:r>
            <w:r w:rsidRPr="00922C2A">
              <w:rPr>
                <w:rStyle w:val="FootnoteReference"/>
                <w:noProof/>
                <w:sz w:val="22"/>
              </w:rPr>
              <w:footnoteReference w:id="102"/>
            </w:r>
          </w:p>
        </w:tc>
      </w:tr>
    </w:tbl>
    <w:p w14:paraId="45838E12" w14:textId="77777777" w:rsidR="00922C2A" w:rsidRPr="00922C2A" w:rsidRDefault="00922C2A" w:rsidP="00922C2A">
      <w:pPr>
        <w:jc w:val="left"/>
        <w:rPr>
          <w:noProof/>
          <w:sz w:val="18"/>
          <w:szCs w:val="18"/>
        </w:rPr>
      </w:pPr>
      <w:r w:rsidRPr="00922C2A">
        <w:rPr>
          <w:noProof/>
          <w:sz w:val="18"/>
        </w:rPr>
        <w:t>En Mio EUR (à la 3</w:t>
      </w:r>
      <w:r w:rsidRPr="00922C2A">
        <w:rPr>
          <w:noProof/>
          <w:sz w:val="18"/>
          <w:vertAlign w:val="superscript"/>
        </w:rPr>
        <w:t>e</w:t>
      </w:r>
      <w:r w:rsidRPr="00922C2A">
        <w:rPr>
          <w:noProof/>
          <w:sz w:val="18"/>
        </w:rPr>
        <w:t> décimale)</w:t>
      </w:r>
    </w:p>
    <w:tbl>
      <w:tblPr>
        <w:tblW w:w="11793" w:type="dxa"/>
        <w:tblInd w:w="118" w:type="dxa"/>
        <w:tblLook w:val="04A0" w:firstRow="1" w:lastRow="0" w:firstColumn="1" w:lastColumn="0" w:noHBand="0" w:noVBand="1"/>
      </w:tblPr>
      <w:tblGrid>
        <w:gridCol w:w="3431"/>
        <w:gridCol w:w="2009"/>
        <w:gridCol w:w="598"/>
        <w:gridCol w:w="598"/>
        <w:gridCol w:w="983"/>
        <w:gridCol w:w="983"/>
        <w:gridCol w:w="983"/>
        <w:gridCol w:w="983"/>
        <w:gridCol w:w="1225"/>
      </w:tblGrid>
      <w:tr w:rsidR="00922C2A" w:rsidRPr="00922C2A" w14:paraId="488A414F" w14:textId="77777777" w:rsidTr="006F49C9">
        <w:trPr>
          <w:trHeight w:val="289"/>
        </w:trPr>
        <w:tc>
          <w:tcPr>
            <w:tcW w:w="6636" w:type="dxa"/>
            <w:gridSpan w:val="4"/>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62EE28F8" w14:textId="77777777" w:rsidR="00922C2A" w:rsidRPr="00922C2A" w:rsidRDefault="00922C2A" w:rsidP="006F49C9">
            <w:pPr>
              <w:spacing w:before="0" w:after="0"/>
              <w:jc w:val="center"/>
              <w:rPr>
                <w:rFonts w:eastAsia="Times New Roman"/>
                <w:noProof/>
                <w:color w:val="000000"/>
                <w:lang w:eastAsia="en-IE"/>
              </w:rPr>
            </w:pPr>
          </w:p>
        </w:tc>
        <w:tc>
          <w:tcPr>
            <w:tcW w:w="983" w:type="dxa"/>
            <w:tcBorders>
              <w:top w:val="single" w:sz="8" w:space="0" w:color="auto"/>
              <w:left w:val="nil"/>
              <w:bottom w:val="nil"/>
              <w:right w:val="single" w:sz="8" w:space="0" w:color="auto"/>
            </w:tcBorders>
            <w:shd w:val="clear" w:color="auto" w:fill="auto"/>
            <w:vAlign w:val="center"/>
            <w:hideMark/>
          </w:tcPr>
          <w:p w14:paraId="65A6A987"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c>
          <w:tcPr>
            <w:tcW w:w="983" w:type="dxa"/>
            <w:tcBorders>
              <w:top w:val="single" w:sz="8" w:space="0" w:color="auto"/>
              <w:left w:val="nil"/>
              <w:bottom w:val="nil"/>
              <w:right w:val="single" w:sz="8" w:space="0" w:color="auto"/>
            </w:tcBorders>
            <w:shd w:val="clear" w:color="auto" w:fill="auto"/>
            <w:vAlign w:val="center"/>
            <w:hideMark/>
          </w:tcPr>
          <w:p w14:paraId="45C28E6A"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c>
          <w:tcPr>
            <w:tcW w:w="983" w:type="dxa"/>
            <w:tcBorders>
              <w:top w:val="single" w:sz="8" w:space="0" w:color="auto"/>
              <w:left w:val="nil"/>
              <w:bottom w:val="nil"/>
              <w:right w:val="single" w:sz="8" w:space="0" w:color="auto"/>
            </w:tcBorders>
            <w:shd w:val="clear" w:color="auto" w:fill="auto"/>
            <w:vAlign w:val="center"/>
            <w:hideMark/>
          </w:tcPr>
          <w:p w14:paraId="53DE4156"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c>
          <w:tcPr>
            <w:tcW w:w="983" w:type="dxa"/>
            <w:tcBorders>
              <w:top w:val="single" w:sz="8" w:space="0" w:color="auto"/>
              <w:left w:val="nil"/>
              <w:bottom w:val="nil"/>
              <w:right w:val="single" w:sz="8" w:space="0" w:color="auto"/>
            </w:tcBorders>
            <w:shd w:val="clear" w:color="auto" w:fill="auto"/>
            <w:vAlign w:val="center"/>
            <w:hideMark/>
          </w:tcPr>
          <w:p w14:paraId="107D6F5D"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c>
          <w:tcPr>
            <w:tcW w:w="1225" w:type="dxa"/>
            <w:vMerge w:val="restart"/>
            <w:tcBorders>
              <w:top w:val="single" w:sz="8" w:space="0" w:color="auto"/>
              <w:left w:val="single" w:sz="8" w:space="0" w:color="auto"/>
              <w:bottom w:val="single" w:sz="8" w:space="0" w:color="000000" w:themeColor="text1"/>
              <w:right w:val="single" w:sz="8" w:space="0" w:color="auto"/>
            </w:tcBorders>
            <w:shd w:val="clear" w:color="auto" w:fill="auto"/>
            <w:vAlign w:val="center"/>
            <w:hideMark/>
          </w:tcPr>
          <w:p w14:paraId="37260493"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TOTAL CFP</w:t>
            </w:r>
            <w:r w:rsidRPr="00922C2A">
              <w:rPr>
                <w:b/>
                <w:noProof/>
                <w:color w:val="000000"/>
                <w:sz w:val="20"/>
              </w:rPr>
              <w:cr/>
            </w:r>
            <w:r w:rsidRPr="00922C2A">
              <w:rPr>
                <w:b/>
                <w:noProof/>
                <w:color w:val="000000"/>
                <w:sz w:val="20"/>
              </w:rPr>
              <w:br/>
              <w:t>2021-2027</w:t>
            </w:r>
          </w:p>
        </w:tc>
      </w:tr>
      <w:tr w:rsidR="00922C2A" w:rsidRPr="00922C2A" w14:paraId="12EE7752" w14:textId="77777777" w:rsidTr="006F49C9">
        <w:trPr>
          <w:trHeight w:val="300"/>
        </w:trPr>
        <w:tc>
          <w:tcPr>
            <w:tcW w:w="6636" w:type="dxa"/>
            <w:gridSpan w:val="4"/>
            <w:vMerge/>
            <w:vAlign w:val="center"/>
            <w:hideMark/>
          </w:tcPr>
          <w:p w14:paraId="7AF85F98" w14:textId="77777777" w:rsidR="00922C2A" w:rsidRPr="00922C2A" w:rsidRDefault="00922C2A" w:rsidP="006F49C9">
            <w:pPr>
              <w:spacing w:before="0" w:after="0"/>
              <w:jc w:val="left"/>
              <w:rPr>
                <w:rFonts w:eastAsia="Times New Roman"/>
                <w:noProof/>
                <w:color w:val="000000"/>
                <w:szCs w:val="24"/>
                <w:lang w:eastAsia="en-IE"/>
              </w:rPr>
            </w:pPr>
          </w:p>
        </w:tc>
        <w:tc>
          <w:tcPr>
            <w:tcW w:w="983" w:type="dxa"/>
            <w:tcBorders>
              <w:top w:val="nil"/>
              <w:left w:val="nil"/>
              <w:bottom w:val="single" w:sz="8" w:space="0" w:color="auto"/>
              <w:right w:val="single" w:sz="8" w:space="0" w:color="auto"/>
            </w:tcBorders>
            <w:shd w:val="clear" w:color="auto" w:fill="auto"/>
            <w:vAlign w:val="center"/>
            <w:hideMark/>
          </w:tcPr>
          <w:p w14:paraId="257839A4"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2024</w:t>
            </w:r>
          </w:p>
        </w:tc>
        <w:tc>
          <w:tcPr>
            <w:tcW w:w="983" w:type="dxa"/>
            <w:tcBorders>
              <w:top w:val="nil"/>
              <w:left w:val="nil"/>
              <w:bottom w:val="single" w:sz="8" w:space="0" w:color="auto"/>
              <w:right w:val="single" w:sz="8" w:space="0" w:color="auto"/>
            </w:tcBorders>
            <w:shd w:val="clear" w:color="auto" w:fill="auto"/>
            <w:vAlign w:val="center"/>
            <w:hideMark/>
          </w:tcPr>
          <w:p w14:paraId="1047FFF4"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2025</w:t>
            </w:r>
          </w:p>
        </w:tc>
        <w:tc>
          <w:tcPr>
            <w:tcW w:w="983" w:type="dxa"/>
            <w:tcBorders>
              <w:top w:val="nil"/>
              <w:left w:val="nil"/>
              <w:bottom w:val="single" w:sz="8" w:space="0" w:color="auto"/>
              <w:right w:val="single" w:sz="8" w:space="0" w:color="auto"/>
            </w:tcBorders>
            <w:shd w:val="clear" w:color="auto" w:fill="auto"/>
            <w:vAlign w:val="center"/>
            <w:hideMark/>
          </w:tcPr>
          <w:p w14:paraId="3532F009"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2026</w:t>
            </w:r>
          </w:p>
        </w:tc>
        <w:tc>
          <w:tcPr>
            <w:tcW w:w="983" w:type="dxa"/>
            <w:tcBorders>
              <w:top w:val="nil"/>
              <w:left w:val="nil"/>
              <w:bottom w:val="single" w:sz="8" w:space="0" w:color="auto"/>
              <w:right w:val="single" w:sz="8" w:space="0" w:color="auto"/>
            </w:tcBorders>
            <w:shd w:val="clear" w:color="auto" w:fill="auto"/>
            <w:vAlign w:val="center"/>
            <w:hideMark/>
          </w:tcPr>
          <w:p w14:paraId="7E2F4C2D"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2027</w:t>
            </w:r>
          </w:p>
        </w:tc>
        <w:tc>
          <w:tcPr>
            <w:tcW w:w="1225" w:type="dxa"/>
            <w:vMerge/>
            <w:vAlign w:val="center"/>
            <w:hideMark/>
          </w:tcPr>
          <w:p w14:paraId="778A626A" w14:textId="77777777" w:rsidR="00922C2A" w:rsidRPr="00922C2A" w:rsidRDefault="00922C2A" w:rsidP="006F49C9">
            <w:pPr>
              <w:spacing w:before="0" w:after="0"/>
              <w:jc w:val="left"/>
              <w:rPr>
                <w:rFonts w:eastAsia="Times New Roman"/>
                <w:b/>
                <w:bCs/>
                <w:noProof/>
                <w:color w:val="000000"/>
                <w:sz w:val="20"/>
                <w:szCs w:val="20"/>
                <w:lang w:eastAsia="en-IE"/>
              </w:rPr>
            </w:pPr>
          </w:p>
        </w:tc>
      </w:tr>
      <w:tr w:rsidR="00922C2A" w:rsidRPr="00922C2A" w14:paraId="5FA8B006" w14:textId="77777777" w:rsidTr="006F49C9">
        <w:trPr>
          <w:trHeight w:val="315"/>
        </w:trPr>
        <w:tc>
          <w:tcPr>
            <w:tcW w:w="6636" w:type="dxa"/>
            <w:gridSpan w:val="4"/>
            <w:tcBorders>
              <w:top w:val="single" w:sz="8" w:space="0" w:color="auto"/>
              <w:left w:val="single" w:sz="8" w:space="0" w:color="auto"/>
              <w:bottom w:val="single" w:sz="8" w:space="0" w:color="auto"/>
              <w:right w:val="single" w:sz="8" w:space="0" w:color="auto"/>
            </w:tcBorders>
            <w:shd w:val="clear" w:color="auto" w:fill="auto"/>
            <w:vAlign w:val="center"/>
            <w:hideMark/>
          </w:tcPr>
          <w:p w14:paraId="61642D2C" w14:textId="77777777" w:rsidR="00922C2A" w:rsidRPr="00922C2A" w:rsidRDefault="00922C2A" w:rsidP="006F49C9">
            <w:pPr>
              <w:spacing w:before="0" w:after="0"/>
              <w:jc w:val="left"/>
              <w:rPr>
                <w:rFonts w:eastAsia="Times New Roman"/>
                <w:noProof/>
                <w:color w:val="000000"/>
                <w:sz w:val="22"/>
              </w:rPr>
            </w:pPr>
            <w:r w:rsidRPr="00922C2A">
              <w:rPr>
                <w:noProof/>
                <w:color w:val="000000"/>
                <w:sz w:val="22"/>
              </w:rPr>
              <w:t xml:space="preserve">Ressources humaines </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5B25ED84"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0,000</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5915B672"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0,000</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310516EC"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1,793</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2B4D179B"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3,586</w:t>
            </w:r>
          </w:p>
        </w:tc>
        <w:tc>
          <w:tcPr>
            <w:tcW w:w="1225" w:type="dxa"/>
            <w:tcBorders>
              <w:top w:val="nil"/>
              <w:left w:val="nil"/>
              <w:bottom w:val="single" w:sz="8" w:space="0" w:color="auto"/>
              <w:right w:val="single" w:sz="8" w:space="0" w:color="auto"/>
            </w:tcBorders>
            <w:shd w:val="clear" w:color="auto" w:fill="D9D9D9" w:themeFill="background1" w:themeFillShade="D9"/>
            <w:vAlign w:val="center"/>
            <w:hideMark/>
          </w:tcPr>
          <w:p w14:paraId="478F4DCE"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5,379</w:t>
            </w:r>
          </w:p>
        </w:tc>
      </w:tr>
      <w:tr w:rsidR="00922C2A" w:rsidRPr="00922C2A" w14:paraId="605AE7B1" w14:textId="77777777" w:rsidTr="006F49C9">
        <w:trPr>
          <w:trHeight w:val="315"/>
        </w:trPr>
        <w:tc>
          <w:tcPr>
            <w:tcW w:w="6636" w:type="dxa"/>
            <w:gridSpan w:val="4"/>
            <w:tcBorders>
              <w:top w:val="single" w:sz="8" w:space="0" w:color="auto"/>
              <w:left w:val="single" w:sz="8" w:space="0" w:color="auto"/>
              <w:bottom w:val="single" w:sz="8" w:space="0" w:color="auto"/>
              <w:right w:val="single" w:sz="8" w:space="0" w:color="auto"/>
            </w:tcBorders>
            <w:shd w:val="clear" w:color="auto" w:fill="auto"/>
            <w:vAlign w:val="center"/>
            <w:hideMark/>
          </w:tcPr>
          <w:p w14:paraId="6575CE5D" w14:textId="77777777" w:rsidR="00922C2A" w:rsidRPr="00922C2A" w:rsidRDefault="00922C2A" w:rsidP="006F49C9">
            <w:pPr>
              <w:spacing w:before="0" w:after="0"/>
              <w:jc w:val="left"/>
              <w:rPr>
                <w:rFonts w:eastAsia="Times New Roman"/>
                <w:noProof/>
                <w:color w:val="000000"/>
                <w:sz w:val="22"/>
              </w:rPr>
            </w:pPr>
            <w:r w:rsidRPr="00922C2A">
              <w:rPr>
                <w:noProof/>
                <w:color w:val="000000"/>
                <w:sz w:val="22"/>
              </w:rPr>
              <w:t xml:space="preserve">Autres dépenses administratives </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737AAD1C"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0,000</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444FF785"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0,000</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4AD775F8"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0,035</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46D57DF7"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0,070</w:t>
            </w:r>
          </w:p>
        </w:tc>
        <w:tc>
          <w:tcPr>
            <w:tcW w:w="1225" w:type="dxa"/>
            <w:tcBorders>
              <w:top w:val="nil"/>
              <w:left w:val="nil"/>
              <w:bottom w:val="single" w:sz="8" w:space="0" w:color="auto"/>
              <w:right w:val="single" w:sz="8" w:space="0" w:color="auto"/>
            </w:tcBorders>
            <w:shd w:val="clear" w:color="auto" w:fill="D9D9D9" w:themeFill="background1" w:themeFillShade="D9"/>
            <w:vAlign w:val="center"/>
            <w:hideMark/>
          </w:tcPr>
          <w:p w14:paraId="074E4287"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0,105</w:t>
            </w:r>
          </w:p>
        </w:tc>
      </w:tr>
      <w:tr w:rsidR="00922C2A" w:rsidRPr="00922C2A" w14:paraId="2A937FDE" w14:textId="77777777" w:rsidTr="006F49C9">
        <w:trPr>
          <w:trHeight w:val="315"/>
        </w:trPr>
        <w:tc>
          <w:tcPr>
            <w:tcW w:w="3431" w:type="dxa"/>
            <w:tcBorders>
              <w:top w:val="nil"/>
              <w:left w:val="single" w:sz="8" w:space="0" w:color="auto"/>
              <w:bottom w:val="single" w:sz="8" w:space="0" w:color="auto"/>
              <w:right w:val="single" w:sz="8" w:space="0" w:color="auto"/>
            </w:tcBorders>
            <w:shd w:val="clear" w:color="auto" w:fill="auto"/>
            <w:vAlign w:val="center"/>
            <w:hideMark/>
          </w:tcPr>
          <w:p w14:paraId="1A77696A" w14:textId="77777777" w:rsidR="00922C2A" w:rsidRPr="00922C2A" w:rsidRDefault="00922C2A" w:rsidP="006F49C9">
            <w:pPr>
              <w:spacing w:before="0" w:after="0"/>
              <w:jc w:val="center"/>
              <w:rPr>
                <w:rFonts w:eastAsia="Times New Roman"/>
                <w:noProof/>
                <w:color w:val="000000"/>
                <w:sz w:val="22"/>
              </w:rPr>
            </w:pPr>
            <w:r w:rsidRPr="00922C2A">
              <w:rPr>
                <w:noProof/>
                <w:color w:val="000000"/>
                <w:sz w:val="22"/>
              </w:rPr>
              <w:t>Total</w:t>
            </w:r>
          </w:p>
        </w:tc>
        <w:tc>
          <w:tcPr>
            <w:tcW w:w="3205" w:type="dxa"/>
            <w:gridSpan w:val="3"/>
            <w:tcBorders>
              <w:top w:val="single" w:sz="8" w:space="0" w:color="auto"/>
              <w:left w:val="nil"/>
              <w:bottom w:val="single" w:sz="8" w:space="0" w:color="auto"/>
              <w:right w:val="single" w:sz="8" w:space="0" w:color="auto"/>
            </w:tcBorders>
            <w:shd w:val="clear" w:color="auto" w:fill="auto"/>
            <w:vAlign w:val="center"/>
            <w:hideMark/>
          </w:tcPr>
          <w:p w14:paraId="7213C180"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xml:space="preserve">Crédits </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7AF33BF7"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0,000</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6050654B"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0,000</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074AE41D"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1,828</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5F1DD54B"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3,656</w:t>
            </w:r>
          </w:p>
        </w:tc>
        <w:tc>
          <w:tcPr>
            <w:tcW w:w="1225" w:type="dxa"/>
            <w:tcBorders>
              <w:top w:val="nil"/>
              <w:left w:val="nil"/>
              <w:bottom w:val="single" w:sz="8" w:space="0" w:color="auto"/>
              <w:right w:val="single" w:sz="8" w:space="0" w:color="auto"/>
            </w:tcBorders>
            <w:shd w:val="clear" w:color="auto" w:fill="D9D9D9" w:themeFill="background1" w:themeFillShade="D9"/>
            <w:vAlign w:val="center"/>
            <w:hideMark/>
          </w:tcPr>
          <w:p w14:paraId="168C9742"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5,484</w:t>
            </w:r>
          </w:p>
        </w:tc>
      </w:tr>
      <w:tr w:rsidR="00922C2A" w:rsidRPr="00922C2A" w14:paraId="29F37A7A" w14:textId="77777777" w:rsidTr="006F49C9">
        <w:trPr>
          <w:trHeight w:val="300"/>
        </w:trPr>
        <w:tc>
          <w:tcPr>
            <w:tcW w:w="3431" w:type="dxa"/>
            <w:tcBorders>
              <w:top w:val="nil"/>
              <w:left w:val="nil"/>
              <w:bottom w:val="nil"/>
              <w:right w:val="nil"/>
            </w:tcBorders>
            <w:shd w:val="clear" w:color="auto" w:fill="auto"/>
            <w:noWrap/>
            <w:vAlign w:val="bottom"/>
            <w:hideMark/>
          </w:tcPr>
          <w:p w14:paraId="779D26A9" w14:textId="77777777" w:rsidR="00922C2A" w:rsidRPr="00922C2A" w:rsidRDefault="00922C2A" w:rsidP="006F49C9">
            <w:pPr>
              <w:spacing w:before="0" w:after="0"/>
              <w:jc w:val="right"/>
              <w:rPr>
                <w:rFonts w:eastAsia="Times New Roman"/>
                <w:b/>
                <w:bCs/>
                <w:noProof/>
                <w:color w:val="000000"/>
                <w:sz w:val="20"/>
                <w:szCs w:val="20"/>
                <w:lang w:eastAsia="en-IE"/>
              </w:rPr>
            </w:pPr>
          </w:p>
        </w:tc>
        <w:tc>
          <w:tcPr>
            <w:tcW w:w="2009" w:type="dxa"/>
            <w:tcBorders>
              <w:top w:val="nil"/>
              <w:left w:val="nil"/>
              <w:bottom w:val="nil"/>
              <w:right w:val="nil"/>
            </w:tcBorders>
            <w:shd w:val="clear" w:color="auto" w:fill="auto"/>
            <w:noWrap/>
            <w:vAlign w:val="bottom"/>
            <w:hideMark/>
          </w:tcPr>
          <w:p w14:paraId="62E11861" w14:textId="77777777" w:rsidR="00922C2A" w:rsidRPr="00922C2A" w:rsidRDefault="00922C2A" w:rsidP="006F49C9">
            <w:pPr>
              <w:spacing w:before="0" w:after="0"/>
              <w:jc w:val="left"/>
              <w:rPr>
                <w:rFonts w:eastAsia="Times New Roman"/>
                <w:noProof/>
                <w:sz w:val="20"/>
                <w:szCs w:val="20"/>
                <w:lang w:eastAsia="en-IE"/>
              </w:rPr>
            </w:pPr>
          </w:p>
        </w:tc>
        <w:tc>
          <w:tcPr>
            <w:tcW w:w="598" w:type="dxa"/>
            <w:tcBorders>
              <w:top w:val="nil"/>
              <w:left w:val="nil"/>
              <w:bottom w:val="nil"/>
              <w:right w:val="nil"/>
            </w:tcBorders>
            <w:shd w:val="clear" w:color="auto" w:fill="auto"/>
            <w:noWrap/>
            <w:vAlign w:val="bottom"/>
            <w:hideMark/>
          </w:tcPr>
          <w:p w14:paraId="70712C29" w14:textId="77777777" w:rsidR="00922C2A" w:rsidRPr="00922C2A" w:rsidRDefault="00922C2A" w:rsidP="006F49C9">
            <w:pPr>
              <w:spacing w:before="0" w:after="0"/>
              <w:jc w:val="left"/>
              <w:rPr>
                <w:rFonts w:eastAsia="Times New Roman"/>
                <w:noProof/>
                <w:sz w:val="20"/>
                <w:szCs w:val="20"/>
                <w:lang w:eastAsia="en-IE"/>
              </w:rPr>
            </w:pPr>
          </w:p>
        </w:tc>
        <w:tc>
          <w:tcPr>
            <w:tcW w:w="598" w:type="dxa"/>
            <w:tcBorders>
              <w:top w:val="nil"/>
              <w:left w:val="nil"/>
              <w:bottom w:val="nil"/>
              <w:right w:val="nil"/>
            </w:tcBorders>
            <w:shd w:val="clear" w:color="auto" w:fill="auto"/>
            <w:noWrap/>
            <w:vAlign w:val="bottom"/>
            <w:hideMark/>
          </w:tcPr>
          <w:p w14:paraId="40B80274" w14:textId="77777777" w:rsidR="00922C2A" w:rsidRPr="00922C2A" w:rsidRDefault="00922C2A" w:rsidP="006F49C9">
            <w:pPr>
              <w:spacing w:before="0" w:after="0"/>
              <w:jc w:val="left"/>
              <w:rPr>
                <w:rFonts w:eastAsia="Times New Roman"/>
                <w:noProof/>
                <w:sz w:val="20"/>
                <w:szCs w:val="20"/>
                <w:lang w:eastAsia="en-IE"/>
              </w:rPr>
            </w:pPr>
          </w:p>
        </w:tc>
        <w:tc>
          <w:tcPr>
            <w:tcW w:w="983" w:type="dxa"/>
            <w:tcBorders>
              <w:top w:val="nil"/>
              <w:left w:val="nil"/>
              <w:bottom w:val="nil"/>
              <w:right w:val="nil"/>
            </w:tcBorders>
            <w:shd w:val="clear" w:color="auto" w:fill="auto"/>
            <w:noWrap/>
            <w:vAlign w:val="bottom"/>
            <w:hideMark/>
          </w:tcPr>
          <w:p w14:paraId="6E42E2CC" w14:textId="77777777" w:rsidR="00922C2A" w:rsidRPr="00922C2A" w:rsidRDefault="00922C2A" w:rsidP="006F49C9">
            <w:pPr>
              <w:spacing w:before="0" w:after="0"/>
              <w:jc w:val="left"/>
              <w:rPr>
                <w:rFonts w:eastAsia="Times New Roman"/>
                <w:noProof/>
                <w:sz w:val="20"/>
                <w:szCs w:val="20"/>
                <w:lang w:eastAsia="en-IE"/>
              </w:rPr>
            </w:pPr>
          </w:p>
        </w:tc>
        <w:tc>
          <w:tcPr>
            <w:tcW w:w="983" w:type="dxa"/>
            <w:tcBorders>
              <w:top w:val="nil"/>
              <w:left w:val="nil"/>
              <w:bottom w:val="nil"/>
              <w:right w:val="nil"/>
            </w:tcBorders>
            <w:shd w:val="clear" w:color="auto" w:fill="auto"/>
            <w:noWrap/>
            <w:vAlign w:val="bottom"/>
            <w:hideMark/>
          </w:tcPr>
          <w:p w14:paraId="170390F7" w14:textId="77777777" w:rsidR="00922C2A" w:rsidRPr="00922C2A" w:rsidRDefault="00922C2A" w:rsidP="006F49C9">
            <w:pPr>
              <w:spacing w:before="0" w:after="0"/>
              <w:jc w:val="left"/>
              <w:rPr>
                <w:rFonts w:eastAsia="Times New Roman"/>
                <w:noProof/>
                <w:sz w:val="20"/>
                <w:szCs w:val="20"/>
                <w:lang w:eastAsia="en-IE"/>
              </w:rPr>
            </w:pPr>
          </w:p>
        </w:tc>
        <w:tc>
          <w:tcPr>
            <w:tcW w:w="983" w:type="dxa"/>
            <w:tcBorders>
              <w:top w:val="nil"/>
              <w:left w:val="nil"/>
              <w:bottom w:val="nil"/>
              <w:right w:val="nil"/>
            </w:tcBorders>
            <w:shd w:val="clear" w:color="auto" w:fill="auto"/>
            <w:noWrap/>
            <w:vAlign w:val="bottom"/>
            <w:hideMark/>
          </w:tcPr>
          <w:p w14:paraId="7EDD1A16" w14:textId="77777777" w:rsidR="00922C2A" w:rsidRPr="00922C2A" w:rsidRDefault="00922C2A" w:rsidP="006F49C9">
            <w:pPr>
              <w:spacing w:before="0" w:after="0"/>
              <w:jc w:val="left"/>
              <w:rPr>
                <w:rFonts w:eastAsia="Times New Roman"/>
                <w:noProof/>
                <w:sz w:val="20"/>
                <w:szCs w:val="20"/>
                <w:lang w:eastAsia="en-IE"/>
              </w:rPr>
            </w:pPr>
          </w:p>
        </w:tc>
        <w:tc>
          <w:tcPr>
            <w:tcW w:w="983" w:type="dxa"/>
            <w:tcBorders>
              <w:top w:val="nil"/>
              <w:left w:val="nil"/>
              <w:bottom w:val="nil"/>
              <w:right w:val="nil"/>
            </w:tcBorders>
            <w:shd w:val="clear" w:color="auto" w:fill="auto"/>
            <w:noWrap/>
            <w:vAlign w:val="bottom"/>
            <w:hideMark/>
          </w:tcPr>
          <w:p w14:paraId="033EAD57" w14:textId="77777777" w:rsidR="00922C2A" w:rsidRPr="00922C2A" w:rsidRDefault="00922C2A" w:rsidP="006F49C9">
            <w:pPr>
              <w:spacing w:before="0" w:after="0"/>
              <w:jc w:val="left"/>
              <w:rPr>
                <w:rFonts w:eastAsia="Times New Roman"/>
                <w:noProof/>
                <w:sz w:val="20"/>
                <w:szCs w:val="20"/>
                <w:lang w:eastAsia="en-IE"/>
              </w:rPr>
            </w:pPr>
          </w:p>
        </w:tc>
        <w:tc>
          <w:tcPr>
            <w:tcW w:w="1225" w:type="dxa"/>
            <w:tcBorders>
              <w:top w:val="nil"/>
              <w:left w:val="nil"/>
              <w:bottom w:val="nil"/>
              <w:right w:val="nil"/>
            </w:tcBorders>
            <w:shd w:val="clear" w:color="auto" w:fill="auto"/>
            <w:noWrap/>
            <w:vAlign w:val="bottom"/>
            <w:hideMark/>
          </w:tcPr>
          <w:p w14:paraId="168C9316" w14:textId="77777777" w:rsidR="00922C2A" w:rsidRPr="00922C2A" w:rsidRDefault="00922C2A" w:rsidP="006F49C9">
            <w:pPr>
              <w:spacing w:before="0" w:after="0"/>
              <w:jc w:val="left"/>
              <w:rPr>
                <w:rFonts w:eastAsia="Times New Roman"/>
                <w:noProof/>
                <w:sz w:val="20"/>
                <w:szCs w:val="20"/>
                <w:lang w:eastAsia="en-IE"/>
              </w:rPr>
            </w:pPr>
          </w:p>
        </w:tc>
      </w:tr>
      <w:tr w:rsidR="00922C2A" w:rsidRPr="00922C2A" w14:paraId="731D1937" w14:textId="77777777" w:rsidTr="006F49C9">
        <w:trPr>
          <w:trHeight w:val="315"/>
        </w:trPr>
        <w:tc>
          <w:tcPr>
            <w:tcW w:w="3431" w:type="dxa"/>
            <w:tcBorders>
              <w:top w:val="nil"/>
              <w:left w:val="nil"/>
              <w:bottom w:val="nil"/>
              <w:right w:val="nil"/>
            </w:tcBorders>
            <w:shd w:val="clear" w:color="auto" w:fill="auto"/>
            <w:noWrap/>
            <w:vAlign w:val="bottom"/>
            <w:hideMark/>
          </w:tcPr>
          <w:p w14:paraId="7CAE6FBC" w14:textId="77777777" w:rsidR="00922C2A" w:rsidRPr="00922C2A" w:rsidRDefault="00922C2A" w:rsidP="006F49C9">
            <w:pPr>
              <w:spacing w:before="0" w:after="0"/>
              <w:jc w:val="left"/>
              <w:rPr>
                <w:rFonts w:eastAsia="Times New Roman"/>
                <w:noProof/>
                <w:sz w:val="20"/>
                <w:szCs w:val="20"/>
                <w:lang w:eastAsia="en-IE"/>
              </w:rPr>
            </w:pPr>
          </w:p>
        </w:tc>
        <w:tc>
          <w:tcPr>
            <w:tcW w:w="2009" w:type="dxa"/>
            <w:tcBorders>
              <w:top w:val="nil"/>
              <w:left w:val="nil"/>
              <w:bottom w:val="nil"/>
              <w:right w:val="nil"/>
            </w:tcBorders>
            <w:shd w:val="clear" w:color="auto" w:fill="auto"/>
            <w:noWrap/>
            <w:vAlign w:val="bottom"/>
            <w:hideMark/>
          </w:tcPr>
          <w:p w14:paraId="4B018232" w14:textId="77777777" w:rsidR="00922C2A" w:rsidRPr="00922C2A" w:rsidRDefault="00922C2A" w:rsidP="006F49C9">
            <w:pPr>
              <w:spacing w:before="0" w:after="0"/>
              <w:jc w:val="left"/>
              <w:rPr>
                <w:rFonts w:eastAsia="Times New Roman"/>
                <w:noProof/>
                <w:sz w:val="20"/>
                <w:szCs w:val="20"/>
                <w:lang w:eastAsia="en-IE"/>
              </w:rPr>
            </w:pPr>
          </w:p>
        </w:tc>
        <w:tc>
          <w:tcPr>
            <w:tcW w:w="598" w:type="dxa"/>
            <w:tcBorders>
              <w:top w:val="nil"/>
              <w:left w:val="nil"/>
              <w:bottom w:val="nil"/>
              <w:right w:val="nil"/>
            </w:tcBorders>
            <w:shd w:val="clear" w:color="auto" w:fill="auto"/>
            <w:noWrap/>
            <w:vAlign w:val="bottom"/>
            <w:hideMark/>
          </w:tcPr>
          <w:p w14:paraId="13EC9E98" w14:textId="77777777" w:rsidR="00922C2A" w:rsidRPr="00922C2A" w:rsidRDefault="00922C2A" w:rsidP="006F49C9">
            <w:pPr>
              <w:spacing w:before="0" w:after="0"/>
              <w:jc w:val="left"/>
              <w:rPr>
                <w:rFonts w:eastAsia="Times New Roman"/>
                <w:noProof/>
                <w:sz w:val="20"/>
                <w:szCs w:val="20"/>
                <w:lang w:eastAsia="en-IE"/>
              </w:rPr>
            </w:pPr>
          </w:p>
        </w:tc>
        <w:tc>
          <w:tcPr>
            <w:tcW w:w="598" w:type="dxa"/>
            <w:tcBorders>
              <w:top w:val="nil"/>
              <w:left w:val="nil"/>
              <w:bottom w:val="nil"/>
              <w:right w:val="nil"/>
            </w:tcBorders>
            <w:shd w:val="clear" w:color="auto" w:fill="auto"/>
            <w:noWrap/>
            <w:vAlign w:val="bottom"/>
            <w:hideMark/>
          </w:tcPr>
          <w:p w14:paraId="778CEC4E" w14:textId="77777777" w:rsidR="00922C2A" w:rsidRPr="00922C2A" w:rsidRDefault="00922C2A" w:rsidP="006F49C9">
            <w:pPr>
              <w:spacing w:before="0" w:after="0"/>
              <w:jc w:val="left"/>
              <w:rPr>
                <w:rFonts w:eastAsia="Times New Roman"/>
                <w:noProof/>
                <w:sz w:val="20"/>
                <w:szCs w:val="20"/>
                <w:lang w:eastAsia="en-IE"/>
              </w:rPr>
            </w:pPr>
          </w:p>
        </w:tc>
        <w:tc>
          <w:tcPr>
            <w:tcW w:w="983" w:type="dxa"/>
            <w:tcBorders>
              <w:top w:val="nil"/>
              <w:left w:val="nil"/>
              <w:bottom w:val="nil"/>
              <w:right w:val="nil"/>
            </w:tcBorders>
            <w:shd w:val="clear" w:color="auto" w:fill="auto"/>
            <w:noWrap/>
            <w:vAlign w:val="bottom"/>
            <w:hideMark/>
          </w:tcPr>
          <w:p w14:paraId="74526A4A" w14:textId="77777777" w:rsidR="00922C2A" w:rsidRPr="00922C2A" w:rsidRDefault="00922C2A" w:rsidP="006F49C9">
            <w:pPr>
              <w:spacing w:before="0" w:after="0"/>
              <w:jc w:val="left"/>
              <w:rPr>
                <w:rFonts w:eastAsia="Times New Roman"/>
                <w:noProof/>
                <w:sz w:val="20"/>
                <w:szCs w:val="20"/>
                <w:lang w:eastAsia="en-IE"/>
              </w:rPr>
            </w:pPr>
          </w:p>
        </w:tc>
        <w:tc>
          <w:tcPr>
            <w:tcW w:w="983" w:type="dxa"/>
            <w:tcBorders>
              <w:top w:val="nil"/>
              <w:left w:val="nil"/>
              <w:bottom w:val="nil"/>
              <w:right w:val="nil"/>
            </w:tcBorders>
            <w:shd w:val="clear" w:color="auto" w:fill="auto"/>
            <w:noWrap/>
            <w:vAlign w:val="bottom"/>
            <w:hideMark/>
          </w:tcPr>
          <w:p w14:paraId="18C47FC3" w14:textId="77777777" w:rsidR="00922C2A" w:rsidRPr="00922C2A" w:rsidRDefault="00922C2A" w:rsidP="006F49C9">
            <w:pPr>
              <w:spacing w:before="0" w:after="0"/>
              <w:jc w:val="left"/>
              <w:rPr>
                <w:rFonts w:eastAsia="Times New Roman"/>
                <w:noProof/>
                <w:sz w:val="20"/>
                <w:szCs w:val="20"/>
                <w:lang w:eastAsia="en-IE"/>
              </w:rPr>
            </w:pPr>
          </w:p>
        </w:tc>
        <w:tc>
          <w:tcPr>
            <w:tcW w:w="983" w:type="dxa"/>
            <w:tcBorders>
              <w:top w:val="nil"/>
              <w:left w:val="nil"/>
              <w:bottom w:val="nil"/>
              <w:right w:val="nil"/>
            </w:tcBorders>
            <w:shd w:val="clear" w:color="auto" w:fill="auto"/>
            <w:noWrap/>
            <w:vAlign w:val="bottom"/>
            <w:hideMark/>
          </w:tcPr>
          <w:p w14:paraId="45661E73" w14:textId="77777777" w:rsidR="00922C2A" w:rsidRPr="00922C2A" w:rsidRDefault="00922C2A" w:rsidP="006F49C9">
            <w:pPr>
              <w:spacing w:before="0" w:after="0"/>
              <w:jc w:val="left"/>
              <w:rPr>
                <w:rFonts w:eastAsia="Times New Roman"/>
                <w:noProof/>
                <w:sz w:val="20"/>
                <w:szCs w:val="20"/>
                <w:lang w:eastAsia="en-IE"/>
              </w:rPr>
            </w:pPr>
          </w:p>
        </w:tc>
        <w:tc>
          <w:tcPr>
            <w:tcW w:w="983" w:type="dxa"/>
            <w:tcBorders>
              <w:top w:val="nil"/>
              <w:left w:val="nil"/>
              <w:bottom w:val="nil"/>
              <w:right w:val="nil"/>
            </w:tcBorders>
            <w:shd w:val="clear" w:color="auto" w:fill="auto"/>
            <w:noWrap/>
            <w:vAlign w:val="bottom"/>
            <w:hideMark/>
          </w:tcPr>
          <w:p w14:paraId="79AB0DF8" w14:textId="77777777" w:rsidR="00922C2A" w:rsidRPr="00922C2A" w:rsidRDefault="00922C2A" w:rsidP="006F49C9">
            <w:pPr>
              <w:spacing w:before="0" w:after="0"/>
              <w:jc w:val="left"/>
              <w:rPr>
                <w:rFonts w:eastAsia="Times New Roman"/>
                <w:noProof/>
                <w:sz w:val="20"/>
                <w:szCs w:val="20"/>
                <w:lang w:eastAsia="en-IE"/>
              </w:rPr>
            </w:pPr>
          </w:p>
        </w:tc>
        <w:tc>
          <w:tcPr>
            <w:tcW w:w="1225" w:type="dxa"/>
            <w:tcBorders>
              <w:top w:val="nil"/>
              <w:left w:val="nil"/>
              <w:bottom w:val="nil"/>
              <w:right w:val="nil"/>
            </w:tcBorders>
            <w:shd w:val="clear" w:color="auto" w:fill="auto"/>
            <w:noWrap/>
            <w:vAlign w:val="bottom"/>
            <w:hideMark/>
          </w:tcPr>
          <w:p w14:paraId="3243EE63" w14:textId="77777777" w:rsidR="00922C2A" w:rsidRPr="00922C2A" w:rsidRDefault="00922C2A" w:rsidP="006F49C9">
            <w:pPr>
              <w:spacing w:before="0" w:after="0"/>
              <w:jc w:val="left"/>
              <w:rPr>
                <w:rFonts w:eastAsia="Times New Roman"/>
                <w:noProof/>
                <w:sz w:val="20"/>
                <w:szCs w:val="20"/>
                <w:lang w:eastAsia="en-IE"/>
              </w:rPr>
            </w:pPr>
          </w:p>
        </w:tc>
      </w:tr>
      <w:tr w:rsidR="00922C2A" w:rsidRPr="00922C2A" w14:paraId="398709B0" w14:textId="77777777" w:rsidTr="006F49C9">
        <w:trPr>
          <w:trHeight w:val="900"/>
        </w:trPr>
        <w:tc>
          <w:tcPr>
            <w:tcW w:w="5440" w:type="dxa"/>
            <w:gridSpan w:val="2"/>
            <w:tcBorders>
              <w:top w:val="single" w:sz="8" w:space="0" w:color="auto"/>
              <w:left w:val="single" w:sz="8" w:space="0" w:color="auto"/>
              <w:bottom w:val="single" w:sz="8" w:space="0" w:color="auto"/>
              <w:right w:val="single" w:sz="8" w:space="0" w:color="auto"/>
            </w:tcBorders>
            <w:shd w:val="clear" w:color="auto" w:fill="F1F1F1"/>
            <w:vAlign w:val="center"/>
            <w:hideMark/>
          </w:tcPr>
          <w:p w14:paraId="3E5D373C" w14:textId="77777777" w:rsidR="00922C2A" w:rsidRPr="00922C2A" w:rsidRDefault="00922C2A" w:rsidP="006F49C9">
            <w:pPr>
              <w:spacing w:before="0" w:after="0"/>
              <w:jc w:val="center"/>
              <w:rPr>
                <w:rFonts w:eastAsia="Times New Roman"/>
                <w:b/>
                <w:bCs/>
                <w:noProof/>
                <w:color w:val="000000"/>
                <w:sz w:val="22"/>
              </w:rPr>
            </w:pPr>
            <w:r w:rsidRPr="00922C2A">
              <w:rPr>
                <w:b/>
                <w:noProof/>
                <w:color w:val="000000"/>
                <w:sz w:val="22"/>
              </w:rPr>
              <w:t>TOTAL des crédits</w:t>
            </w:r>
            <w:r w:rsidRPr="00922C2A">
              <w:rPr>
                <w:b/>
                <w:noProof/>
                <w:color w:val="000000"/>
                <w:sz w:val="22"/>
              </w:rPr>
              <w:cr/>
            </w:r>
            <w:r w:rsidRPr="00922C2A">
              <w:rPr>
                <w:b/>
                <w:noProof/>
                <w:color w:val="000000"/>
                <w:sz w:val="22"/>
              </w:rPr>
              <w:br/>
              <w:t>pour la RUBRIQUE 7</w:t>
            </w:r>
            <w:r w:rsidRPr="00922C2A">
              <w:rPr>
                <w:b/>
                <w:noProof/>
                <w:color w:val="000000"/>
                <w:sz w:val="22"/>
              </w:rPr>
              <w:cr/>
            </w:r>
            <w:r w:rsidRPr="00922C2A">
              <w:rPr>
                <w:b/>
                <w:noProof/>
                <w:color w:val="000000"/>
                <w:sz w:val="22"/>
              </w:rPr>
              <w:br/>
              <w:t xml:space="preserve">du cadre financier pluriannuel </w:t>
            </w:r>
          </w:p>
        </w:tc>
        <w:tc>
          <w:tcPr>
            <w:tcW w:w="1196" w:type="dxa"/>
            <w:gridSpan w:val="2"/>
            <w:tcBorders>
              <w:top w:val="single" w:sz="8" w:space="0" w:color="auto"/>
              <w:left w:val="nil"/>
              <w:bottom w:val="single" w:sz="8" w:space="0" w:color="auto"/>
              <w:right w:val="single" w:sz="8" w:space="0" w:color="auto"/>
            </w:tcBorders>
            <w:shd w:val="clear" w:color="auto" w:fill="auto"/>
            <w:vAlign w:val="center"/>
            <w:hideMark/>
          </w:tcPr>
          <w:p w14:paraId="191CD423" w14:textId="77777777" w:rsidR="00922C2A" w:rsidRPr="00922C2A" w:rsidRDefault="00922C2A" w:rsidP="006F49C9">
            <w:pPr>
              <w:spacing w:before="0" w:after="0"/>
              <w:jc w:val="center"/>
              <w:rPr>
                <w:rFonts w:eastAsia="Times New Roman"/>
                <w:noProof/>
                <w:color w:val="000000"/>
                <w:sz w:val="18"/>
                <w:szCs w:val="18"/>
              </w:rPr>
            </w:pPr>
            <w:r w:rsidRPr="00922C2A">
              <w:rPr>
                <w:noProof/>
                <w:color w:val="000000"/>
                <w:sz w:val="18"/>
              </w:rPr>
              <w:t>(Total engagements = Total paiements)</w:t>
            </w:r>
          </w:p>
        </w:tc>
        <w:tc>
          <w:tcPr>
            <w:tcW w:w="983"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0203064E"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0,000</w:t>
            </w:r>
          </w:p>
        </w:tc>
        <w:tc>
          <w:tcPr>
            <w:tcW w:w="983"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49158BAB"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0,000</w:t>
            </w:r>
          </w:p>
        </w:tc>
        <w:tc>
          <w:tcPr>
            <w:tcW w:w="983"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5A9BF4D7"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1,828</w:t>
            </w:r>
          </w:p>
        </w:tc>
        <w:tc>
          <w:tcPr>
            <w:tcW w:w="983"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2C0CC528"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3,656</w:t>
            </w:r>
          </w:p>
        </w:tc>
        <w:tc>
          <w:tcPr>
            <w:tcW w:w="1225"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00F45C56"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5,484</w:t>
            </w:r>
          </w:p>
        </w:tc>
      </w:tr>
    </w:tbl>
    <w:p w14:paraId="0C8B727E" w14:textId="77777777" w:rsidR="00922C2A" w:rsidRPr="00922C2A" w:rsidRDefault="00922C2A" w:rsidP="00922C2A">
      <w:pPr>
        <w:jc w:val="left"/>
        <w:rPr>
          <w:noProof/>
        </w:rPr>
      </w:pPr>
    </w:p>
    <w:p w14:paraId="5CB40AA3" w14:textId="77777777" w:rsidR="00922C2A" w:rsidRPr="00922C2A" w:rsidRDefault="00922C2A" w:rsidP="00922C2A">
      <w:pPr>
        <w:jc w:val="right"/>
        <w:rPr>
          <w:noProof/>
          <w:sz w:val="18"/>
          <w:szCs w:val="18"/>
        </w:rPr>
      </w:pPr>
      <w:r w:rsidRPr="00922C2A">
        <w:rPr>
          <w:noProof/>
          <w:sz w:val="18"/>
        </w:rPr>
        <w:t>En Mio EUR (à la 3</w:t>
      </w:r>
      <w:r w:rsidRPr="00922C2A">
        <w:rPr>
          <w:noProof/>
          <w:sz w:val="18"/>
          <w:vertAlign w:val="superscript"/>
        </w:rPr>
        <w:t>e</w:t>
      </w:r>
      <w:r w:rsidRPr="00922C2A">
        <w:rPr>
          <w:noProof/>
          <w:sz w:val="18"/>
        </w:rPr>
        <w:t> décimale)</w:t>
      </w:r>
    </w:p>
    <w:tbl>
      <w:tblPr>
        <w:tblW w:w="11356" w:type="dxa"/>
        <w:tblInd w:w="118" w:type="dxa"/>
        <w:tblLook w:val="04A0" w:firstRow="1" w:lastRow="0" w:firstColumn="1" w:lastColumn="0" w:noHBand="0" w:noVBand="1"/>
      </w:tblPr>
      <w:tblGrid>
        <w:gridCol w:w="4322"/>
        <w:gridCol w:w="1237"/>
        <w:gridCol w:w="1110"/>
        <w:gridCol w:w="1110"/>
        <w:gridCol w:w="1113"/>
        <w:gridCol w:w="1113"/>
        <w:gridCol w:w="1351"/>
      </w:tblGrid>
      <w:tr w:rsidR="00922C2A" w:rsidRPr="00922C2A" w14:paraId="664BB837" w14:textId="77777777" w:rsidTr="006F49C9">
        <w:trPr>
          <w:trHeight w:val="289"/>
        </w:trPr>
        <w:tc>
          <w:tcPr>
            <w:tcW w:w="5559" w:type="dxa"/>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0208F845" w14:textId="77777777" w:rsidR="00922C2A" w:rsidRPr="00922C2A" w:rsidRDefault="00922C2A" w:rsidP="006F49C9">
            <w:pPr>
              <w:spacing w:before="0" w:after="0"/>
              <w:jc w:val="center"/>
              <w:rPr>
                <w:rFonts w:eastAsia="Times New Roman"/>
                <w:noProof/>
                <w:color w:val="000000"/>
                <w:szCs w:val="24"/>
              </w:rPr>
            </w:pPr>
            <w:r w:rsidRPr="00922C2A">
              <w:rPr>
                <w:noProof/>
                <w:color w:val="000000"/>
              </w:rPr>
              <w:t> </w:t>
            </w:r>
          </w:p>
        </w:tc>
        <w:tc>
          <w:tcPr>
            <w:tcW w:w="1110" w:type="dxa"/>
            <w:tcBorders>
              <w:top w:val="single" w:sz="8" w:space="0" w:color="auto"/>
              <w:left w:val="nil"/>
              <w:bottom w:val="nil"/>
              <w:right w:val="single" w:sz="8" w:space="0" w:color="auto"/>
            </w:tcBorders>
            <w:shd w:val="clear" w:color="auto" w:fill="auto"/>
            <w:vAlign w:val="center"/>
            <w:hideMark/>
          </w:tcPr>
          <w:p w14:paraId="2D291582"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c>
          <w:tcPr>
            <w:tcW w:w="1110" w:type="dxa"/>
            <w:tcBorders>
              <w:top w:val="single" w:sz="8" w:space="0" w:color="auto"/>
              <w:left w:val="nil"/>
              <w:bottom w:val="nil"/>
              <w:right w:val="single" w:sz="8" w:space="0" w:color="auto"/>
            </w:tcBorders>
            <w:shd w:val="clear" w:color="auto" w:fill="auto"/>
            <w:vAlign w:val="center"/>
            <w:hideMark/>
          </w:tcPr>
          <w:p w14:paraId="1C2AD6AD"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c>
          <w:tcPr>
            <w:tcW w:w="1113" w:type="dxa"/>
            <w:tcBorders>
              <w:top w:val="single" w:sz="8" w:space="0" w:color="auto"/>
              <w:left w:val="nil"/>
              <w:bottom w:val="nil"/>
              <w:right w:val="single" w:sz="8" w:space="0" w:color="auto"/>
            </w:tcBorders>
            <w:shd w:val="clear" w:color="auto" w:fill="auto"/>
            <w:vAlign w:val="center"/>
            <w:hideMark/>
          </w:tcPr>
          <w:p w14:paraId="327A690A"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c>
          <w:tcPr>
            <w:tcW w:w="1113" w:type="dxa"/>
            <w:tcBorders>
              <w:top w:val="single" w:sz="8" w:space="0" w:color="auto"/>
              <w:left w:val="nil"/>
              <w:bottom w:val="nil"/>
              <w:right w:val="single" w:sz="8" w:space="0" w:color="auto"/>
            </w:tcBorders>
            <w:shd w:val="clear" w:color="auto" w:fill="auto"/>
            <w:vAlign w:val="center"/>
            <w:hideMark/>
          </w:tcPr>
          <w:p w14:paraId="1D1C7555"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c>
          <w:tcPr>
            <w:tcW w:w="135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7CE0968"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TOTAL CFP</w:t>
            </w:r>
            <w:r w:rsidRPr="00922C2A">
              <w:rPr>
                <w:b/>
                <w:noProof/>
                <w:color w:val="000000"/>
                <w:sz w:val="20"/>
              </w:rPr>
              <w:cr/>
            </w:r>
            <w:r w:rsidRPr="00922C2A">
              <w:rPr>
                <w:b/>
                <w:noProof/>
                <w:color w:val="000000"/>
                <w:sz w:val="20"/>
              </w:rPr>
              <w:br/>
              <w:t>2021-2027</w:t>
            </w:r>
          </w:p>
        </w:tc>
      </w:tr>
      <w:tr w:rsidR="00922C2A" w:rsidRPr="00922C2A" w14:paraId="45647DCA" w14:textId="77777777" w:rsidTr="006F49C9">
        <w:trPr>
          <w:trHeight w:val="300"/>
        </w:trPr>
        <w:tc>
          <w:tcPr>
            <w:tcW w:w="5559" w:type="dxa"/>
            <w:gridSpan w:val="2"/>
            <w:vMerge/>
            <w:tcBorders>
              <w:top w:val="single" w:sz="8" w:space="0" w:color="auto"/>
              <w:left w:val="single" w:sz="8" w:space="0" w:color="auto"/>
              <w:bottom w:val="single" w:sz="8" w:space="0" w:color="auto"/>
              <w:right w:val="single" w:sz="8" w:space="0" w:color="auto"/>
            </w:tcBorders>
            <w:vAlign w:val="center"/>
            <w:hideMark/>
          </w:tcPr>
          <w:p w14:paraId="01E7033B" w14:textId="77777777" w:rsidR="00922C2A" w:rsidRPr="00922C2A" w:rsidRDefault="00922C2A" w:rsidP="006F49C9">
            <w:pPr>
              <w:spacing w:before="0" w:after="0"/>
              <w:jc w:val="left"/>
              <w:rPr>
                <w:rFonts w:eastAsia="Times New Roman"/>
                <w:noProof/>
                <w:color w:val="000000"/>
                <w:szCs w:val="24"/>
                <w:lang w:eastAsia="en-IE"/>
              </w:rPr>
            </w:pPr>
          </w:p>
        </w:tc>
        <w:tc>
          <w:tcPr>
            <w:tcW w:w="1110" w:type="dxa"/>
            <w:tcBorders>
              <w:top w:val="nil"/>
              <w:left w:val="nil"/>
              <w:bottom w:val="single" w:sz="8" w:space="0" w:color="auto"/>
              <w:right w:val="single" w:sz="8" w:space="0" w:color="auto"/>
            </w:tcBorders>
            <w:shd w:val="clear" w:color="auto" w:fill="auto"/>
            <w:vAlign w:val="center"/>
            <w:hideMark/>
          </w:tcPr>
          <w:p w14:paraId="16739B78"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2024</w:t>
            </w:r>
          </w:p>
        </w:tc>
        <w:tc>
          <w:tcPr>
            <w:tcW w:w="1110" w:type="dxa"/>
            <w:tcBorders>
              <w:top w:val="nil"/>
              <w:left w:val="nil"/>
              <w:bottom w:val="single" w:sz="8" w:space="0" w:color="auto"/>
              <w:right w:val="single" w:sz="8" w:space="0" w:color="auto"/>
            </w:tcBorders>
            <w:shd w:val="clear" w:color="auto" w:fill="auto"/>
            <w:vAlign w:val="center"/>
            <w:hideMark/>
          </w:tcPr>
          <w:p w14:paraId="6C200470"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2025</w:t>
            </w:r>
          </w:p>
        </w:tc>
        <w:tc>
          <w:tcPr>
            <w:tcW w:w="1113" w:type="dxa"/>
            <w:tcBorders>
              <w:top w:val="nil"/>
              <w:left w:val="nil"/>
              <w:bottom w:val="single" w:sz="8" w:space="0" w:color="auto"/>
              <w:right w:val="single" w:sz="8" w:space="0" w:color="auto"/>
            </w:tcBorders>
            <w:shd w:val="clear" w:color="auto" w:fill="auto"/>
            <w:vAlign w:val="center"/>
            <w:hideMark/>
          </w:tcPr>
          <w:p w14:paraId="23573639"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2026</w:t>
            </w:r>
          </w:p>
        </w:tc>
        <w:tc>
          <w:tcPr>
            <w:tcW w:w="1113" w:type="dxa"/>
            <w:tcBorders>
              <w:top w:val="nil"/>
              <w:left w:val="nil"/>
              <w:bottom w:val="single" w:sz="8" w:space="0" w:color="auto"/>
              <w:right w:val="single" w:sz="8" w:space="0" w:color="auto"/>
            </w:tcBorders>
            <w:shd w:val="clear" w:color="auto" w:fill="auto"/>
            <w:vAlign w:val="center"/>
            <w:hideMark/>
          </w:tcPr>
          <w:p w14:paraId="63C7F428"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2027</w:t>
            </w:r>
          </w:p>
        </w:tc>
        <w:tc>
          <w:tcPr>
            <w:tcW w:w="1351" w:type="dxa"/>
            <w:vMerge/>
            <w:tcBorders>
              <w:top w:val="single" w:sz="8" w:space="0" w:color="auto"/>
              <w:left w:val="single" w:sz="8" w:space="0" w:color="auto"/>
              <w:bottom w:val="single" w:sz="8" w:space="0" w:color="000000"/>
              <w:right w:val="single" w:sz="8" w:space="0" w:color="auto"/>
            </w:tcBorders>
            <w:vAlign w:val="center"/>
            <w:hideMark/>
          </w:tcPr>
          <w:p w14:paraId="08EE9F5E" w14:textId="77777777" w:rsidR="00922C2A" w:rsidRPr="00922C2A" w:rsidRDefault="00922C2A" w:rsidP="006F49C9">
            <w:pPr>
              <w:spacing w:before="0" w:after="0"/>
              <w:jc w:val="left"/>
              <w:rPr>
                <w:rFonts w:eastAsia="Times New Roman"/>
                <w:b/>
                <w:bCs/>
                <w:noProof/>
                <w:color w:val="000000"/>
                <w:sz w:val="20"/>
                <w:szCs w:val="20"/>
                <w:lang w:eastAsia="en-IE"/>
              </w:rPr>
            </w:pPr>
          </w:p>
        </w:tc>
      </w:tr>
      <w:tr w:rsidR="00922C2A" w:rsidRPr="00922C2A" w14:paraId="54B47915" w14:textId="77777777" w:rsidTr="006F49C9">
        <w:trPr>
          <w:trHeight w:val="563"/>
        </w:trPr>
        <w:tc>
          <w:tcPr>
            <w:tcW w:w="4322" w:type="dxa"/>
            <w:tcBorders>
              <w:top w:val="single" w:sz="8" w:space="0" w:color="auto"/>
              <w:left w:val="single" w:sz="8" w:space="0" w:color="auto"/>
              <w:bottom w:val="single" w:sz="8" w:space="0" w:color="auto"/>
              <w:right w:val="single" w:sz="8" w:space="0" w:color="000000"/>
            </w:tcBorders>
            <w:shd w:val="clear" w:color="000000" w:fill="C0C0C0"/>
            <w:vAlign w:val="center"/>
            <w:hideMark/>
          </w:tcPr>
          <w:p w14:paraId="3B3A8167" w14:textId="77777777" w:rsidR="00922C2A" w:rsidRPr="00922C2A" w:rsidRDefault="00922C2A" w:rsidP="006F49C9">
            <w:pPr>
              <w:spacing w:before="0" w:after="0"/>
              <w:jc w:val="center"/>
              <w:rPr>
                <w:rFonts w:eastAsia="Times New Roman"/>
                <w:b/>
                <w:bCs/>
                <w:noProof/>
                <w:color w:val="000000"/>
                <w:sz w:val="22"/>
              </w:rPr>
            </w:pPr>
            <w:r w:rsidRPr="00922C2A">
              <w:rPr>
                <w:b/>
                <w:noProof/>
                <w:color w:val="000000"/>
                <w:sz w:val="22"/>
              </w:rPr>
              <w:t>TOTAL des crédits</w:t>
            </w:r>
            <w:r w:rsidRPr="00922C2A">
              <w:rPr>
                <w:b/>
                <w:noProof/>
                <w:color w:val="000000"/>
                <w:sz w:val="22"/>
              </w:rPr>
              <w:cr/>
            </w:r>
            <w:r w:rsidRPr="00922C2A">
              <w:rPr>
                <w:b/>
                <w:noProof/>
                <w:color w:val="000000"/>
                <w:sz w:val="22"/>
              </w:rPr>
              <w:br/>
              <w:t>pour les RUBRIQUES 1 à 7</w:t>
            </w:r>
          </w:p>
        </w:tc>
        <w:tc>
          <w:tcPr>
            <w:tcW w:w="1237" w:type="dxa"/>
            <w:tcBorders>
              <w:top w:val="single" w:sz="8" w:space="0" w:color="auto"/>
              <w:left w:val="nil"/>
              <w:bottom w:val="single" w:sz="8" w:space="0" w:color="auto"/>
              <w:right w:val="single" w:sz="8" w:space="0" w:color="auto"/>
            </w:tcBorders>
            <w:shd w:val="clear" w:color="auto" w:fill="auto"/>
            <w:vAlign w:val="center"/>
            <w:hideMark/>
          </w:tcPr>
          <w:p w14:paraId="4E833026" w14:textId="77777777" w:rsidR="00922C2A" w:rsidRPr="00922C2A" w:rsidRDefault="00922C2A" w:rsidP="006F49C9">
            <w:pPr>
              <w:spacing w:before="0" w:after="0"/>
              <w:rPr>
                <w:rFonts w:eastAsia="Times New Roman"/>
                <w:noProof/>
                <w:color w:val="000000"/>
                <w:sz w:val="18"/>
                <w:szCs w:val="18"/>
              </w:rPr>
            </w:pPr>
            <w:r w:rsidRPr="00922C2A">
              <w:rPr>
                <w:noProof/>
                <w:color w:val="000000"/>
                <w:sz w:val="18"/>
              </w:rPr>
              <w:t>Engagements</w:t>
            </w:r>
          </w:p>
        </w:tc>
        <w:tc>
          <w:tcPr>
            <w:tcW w:w="1110" w:type="dxa"/>
            <w:tcBorders>
              <w:top w:val="nil"/>
              <w:left w:val="nil"/>
              <w:bottom w:val="single" w:sz="8" w:space="0" w:color="auto"/>
              <w:right w:val="single" w:sz="8" w:space="0" w:color="auto"/>
            </w:tcBorders>
            <w:shd w:val="clear" w:color="000000" w:fill="D9D9D9"/>
            <w:vAlign w:val="center"/>
            <w:hideMark/>
          </w:tcPr>
          <w:p w14:paraId="19DAF294"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0,000</w:t>
            </w:r>
          </w:p>
        </w:tc>
        <w:tc>
          <w:tcPr>
            <w:tcW w:w="1110" w:type="dxa"/>
            <w:tcBorders>
              <w:top w:val="nil"/>
              <w:left w:val="nil"/>
              <w:bottom w:val="single" w:sz="8" w:space="0" w:color="auto"/>
              <w:right w:val="single" w:sz="8" w:space="0" w:color="auto"/>
            </w:tcBorders>
            <w:shd w:val="clear" w:color="000000" w:fill="D9D9D9"/>
            <w:vAlign w:val="center"/>
            <w:hideMark/>
          </w:tcPr>
          <w:p w14:paraId="7F98EA42"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0,000</w:t>
            </w:r>
          </w:p>
        </w:tc>
        <w:tc>
          <w:tcPr>
            <w:tcW w:w="1113" w:type="dxa"/>
            <w:tcBorders>
              <w:top w:val="nil"/>
              <w:left w:val="nil"/>
              <w:bottom w:val="single" w:sz="8" w:space="0" w:color="auto"/>
              <w:right w:val="single" w:sz="8" w:space="0" w:color="auto"/>
            </w:tcBorders>
            <w:shd w:val="clear" w:color="000000" w:fill="D9D9D9"/>
            <w:vAlign w:val="center"/>
            <w:hideMark/>
          </w:tcPr>
          <w:p w14:paraId="285FE5A8"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42,884</w:t>
            </w:r>
          </w:p>
        </w:tc>
        <w:tc>
          <w:tcPr>
            <w:tcW w:w="1113" w:type="dxa"/>
            <w:tcBorders>
              <w:top w:val="nil"/>
              <w:left w:val="nil"/>
              <w:bottom w:val="single" w:sz="8" w:space="0" w:color="auto"/>
              <w:right w:val="single" w:sz="8" w:space="0" w:color="auto"/>
            </w:tcBorders>
            <w:shd w:val="clear" w:color="000000" w:fill="D9D9D9"/>
            <w:vAlign w:val="center"/>
            <w:hideMark/>
          </w:tcPr>
          <w:p w14:paraId="01FA254B"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45,627</w:t>
            </w:r>
          </w:p>
        </w:tc>
        <w:tc>
          <w:tcPr>
            <w:tcW w:w="1351" w:type="dxa"/>
            <w:tcBorders>
              <w:top w:val="nil"/>
              <w:left w:val="nil"/>
              <w:bottom w:val="single" w:sz="8" w:space="0" w:color="auto"/>
              <w:right w:val="single" w:sz="8" w:space="0" w:color="auto"/>
            </w:tcBorders>
            <w:shd w:val="clear" w:color="000000" w:fill="D9D9D9"/>
            <w:vAlign w:val="center"/>
            <w:hideMark/>
          </w:tcPr>
          <w:p w14:paraId="747557C1"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88,511</w:t>
            </w:r>
          </w:p>
        </w:tc>
      </w:tr>
      <w:tr w:rsidR="00922C2A" w:rsidRPr="00922C2A" w14:paraId="4EC3083F" w14:textId="77777777" w:rsidTr="006F49C9">
        <w:trPr>
          <w:trHeight w:val="540"/>
        </w:trPr>
        <w:tc>
          <w:tcPr>
            <w:tcW w:w="4322" w:type="dxa"/>
            <w:tcBorders>
              <w:top w:val="single" w:sz="8" w:space="0" w:color="auto"/>
              <w:left w:val="single" w:sz="8" w:space="0" w:color="auto"/>
              <w:bottom w:val="single" w:sz="8" w:space="0" w:color="auto"/>
              <w:right w:val="single" w:sz="8" w:space="0" w:color="000000"/>
            </w:tcBorders>
            <w:shd w:val="clear" w:color="000000" w:fill="C0C0C0"/>
            <w:vAlign w:val="center"/>
            <w:hideMark/>
          </w:tcPr>
          <w:p w14:paraId="2A95EFAD" w14:textId="77777777" w:rsidR="00922C2A" w:rsidRPr="00922C2A" w:rsidRDefault="00922C2A" w:rsidP="006F49C9">
            <w:pPr>
              <w:spacing w:before="0" w:after="0"/>
              <w:jc w:val="center"/>
              <w:rPr>
                <w:rFonts w:eastAsia="Times New Roman"/>
                <w:noProof/>
                <w:color w:val="000000"/>
                <w:sz w:val="22"/>
              </w:rPr>
            </w:pPr>
            <w:r w:rsidRPr="00922C2A">
              <w:rPr>
                <w:noProof/>
                <w:color w:val="000000"/>
                <w:sz w:val="22"/>
              </w:rPr>
              <w:t>du cadre financier pluriannuel</w:t>
            </w:r>
            <w:r w:rsidRPr="00922C2A">
              <w:rPr>
                <w:b/>
                <w:noProof/>
                <w:color w:val="000000"/>
                <w:sz w:val="22"/>
              </w:rPr>
              <w:t xml:space="preserve"> </w:t>
            </w:r>
          </w:p>
        </w:tc>
        <w:tc>
          <w:tcPr>
            <w:tcW w:w="1237" w:type="dxa"/>
            <w:tcBorders>
              <w:top w:val="single" w:sz="8" w:space="0" w:color="auto"/>
              <w:left w:val="nil"/>
              <w:bottom w:val="single" w:sz="8" w:space="0" w:color="auto"/>
              <w:right w:val="single" w:sz="8" w:space="0" w:color="auto"/>
            </w:tcBorders>
            <w:shd w:val="clear" w:color="auto" w:fill="auto"/>
            <w:vAlign w:val="center"/>
            <w:hideMark/>
          </w:tcPr>
          <w:p w14:paraId="5518798B" w14:textId="77777777" w:rsidR="00922C2A" w:rsidRPr="00922C2A" w:rsidRDefault="00922C2A" w:rsidP="006F49C9">
            <w:pPr>
              <w:spacing w:before="0" w:after="0"/>
              <w:rPr>
                <w:rFonts w:eastAsia="Times New Roman"/>
                <w:noProof/>
                <w:color w:val="000000"/>
                <w:sz w:val="18"/>
                <w:szCs w:val="18"/>
              </w:rPr>
            </w:pPr>
            <w:r w:rsidRPr="00922C2A">
              <w:rPr>
                <w:noProof/>
                <w:color w:val="000000"/>
                <w:sz w:val="18"/>
              </w:rPr>
              <w:t>Paiements</w:t>
            </w:r>
          </w:p>
        </w:tc>
        <w:tc>
          <w:tcPr>
            <w:tcW w:w="1110" w:type="dxa"/>
            <w:tcBorders>
              <w:top w:val="nil"/>
              <w:left w:val="nil"/>
              <w:bottom w:val="single" w:sz="8" w:space="0" w:color="auto"/>
              <w:right w:val="single" w:sz="8" w:space="0" w:color="auto"/>
            </w:tcBorders>
            <w:shd w:val="clear" w:color="000000" w:fill="D9D9D9"/>
            <w:vAlign w:val="center"/>
            <w:hideMark/>
          </w:tcPr>
          <w:p w14:paraId="26FB9E18"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0,000</w:t>
            </w:r>
          </w:p>
        </w:tc>
        <w:tc>
          <w:tcPr>
            <w:tcW w:w="1110" w:type="dxa"/>
            <w:tcBorders>
              <w:top w:val="nil"/>
              <w:left w:val="nil"/>
              <w:bottom w:val="single" w:sz="8" w:space="0" w:color="auto"/>
              <w:right w:val="single" w:sz="8" w:space="0" w:color="auto"/>
            </w:tcBorders>
            <w:shd w:val="clear" w:color="000000" w:fill="D9D9D9"/>
            <w:vAlign w:val="center"/>
            <w:hideMark/>
          </w:tcPr>
          <w:p w14:paraId="1DECB4F8"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0,000</w:t>
            </w:r>
          </w:p>
        </w:tc>
        <w:tc>
          <w:tcPr>
            <w:tcW w:w="1113" w:type="dxa"/>
            <w:tcBorders>
              <w:top w:val="nil"/>
              <w:left w:val="nil"/>
              <w:bottom w:val="single" w:sz="8" w:space="0" w:color="auto"/>
              <w:right w:val="single" w:sz="8" w:space="0" w:color="auto"/>
            </w:tcBorders>
            <w:shd w:val="clear" w:color="000000" w:fill="D9D9D9"/>
            <w:vAlign w:val="center"/>
            <w:hideMark/>
          </w:tcPr>
          <w:p w14:paraId="1CE7550E"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30,762</w:t>
            </w:r>
          </w:p>
        </w:tc>
        <w:tc>
          <w:tcPr>
            <w:tcW w:w="1113" w:type="dxa"/>
            <w:tcBorders>
              <w:top w:val="nil"/>
              <w:left w:val="nil"/>
              <w:bottom w:val="single" w:sz="8" w:space="0" w:color="auto"/>
              <w:right w:val="single" w:sz="8" w:space="0" w:color="auto"/>
            </w:tcBorders>
            <w:shd w:val="clear" w:color="000000" w:fill="D9D9D9"/>
            <w:vAlign w:val="center"/>
            <w:hideMark/>
          </w:tcPr>
          <w:p w14:paraId="71B6AE15"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45,385</w:t>
            </w:r>
          </w:p>
        </w:tc>
        <w:tc>
          <w:tcPr>
            <w:tcW w:w="1351" w:type="dxa"/>
            <w:tcBorders>
              <w:top w:val="nil"/>
              <w:left w:val="nil"/>
              <w:bottom w:val="single" w:sz="8" w:space="0" w:color="auto"/>
              <w:right w:val="single" w:sz="8" w:space="0" w:color="auto"/>
            </w:tcBorders>
            <w:shd w:val="clear" w:color="000000" w:fill="D9D9D9"/>
            <w:vAlign w:val="center"/>
            <w:hideMark/>
          </w:tcPr>
          <w:p w14:paraId="08415E15"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76,147</w:t>
            </w:r>
          </w:p>
        </w:tc>
      </w:tr>
    </w:tbl>
    <w:p w14:paraId="2B2030B4" w14:textId="77777777" w:rsidR="00922C2A" w:rsidRPr="00922C2A" w:rsidRDefault="00922C2A" w:rsidP="00922C2A">
      <w:pPr>
        <w:jc w:val="left"/>
        <w:rPr>
          <w:noProof/>
        </w:rPr>
      </w:pPr>
    </w:p>
    <w:p w14:paraId="0CF93EBD" w14:textId="77777777" w:rsidR="00922C2A" w:rsidRPr="00922C2A" w:rsidRDefault="00922C2A" w:rsidP="00922C2A">
      <w:pPr>
        <w:pStyle w:val="ManualHeading3"/>
        <w:rPr>
          <w:noProof/>
        </w:rPr>
      </w:pPr>
      <w:bookmarkStart w:id="151" w:name="_Toc160804596"/>
      <w:bookmarkStart w:id="152" w:name="_Toc167220288"/>
      <w:bookmarkStart w:id="153" w:name="_Toc177549021"/>
      <w:bookmarkStart w:id="154" w:name="_Hlk189401494"/>
      <w:r w:rsidRPr="00922C2A">
        <w:rPr>
          <w:noProof/>
        </w:rPr>
        <w:t>3.2.1.2.</w:t>
      </w:r>
      <w:r w:rsidRPr="00922C2A">
        <w:rPr>
          <w:noProof/>
        </w:rPr>
        <w:tab/>
        <w:t>Crédits issus de recettes affectées externes</w:t>
      </w:r>
      <w:bookmarkEnd w:id="151"/>
      <w:bookmarkEnd w:id="152"/>
      <w:bookmarkEnd w:id="153"/>
    </w:p>
    <w:bookmarkEnd w:id="154"/>
    <w:p w14:paraId="50E887DD" w14:textId="77777777" w:rsidR="00922C2A" w:rsidRPr="00922C2A" w:rsidRDefault="00922C2A" w:rsidP="00922C2A">
      <w:pPr>
        <w:pStyle w:val="Text1"/>
        <w:rPr>
          <w:noProof/>
        </w:rPr>
      </w:pPr>
      <w:r w:rsidRPr="00922C2A">
        <w:rPr>
          <w:noProof/>
        </w:rPr>
        <w:t>s.o.</w:t>
      </w:r>
    </w:p>
    <w:p w14:paraId="03B113C3" w14:textId="77777777" w:rsidR="00922C2A" w:rsidRPr="00922C2A" w:rsidRDefault="00922C2A" w:rsidP="00922C2A">
      <w:pPr>
        <w:pStyle w:val="ManualHeading3"/>
        <w:rPr>
          <w:noProof/>
        </w:rPr>
      </w:pPr>
      <w:bookmarkStart w:id="155" w:name="_Toc514938054"/>
      <w:bookmarkStart w:id="156" w:name="_Toc520485053"/>
      <w:bookmarkStart w:id="157" w:name="_Toc160804597"/>
      <w:bookmarkStart w:id="158" w:name="_Toc167220289"/>
      <w:bookmarkStart w:id="159" w:name="_Toc177549022"/>
      <w:r w:rsidRPr="00922C2A">
        <w:rPr>
          <w:noProof/>
        </w:rPr>
        <w:t>3.2.2.</w:t>
      </w:r>
      <w:r w:rsidRPr="00922C2A">
        <w:rPr>
          <w:noProof/>
        </w:rPr>
        <w:tab/>
        <w:t>Estimation des réalisations financées à partir des crédits opérationnels</w:t>
      </w:r>
      <w:bookmarkEnd w:id="155"/>
      <w:bookmarkEnd w:id="156"/>
      <w:r w:rsidRPr="00922C2A">
        <w:rPr>
          <w:noProof/>
        </w:rPr>
        <w:t xml:space="preserve"> (cette section ne doit pas être complétée pour les organismes décentralisés)</w:t>
      </w:r>
      <w:bookmarkEnd w:id="157"/>
      <w:bookmarkEnd w:id="158"/>
      <w:bookmarkEnd w:id="159"/>
    </w:p>
    <w:tbl>
      <w:tblPr>
        <w:tblW w:w="12187" w:type="dxa"/>
        <w:tblInd w:w="-548" w:type="dxa"/>
        <w:tblLook w:val="04A0" w:firstRow="1" w:lastRow="0" w:firstColumn="1" w:lastColumn="0" w:noHBand="0" w:noVBand="1"/>
      </w:tblPr>
      <w:tblGrid>
        <w:gridCol w:w="2492"/>
        <w:gridCol w:w="3205"/>
        <w:gridCol w:w="927"/>
        <w:gridCol w:w="597"/>
        <w:gridCol w:w="1257"/>
        <w:gridCol w:w="597"/>
        <w:gridCol w:w="1257"/>
        <w:gridCol w:w="597"/>
        <w:gridCol w:w="1258"/>
      </w:tblGrid>
      <w:tr w:rsidR="00922C2A" w:rsidRPr="00922C2A" w14:paraId="2E3CC237" w14:textId="77777777" w:rsidTr="006F49C9">
        <w:trPr>
          <w:trHeight w:val="295"/>
        </w:trPr>
        <w:tc>
          <w:tcPr>
            <w:tcW w:w="2492" w:type="dxa"/>
            <w:tcBorders>
              <w:top w:val="single" w:sz="8" w:space="0" w:color="000000"/>
              <w:left w:val="single" w:sz="8" w:space="0" w:color="000000"/>
              <w:bottom w:val="single" w:sz="4" w:space="0" w:color="000000"/>
              <w:right w:val="single" w:sz="4" w:space="0" w:color="000000"/>
            </w:tcBorders>
            <w:shd w:val="clear" w:color="auto" w:fill="auto"/>
            <w:vAlign w:val="bottom"/>
            <w:hideMark/>
          </w:tcPr>
          <w:p w14:paraId="3B4FD796" w14:textId="77777777" w:rsidR="00922C2A" w:rsidRPr="00922C2A" w:rsidRDefault="00922C2A" w:rsidP="006F49C9">
            <w:pPr>
              <w:spacing w:before="0" w:after="0"/>
              <w:jc w:val="left"/>
              <w:rPr>
                <w:rFonts w:eastAsia="Times New Roman"/>
                <w:b/>
                <w:bCs/>
                <w:noProof/>
                <w:color w:val="000000"/>
                <w:sz w:val="18"/>
                <w:szCs w:val="18"/>
              </w:rPr>
            </w:pPr>
            <w:r w:rsidRPr="00922C2A">
              <w:rPr>
                <w:noProof/>
              </w:rPr>
              <w:t xml:space="preserve">                                                                                                                     </w:t>
            </w:r>
            <w:r w:rsidRPr="00922C2A">
              <w:rPr>
                <w:b/>
                <w:noProof/>
                <w:color w:val="000000"/>
                <w:sz w:val="18"/>
              </w:rPr>
              <w:t>Indiquer les objectifs et les réalisations</w:t>
            </w:r>
          </w:p>
        </w:tc>
        <w:tc>
          <w:tcPr>
            <w:tcW w:w="3205" w:type="dxa"/>
            <w:tcBorders>
              <w:top w:val="single" w:sz="8" w:space="0" w:color="000000"/>
              <w:left w:val="nil"/>
              <w:bottom w:val="single" w:sz="4" w:space="0" w:color="000000"/>
              <w:right w:val="single" w:sz="4" w:space="0" w:color="000000"/>
            </w:tcBorders>
            <w:shd w:val="clear" w:color="auto" w:fill="auto"/>
            <w:noWrap/>
            <w:vAlign w:val="bottom"/>
            <w:hideMark/>
          </w:tcPr>
          <w:p w14:paraId="010E74BB"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w:t>
            </w:r>
          </w:p>
        </w:tc>
        <w:tc>
          <w:tcPr>
            <w:tcW w:w="927" w:type="dxa"/>
            <w:tcBorders>
              <w:top w:val="single" w:sz="8" w:space="0" w:color="000000"/>
              <w:left w:val="nil"/>
              <w:bottom w:val="single" w:sz="4" w:space="0" w:color="000000"/>
              <w:right w:val="single" w:sz="4" w:space="0" w:color="000000"/>
            </w:tcBorders>
            <w:shd w:val="clear" w:color="auto" w:fill="auto"/>
            <w:noWrap/>
            <w:vAlign w:val="bottom"/>
            <w:hideMark/>
          </w:tcPr>
          <w:p w14:paraId="22A0D83E"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w:t>
            </w:r>
          </w:p>
        </w:tc>
        <w:tc>
          <w:tcPr>
            <w:tcW w:w="1854" w:type="dxa"/>
            <w:gridSpan w:val="2"/>
            <w:tcBorders>
              <w:top w:val="single" w:sz="8" w:space="0" w:color="000000"/>
              <w:left w:val="nil"/>
              <w:bottom w:val="single" w:sz="4" w:space="0" w:color="000000"/>
              <w:right w:val="single" w:sz="4" w:space="0" w:color="000000"/>
            </w:tcBorders>
            <w:shd w:val="clear" w:color="auto" w:fill="auto"/>
            <w:vAlign w:val="center"/>
            <w:hideMark/>
          </w:tcPr>
          <w:p w14:paraId="0F947FBF"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Année</w:t>
            </w:r>
          </w:p>
        </w:tc>
        <w:tc>
          <w:tcPr>
            <w:tcW w:w="1854" w:type="dxa"/>
            <w:gridSpan w:val="2"/>
            <w:tcBorders>
              <w:top w:val="single" w:sz="8" w:space="0" w:color="000000"/>
              <w:left w:val="nil"/>
              <w:bottom w:val="single" w:sz="4" w:space="0" w:color="000000"/>
              <w:right w:val="single" w:sz="4" w:space="0" w:color="000000"/>
            </w:tcBorders>
            <w:shd w:val="clear" w:color="auto" w:fill="auto"/>
            <w:vAlign w:val="center"/>
            <w:hideMark/>
          </w:tcPr>
          <w:p w14:paraId="4EF56A5C"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Année</w:t>
            </w:r>
          </w:p>
        </w:tc>
        <w:tc>
          <w:tcPr>
            <w:tcW w:w="1855" w:type="dxa"/>
            <w:gridSpan w:val="2"/>
            <w:vMerge w:val="restart"/>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37FE34CF" w14:textId="77777777" w:rsidR="00922C2A" w:rsidRPr="00922C2A" w:rsidRDefault="00922C2A" w:rsidP="006F49C9">
            <w:pPr>
              <w:spacing w:before="0" w:after="0"/>
              <w:jc w:val="center"/>
              <w:rPr>
                <w:rFonts w:eastAsia="Times New Roman"/>
                <w:b/>
                <w:bCs/>
                <w:noProof/>
                <w:color w:val="000000"/>
                <w:sz w:val="18"/>
                <w:szCs w:val="18"/>
              </w:rPr>
            </w:pPr>
            <w:r w:rsidRPr="00922C2A">
              <w:rPr>
                <w:b/>
                <w:noProof/>
                <w:color w:val="000000"/>
                <w:sz w:val="18"/>
              </w:rPr>
              <w:t>TOTAL</w:t>
            </w:r>
            <w:r w:rsidRPr="00922C2A">
              <w:rPr>
                <w:b/>
                <w:noProof/>
                <w:color w:val="000000"/>
                <w:sz w:val="18"/>
              </w:rPr>
              <w:cr/>
            </w:r>
            <w:r w:rsidRPr="00922C2A">
              <w:rPr>
                <w:b/>
                <w:noProof/>
                <w:color w:val="000000"/>
                <w:sz w:val="18"/>
              </w:rPr>
              <w:br/>
              <w:t>2021-2027</w:t>
            </w:r>
          </w:p>
        </w:tc>
      </w:tr>
      <w:tr w:rsidR="00922C2A" w:rsidRPr="00922C2A" w14:paraId="5AFDD403" w14:textId="77777777" w:rsidTr="006F49C9">
        <w:trPr>
          <w:trHeight w:val="295"/>
        </w:trPr>
        <w:tc>
          <w:tcPr>
            <w:tcW w:w="2492" w:type="dxa"/>
            <w:tcBorders>
              <w:top w:val="nil"/>
              <w:left w:val="single" w:sz="8" w:space="0" w:color="000000"/>
              <w:bottom w:val="single" w:sz="4" w:space="0" w:color="000000"/>
              <w:right w:val="single" w:sz="4" w:space="0" w:color="000000"/>
            </w:tcBorders>
            <w:shd w:val="clear" w:color="auto" w:fill="auto"/>
            <w:noWrap/>
            <w:vAlign w:val="bottom"/>
            <w:hideMark/>
          </w:tcPr>
          <w:p w14:paraId="6BF389BA" w14:textId="77777777" w:rsidR="00922C2A" w:rsidRPr="00922C2A" w:rsidRDefault="00922C2A" w:rsidP="006F49C9">
            <w:pPr>
              <w:spacing w:before="0" w:after="0"/>
              <w:jc w:val="center"/>
              <w:rPr>
                <w:rFonts w:ascii="Wingdings" w:eastAsia="Times New Roman" w:hAnsi="Wingdings" w:cs="Calibri"/>
                <w:noProof/>
                <w:color w:val="000000"/>
                <w:sz w:val="18"/>
                <w:szCs w:val="18"/>
              </w:rPr>
            </w:pPr>
            <w:r w:rsidRPr="00922C2A">
              <w:rPr>
                <w:rFonts w:ascii="Wingdings" w:hAnsi="Wingdings"/>
                <w:noProof/>
                <w:color w:val="000000"/>
                <w:sz w:val="18"/>
              </w:rPr>
              <w:t></w:t>
            </w:r>
          </w:p>
        </w:tc>
        <w:tc>
          <w:tcPr>
            <w:tcW w:w="3205" w:type="dxa"/>
            <w:tcBorders>
              <w:top w:val="nil"/>
              <w:left w:val="nil"/>
              <w:bottom w:val="single" w:sz="4" w:space="0" w:color="000000"/>
              <w:right w:val="single" w:sz="4" w:space="0" w:color="000000"/>
            </w:tcBorders>
            <w:shd w:val="clear" w:color="auto" w:fill="auto"/>
            <w:noWrap/>
            <w:vAlign w:val="bottom"/>
            <w:hideMark/>
          </w:tcPr>
          <w:p w14:paraId="78F784ED" w14:textId="77777777" w:rsidR="00922C2A" w:rsidRPr="00922C2A" w:rsidRDefault="00922C2A" w:rsidP="006F49C9">
            <w:pPr>
              <w:spacing w:before="0" w:after="0"/>
              <w:jc w:val="left"/>
              <w:rPr>
                <w:rFonts w:ascii="Calibri" w:eastAsia="Times New Roman" w:hAnsi="Calibri" w:cs="Calibri"/>
                <w:noProof/>
                <w:color w:val="000000"/>
                <w:sz w:val="22"/>
              </w:rPr>
            </w:pPr>
            <w:r w:rsidRPr="00922C2A">
              <w:rPr>
                <w:rFonts w:ascii="Calibri" w:hAnsi="Calibri"/>
                <w:noProof/>
                <w:color w:val="000000"/>
                <w:sz w:val="22"/>
              </w:rPr>
              <w:t> </w:t>
            </w:r>
          </w:p>
        </w:tc>
        <w:tc>
          <w:tcPr>
            <w:tcW w:w="927" w:type="dxa"/>
            <w:tcBorders>
              <w:top w:val="nil"/>
              <w:left w:val="nil"/>
              <w:bottom w:val="single" w:sz="4" w:space="0" w:color="000000"/>
              <w:right w:val="single" w:sz="4" w:space="0" w:color="000000"/>
            </w:tcBorders>
            <w:shd w:val="clear" w:color="auto" w:fill="auto"/>
            <w:noWrap/>
            <w:vAlign w:val="bottom"/>
            <w:hideMark/>
          </w:tcPr>
          <w:p w14:paraId="4AB368B7" w14:textId="77777777" w:rsidR="00922C2A" w:rsidRPr="00922C2A" w:rsidRDefault="00922C2A" w:rsidP="006F49C9">
            <w:pPr>
              <w:spacing w:before="0" w:after="0"/>
              <w:jc w:val="left"/>
              <w:rPr>
                <w:rFonts w:ascii="Calibri" w:eastAsia="Times New Roman" w:hAnsi="Calibri" w:cs="Calibri"/>
                <w:noProof/>
                <w:color w:val="000000"/>
                <w:sz w:val="22"/>
              </w:rPr>
            </w:pPr>
            <w:r w:rsidRPr="00922C2A">
              <w:rPr>
                <w:rFonts w:ascii="Calibri" w:hAnsi="Calibri"/>
                <w:noProof/>
                <w:color w:val="000000"/>
                <w:sz w:val="22"/>
              </w:rPr>
              <w:t> </w:t>
            </w:r>
          </w:p>
        </w:tc>
        <w:tc>
          <w:tcPr>
            <w:tcW w:w="1854" w:type="dxa"/>
            <w:gridSpan w:val="2"/>
            <w:tcBorders>
              <w:top w:val="single" w:sz="4" w:space="0" w:color="000000"/>
              <w:left w:val="nil"/>
              <w:bottom w:val="single" w:sz="4" w:space="0" w:color="000000"/>
              <w:right w:val="single" w:sz="4" w:space="0" w:color="000000"/>
            </w:tcBorders>
            <w:shd w:val="clear" w:color="auto" w:fill="auto"/>
            <w:vAlign w:val="center"/>
            <w:hideMark/>
          </w:tcPr>
          <w:p w14:paraId="5FC50E9E"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2026</w:t>
            </w:r>
          </w:p>
        </w:tc>
        <w:tc>
          <w:tcPr>
            <w:tcW w:w="1854" w:type="dxa"/>
            <w:gridSpan w:val="2"/>
            <w:tcBorders>
              <w:top w:val="single" w:sz="4" w:space="0" w:color="000000"/>
              <w:left w:val="nil"/>
              <w:bottom w:val="single" w:sz="4" w:space="0" w:color="000000"/>
              <w:right w:val="single" w:sz="4" w:space="0" w:color="000000"/>
            </w:tcBorders>
            <w:shd w:val="clear" w:color="auto" w:fill="auto"/>
            <w:vAlign w:val="center"/>
            <w:hideMark/>
          </w:tcPr>
          <w:p w14:paraId="25CEB0F2"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2027</w:t>
            </w:r>
          </w:p>
        </w:tc>
        <w:tc>
          <w:tcPr>
            <w:tcW w:w="1855" w:type="dxa"/>
            <w:gridSpan w:val="2"/>
            <w:vMerge/>
            <w:tcBorders>
              <w:top w:val="single" w:sz="8" w:space="0" w:color="000000"/>
              <w:left w:val="single" w:sz="4" w:space="0" w:color="000000"/>
              <w:bottom w:val="single" w:sz="4" w:space="0" w:color="000000"/>
              <w:right w:val="single" w:sz="4" w:space="0" w:color="000000"/>
            </w:tcBorders>
            <w:vAlign w:val="center"/>
            <w:hideMark/>
          </w:tcPr>
          <w:p w14:paraId="0566FCD3" w14:textId="77777777" w:rsidR="00922C2A" w:rsidRPr="00922C2A" w:rsidRDefault="00922C2A" w:rsidP="006F49C9">
            <w:pPr>
              <w:spacing w:before="0" w:after="0"/>
              <w:jc w:val="left"/>
              <w:rPr>
                <w:rFonts w:eastAsia="Times New Roman"/>
                <w:b/>
                <w:bCs/>
                <w:noProof/>
                <w:color w:val="000000"/>
                <w:sz w:val="18"/>
                <w:szCs w:val="18"/>
                <w:lang w:eastAsia="en-IE"/>
              </w:rPr>
            </w:pPr>
          </w:p>
        </w:tc>
      </w:tr>
      <w:tr w:rsidR="00922C2A" w:rsidRPr="00922C2A" w14:paraId="56A10EDF" w14:textId="77777777" w:rsidTr="006F49C9">
        <w:trPr>
          <w:trHeight w:val="591"/>
        </w:trPr>
        <w:tc>
          <w:tcPr>
            <w:tcW w:w="2492" w:type="dxa"/>
            <w:tcBorders>
              <w:top w:val="nil"/>
              <w:left w:val="single" w:sz="8" w:space="0" w:color="000000"/>
              <w:bottom w:val="single" w:sz="4" w:space="0" w:color="000000"/>
              <w:right w:val="single" w:sz="4" w:space="0" w:color="000000"/>
            </w:tcBorders>
            <w:shd w:val="clear" w:color="auto" w:fill="auto"/>
            <w:vAlign w:val="bottom"/>
            <w:hideMark/>
          </w:tcPr>
          <w:p w14:paraId="56BB5B1E" w14:textId="77777777" w:rsidR="00922C2A" w:rsidRPr="00922C2A" w:rsidRDefault="00922C2A" w:rsidP="006F49C9">
            <w:pPr>
              <w:spacing w:before="0" w:after="0"/>
              <w:jc w:val="left"/>
              <w:rPr>
                <w:rFonts w:ascii="Calibri" w:eastAsia="Times New Roman" w:hAnsi="Calibri" w:cs="Calibri"/>
                <w:noProof/>
                <w:color w:val="000000"/>
                <w:sz w:val="22"/>
              </w:rPr>
            </w:pPr>
            <w:r w:rsidRPr="00922C2A">
              <w:rPr>
                <w:rFonts w:ascii="Calibri" w:hAnsi="Calibri"/>
                <w:noProof/>
                <w:color w:val="000000"/>
                <w:sz w:val="22"/>
              </w:rPr>
              <w:t>06 06 01 - Programme «L’UE pour la santé»</w:t>
            </w:r>
          </w:p>
        </w:tc>
        <w:tc>
          <w:tcPr>
            <w:tcW w:w="9695" w:type="dxa"/>
            <w:gridSpan w:val="8"/>
            <w:tcBorders>
              <w:top w:val="single" w:sz="4" w:space="0" w:color="000000"/>
              <w:left w:val="nil"/>
              <w:bottom w:val="single" w:sz="4" w:space="0" w:color="000000"/>
              <w:right w:val="single" w:sz="4" w:space="0" w:color="000000"/>
            </w:tcBorders>
            <w:shd w:val="clear" w:color="auto" w:fill="auto"/>
            <w:noWrap/>
            <w:vAlign w:val="bottom"/>
            <w:hideMark/>
          </w:tcPr>
          <w:p w14:paraId="6CA37A8B" w14:textId="77777777" w:rsidR="00922C2A" w:rsidRPr="00922C2A" w:rsidRDefault="00922C2A" w:rsidP="006F49C9">
            <w:pPr>
              <w:spacing w:before="0" w:after="0"/>
              <w:jc w:val="left"/>
              <w:rPr>
                <w:rFonts w:eastAsia="Times New Roman"/>
                <w:b/>
                <w:bCs/>
                <w:noProof/>
                <w:color w:val="000000"/>
                <w:sz w:val="18"/>
                <w:szCs w:val="18"/>
              </w:rPr>
            </w:pPr>
            <w:r w:rsidRPr="00922C2A">
              <w:rPr>
                <w:b/>
                <w:noProof/>
                <w:color w:val="000000"/>
                <w:sz w:val="18"/>
              </w:rPr>
              <w:t>RÉALISATIONS (outputs)</w:t>
            </w:r>
          </w:p>
        </w:tc>
      </w:tr>
      <w:tr w:rsidR="00922C2A" w:rsidRPr="00922C2A" w14:paraId="44770717" w14:textId="77777777" w:rsidTr="006F49C9">
        <w:trPr>
          <w:trHeight w:val="473"/>
        </w:trPr>
        <w:tc>
          <w:tcPr>
            <w:tcW w:w="2492" w:type="dxa"/>
            <w:tcBorders>
              <w:top w:val="nil"/>
              <w:left w:val="single" w:sz="8" w:space="0" w:color="000000"/>
              <w:bottom w:val="nil"/>
              <w:right w:val="single" w:sz="4" w:space="0" w:color="000000"/>
            </w:tcBorders>
            <w:shd w:val="clear" w:color="auto" w:fill="auto"/>
            <w:noWrap/>
            <w:vAlign w:val="bottom"/>
            <w:hideMark/>
          </w:tcPr>
          <w:p w14:paraId="7BC45BE5" w14:textId="77777777" w:rsidR="00922C2A" w:rsidRPr="00922C2A" w:rsidRDefault="00922C2A" w:rsidP="006F49C9">
            <w:pPr>
              <w:spacing w:before="0" w:after="0"/>
              <w:jc w:val="left"/>
              <w:rPr>
                <w:rFonts w:ascii="Calibri" w:eastAsia="Times New Roman" w:hAnsi="Calibri" w:cs="Calibri"/>
                <w:noProof/>
                <w:color w:val="000000"/>
                <w:sz w:val="22"/>
              </w:rPr>
            </w:pPr>
            <w:r w:rsidRPr="00922C2A">
              <w:rPr>
                <w:rFonts w:ascii="Calibri" w:hAnsi="Calibri"/>
                <w:noProof/>
                <w:color w:val="000000"/>
                <w:sz w:val="22"/>
              </w:rPr>
              <w:t> </w:t>
            </w:r>
          </w:p>
        </w:tc>
        <w:tc>
          <w:tcPr>
            <w:tcW w:w="3205" w:type="dxa"/>
            <w:tcBorders>
              <w:top w:val="nil"/>
              <w:left w:val="nil"/>
              <w:bottom w:val="nil"/>
              <w:right w:val="single" w:sz="4" w:space="0" w:color="000000"/>
            </w:tcBorders>
            <w:shd w:val="clear" w:color="auto" w:fill="auto"/>
            <w:noWrap/>
            <w:vAlign w:val="center"/>
            <w:hideMark/>
          </w:tcPr>
          <w:p w14:paraId="37066D0F" w14:textId="77777777" w:rsidR="00922C2A" w:rsidRPr="00922C2A" w:rsidRDefault="00922C2A" w:rsidP="006F49C9">
            <w:pPr>
              <w:spacing w:before="0" w:after="0"/>
              <w:jc w:val="center"/>
              <w:rPr>
                <w:rFonts w:eastAsia="Times New Roman"/>
                <w:noProof/>
                <w:color w:val="000000"/>
                <w:sz w:val="18"/>
                <w:szCs w:val="18"/>
              </w:rPr>
            </w:pPr>
            <w:bookmarkStart w:id="160" w:name="RANGE!C5"/>
            <w:r w:rsidRPr="00922C2A">
              <w:rPr>
                <w:noProof/>
                <w:color w:val="000000"/>
                <w:sz w:val="18"/>
              </w:rPr>
              <w:t>Type</w:t>
            </w:r>
            <w:bookmarkEnd w:id="160"/>
          </w:p>
        </w:tc>
        <w:tc>
          <w:tcPr>
            <w:tcW w:w="927" w:type="dxa"/>
            <w:tcBorders>
              <w:top w:val="nil"/>
              <w:left w:val="nil"/>
              <w:bottom w:val="nil"/>
              <w:right w:val="single" w:sz="4" w:space="0" w:color="000000"/>
            </w:tcBorders>
            <w:shd w:val="clear" w:color="auto" w:fill="auto"/>
            <w:vAlign w:val="center"/>
            <w:hideMark/>
          </w:tcPr>
          <w:p w14:paraId="0C929E83" w14:textId="77777777" w:rsidR="00922C2A" w:rsidRPr="00922C2A" w:rsidRDefault="00922C2A" w:rsidP="006F49C9">
            <w:pPr>
              <w:spacing w:before="0" w:after="0"/>
              <w:jc w:val="center"/>
              <w:rPr>
                <w:rFonts w:eastAsia="Times New Roman"/>
                <w:noProof/>
                <w:color w:val="000000"/>
                <w:sz w:val="18"/>
                <w:szCs w:val="18"/>
              </w:rPr>
            </w:pPr>
            <w:r w:rsidRPr="00922C2A">
              <w:rPr>
                <w:noProof/>
                <w:color w:val="000000"/>
                <w:sz w:val="18"/>
              </w:rPr>
              <w:t>Coût</w:t>
            </w:r>
            <w:r w:rsidRPr="00922C2A">
              <w:rPr>
                <w:noProof/>
                <w:color w:val="000000"/>
                <w:sz w:val="18"/>
              </w:rPr>
              <w:cr/>
            </w:r>
            <w:r w:rsidRPr="00922C2A">
              <w:rPr>
                <w:noProof/>
                <w:color w:val="000000"/>
                <w:sz w:val="18"/>
              </w:rPr>
              <w:br/>
              <w:t>moyen</w:t>
            </w:r>
          </w:p>
        </w:tc>
        <w:tc>
          <w:tcPr>
            <w:tcW w:w="597" w:type="dxa"/>
            <w:tcBorders>
              <w:top w:val="nil"/>
              <w:left w:val="nil"/>
              <w:bottom w:val="nil"/>
              <w:right w:val="single" w:sz="4" w:space="0" w:color="000000"/>
            </w:tcBorders>
            <w:shd w:val="clear" w:color="auto" w:fill="auto"/>
            <w:noWrap/>
            <w:vAlign w:val="center"/>
            <w:hideMark/>
          </w:tcPr>
          <w:p w14:paraId="6FD7B4B2" w14:textId="77777777" w:rsidR="00922C2A" w:rsidRPr="00922C2A" w:rsidRDefault="00922C2A" w:rsidP="006F49C9">
            <w:pPr>
              <w:spacing w:before="0" w:after="0"/>
              <w:jc w:val="center"/>
              <w:rPr>
                <w:rFonts w:eastAsia="Times New Roman"/>
                <w:noProof/>
                <w:color w:val="000000"/>
                <w:sz w:val="18"/>
                <w:szCs w:val="18"/>
              </w:rPr>
            </w:pPr>
            <w:r w:rsidRPr="00922C2A">
              <w:rPr>
                <w:noProof/>
                <w:color w:val="000000"/>
                <w:sz w:val="18"/>
              </w:rPr>
              <w:t>Nbre</w:t>
            </w:r>
          </w:p>
        </w:tc>
        <w:tc>
          <w:tcPr>
            <w:tcW w:w="1257" w:type="dxa"/>
            <w:tcBorders>
              <w:top w:val="nil"/>
              <w:left w:val="nil"/>
              <w:bottom w:val="nil"/>
              <w:right w:val="single" w:sz="4" w:space="0" w:color="000000"/>
            </w:tcBorders>
            <w:shd w:val="clear" w:color="auto" w:fill="auto"/>
            <w:noWrap/>
            <w:vAlign w:val="center"/>
            <w:hideMark/>
          </w:tcPr>
          <w:p w14:paraId="413BF7D7" w14:textId="77777777" w:rsidR="00922C2A" w:rsidRPr="00922C2A" w:rsidRDefault="00922C2A" w:rsidP="006F49C9">
            <w:pPr>
              <w:spacing w:before="0" w:after="0"/>
              <w:jc w:val="center"/>
              <w:rPr>
                <w:rFonts w:eastAsia="Times New Roman"/>
                <w:noProof/>
                <w:color w:val="000000"/>
                <w:sz w:val="18"/>
                <w:szCs w:val="18"/>
              </w:rPr>
            </w:pPr>
            <w:r w:rsidRPr="00922C2A">
              <w:rPr>
                <w:noProof/>
                <w:color w:val="000000"/>
                <w:sz w:val="18"/>
              </w:rPr>
              <w:t>Coût</w:t>
            </w:r>
          </w:p>
        </w:tc>
        <w:tc>
          <w:tcPr>
            <w:tcW w:w="597" w:type="dxa"/>
            <w:tcBorders>
              <w:top w:val="nil"/>
              <w:left w:val="nil"/>
              <w:bottom w:val="nil"/>
              <w:right w:val="single" w:sz="4" w:space="0" w:color="000000"/>
            </w:tcBorders>
            <w:shd w:val="clear" w:color="auto" w:fill="auto"/>
            <w:noWrap/>
            <w:vAlign w:val="center"/>
            <w:hideMark/>
          </w:tcPr>
          <w:p w14:paraId="349FD197" w14:textId="77777777" w:rsidR="00922C2A" w:rsidRPr="00922C2A" w:rsidRDefault="00922C2A" w:rsidP="006F49C9">
            <w:pPr>
              <w:spacing w:before="0" w:after="0"/>
              <w:jc w:val="center"/>
              <w:rPr>
                <w:rFonts w:eastAsia="Times New Roman"/>
                <w:noProof/>
                <w:color w:val="000000"/>
                <w:sz w:val="18"/>
                <w:szCs w:val="18"/>
              </w:rPr>
            </w:pPr>
            <w:r w:rsidRPr="00922C2A">
              <w:rPr>
                <w:noProof/>
                <w:color w:val="000000"/>
                <w:sz w:val="18"/>
              </w:rPr>
              <w:t>Nbre</w:t>
            </w:r>
          </w:p>
        </w:tc>
        <w:tc>
          <w:tcPr>
            <w:tcW w:w="1257" w:type="dxa"/>
            <w:tcBorders>
              <w:top w:val="nil"/>
              <w:left w:val="nil"/>
              <w:bottom w:val="nil"/>
              <w:right w:val="single" w:sz="4" w:space="0" w:color="000000"/>
            </w:tcBorders>
            <w:shd w:val="clear" w:color="auto" w:fill="auto"/>
            <w:noWrap/>
            <w:vAlign w:val="center"/>
            <w:hideMark/>
          </w:tcPr>
          <w:p w14:paraId="72386991" w14:textId="77777777" w:rsidR="00922C2A" w:rsidRPr="00922C2A" w:rsidRDefault="00922C2A" w:rsidP="006F49C9">
            <w:pPr>
              <w:spacing w:before="0" w:after="0"/>
              <w:jc w:val="center"/>
              <w:rPr>
                <w:rFonts w:eastAsia="Times New Roman"/>
                <w:noProof/>
                <w:color w:val="000000"/>
                <w:sz w:val="18"/>
                <w:szCs w:val="18"/>
              </w:rPr>
            </w:pPr>
            <w:r w:rsidRPr="00922C2A">
              <w:rPr>
                <w:noProof/>
                <w:color w:val="000000"/>
                <w:sz w:val="18"/>
              </w:rPr>
              <w:t>Coût</w:t>
            </w:r>
          </w:p>
        </w:tc>
        <w:tc>
          <w:tcPr>
            <w:tcW w:w="597" w:type="dxa"/>
            <w:tcBorders>
              <w:top w:val="nil"/>
              <w:left w:val="nil"/>
              <w:bottom w:val="nil"/>
              <w:right w:val="single" w:sz="4" w:space="0" w:color="000000"/>
            </w:tcBorders>
            <w:shd w:val="clear" w:color="auto" w:fill="auto"/>
            <w:noWrap/>
            <w:vAlign w:val="center"/>
            <w:hideMark/>
          </w:tcPr>
          <w:p w14:paraId="7936C619" w14:textId="77777777" w:rsidR="00922C2A" w:rsidRPr="00922C2A" w:rsidRDefault="00922C2A" w:rsidP="006F49C9">
            <w:pPr>
              <w:spacing w:before="0" w:after="0"/>
              <w:jc w:val="center"/>
              <w:rPr>
                <w:rFonts w:eastAsia="Times New Roman"/>
                <w:noProof/>
                <w:color w:val="000000"/>
                <w:sz w:val="18"/>
                <w:szCs w:val="18"/>
              </w:rPr>
            </w:pPr>
            <w:r w:rsidRPr="00922C2A">
              <w:rPr>
                <w:noProof/>
                <w:color w:val="000000"/>
                <w:sz w:val="18"/>
              </w:rPr>
              <w:t>Nbre</w:t>
            </w:r>
          </w:p>
        </w:tc>
        <w:tc>
          <w:tcPr>
            <w:tcW w:w="1258" w:type="dxa"/>
            <w:tcBorders>
              <w:top w:val="nil"/>
              <w:left w:val="nil"/>
              <w:bottom w:val="nil"/>
              <w:right w:val="single" w:sz="4" w:space="0" w:color="000000"/>
            </w:tcBorders>
            <w:shd w:val="clear" w:color="auto" w:fill="auto"/>
            <w:noWrap/>
            <w:vAlign w:val="center"/>
            <w:hideMark/>
          </w:tcPr>
          <w:p w14:paraId="455AB8F9" w14:textId="77777777" w:rsidR="00922C2A" w:rsidRPr="00922C2A" w:rsidRDefault="00922C2A" w:rsidP="006F49C9">
            <w:pPr>
              <w:spacing w:before="0" w:after="0"/>
              <w:jc w:val="center"/>
              <w:rPr>
                <w:rFonts w:eastAsia="Times New Roman"/>
                <w:noProof/>
                <w:color w:val="000000"/>
                <w:sz w:val="18"/>
                <w:szCs w:val="18"/>
              </w:rPr>
            </w:pPr>
            <w:r w:rsidRPr="00922C2A">
              <w:rPr>
                <w:noProof/>
                <w:color w:val="000000"/>
                <w:sz w:val="18"/>
              </w:rPr>
              <w:t>Coût</w:t>
            </w:r>
          </w:p>
        </w:tc>
      </w:tr>
      <w:tr w:rsidR="00922C2A" w:rsidRPr="00922C2A" w14:paraId="3845EF8D" w14:textId="77777777" w:rsidTr="006F49C9">
        <w:trPr>
          <w:trHeight w:val="266"/>
        </w:trPr>
        <w:tc>
          <w:tcPr>
            <w:tcW w:w="12187" w:type="dxa"/>
            <w:gridSpan w:val="9"/>
            <w:tcBorders>
              <w:top w:val="single" w:sz="4" w:space="0" w:color="000000"/>
              <w:left w:val="single" w:sz="8" w:space="0" w:color="000000"/>
              <w:bottom w:val="single" w:sz="4" w:space="0" w:color="000000"/>
              <w:right w:val="nil"/>
            </w:tcBorders>
            <w:shd w:val="clear" w:color="auto" w:fill="auto"/>
            <w:noWrap/>
            <w:vAlign w:val="bottom"/>
            <w:hideMark/>
          </w:tcPr>
          <w:p w14:paraId="2557E702" w14:textId="77777777" w:rsidR="00922C2A" w:rsidRPr="00922C2A" w:rsidRDefault="00922C2A" w:rsidP="006F49C9">
            <w:pPr>
              <w:spacing w:before="0" w:after="0"/>
              <w:jc w:val="left"/>
              <w:rPr>
                <w:rFonts w:eastAsia="Times New Roman"/>
                <w:noProof/>
                <w:color w:val="000000"/>
                <w:sz w:val="18"/>
                <w:szCs w:val="18"/>
              </w:rPr>
            </w:pPr>
            <w:bookmarkStart w:id="161" w:name="RANGE!B6"/>
            <w:r w:rsidRPr="00922C2A">
              <w:rPr>
                <w:noProof/>
                <w:color w:val="000000"/>
                <w:sz w:val="18"/>
              </w:rPr>
              <w:t>OBJECTIF Nº 1: Disponibilité et sécurité de l’approvisionnement des médicaments critiques</w:t>
            </w:r>
            <w:bookmarkEnd w:id="161"/>
          </w:p>
        </w:tc>
      </w:tr>
      <w:tr w:rsidR="00922C2A" w:rsidRPr="00922C2A" w14:paraId="5297353C" w14:textId="77777777" w:rsidTr="006F49C9">
        <w:trPr>
          <w:trHeight w:val="754"/>
        </w:trPr>
        <w:tc>
          <w:tcPr>
            <w:tcW w:w="2492" w:type="dxa"/>
            <w:tcBorders>
              <w:top w:val="nil"/>
              <w:left w:val="single" w:sz="8" w:space="0" w:color="000000"/>
              <w:bottom w:val="single" w:sz="4" w:space="0" w:color="000000"/>
              <w:right w:val="single" w:sz="4" w:space="0" w:color="000000"/>
            </w:tcBorders>
            <w:shd w:val="clear" w:color="auto" w:fill="auto"/>
            <w:vAlign w:val="bottom"/>
            <w:hideMark/>
          </w:tcPr>
          <w:p w14:paraId="6E03B40F"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xml:space="preserve">A. Faciliter les investissements dans les capacités de production </w:t>
            </w:r>
          </w:p>
        </w:tc>
        <w:tc>
          <w:tcPr>
            <w:tcW w:w="3205" w:type="dxa"/>
            <w:tcBorders>
              <w:top w:val="nil"/>
              <w:left w:val="nil"/>
              <w:bottom w:val="single" w:sz="4" w:space="0" w:color="000000"/>
              <w:right w:val="single" w:sz="4" w:space="0" w:color="000000"/>
            </w:tcBorders>
            <w:shd w:val="clear" w:color="auto" w:fill="auto"/>
            <w:noWrap/>
            <w:vAlign w:val="bottom"/>
            <w:hideMark/>
          </w:tcPr>
          <w:p w14:paraId="1F1F9A5D"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xml:space="preserve">Subventions </w:t>
            </w:r>
          </w:p>
        </w:tc>
        <w:tc>
          <w:tcPr>
            <w:tcW w:w="927" w:type="dxa"/>
            <w:tcBorders>
              <w:top w:val="nil"/>
              <w:left w:val="nil"/>
              <w:bottom w:val="single" w:sz="4" w:space="0" w:color="000000"/>
              <w:right w:val="single" w:sz="4" w:space="0" w:color="000000"/>
            </w:tcBorders>
            <w:shd w:val="clear" w:color="auto" w:fill="auto"/>
            <w:noWrap/>
            <w:vAlign w:val="bottom"/>
            <w:hideMark/>
          </w:tcPr>
          <w:p w14:paraId="1A719F74"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w:t>
            </w:r>
          </w:p>
        </w:tc>
        <w:tc>
          <w:tcPr>
            <w:tcW w:w="597" w:type="dxa"/>
            <w:tcBorders>
              <w:top w:val="nil"/>
              <w:left w:val="nil"/>
              <w:bottom w:val="single" w:sz="4" w:space="0" w:color="000000"/>
              <w:right w:val="single" w:sz="4" w:space="0" w:color="000000"/>
            </w:tcBorders>
            <w:shd w:val="clear" w:color="auto" w:fill="auto"/>
            <w:noWrap/>
            <w:vAlign w:val="bottom"/>
            <w:hideMark/>
          </w:tcPr>
          <w:p w14:paraId="13FEEB6D"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w:t>
            </w:r>
          </w:p>
        </w:tc>
        <w:tc>
          <w:tcPr>
            <w:tcW w:w="1257" w:type="dxa"/>
            <w:tcBorders>
              <w:top w:val="nil"/>
              <w:left w:val="nil"/>
              <w:bottom w:val="single" w:sz="4" w:space="0" w:color="000000"/>
              <w:right w:val="single" w:sz="4" w:space="0" w:color="000000"/>
            </w:tcBorders>
            <w:shd w:val="clear" w:color="auto" w:fill="auto"/>
            <w:noWrap/>
            <w:vAlign w:val="bottom"/>
            <w:hideMark/>
          </w:tcPr>
          <w:p w14:paraId="359A769C" w14:textId="77777777" w:rsidR="00922C2A" w:rsidRPr="00922C2A" w:rsidRDefault="00922C2A" w:rsidP="006F49C9">
            <w:pPr>
              <w:spacing w:before="0" w:after="0"/>
              <w:jc w:val="right"/>
              <w:rPr>
                <w:rFonts w:eastAsia="Times New Roman"/>
                <w:noProof/>
                <w:color w:val="000000"/>
                <w:sz w:val="18"/>
                <w:szCs w:val="18"/>
              </w:rPr>
            </w:pPr>
            <w:r w:rsidRPr="00922C2A">
              <w:rPr>
                <w:noProof/>
                <w:color w:val="000000"/>
                <w:sz w:val="18"/>
              </w:rPr>
              <w:t>40,000</w:t>
            </w:r>
          </w:p>
        </w:tc>
        <w:tc>
          <w:tcPr>
            <w:tcW w:w="597" w:type="dxa"/>
            <w:tcBorders>
              <w:top w:val="nil"/>
              <w:left w:val="nil"/>
              <w:bottom w:val="single" w:sz="4" w:space="0" w:color="000000"/>
              <w:right w:val="single" w:sz="4" w:space="0" w:color="000000"/>
            </w:tcBorders>
            <w:shd w:val="clear" w:color="auto" w:fill="auto"/>
            <w:noWrap/>
            <w:vAlign w:val="bottom"/>
            <w:hideMark/>
          </w:tcPr>
          <w:p w14:paraId="01C5197D"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w:t>
            </w:r>
          </w:p>
        </w:tc>
        <w:tc>
          <w:tcPr>
            <w:tcW w:w="1257" w:type="dxa"/>
            <w:tcBorders>
              <w:top w:val="nil"/>
              <w:left w:val="nil"/>
              <w:bottom w:val="single" w:sz="4" w:space="0" w:color="000000"/>
              <w:right w:val="single" w:sz="4" w:space="0" w:color="000000"/>
            </w:tcBorders>
            <w:shd w:val="clear" w:color="auto" w:fill="auto"/>
            <w:noWrap/>
            <w:vAlign w:val="bottom"/>
            <w:hideMark/>
          </w:tcPr>
          <w:p w14:paraId="016F8996" w14:textId="77777777" w:rsidR="00922C2A" w:rsidRPr="00922C2A" w:rsidRDefault="00922C2A" w:rsidP="006F49C9">
            <w:pPr>
              <w:spacing w:before="0" w:after="0"/>
              <w:jc w:val="right"/>
              <w:rPr>
                <w:rFonts w:eastAsia="Times New Roman"/>
                <w:noProof/>
                <w:color w:val="000000"/>
                <w:sz w:val="18"/>
                <w:szCs w:val="18"/>
              </w:rPr>
            </w:pPr>
            <w:r w:rsidRPr="00922C2A">
              <w:rPr>
                <w:noProof/>
                <w:color w:val="000000"/>
                <w:sz w:val="18"/>
              </w:rPr>
              <w:t>40,800</w:t>
            </w:r>
          </w:p>
        </w:tc>
        <w:tc>
          <w:tcPr>
            <w:tcW w:w="597" w:type="dxa"/>
            <w:tcBorders>
              <w:top w:val="nil"/>
              <w:left w:val="nil"/>
              <w:bottom w:val="single" w:sz="4" w:space="0" w:color="000000"/>
              <w:right w:val="single" w:sz="4" w:space="0" w:color="000000"/>
            </w:tcBorders>
            <w:shd w:val="clear" w:color="000000" w:fill="F2F2F2"/>
            <w:noWrap/>
            <w:vAlign w:val="bottom"/>
            <w:hideMark/>
          </w:tcPr>
          <w:p w14:paraId="2EFDE350"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w:t>
            </w:r>
          </w:p>
        </w:tc>
        <w:tc>
          <w:tcPr>
            <w:tcW w:w="1258" w:type="dxa"/>
            <w:tcBorders>
              <w:top w:val="nil"/>
              <w:left w:val="nil"/>
              <w:bottom w:val="single" w:sz="4" w:space="0" w:color="000000"/>
              <w:right w:val="single" w:sz="4" w:space="0" w:color="000000"/>
            </w:tcBorders>
            <w:shd w:val="clear" w:color="000000" w:fill="F2F2F2"/>
            <w:noWrap/>
            <w:vAlign w:val="bottom"/>
            <w:hideMark/>
          </w:tcPr>
          <w:p w14:paraId="5D0637CA"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80,800</w:t>
            </w:r>
          </w:p>
        </w:tc>
      </w:tr>
      <w:tr w:rsidR="00922C2A" w:rsidRPr="00922C2A" w14:paraId="25A05A9A" w14:textId="77777777" w:rsidTr="006F49C9">
        <w:trPr>
          <w:trHeight w:val="754"/>
        </w:trPr>
        <w:tc>
          <w:tcPr>
            <w:tcW w:w="2492" w:type="dxa"/>
            <w:tcBorders>
              <w:top w:val="nil"/>
              <w:left w:val="single" w:sz="8" w:space="0" w:color="000000"/>
              <w:bottom w:val="single" w:sz="4" w:space="0" w:color="000000"/>
              <w:right w:val="single" w:sz="4" w:space="0" w:color="000000"/>
            </w:tcBorders>
            <w:shd w:val="clear" w:color="auto" w:fill="auto"/>
            <w:vAlign w:val="bottom"/>
            <w:hideMark/>
          </w:tcPr>
          <w:p w14:paraId="0DE20FB9"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xml:space="preserve">A. Faciliter les investissements dans les capacités de production </w:t>
            </w:r>
          </w:p>
        </w:tc>
        <w:tc>
          <w:tcPr>
            <w:tcW w:w="3205" w:type="dxa"/>
            <w:tcBorders>
              <w:top w:val="nil"/>
              <w:left w:val="nil"/>
              <w:bottom w:val="single" w:sz="4" w:space="0" w:color="000000"/>
              <w:right w:val="single" w:sz="4" w:space="0" w:color="000000"/>
            </w:tcBorders>
            <w:shd w:val="clear" w:color="auto" w:fill="auto"/>
            <w:noWrap/>
            <w:vAlign w:val="bottom"/>
            <w:hideMark/>
          </w:tcPr>
          <w:p w14:paraId="3481E647"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Réunions</w:t>
            </w:r>
          </w:p>
        </w:tc>
        <w:tc>
          <w:tcPr>
            <w:tcW w:w="927" w:type="dxa"/>
            <w:tcBorders>
              <w:top w:val="nil"/>
              <w:left w:val="nil"/>
              <w:bottom w:val="single" w:sz="4" w:space="0" w:color="000000"/>
              <w:right w:val="single" w:sz="4" w:space="0" w:color="000000"/>
            </w:tcBorders>
            <w:shd w:val="clear" w:color="auto" w:fill="auto"/>
            <w:noWrap/>
            <w:vAlign w:val="bottom"/>
            <w:hideMark/>
          </w:tcPr>
          <w:p w14:paraId="766C02DD"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w:t>
            </w:r>
          </w:p>
        </w:tc>
        <w:tc>
          <w:tcPr>
            <w:tcW w:w="597" w:type="dxa"/>
            <w:tcBorders>
              <w:top w:val="nil"/>
              <w:left w:val="nil"/>
              <w:bottom w:val="single" w:sz="4" w:space="0" w:color="000000"/>
              <w:right w:val="single" w:sz="4" w:space="0" w:color="000000"/>
            </w:tcBorders>
            <w:shd w:val="clear" w:color="auto" w:fill="auto"/>
            <w:noWrap/>
            <w:vAlign w:val="bottom"/>
            <w:hideMark/>
          </w:tcPr>
          <w:p w14:paraId="28B6C6A8"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w:t>
            </w:r>
          </w:p>
        </w:tc>
        <w:tc>
          <w:tcPr>
            <w:tcW w:w="1257" w:type="dxa"/>
            <w:tcBorders>
              <w:top w:val="nil"/>
              <w:left w:val="nil"/>
              <w:bottom w:val="single" w:sz="4" w:space="0" w:color="000000"/>
              <w:right w:val="single" w:sz="4" w:space="0" w:color="000000"/>
            </w:tcBorders>
            <w:shd w:val="clear" w:color="auto" w:fill="auto"/>
            <w:noWrap/>
            <w:vAlign w:val="bottom"/>
            <w:hideMark/>
          </w:tcPr>
          <w:p w14:paraId="06EFE3F1" w14:textId="77777777" w:rsidR="00922C2A" w:rsidRPr="00922C2A" w:rsidRDefault="00922C2A" w:rsidP="006F49C9">
            <w:pPr>
              <w:spacing w:before="0" w:after="0"/>
              <w:jc w:val="right"/>
              <w:rPr>
                <w:rFonts w:eastAsia="Times New Roman"/>
                <w:noProof/>
                <w:color w:val="000000"/>
                <w:sz w:val="18"/>
                <w:szCs w:val="18"/>
              </w:rPr>
            </w:pPr>
            <w:r w:rsidRPr="00922C2A">
              <w:rPr>
                <w:noProof/>
                <w:color w:val="000000"/>
                <w:sz w:val="18"/>
              </w:rPr>
              <w:t>0,027</w:t>
            </w:r>
          </w:p>
        </w:tc>
        <w:tc>
          <w:tcPr>
            <w:tcW w:w="597" w:type="dxa"/>
            <w:tcBorders>
              <w:top w:val="nil"/>
              <w:left w:val="nil"/>
              <w:bottom w:val="single" w:sz="4" w:space="0" w:color="000000"/>
              <w:right w:val="single" w:sz="4" w:space="0" w:color="000000"/>
            </w:tcBorders>
            <w:shd w:val="clear" w:color="auto" w:fill="auto"/>
            <w:noWrap/>
            <w:vAlign w:val="bottom"/>
            <w:hideMark/>
          </w:tcPr>
          <w:p w14:paraId="3C083DE9"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w:t>
            </w:r>
          </w:p>
        </w:tc>
        <w:tc>
          <w:tcPr>
            <w:tcW w:w="1257" w:type="dxa"/>
            <w:tcBorders>
              <w:top w:val="nil"/>
              <w:left w:val="nil"/>
              <w:bottom w:val="single" w:sz="4" w:space="0" w:color="000000"/>
              <w:right w:val="single" w:sz="4" w:space="0" w:color="000000"/>
            </w:tcBorders>
            <w:shd w:val="clear" w:color="auto" w:fill="auto"/>
            <w:noWrap/>
            <w:vAlign w:val="bottom"/>
            <w:hideMark/>
          </w:tcPr>
          <w:p w14:paraId="233BF7AD" w14:textId="77777777" w:rsidR="00922C2A" w:rsidRPr="00922C2A" w:rsidRDefault="00922C2A" w:rsidP="006F49C9">
            <w:pPr>
              <w:spacing w:before="0" w:after="0"/>
              <w:jc w:val="right"/>
              <w:rPr>
                <w:rFonts w:eastAsia="Times New Roman"/>
                <w:noProof/>
                <w:color w:val="000000"/>
                <w:sz w:val="18"/>
                <w:szCs w:val="18"/>
              </w:rPr>
            </w:pPr>
            <w:r w:rsidRPr="00922C2A">
              <w:rPr>
                <w:noProof/>
                <w:color w:val="000000"/>
                <w:sz w:val="18"/>
              </w:rPr>
              <w:t>0,028</w:t>
            </w:r>
          </w:p>
        </w:tc>
        <w:tc>
          <w:tcPr>
            <w:tcW w:w="597" w:type="dxa"/>
            <w:tcBorders>
              <w:top w:val="nil"/>
              <w:left w:val="nil"/>
              <w:bottom w:val="single" w:sz="4" w:space="0" w:color="000000"/>
              <w:right w:val="single" w:sz="4" w:space="0" w:color="000000"/>
            </w:tcBorders>
            <w:shd w:val="clear" w:color="000000" w:fill="F2F2F2"/>
            <w:noWrap/>
            <w:vAlign w:val="bottom"/>
            <w:hideMark/>
          </w:tcPr>
          <w:p w14:paraId="4E996E21"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w:t>
            </w:r>
          </w:p>
        </w:tc>
        <w:tc>
          <w:tcPr>
            <w:tcW w:w="1258" w:type="dxa"/>
            <w:tcBorders>
              <w:top w:val="nil"/>
              <w:left w:val="nil"/>
              <w:bottom w:val="single" w:sz="4" w:space="0" w:color="000000"/>
              <w:right w:val="single" w:sz="4" w:space="0" w:color="000000"/>
            </w:tcBorders>
            <w:shd w:val="clear" w:color="000000" w:fill="F2F2F2"/>
            <w:noWrap/>
            <w:vAlign w:val="bottom"/>
            <w:hideMark/>
          </w:tcPr>
          <w:p w14:paraId="6F22D05C"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0,055</w:t>
            </w:r>
          </w:p>
        </w:tc>
      </w:tr>
      <w:tr w:rsidR="00922C2A" w:rsidRPr="00922C2A" w14:paraId="035CDC70" w14:textId="77777777" w:rsidTr="006F49C9">
        <w:trPr>
          <w:trHeight w:val="591"/>
        </w:trPr>
        <w:tc>
          <w:tcPr>
            <w:tcW w:w="2492" w:type="dxa"/>
            <w:tcBorders>
              <w:top w:val="nil"/>
              <w:left w:val="single" w:sz="8" w:space="0" w:color="000000"/>
              <w:bottom w:val="single" w:sz="4" w:space="0" w:color="000000"/>
              <w:right w:val="single" w:sz="4" w:space="0" w:color="000000"/>
            </w:tcBorders>
            <w:shd w:val="clear" w:color="auto" w:fill="auto"/>
            <w:vAlign w:val="bottom"/>
            <w:hideMark/>
          </w:tcPr>
          <w:p w14:paraId="13C07F1E"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B. Critères nationaux en matière de marchés publics</w:t>
            </w:r>
          </w:p>
        </w:tc>
        <w:tc>
          <w:tcPr>
            <w:tcW w:w="3205" w:type="dxa"/>
            <w:tcBorders>
              <w:top w:val="nil"/>
              <w:left w:val="nil"/>
              <w:bottom w:val="single" w:sz="4" w:space="0" w:color="000000"/>
              <w:right w:val="single" w:sz="4" w:space="0" w:color="000000"/>
            </w:tcBorders>
            <w:shd w:val="clear" w:color="auto" w:fill="auto"/>
            <w:noWrap/>
            <w:vAlign w:val="bottom"/>
            <w:hideMark/>
          </w:tcPr>
          <w:p w14:paraId="5AD96C13"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Réunions</w:t>
            </w:r>
          </w:p>
        </w:tc>
        <w:tc>
          <w:tcPr>
            <w:tcW w:w="927" w:type="dxa"/>
            <w:tcBorders>
              <w:top w:val="nil"/>
              <w:left w:val="nil"/>
              <w:bottom w:val="single" w:sz="4" w:space="0" w:color="000000"/>
              <w:right w:val="single" w:sz="4" w:space="0" w:color="000000"/>
            </w:tcBorders>
            <w:shd w:val="clear" w:color="auto" w:fill="auto"/>
            <w:noWrap/>
            <w:vAlign w:val="bottom"/>
            <w:hideMark/>
          </w:tcPr>
          <w:p w14:paraId="62140E5C"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w:t>
            </w:r>
          </w:p>
        </w:tc>
        <w:tc>
          <w:tcPr>
            <w:tcW w:w="597" w:type="dxa"/>
            <w:tcBorders>
              <w:top w:val="nil"/>
              <w:left w:val="nil"/>
              <w:bottom w:val="single" w:sz="4" w:space="0" w:color="000000"/>
              <w:right w:val="single" w:sz="4" w:space="0" w:color="000000"/>
            </w:tcBorders>
            <w:shd w:val="clear" w:color="auto" w:fill="auto"/>
            <w:noWrap/>
            <w:vAlign w:val="bottom"/>
            <w:hideMark/>
          </w:tcPr>
          <w:p w14:paraId="3677CA1F"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w:t>
            </w:r>
          </w:p>
        </w:tc>
        <w:tc>
          <w:tcPr>
            <w:tcW w:w="1257" w:type="dxa"/>
            <w:tcBorders>
              <w:top w:val="nil"/>
              <w:left w:val="nil"/>
              <w:bottom w:val="single" w:sz="4" w:space="0" w:color="000000"/>
              <w:right w:val="single" w:sz="4" w:space="0" w:color="000000"/>
            </w:tcBorders>
            <w:shd w:val="clear" w:color="auto" w:fill="auto"/>
            <w:noWrap/>
            <w:vAlign w:val="bottom"/>
            <w:hideMark/>
          </w:tcPr>
          <w:p w14:paraId="2C91D3EA" w14:textId="77777777" w:rsidR="00922C2A" w:rsidRPr="00922C2A" w:rsidRDefault="00922C2A" w:rsidP="006F49C9">
            <w:pPr>
              <w:spacing w:before="0" w:after="0"/>
              <w:jc w:val="right"/>
              <w:rPr>
                <w:rFonts w:eastAsia="Times New Roman"/>
                <w:noProof/>
                <w:color w:val="000000"/>
                <w:sz w:val="18"/>
                <w:szCs w:val="18"/>
              </w:rPr>
            </w:pPr>
            <w:r w:rsidRPr="00922C2A">
              <w:rPr>
                <w:noProof/>
                <w:color w:val="000000"/>
                <w:sz w:val="18"/>
              </w:rPr>
              <w:t>0,027</w:t>
            </w:r>
          </w:p>
        </w:tc>
        <w:tc>
          <w:tcPr>
            <w:tcW w:w="597" w:type="dxa"/>
            <w:tcBorders>
              <w:top w:val="nil"/>
              <w:left w:val="nil"/>
              <w:bottom w:val="single" w:sz="4" w:space="0" w:color="000000"/>
              <w:right w:val="single" w:sz="4" w:space="0" w:color="000000"/>
            </w:tcBorders>
            <w:shd w:val="clear" w:color="auto" w:fill="auto"/>
            <w:noWrap/>
            <w:vAlign w:val="bottom"/>
            <w:hideMark/>
          </w:tcPr>
          <w:p w14:paraId="717B8AE0"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w:t>
            </w:r>
          </w:p>
        </w:tc>
        <w:tc>
          <w:tcPr>
            <w:tcW w:w="1257" w:type="dxa"/>
            <w:tcBorders>
              <w:top w:val="nil"/>
              <w:left w:val="nil"/>
              <w:bottom w:val="single" w:sz="4" w:space="0" w:color="000000"/>
              <w:right w:val="single" w:sz="4" w:space="0" w:color="000000"/>
            </w:tcBorders>
            <w:shd w:val="clear" w:color="auto" w:fill="auto"/>
            <w:noWrap/>
            <w:vAlign w:val="bottom"/>
            <w:hideMark/>
          </w:tcPr>
          <w:p w14:paraId="2B8BAF88" w14:textId="77777777" w:rsidR="00922C2A" w:rsidRPr="00922C2A" w:rsidRDefault="00922C2A" w:rsidP="006F49C9">
            <w:pPr>
              <w:spacing w:before="0" w:after="0"/>
              <w:jc w:val="right"/>
              <w:rPr>
                <w:rFonts w:eastAsia="Times New Roman"/>
                <w:noProof/>
                <w:color w:val="000000"/>
                <w:sz w:val="18"/>
                <w:szCs w:val="18"/>
              </w:rPr>
            </w:pPr>
            <w:r w:rsidRPr="00922C2A">
              <w:rPr>
                <w:noProof/>
                <w:color w:val="000000"/>
                <w:sz w:val="18"/>
              </w:rPr>
              <w:t>0,028</w:t>
            </w:r>
          </w:p>
        </w:tc>
        <w:tc>
          <w:tcPr>
            <w:tcW w:w="597" w:type="dxa"/>
            <w:tcBorders>
              <w:top w:val="nil"/>
              <w:left w:val="nil"/>
              <w:bottom w:val="single" w:sz="4" w:space="0" w:color="000000"/>
              <w:right w:val="single" w:sz="4" w:space="0" w:color="000000"/>
            </w:tcBorders>
            <w:shd w:val="clear" w:color="000000" w:fill="F2F2F2"/>
            <w:noWrap/>
            <w:vAlign w:val="bottom"/>
            <w:hideMark/>
          </w:tcPr>
          <w:p w14:paraId="28D9CD7F"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w:t>
            </w:r>
          </w:p>
        </w:tc>
        <w:tc>
          <w:tcPr>
            <w:tcW w:w="1258" w:type="dxa"/>
            <w:tcBorders>
              <w:top w:val="nil"/>
              <w:left w:val="nil"/>
              <w:bottom w:val="single" w:sz="4" w:space="0" w:color="000000"/>
              <w:right w:val="single" w:sz="4" w:space="0" w:color="000000"/>
            </w:tcBorders>
            <w:shd w:val="clear" w:color="000000" w:fill="F2F2F2"/>
            <w:noWrap/>
            <w:vAlign w:val="bottom"/>
            <w:hideMark/>
          </w:tcPr>
          <w:p w14:paraId="46AD59DA"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0,055</w:t>
            </w:r>
          </w:p>
        </w:tc>
      </w:tr>
      <w:tr w:rsidR="00922C2A" w:rsidRPr="00922C2A" w14:paraId="73D8A6A1" w14:textId="77777777" w:rsidTr="006F49C9">
        <w:trPr>
          <w:trHeight w:val="887"/>
        </w:trPr>
        <w:tc>
          <w:tcPr>
            <w:tcW w:w="2492" w:type="dxa"/>
            <w:tcBorders>
              <w:top w:val="nil"/>
              <w:left w:val="single" w:sz="8" w:space="0" w:color="000000"/>
              <w:bottom w:val="single" w:sz="4" w:space="0" w:color="000000"/>
              <w:right w:val="single" w:sz="4" w:space="0" w:color="000000"/>
            </w:tcBorders>
            <w:shd w:val="clear" w:color="auto" w:fill="auto"/>
            <w:vAlign w:val="bottom"/>
            <w:hideMark/>
          </w:tcPr>
          <w:p w14:paraId="1C8158CE"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C. Procédures de passation collaborative de marchés</w:t>
            </w:r>
          </w:p>
        </w:tc>
        <w:tc>
          <w:tcPr>
            <w:tcW w:w="3205" w:type="dxa"/>
            <w:tcBorders>
              <w:top w:val="nil"/>
              <w:left w:val="nil"/>
              <w:bottom w:val="single" w:sz="4" w:space="0" w:color="000000"/>
              <w:right w:val="single" w:sz="4" w:space="0" w:color="000000"/>
            </w:tcBorders>
            <w:shd w:val="clear" w:color="auto" w:fill="auto"/>
            <w:noWrap/>
            <w:vAlign w:val="bottom"/>
            <w:hideMark/>
          </w:tcPr>
          <w:p w14:paraId="29389F71"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Réunions</w:t>
            </w:r>
          </w:p>
        </w:tc>
        <w:tc>
          <w:tcPr>
            <w:tcW w:w="927" w:type="dxa"/>
            <w:tcBorders>
              <w:top w:val="nil"/>
              <w:left w:val="nil"/>
              <w:bottom w:val="single" w:sz="4" w:space="0" w:color="000000"/>
              <w:right w:val="single" w:sz="4" w:space="0" w:color="000000"/>
            </w:tcBorders>
            <w:shd w:val="clear" w:color="auto" w:fill="auto"/>
            <w:noWrap/>
            <w:vAlign w:val="bottom"/>
            <w:hideMark/>
          </w:tcPr>
          <w:p w14:paraId="7C498C43"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w:t>
            </w:r>
          </w:p>
        </w:tc>
        <w:tc>
          <w:tcPr>
            <w:tcW w:w="597" w:type="dxa"/>
            <w:tcBorders>
              <w:top w:val="nil"/>
              <w:left w:val="nil"/>
              <w:bottom w:val="single" w:sz="4" w:space="0" w:color="000000"/>
              <w:right w:val="single" w:sz="4" w:space="0" w:color="000000"/>
            </w:tcBorders>
            <w:shd w:val="clear" w:color="auto" w:fill="auto"/>
            <w:noWrap/>
            <w:vAlign w:val="bottom"/>
            <w:hideMark/>
          </w:tcPr>
          <w:p w14:paraId="2C96DADB"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w:t>
            </w:r>
          </w:p>
        </w:tc>
        <w:tc>
          <w:tcPr>
            <w:tcW w:w="1257" w:type="dxa"/>
            <w:tcBorders>
              <w:top w:val="nil"/>
              <w:left w:val="nil"/>
              <w:bottom w:val="single" w:sz="4" w:space="0" w:color="000000"/>
              <w:right w:val="single" w:sz="4" w:space="0" w:color="000000"/>
            </w:tcBorders>
            <w:shd w:val="clear" w:color="auto" w:fill="auto"/>
            <w:noWrap/>
            <w:vAlign w:val="bottom"/>
            <w:hideMark/>
          </w:tcPr>
          <w:p w14:paraId="3256C86B" w14:textId="77777777" w:rsidR="00922C2A" w:rsidRPr="00922C2A" w:rsidRDefault="00922C2A" w:rsidP="006F49C9">
            <w:pPr>
              <w:spacing w:before="0" w:after="0"/>
              <w:jc w:val="right"/>
              <w:rPr>
                <w:rFonts w:eastAsia="Times New Roman"/>
                <w:noProof/>
                <w:color w:val="000000"/>
                <w:sz w:val="18"/>
                <w:szCs w:val="18"/>
              </w:rPr>
            </w:pPr>
            <w:r w:rsidRPr="00922C2A">
              <w:rPr>
                <w:noProof/>
                <w:color w:val="000000"/>
                <w:sz w:val="18"/>
              </w:rPr>
              <w:t>0,027</w:t>
            </w:r>
          </w:p>
        </w:tc>
        <w:tc>
          <w:tcPr>
            <w:tcW w:w="597" w:type="dxa"/>
            <w:tcBorders>
              <w:top w:val="nil"/>
              <w:left w:val="nil"/>
              <w:bottom w:val="single" w:sz="4" w:space="0" w:color="000000"/>
              <w:right w:val="single" w:sz="4" w:space="0" w:color="000000"/>
            </w:tcBorders>
            <w:shd w:val="clear" w:color="auto" w:fill="auto"/>
            <w:noWrap/>
            <w:vAlign w:val="bottom"/>
            <w:hideMark/>
          </w:tcPr>
          <w:p w14:paraId="465387F0"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w:t>
            </w:r>
          </w:p>
        </w:tc>
        <w:tc>
          <w:tcPr>
            <w:tcW w:w="1257" w:type="dxa"/>
            <w:tcBorders>
              <w:top w:val="nil"/>
              <w:left w:val="nil"/>
              <w:bottom w:val="single" w:sz="4" w:space="0" w:color="000000"/>
              <w:right w:val="single" w:sz="4" w:space="0" w:color="000000"/>
            </w:tcBorders>
            <w:shd w:val="clear" w:color="auto" w:fill="auto"/>
            <w:noWrap/>
            <w:vAlign w:val="bottom"/>
            <w:hideMark/>
          </w:tcPr>
          <w:p w14:paraId="0D92DE94" w14:textId="77777777" w:rsidR="00922C2A" w:rsidRPr="00922C2A" w:rsidRDefault="00922C2A" w:rsidP="006F49C9">
            <w:pPr>
              <w:spacing w:before="0" w:after="0"/>
              <w:jc w:val="right"/>
              <w:rPr>
                <w:rFonts w:eastAsia="Times New Roman"/>
                <w:noProof/>
                <w:color w:val="000000"/>
                <w:sz w:val="18"/>
                <w:szCs w:val="18"/>
              </w:rPr>
            </w:pPr>
            <w:r w:rsidRPr="00922C2A">
              <w:rPr>
                <w:noProof/>
                <w:color w:val="000000"/>
                <w:sz w:val="18"/>
              </w:rPr>
              <w:t>0,028</w:t>
            </w:r>
          </w:p>
        </w:tc>
        <w:tc>
          <w:tcPr>
            <w:tcW w:w="597" w:type="dxa"/>
            <w:tcBorders>
              <w:top w:val="nil"/>
              <w:left w:val="nil"/>
              <w:bottom w:val="single" w:sz="4" w:space="0" w:color="000000"/>
              <w:right w:val="single" w:sz="4" w:space="0" w:color="000000"/>
            </w:tcBorders>
            <w:shd w:val="clear" w:color="000000" w:fill="F2F2F2"/>
            <w:noWrap/>
            <w:vAlign w:val="bottom"/>
            <w:hideMark/>
          </w:tcPr>
          <w:p w14:paraId="567185D1"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w:t>
            </w:r>
          </w:p>
        </w:tc>
        <w:tc>
          <w:tcPr>
            <w:tcW w:w="1258" w:type="dxa"/>
            <w:tcBorders>
              <w:top w:val="nil"/>
              <w:left w:val="nil"/>
              <w:bottom w:val="single" w:sz="4" w:space="0" w:color="000000"/>
              <w:right w:val="single" w:sz="4" w:space="0" w:color="000000"/>
            </w:tcBorders>
            <w:shd w:val="clear" w:color="000000" w:fill="F2F2F2"/>
            <w:noWrap/>
            <w:vAlign w:val="bottom"/>
            <w:hideMark/>
          </w:tcPr>
          <w:p w14:paraId="5C2789A7"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0,055</w:t>
            </w:r>
          </w:p>
        </w:tc>
      </w:tr>
      <w:tr w:rsidR="00922C2A" w:rsidRPr="00922C2A" w14:paraId="20750040" w14:textId="77777777" w:rsidTr="006F49C9">
        <w:trPr>
          <w:trHeight w:val="591"/>
        </w:trPr>
        <w:tc>
          <w:tcPr>
            <w:tcW w:w="2492" w:type="dxa"/>
            <w:tcBorders>
              <w:top w:val="nil"/>
              <w:left w:val="single" w:sz="8" w:space="0" w:color="000000"/>
              <w:bottom w:val="single" w:sz="4" w:space="0" w:color="000000"/>
              <w:right w:val="single" w:sz="4" w:space="0" w:color="000000"/>
            </w:tcBorders>
            <w:shd w:val="clear" w:color="auto" w:fill="auto"/>
            <w:vAlign w:val="bottom"/>
            <w:hideMark/>
          </w:tcPr>
          <w:p w14:paraId="597D5BF5"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D. Coopération internationale</w:t>
            </w:r>
          </w:p>
        </w:tc>
        <w:tc>
          <w:tcPr>
            <w:tcW w:w="3205" w:type="dxa"/>
            <w:tcBorders>
              <w:top w:val="nil"/>
              <w:left w:val="nil"/>
              <w:bottom w:val="single" w:sz="4" w:space="0" w:color="000000"/>
              <w:right w:val="single" w:sz="4" w:space="0" w:color="000000"/>
            </w:tcBorders>
            <w:shd w:val="clear" w:color="auto" w:fill="auto"/>
            <w:noWrap/>
            <w:vAlign w:val="bottom"/>
            <w:hideMark/>
          </w:tcPr>
          <w:p w14:paraId="393DAE61"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Réunions</w:t>
            </w:r>
          </w:p>
        </w:tc>
        <w:tc>
          <w:tcPr>
            <w:tcW w:w="927" w:type="dxa"/>
            <w:tcBorders>
              <w:top w:val="nil"/>
              <w:left w:val="nil"/>
              <w:bottom w:val="single" w:sz="4" w:space="0" w:color="000000"/>
              <w:right w:val="single" w:sz="4" w:space="0" w:color="000000"/>
            </w:tcBorders>
            <w:shd w:val="clear" w:color="auto" w:fill="auto"/>
            <w:noWrap/>
            <w:vAlign w:val="bottom"/>
            <w:hideMark/>
          </w:tcPr>
          <w:p w14:paraId="0E579A0E"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w:t>
            </w:r>
          </w:p>
        </w:tc>
        <w:tc>
          <w:tcPr>
            <w:tcW w:w="597" w:type="dxa"/>
            <w:tcBorders>
              <w:top w:val="nil"/>
              <w:left w:val="nil"/>
              <w:bottom w:val="single" w:sz="4" w:space="0" w:color="000000"/>
              <w:right w:val="single" w:sz="4" w:space="0" w:color="000000"/>
            </w:tcBorders>
            <w:shd w:val="clear" w:color="auto" w:fill="auto"/>
            <w:noWrap/>
            <w:vAlign w:val="bottom"/>
            <w:hideMark/>
          </w:tcPr>
          <w:p w14:paraId="51BDC441"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w:t>
            </w:r>
          </w:p>
        </w:tc>
        <w:tc>
          <w:tcPr>
            <w:tcW w:w="1257" w:type="dxa"/>
            <w:tcBorders>
              <w:top w:val="nil"/>
              <w:left w:val="nil"/>
              <w:bottom w:val="single" w:sz="4" w:space="0" w:color="000000"/>
              <w:right w:val="single" w:sz="4" w:space="0" w:color="000000"/>
            </w:tcBorders>
            <w:shd w:val="clear" w:color="auto" w:fill="auto"/>
            <w:noWrap/>
            <w:vAlign w:val="bottom"/>
            <w:hideMark/>
          </w:tcPr>
          <w:p w14:paraId="781EE227" w14:textId="77777777" w:rsidR="00922C2A" w:rsidRPr="00922C2A" w:rsidRDefault="00922C2A" w:rsidP="006F49C9">
            <w:pPr>
              <w:spacing w:before="0" w:after="0"/>
              <w:jc w:val="right"/>
              <w:rPr>
                <w:rFonts w:eastAsia="Times New Roman"/>
                <w:noProof/>
                <w:color w:val="000000"/>
                <w:sz w:val="18"/>
                <w:szCs w:val="18"/>
              </w:rPr>
            </w:pPr>
            <w:r w:rsidRPr="00922C2A">
              <w:rPr>
                <w:noProof/>
                <w:color w:val="000000"/>
                <w:sz w:val="18"/>
              </w:rPr>
              <w:t>0,027</w:t>
            </w:r>
          </w:p>
        </w:tc>
        <w:tc>
          <w:tcPr>
            <w:tcW w:w="597" w:type="dxa"/>
            <w:tcBorders>
              <w:top w:val="nil"/>
              <w:left w:val="nil"/>
              <w:bottom w:val="single" w:sz="4" w:space="0" w:color="000000"/>
              <w:right w:val="single" w:sz="4" w:space="0" w:color="000000"/>
            </w:tcBorders>
            <w:shd w:val="clear" w:color="auto" w:fill="auto"/>
            <w:noWrap/>
            <w:vAlign w:val="bottom"/>
            <w:hideMark/>
          </w:tcPr>
          <w:p w14:paraId="53D6EBA0"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w:t>
            </w:r>
          </w:p>
        </w:tc>
        <w:tc>
          <w:tcPr>
            <w:tcW w:w="1257" w:type="dxa"/>
            <w:tcBorders>
              <w:top w:val="nil"/>
              <w:left w:val="nil"/>
              <w:bottom w:val="single" w:sz="4" w:space="0" w:color="000000"/>
              <w:right w:val="single" w:sz="4" w:space="0" w:color="000000"/>
            </w:tcBorders>
            <w:shd w:val="clear" w:color="auto" w:fill="auto"/>
            <w:noWrap/>
            <w:vAlign w:val="bottom"/>
            <w:hideMark/>
          </w:tcPr>
          <w:p w14:paraId="771A43E5" w14:textId="77777777" w:rsidR="00922C2A" w:rsidRPr="00922C2A" w:rsidRDefault="00922C2A" w:rsidP="006F49C9">
            <w:pPr>
              <w:spacing w:before="0" w:after="0"/>
              <w:jc w:val="right"/>
              <w:rPr>
                <w:rFonts w:eastAsia="Times New Roman"/>
                <w:noProof/>
                <w:color w:val="000000"/>
                <w:sz w:val="18"/>
                <w:szCs w:val="18"/>
              </w:rPr>
            </w:pPr>
            <w:r w:rsidRPr="00922C2A">
              <w:rPr>
                <w:noProof/>
                <w:color w:val="000000"/>
                <w:sz w:val="18"/>
              </w:rPr>
              <w:t>0,028</w:t>
            </w:r>
          </w:p>
        </w:tc>
        <w:tc>
          <w:tcPr>
            <w:tcW w:w="597" w:type="dxa"/>
            <w:tcBorders>
              <w:top w:val="nil"/>
              <w:left w:val="nil"/>
              <w:bottom w:val="single" w:sz="4" w:space="0" w:color="000000"/>
              <w:right w:val="single" w:sz="4" w:space="0" w:color="000000"/>
            </w:tcBorders>
            <w:shd w:val="clear" w:color="000000" w:fill="F2F2F2"/>
            <w:noWrap/>
            <w:vAlign w:val="bottom"/>
            <w:hideMark/>
          </w:tcPr>
          <w:p w14:paraId="45ABA22D" w14:textId="77777777" w:rsidR="00922C2A" w:rsidRPr="00922C2A" w:rsidRDefault="00922C2A" w:rsidP="006F49C9">
            <w:pPr>
              <w:spacing w:before="0" w:after="0"/>
              <w:jc w:val="left"/>
              <w:rPr>
                <w:rFonts w:eastAsia="Times New Roman"/>
                <w:b/>
                <w:bCs/>
                <w:noProof/>
                <w:color w:val="000000"/>
                <w:sz w:val="18"/>
                <w:szCs w:val="18"/>
              </w:rPr>
            </w:pPr>
            <w:r w:rsidRPr="00922C2A">
              <w:rPr>
                <w:b/>
                <w:noProof/>
                <w:color w:val="000000"/>
                <w:sz w:val="18"/>
              </w:rPr>
              <w:t> </w:t>
            </w:r>
          </w:p>
        </w:tc>
        <w:tc>
          <w:tcPr>
            <w:tcW w:w="1258" w:type="dxa"/>
            <w:tcBorders>
              <w:top w:val="nil"/>
              <w:left w:val="nil"/>
              <w:bottom w:val="single" w:sz="4" w:space="0" w:color="000000"/>
              <w:right w:val="single" w:sz="4" w:space="0" w:color="000000"/>
            </w:tcBorders>
            <w:shd w:val="clear" w:color="000000" w:fill="F2F2F2"/>
            <w:noWrap/>
            <w:vAlign w:val="bottom"/>
            <w:hideMark/>
          </w:tcPr>
          <w:p w14:paraId="64796718"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0,055</w:t>
            </w:r>
          </w:p>
        </w:tc>
      </w:tr>
      <w:tr w:rsidR="00922C2A" w:rsidRPr="00922C2A" w14:paraId="5DA7D833" w14:textId="77777777" w:rsidTr="006F49C9">
        <w:trPr>
          <w:trHeight w:val="295"/>
        </w:trPr>
        <w:tc>
          <w:tcPr>
            <w:tcW w:w="6624" w:type="dxa"/>
            <w:gridSpan w:val="3"/>
            <w:tcBorders>
              <w:top w:val="single" w:sz="4" w:space="0" w:color="000000"/>
              <w:left w:val="single" w:sz="8" w:space="0" w:color="000000"/>
              <w:bottom w:val="single" w:sz="4" w:space="0" w:color="000000"/>
              <w:right w:val="single" w:sz="4" w:space="0" w:color="000000"/>
            </w:tcBorders>
            <w:shd w:val="clear" w:color="auto" w:fill="auto"/>
            <w:noWrap/>
            <w:vAlign w:val="bottom"/>
            <w:hideMark/>
          </w:tcPr>
          <w:p w14:paraId="43976CBE"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Sous-total objectif nº 1</w:t>
            </w:r>
          </w:p>
        </w:tc>
        <w:tc>
          <w:tcPr>
            <w:tcW w:w="597" w:type="dxa"/>
            <w:tcBorders>
              <w:top w:val="nil"/>
              <w:left w:val="nil"/>
              <w:bottom w:val="single" w:sz="4" w:space="0" w:color="000000"/>
              <w:right w:val="single" w:sz="4" w:space="0" w:color="000000"/>
            </w:tcBorders>
            <w:shd w:val="clear" w:color="000000" w:fill="F2F2F2"/>
            <w:noWrap/>
            <w:vAlign w:val="bottom"/>
            <w:hideMark/>
          </w:tcPr>
          <w:p w14:paraId="23339888"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w:t>
            </w:r>
          </w:p>
        </w:tc>
        <w:tc>
          <w:tcPr>
            <w:tcW w:w="1257" w:type="dxa"/>
            <w:tcBorders>
              <w:top w:val="nil"/>
              <w:left w:val="nil"/>
              <w:bottom w:val="single" w:sz="4" w:space="0" w:color="000000"/>
              <w:right w:val="single" w:sz="4" w:space="0" w:color="000000"/>
            </w:tcBorders>
            <w:shd w:val="clear" w:color="000000" w:fill="F2F2F2"/>
            <w:noWrap/>
            <w:vAlign w:val="bottom"/>
            <w:hideMark/>
          </w:tcPr>
          <w:p w14:paraId="0D6F5547"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40,108</w:t>
            </w:r>
          </w:p>
        </w:tc>
        <w:tc>
          <w:tcPr>
            <w:tcW w:w="597" w:type="dxa"/>
            <w:tcBorders>
              <w:top w:val="nil"/>
              <w:left w:val="nil"/>
              <w:bottom w:val="single" w:sz="4" w:space="0" w:color="000000"/>
              <w:right w:val="single" w:sz="4" w:space="0" w:color="000000"/>
            </w:tcBorders>
            <w:shd w:val="clear" w:color="000000" w:fill="F2F2F2"/>
            <w:noWrap/>
            <w:vAlign w:val="bottom"/>
            <w:hideMark/>
          </w:tcPr>
          <w:p w14:paraId="03273D4B"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w:t>
            </w:r>
          </w:p>
        </w:tc>
        <w:tc>
          <w:tcPr>
            <w:tcW w:w="1257" w:type="dxa"/>
            <w:tcBorders>
              <w:top w:val="nil"/>
              <w:left w:val="nil"/>
              <w:bottom w:val="single" w:sz="4" w:space="0" w:color="000000"/>
              <w:right w:val="single" w:sz="4" w:space="0" w:color="000000"/>
            </w:tcBorders>
            <w:shd w:val="clear" w:color="000000" w:fill="F2F2F2"/>
            <w:noWrap/>
            <w:vAlign w:val="bottom"/>
            <w:hideMark/>
          </w:tcPr>
          <w:p w14:paraId="13671814"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40,910</w:t>
            </w:r>
          </w:p>
        </w:tc>
        <w:tc>
          <w:tcPr>
            <w:tcW w:w="597" w:type="dxa"/>
            <w:tcBorders>
              <w:top w:val="nil"/>
              <w:left w:val="nil"/>
              <w:bottom w:val="single" w:sz="4" w:space="0" w:color="000000"/>
              <w:right w:val="single" w:sz="4" w:space="0" w:color="000000"/>
            </w:tcBorders>
            <w:shd w:val="clear" w:color="000000" w:fill="F2F2F2"/>
            <w:noWrap/>
            <w:vAlign w:val="bottom"/>
            <w:hideMark/>
          </w:tcPr>
          <w:p w14:paraId="751362B9"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w:t>
            </w:r>
          </w:p>
        </w:tc>
        <w:tc>
          <w:tcPr>
            <w:tcW w:w="1258" w:type="dxa"/>
            <w:tcBorders>
              <w:top w:val="nil"/>
              <w:left w:val="nil"/>
              <w:bottom w:val="single" w:sz="4" w:space="0" w:color="000000"/>
              <w:right w:val="single" w:sz="4" w:space="0" w:color="000000"/>
            </w:tcBorders>
            <w:shd w:val="clear" w:color="000000" w:fill="F2F2F2"/>
            <w:noWrap/>
            <w:vAlign w:val="bottom"/>
            <w:hideMark/>
          </w:tcPr>
          <w:p w14:paraId="03BF518A"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81,018</w:t>
            </w:r>
          </w:p>
        </w:tc>
      </w:tr>
      <w:tr w:rsidR="00922C2A" w:rsidRPr="00922C2A" w14:paraId="17B7E35E" w14:textId="77777777" w:rsidTr="006F49C9">
        <w:trPr>
          <w:trHeight w:val="295"/>
        </w:trPr>
        <w:tc>
          <w:tcPr>
            <w:tcW w:w="12187" w:type="dxa"/>
            <w:gridSpan w:val="9"/>
            <w:tcBorders>
              <w:top w:val="single" w:sz="4" w:space="0" w:color="000000"/>
              <w:left w:val="single" w:sz="8" w:space="0" w:color="000000"/>
              <w:bottom w:val="single" w:sz="4" w:space="0" w:color="000000"/>
              <w:right w:val="single" w:sz="4" w:space="0" w:color="000000"/>
            </w:tcBorders>
            <w:shd w:val="clear" w:color="auto" w:fill="auto"/>
            <w:noWrap/>
            <w:vAlign w:val="bottom"/>
            <w:hideMark/>
          </w:tcPr>
          <w:p w14:paraId="0B1DF7CB"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OBJECTIF Nº 2: Disponibilité et accessibilité de certains autres médicaments</w:t>
            </w:r>
          </w:p>
        </w:tc>
      </w:tr>
      <w:tr w:rsidR="00922C2A" w:rsidRPr="00922C2A" w14:paraId="1A8051F8" w14:textId="77777777" w:rsidTr="006F49C9">
        <w:trPr>
          <w:trHeight w:val="488"/>
        </w:trPr>
        <w:tc>
          <w:tcPr>
            <w:tcW w:w="2492" w:type="dxa"/>
            <w:tcBorders>
              <w:top w:val="nil"/>
              <w:left w:val="single" w:sz="8" w:space="0" w:color="000000"/>
              <w:bottom w:val="single" w:sz="4" w:space="0" w:color="000000"/>
              <w:right w:val="single" w:sz="4" w:space="0" w:color="000000"/>
            </w:tcBorders>
            <w:shd w:val="clear" w:color="auto" w:fill="auto"/>
            <w:vAlign w:val="bottom"/>
            <w:hideMark/>
          </w:tcPr>
          <w:p w14:paraId="049A3E9B"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B. Critères nationaux en matière de marchés publics</w:t>
            </w:r>
          </w:p>
        </w:tc>
        <w:tc>
          <w:tcPr>
            <w:tcW w:w="3205" w:type="dxa"/>
            <w:tcBorders>
              <w:top w:val="nil"/>
              <w:left w:val="nil"/>
              <w:bottom w:val="single" w:sz="4" w:space="0" w:color="000000"/>
              <w:right w:val="single" w:sz="4" w:space="0" w:color="000000"/>
            </w:tcBorders>
            <w:shd w:val="clear" w:color="auto" w:fill="auto"/>
            <w:noWrap/>
            <w:vAlign w:val="bottom"/>
            <w:hideMark/>
          </w:tcPr>
          <w:p w14:paraId="2C606F4A"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Réunions</w:t>
            </w:r>
          </w:p>
        </w:tc>
        <w:tc>
          <w:tcPr>
            <w:tcW w:w="927" w:type="dxa"/>
            <w:tcBorders>
              <w:top w:val="nil"/>
              <w:left w:val="nil"/>
              <w:bottom w:val="single" w:sz="4" w:space="0" w:color="000000"/>
              <w:right w:val="single" w:sz="4" w:space="0" w:color="000000"/>
            </w:tcBorders>
            <w:shd w:val="clear" w:color="auto" w:fill="auto"/>
            <w:noWrap/>
            <w:vAlign w:val="bottom"/>
            <w:hideMark/>
          </w:tcPr>
          <w:p w14:paraId="0A9A3F74"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w:t>
            </w:r>
          </w:p>
        </w:tc>
        <w:tc>
          <w:tcPr>
            <w:tcW w:w="597" w:type="dxa"/>
            <w:tcBorders>
              <w:top w:val="nil"/>
              <w:left w:val="nil"/>
              <w:bottom w:val="single" w:sz="4" w:space="0" w:color="000000"/>
              <w:right w:val="single" w:sz="4" w:space="0" w:color="000000"/>
            </w:tcBorders>
            <w:shd w:val="clear" w:color="auto" w:fill="auto"/>
            <w:noWrap/>
            <w:vAlign w:val="bottom"/>
            <w:hideMark/>
          </w:tcPr>
          <w:p w14:paraId="5A810940"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w:t>
            </w:r>
          </w:p>
        </w:tc>
        <w:tc>
          <w:tcPr>
            <w:tcW w:w="1257" w:type="dxa"/>
            <w:tcBorders>
              <w:top w:val="nil"/>
              <w:left w:val="nil"/>
              <w:bottom w:val="single" w:sz="4" w:space="0" w:color="000000"/>
              <w:right w:val="single" w:sz="4" w:space="0" w:color="000000"/>
            </w:tcBorders>
            <w:shd w:val="clear" w:color="auto" w:fill="auto"/>
            <w:noWrap/>
            <w:vAlign w:val="bottom"/>
            <w:hideMark/>
          </w:tcPr>
          <w:p w14:paraId="234CBA5D" w14:textId="77777777" w:rsidR="00922C2A" w:rsidRPr="00922C2A" w:rsidRDefault="00922C2A" w:rsidP="006F49C9">
            <w:pPr>
              <w:spacing w:before="0" w:after="0"/>
              <w:jc w:val="right"/>
              <w:rPr>
                <w:rFonts w:eastAsia="Times New Roman"/>
                <w:noProof/>
                <w:color w:val="000000"/>
                <w:sz w:val="18"/>
                <w:szCs w:val="18"/>
              </w:rPr>
            </w:pPr>
            <w:r w:rsidRPr="00922C2A">
              <w:rPr>
                <w:noProof/>
                <w:color w:val="000000"/>
                <w:sz w:val="18"/>
              </w:rPr>
              <w:t>0,027</w:t>
            </w:r>
          </w:p>
        </w:tc>
        <w:tc>
          <w:tcPr>
            <w:tcW w:w="597" w:type="dxa"/>
            <w:tcBorders>
              <w:top w:val="nil"/>
              <w:left w:val="nil"/>
              <w:bottom w:val="single" w:sz="4" w:space="0" w:color="000000"/>
              <w:right w:val="single" w:sz="4" w:space="0" w:color="000000"/>
            </w:tcBorders>
            <w:shd w:val="clear" w:color="auto" w:fill="auto"/>
            <w:noWrap/>
            <w:vAlign w:val="bottom"/>
            <w:hideMark/>
          </w:tcPr>
          <w:p w14:paraId="51963AA8"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w:t>
            </w:r>
          </w:p>
        </w:tc>
        <w:tc>
          <w:tcPr>
            <w:tcW w:w="1257" w:type="dxa"/>
            <w:tcBorders>
              <w:top w:val="nil"/>
              <w:left w:val="nil"/>
              <w:bottom w:val="single" w:sz="4" w:space="0" w:color="000000"/>
              <w:right w:val="single" w:sz="4" w:space="0" w:color="000000"/>
            </w:tcBorders>
            <w:shd w:val="clear" w:color="auto" w:fill="auto"/>
            <w:noWrap/>
            <w:vAlign w:val="bottom"/>
            <w:hideMark/>
          </w:tcPr>
          <w:p w14:paraId="0B5513B4" w14:textId="77777777" w:rsidR="00922C2A" w:rsidRPr="00922C2A" w:rsidRDefault="00922C2A" w:rsidP="006F49C9">
            <w:pPr>
              <w:spacing w:before="0" w:after="0"/>
              <w:jc w:val="right"/>
              <w:rPr>
                <w:rFonts w:eastAsia="Times New Roman"/>
                <w:noProof/>
                <w:color w:val="000000"/>
                <w:sz w:val="18"/>
                <w:szCs w:val="18"/>
              </w:rPr>
            </w:pPr>
            <w:r w:rsidRPr="00922C2A">
              <w:rPr>
                <w:noProof/>
                <w:color w:val="000000"/>
                <w:sz w:val="18"/>
              </w:rPr>
              <w:t>0,028</w:t>
            </w:r>
          </w:p>
        </w:tc>
        <w:tc>
          <w:tcPr>
            <w:tcW w:w="597" w:type="dxa"/>
            <w:tcBorders>
              <w:top w:val="nil"/>
              <w:left w:val="nil"/>
              <w:bottom w:val="single" w:sz="4" w:space="0" w:color="000000"/>
              <w:right w:val="single" w:sz="4" w:space="0" w:color="000000"/>
            </w:tcBorders>
            <w:shd w:val="clear" w:color="000000" w:fill="F2F2F2"/>
            <w:noWrap/>
            <w:vAlign w:val="bottom"/>
            <w:hideMark/>
          </w:tcPr>
          <w:p w14:paraId="59E19D9B"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w:t>
            </w:r>
          </w:p>
        </w:tc>
        <w:tc>
          <w:tcPr>
            <w:tcW w:w="1258" w:type="dxa"/>
            <w:tcBorders>
              <w:top w:val="nil"/>
              <w:left w:val="nil"/>
              <w:bottom w:val="single" w:sz="4" w:space="0" w:color="000000"/>
              <w:right w:val="single" w:sz="4" w:space="0" w:color="000000"/>
            </w:tcBorders>
            <w:shd w:val="clear" w:color="000000" w:fill="F2F2F2"/>
            <w:noWrap/>
            <w:vAlign w:val="bottom"/>
            <w:hideMark/>
          </w:tcPr>
          <w:p w14:paraId="3F682C82"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0,055</w:t>
            </w:r>
          </w:p>
        </w:tc>
      </w:tr>
      <w:tr w:rsidR="00922C2A" w:rsidRPr="00922C2A" w14:paraId="268C42B7" w14:textId="77777777" w:rsidTr="006F49C9">
        <w:trPr>
          <w:trHeight w:val="488"/>
        </w:trPr>
        <w:tc>
          <w:tcPr>
            <w:tcW w:w="2492" w:type="dxa"/>
            <w:tcBorders>
              <w:top w:val="nil"/>
              <w:left w:val="single" w:sz="8" w:space="0" w:color="000000"/>
              <w:bottom w:val="single" w:sz="4" w:space="0" w:color="000000"/>
              <w:right w:val="single" w:sz="4" w:space="0" w:color="000000"/>
            </w:tcBorders>
            <w:shd w:val="clear" w:color="auto" w:fill="auto"/>
            <w:vAlign w:val="bottom"/>
            <w:hideMark/>
          </w:tcPr>
          <w:p w14:paraId="47D5494C"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C. Procédures de passation collaborative de marchés</w:t>
            </w:r>
          </w:p>
        </w:tc>
        <w:tc>
          <w:tcPr>
            <w:tcW w:w="3205" w:type="dxa"/>
            <w:tcBorders>
              <w:top w:val="nil"/>
              <w:left w:val="nil"/>
              <w:bottom w:val="single" w:sz="4" w:space="0" w:color="000000"/>
              <w:right w:val="single" w:sz="4" w:space="0" w:color="000000"/>
            </w:tcBorders>
            <w:shd w:val="clear" w:color="auto" w:fill="auto"/>
            <w:noWrap/>
            <w:vAlign w:val="bottom"/>
            <w:hideMark/>
          </w:tcPr>
          <w:p w14:paraId="5C69B6E8"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Réunions</w:t>
            </w:r>
          </w:p>
        </w:tc>
        <w:tc>
          <w:tcPr>
            <w:tcW w:w="927" w:type="dxa"/>
            <w:tcBorders>
              <w:top w:val="nil"/>
              <w:left w:val="nil"/>
              <w:bottom w:val="single" w:sz="4" w:space="0" w:color="000000"/>
              <w:right w:val="single" w:sz="4" w:space="0" w:color="000000"/>
            </w:tcBorders>
            <w:shd w:val="clear" w:color="auto" w:fill="auto"/>
            <w:noWrap/>
            <w:vAlign w:val="bottom"/>
            <w:hideMark/>
          </w:tcPr>
          <w:p w14:paraId="5E9ADB5D"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w:t>
            </w:r>
          </w:p>
        </w:tc>
        <w:tc>
          <w:tcPr>
            <w:tcW w:w="597" w:type="dxa"/>
            <w:tcBorders>
              <w:top w:val="nil"/>
              <w:left w:val="nil"/>
              <w:bottom w:val="single" w:sz="4" w:space="0" w:color="000000"/>
              <w:right w:val="single" w:sz="4" w:space="0" w:color="000000"/>
            </w:tcBorders>
            <w:shd w:val="clear" w:color="auto" w:fill="auto"/>
            <w:noWrap/>
            <w:vAlign w:val="bottom"/>
            <w:hideMark/>
          </w:tcPr>
          <w:p w14:paraId="75DE6D00"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w:t>
            </w:r>
          </w:p>
        </w:tc>
        <w:tc>
          <w:tcPr>
            <w:tcW w:w="1257" w:type="dxa"/>
            <w:tcBorders>
              <w:top w:val="nil"/>
              <w:left w:val="nil"/>
              <w:bottom w:val="single" w:sz="4" w:space="0" w:color="000000"/>
              <w:right w:val="single" w:sz="4" w:space="0" w:color="000000"/>
            </w:tcBorders>
            <w:shd w:val="clear" w:color="auto" w:fill="auto"/>
            <w:noWrap/>
            <w:vAlign w:val="bottom"/>
            <w:hideMark/>
          </w:tcPr>
          <w:p w14:paraId="7108A09E" w14:textId="77777777" w:rsidR="00922C2A" w:rsidRPr="00922C2A" w:rsidRDefault="00922C2A" w:rsidP="006F49C9">
            <w:pPr>
              <w:spacing w:before="0" w:after="0"/>
              <w:jc w:val="right"/>
              <w:rPr>
                <w:rFonts w:eastAsia="Times New Roman"/>
                <w:noProof/>
                <w:color w:val="000000"/>
                <w:sz w:val="18"/>
                <w:szCs w:val="18"/>
              </w:rPr>
            </w:pPr>
            <w:r w:rsidRPr="00922C2A">
              <w:rPr>
                <w:noProof/>
                <w:color w:val="000000"/>
                <w:sz w:val="18"/>
              </w:rPr>
              <w:t>0,270</w:t>
            </w:r>
          </w:p>
        </w:tc>
        <w:tc>
          <w:tcPr>
            <w:tcW w:w="597" w:type="dxa"/>
            <w:tcBorders>
              <w:top w:val="nil"/>
              <w:left w:val="nil"/>
              <w:bottom w:val="single" w:sz="4" w:space="0" w:color="000000"/>
              <w:right w:val="single" w:sz="4" w:space="0" w:color="000000"/>
            </w:tcBorders>
            <w:shd w:val="clear" w:color="auto" w:fill="auto"/>
            <w:noWrap/>
            <w:vAlign w:val="bottom"/>
            <w:hideMark/>
          </w:tcPr>
          <w:p w14:paraId="7306C4E8"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w:t>
            </w:r>
          </w:p>
        </w:tc>
        <w:tc>
          <w:tcPr>
            <w:tcW w:w="1257" w:type="dxa"/>
            <w:tcBorders>
              <w:top w:val="nil"/>
              <w:left w:val="nil"/>
              <w:bottom w:val="single" w:sz="4" w:space="0" w:color="000000"/>
              <w:right w:val="single" w:sz="4" w:space="0" w:color="000000"/>
            </w:tcBorders>
            <w:shd w:val="clear" w:color="auto" w:fill="auto"/>
            <w:noWrap/>
            <w:vAlign w:val="bottom"/>
            <w:hideMark/>
          </w:tcPr>
          <w:p w14:paraId="65BCEDB1" w14:textId="77777777" w:rsidR="00922C2A" w:rsidRPr="00922C2A" w:rsidRDefault="00922C2A" w:rsidP="006F49C9">
            <w:pPr>
              <w:spacing w:before="0" w:after="0"/>
              <w:jc w:val="right"/>
              <w:rPr>
                <w:rFonts w:eastAsia="Times New Roman"/>
                <w:noProof/>
                <w:color w:val="000000"/>
                <w:sz w:val="18"/>
                <w:szCs w:val="18"/>
              </w:rPr>
            </w:pPr>
            <w:r w:rsidRPr="00922C2A">
              <w:rPr>
                <w:noProof/>
                <w:color w:val="000000"/>
                <w:sz w:val="18"/>
              </w:rPr>
              <w:t>0,275</w:t>
            </w:r>
          </w:p>
        </w:tc>
        <w:tc>
          <w:tcPr>
            <w:tcW w:w="597" w:type="dxa"/>
            <w:tcBorders>
              <w:top w:val="nil"/>
              <w:left w:val="nil"/>
              <w:bottom w:val="single" w:sz="4" w:space="0" w:color="000000"/>
              <w:right w:val="single" w:sz="4" w:space="0" w:color="000000"/>
            </w:tcBorders>
            <w:shd w:val="clear" w:color="000000" w:fill="F2F2F2"/>
            <w:noWrap/>
            <w:vAlign w:val="bottom"/>
            <w:hideMark/>
          </w:tcPr>
          <w:p w14:paraId="1BF7916B"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w:t>
            </w:r>
          </w:p>
        </w:tc>
        <w:tc>
          <w:tcPr>
            <w:tcW w:w="1258" w:type="dxa"/>
            <w:tcBorders>
              <w:top w:val="nil"/>
              <w:left w:val="nil"/>
              <w:bottom w:val="single" w:sz="4" w:space="0" w:color="000000"/>
              <w:right w:val="single" w:sz="4" w:space="0" w:color="000000"/>
            </w:tcBorders>
            <w:shd w:val="clear" w:color="000000" w:fill="F2F2F2"/>
            <w:noWrap/>
            <w:vAlign w:val="bottom"/>
            <w:hideMark/>
          </w:tcPr>
          <w:p w14:paraId="039281DA"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0,545</w:t>
            </w:r>
          </w:p>
        </w:tc>
      </w:tr>
      <w:tr w:rsidR="00922C2A" w:rsidRPr="00922C2A" w14:paraId="3D495B92" w14:textId="77777777" w:rsidTr="006F49C9">
        <w:trPr>
          <w:trHeight w:val="295"/>
        </w:trPr>
        <w:tc>
          <w:tcPr>
            <w:tcW w:w="6624" w:type="dxa"/>
            <w:gridSpan w:val="3"/>
            <w:tcBorders>
              <w:top w:val="single" w:sz="4" w:space="0" w:color="000000"/>
              <w:left w:val="single" w:sz="8" w:space="0" w:color="000000"/>
              <w:bottom w:val="single" w:sz="4" w:space="0" w:color="000000"/>
              <w:right w:val="single" w:sz="4" w:space="0" w:color="000000"/>
            </w:tcBorders>
            <w:shd w:val="clear" w:color="auto" w:fill="auto"/>
            <w:noWrap/>
            <w:vAlign w:val="bottom"/>
            <w:hideMark/>
          </w:tcPr>
          <w:p w14:paraId="6DE83AFF"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Sous-total objectif nº 2</w:t>
            </w:r>
          </w:p>
        </w:tc>
        <w:tc>
          <w:tcPr>
            <w:tcW w:w="597" w:type="dxa"/>
            <w:tcBorders>
              <w:top w:val="nil"/>
              <w:left w:val="nil"/>
              <w:bottom w:val="single" w:sz="4" w:space="0" w:color="000000"/>
              <w:right w:val="single" w:sz="4" w:space="0" w:color="000000"/>
            </w:tcBorders>
            <w:shd w:val="clear" w:color="000000" w:fill="F2F2F2"/>
            <w:noWrap/>
            <w:vAlign w:val="bottom"/>
            <w:hideMark/>
          </w:tcPr>
          <w:p w14:paraId="012C44A6"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w:t>
            </w:r>
          </w:p>
        </w:tc>
        <w:tc>
          <w:tcPr>
            <w:tcW w:w="1257" w:type="dxa"/>
            <w:tcBorders>
              <w:top w:val="nil"/>
              <w:left w:val="nil"/>
              <w:bottom w:val="single" w:sz="4" w:space="0" w:color="000000"/>
              <w:right w:val="single" w:sz="4" w:space="0" w:color="000000"/>
            </w:tcBorders>
            <w:shd w:val="clear" w:color="000000" w:fill="F2F2F2"/>
            <w:noWrap/>
            <w:vAlign w:val="bottom"/>
            <w:hideMark/>
          </w:tcPr>
          <w:p w14:paraId="1A523919"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0,297</w:t>
            </w:r>
          </w:p>
        </w:tc>
        <w:tc>
          <w:tcPr>
            <w:tcW w:w="597" w:type="dxa"/>
            <w:tcBorders>
              <w:top w:val="nil"/>
              <w:left w:val="nil"/>
              <w:bottom w:val="single" w:sz="4" w:space="0" w:color="000000"/>
              <w:right w:val="single" w:sz="4" w:space="0" w:color="000000"/>
            </w:tcBorders>
            <w:shd w:val="clear" w:color="000000" w:fill="F2F2F2"/>
            <w:noWrap/>
            <w:vAlign w:val="bottom"/>
            <w:hideMark/>
          </w:tcPr>
          <w:p w14:paraId="5F652EAD"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w:t>
            </w:r>
          </w:p>
        </w:tc>
        <w:tc>
          <w:tcPr>
            <w:tcW w:w="1257" w:type="dxa"/>
            <w:tcBorders>
              <w:top w:val="nil"/>
              <w:left w:val="nil"/>
              <w:bottom w:val="single" w:sz="4" w:space="0" w:color="000000"/>
              <w:right w:val="single" w:sz="4" w:space="0" w:color="000000"/>
            </w:tcBorders>
            <w:shd w:val="clear" w:color="000000" w:fill="F2F2F2"/>
            <w:noWrap/>
            <w:vAlign w:val="bottom"/>
            <w:hideMark/>
          </w:tcPr>
          <w:p w14:paraId="47BC89D6"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0,303</w:t>
            </w:r>
          </w:p>
        </w:tc>
        <w:tc>
          <w:tcPr>
            <w:tcW w:w="597" w:type="dxa"/>
            <w:tcBorders>
              <w:top w:val="nil"/>
              <w:left w:val="nil"/>
              <w:bottom w:val="single" w:sz="4" w:space="0" w:color="000000"/>
              <w:right w:val="single" w:sz="4" w:space="0" w:color="000000"/>
            </w:tcBorders>
            <w:shd w:val="clear" w:color="000000" w:fill="F2F2F2"/>
            <w:noWrap/>
            <w:vAlign w:val="bottom"/>
            <w:hideMark/>
          </w:tcPr>
          <w:p w14:paraId="2700B6F4"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w:t>
            </w:r>
          </w:p>
        </w:tc>
        <w:tc>
          <w:tcPr>
            <w:tcW w:w="1258" w:type="dxa"/>
            <w:tcBorders>
              <w:top w:val="nil"/>
              <w:left w:val="nil"/>
              <w:bottom w:val="single" w:sz="4" w:space="0" w:color="000000"/>
              <w:right w:val="single" w:sz="4" w:space="0" w:color="000000"/>
            </w:tcBorders>
            <w:shd w:val="clear" w:color="000000" w:fill="F2F2F2"/>
            <w:noWrap/>
            <w:vAlign w:val="bottom"/>
            <w:hideMark/>
          </w:tcPr>
          <w:p w14:paraId="61776ACE"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0,600</w:t>
            </w:r>
          </w:p>
        </w:tc>
      </w:tr>
      <w:tr w:rsidR="00922C2A" w:rsidRPr="00922C2A" w14:paraId="630DB478" w14:textId="77777777" w:rsidTr="006F49C9">
        <w:trPr>
          <w:trHeight w:val="310"/>
        </w:trPr>
        <w:tc>
          <w:tcPr>
            <w:tcW w:w="6624" w:type="dxa"/>
            <w:gridSpan w:val="3"/>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14:paraId="424AB7BF" w14:textId="77777777" w:rsidR="00922C2A" w:rsidRPr="00922C2A" w:rsidRDefault="00922C2A" w:rsidP="006F49C9">
            <w:pPr>
              <w:spacing w:before="0" w:after="0"/>
              <w:jc w:val="left"/>
              <w:rPr>
                <w:rFonts w:eastAsia="Times New Roman"/>
                <w:b/>
                <w:bCs/>
                <w:noProof/>
                <w:color w:val="000000"/>
                <w:sz w:val="18"/>
                <w:szCs w:val="18"/>
              </w:rPr>
            </w:pPr>
            <w:r w:rsidRPr="00922C2A">
              <w:rPr>
                <w:b/>
                <w:noProof/>
                <w:color w:val="000000"/>
                <w:sz w:val="18"/>
              </w:rPr>
              <w:t>TOTAUX</w:t>
            </w:r>
          </w:p>
        </w:tc>
        <w:tc>
          <w:tcPr>
            <w:tcW w:w="597" w:type="dxa"/>
            <w:tcBorders>
              <w:top w:val="nil"/>
              <w:left w:val="nil"/>
              <w:bottom w:val="single" w:sz="8" w:space="0" w:color="000000"/>
              <w:right w:val="single" w:sz="4" w:space="0" w:color="000000"/>
            </w:tcBorders>
            <w:shd w:val="clear" w:color="000000" w:fill="F2F2F2"/>
            <w:noWrap/>
            <w:vAlign w:val="bottom"/>
            <w:hideMark/>
          </w:tcPr>
          <w:p w14:paraId="4777EDB5"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w:t>
            </w:r>
          </w:p>
        </w:tc>
        <w:tc>
          <w:tcPr>
            <w:tcW w:w="1257" w:type="dxa"/>
            <w:tcBorders>
              <w:top w:val="nil"/>
              <w:left w:val="nil"/>
              <w:bottom w:val="single" w:sz="8" w:space="0" w:color="000000"/>
              <w:right w:val="single" w:sz="4" w:space="0" w:color="000000"/>
            </w:tcBorders>
            <w:shd w:val="clear" w:color="000000" w:fill="F2F2F2"/>
            <w:noWrap/>
            <w:vAlign w:val="bottom"/>
            <w:hideMark/>
          </w:tcPr>
          <w:p w14:paraId="5EE711FE"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40,405</w:t>
            </w:r>
          </w:p>
        </w:tc>
        <w:tc>
          <w:tcPr>
            <w:tcW w:w="597" w:type="dxa"/>
            <w:tcBorders>
              <w:top w:val="nil"/>
              <w:left w:val="nil"/>
              <w:bottom w:val="single" w:sz="8" w:space="0" w:color="000000"/>
              <w:right w:val="single" w:sz="4" w:space="0" w:color="000000"/>
            </w:tcBorders>
            <w:shd w:val="clear" w:color="000000" w:fill="F2F2F2"/>
            <w:noWrap/>
            <w:vAlign w:val="bottom"/>
            <w:hideMark/>
          </w:tcPr>
          <w:p w14:paraId="61AA23EC"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w:t>
            </w:r>
          </w:p>
        </w:tc>
        <w:tc>
          <w:tcPr>
            <w:tcW w:w="1257" w:type="dxa"/>
            <w:tcBorders>
              <w:top w:val="nil"/>
              <w:left w:val="nil"/>
              <w:bottom w:val="single" w:sz="8" w:space="0" w:color="000000"/>
              <w:right w:val="single" w:sz="4" w:space="0" w:color="000000"/>
            </w:tcBorders>
            <w:shd w:val="clear" w:color="000000" w:fill="F2F2F2"/>
            <w:noWrap/>
            <w:vAlign w:val="bottom"/>
            <w:hideMark/>
          </w:tcPr>
          <w:p w14:paraId="57310F17"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41,213</w:t>
            </w:r>
          </w:p>
        </w:tc>
        <w:tc>
          <w:tcPr>
            <w:tcW w:w="597" w:type="dxa"/>
            <w:tcBorders>
              <w:top w:val="nil"/>
              <w:left w:val="nil"/>
              <w:bottom w:val="single" w:sz="8" w:space="0" w:color="000000"/>
              <w:right w:val="single" w:sz="4" w:space="0" w:color="000000"/>
            </w:tcBorders>
            <w:shd w:val="clear" w:color="000000" w:fill="F2F2F2"/>
            <w:noWrap/>
            <w:vAlign w:val="bottom"/>
            <w:hideMark/>
          </w:tcPr>
          <w:p w14:paraId="101CD6F3"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w:t>
            </w:r>
          </w:p>
        </w:tc>
        <w:tc>
          <w:tcPr>
            <w:tcW w:w="1258" w:type="dxa"/>
            <w:tcBorders>
              <w:top w:val="nil"/>
              <w:left w:val="nil"/>
              <w:bottom w:val="single" w:sz="8" w:space="0" w:color="000000"/>
              <w:right w:val="single" w:sz="4" w:space="0" w:color="000000"/>
            </w:tcBorders>
            <w:shd w:val="clear" w:color="000000" w:fill="F2F2F2"/>
            <w:noWrap/>
            <w:vAlign w:val="bottom"/>
            <w:hideMark/>
          </w:tcPr>
          <w:p w14:paraId="3D6EE9D7"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81,618</w:t>
            </w:r>
          </w:p>
        </w:tc>
      </w:tr>
    </w:tbl>
    <w:p w14:paraId="1FD157DB" w14:textId="77777777" w:rsidR="00922C2A" w:rsidRPr="00922C2A" w:rsidRDefault="00922C2A" w:rsidP="00922C2A">
      <w:pPr>
        <w:pStyle w:val="Text1"/>
        <w:ind w:left="0"/>
        <w:rPr>
          <w:noProof/>
        </w:rPr>
      </w:pPr>
    </w:p>
    <w:p w14:paraId="3D24347E" w14:textId="77777777" w:rsidR="00922C2A" w:rsidRPr="00922C2A" w:rsidRDefault="00922C2A" w:rsidP="00922C2A">
      <w:pPr>
        <w:jc w:val="right"/>
        <w:rPr>
          <w:noProof/>
          <w:sz w:val="18"/>
          <w:szCs w:val="18"/>
        </w:rPr>
      </w:pPr>
      <w:r w:rsidRPr="00922C2A">
        <w:rPr>
          <w:noProof/>
          <w:sz w:val="18"/>
        </w:rPr>
        <w:t>En Mio EUR (à la 3</w:t>
      </w:r>
      <w:r w:rsidRPr="00922C2A">
        <w:rPr>
          <w:noProof/>
          <w:sz w:val="18"/>
          <w:vertAlign w:val="superscript"/>
        </w:rPr>
        <w:t>e</w:t>
      </w:r>
      <w:r w:rsidRPr="00922C2A">
        <w:rPr>
          <w:noProof/>
          <w:sz w:val="18"/>
        </w:rPr>
        <w:t> décimale)</w:t>
      </w:r>
    </w:p>
    <w:tbl>
      <w:tblPr>
        <w:tblW w:w="12059" w:type="dxa"/>
        <w:tblInd w:w="118" w:type="dxa"/>
        <w:tblLook w:val="04A0" w:firstRow="1" w:lastRow="0" w:firstColumn="1" w:lastColumn="0" w:noHBand="0" w:noVBand="1"/>
      </w:tblPr>
      <w:tblGrid>
        <w:gridCol w:w="2997"/>
        <w:gridCol w:w="1254"/>
        <w:gridCol w:w="1116"/>
        <w:gridCol w:w="795"/>
        <w:gridCol w:w="1435"/>
        <w:gridCol w:w="795"/>
        <w:gridCol w:w="1435"/>
        <w:gridCol w:w="795"/>
        <w:gridCol w:w="1437"/>
      </w:tblGrid>
      <w:tr w:rsidR="00922C2A" w:rsidRPr="00922C2A" w14:paraId="05011429" w14:textId="77777777" w:rsidTr="006F49C9">
        <w:trPr>
          <w:trHeight w:val="331"/>
        </w:trPr>
        <w:tc>
          <w:tcPr>
            <w:tcW w:w="2997" w:type="dxa"/>
            <w:tcBorders>
              <w:top w:val="single" w:sz="8" w:space="0" w:color="000000"/>
              <w:left w:val="single" w:sz="8" w:space="0" w:color="000000"/>
              <w:bottom w:val="single" w:sz="4" w:space="0" w:color="000000"/>
              <w:right w:val="single" w:sz="4" w:space="0" w:color="000000"/>
            </w:tcBorders>
            <w:shd w:val="clear" w:color="auto" w:fill="auto"/>
            <w:vAlign w:val="bottom"/>
            <w:hideMark/>
          </w:tcPr>
          <w:p w14:paraId="30FE87A3" w14:textId="77777777" w:rsidR="00922C2A" w:rsidRPr="00922C2A" w:rsidRDefault="00922C2A" w:rsidP="006F49C9">
            <w:pPr>
              <w:spacing w:before="0" w:after="0"/>
              <w:jc w:val="left"/>
              <w:rPr>
                <w:rFonts w:eastAsia="Times New Roman"/>
                <w:b/>
                <w:bCs/>
                <w:noProof/>
                <w:color w:val="000000"/>
                <w:sz w:val="18"/>
                <w:szCs w:val="18"/>
              </w:rPr>
            </w:pPr>
            <w:r w:rsidRPr="00922C2A">
              <w:rPr>
                <w:b/>
                <w:noProof/>
                <w:color w:val="000000"/>
                <w:sz w:val="18"/>
              </w:rPr>
              <w:t>Indiquer les objectifs et les réalisations</w:t>
            </w:r>
          </w:p>
        </w:tc>
        <w:tc>
          <w:tcPr>
            <w:tcW w:w="1254" w:type="dxa"/>
            <w:tcBorders>
              <w:top w:val="single" w:sz="8" w:space="0" w:color="000000"/>
              <w:left w:val="nil"/>
              <w:bottom w:val="single" w:sz="4" w:space="0" w:color="000000"/>
              <w:right w:val="single" w:sz="4" w:space="0" w:color="000000"/>
            </w:tcBorders>
            <w:shd w:val="clear" w:color="auto" w:fill="auto"/>
            <w:noWrap/>
            <w:vAlign w:val="bottom"/>
            <w:hideMark/>
          </w:tcPr>
          <w:p w14:paraId="2FA64518"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w:t>
            </w:r>
          </w:p>
        </w:tc>
        <w:tc>
          <w:tcPr>
            <w:tcW w:w="1115" w:type="dxa"/>
            <w:tcBorders>
              <w:top w:val="single" w:sz="8" w:space="0" w:color="000000"/>
              <w:left w:val="nil"/>
              <w:bottom w:val="single" w:sz="4" w:space="0" w:color="000000"/>
              <w:right w:val="single" w:sz="4" w:space="0" w:color="000000"/>
            </w:tcBorders>
            <w:shd w:val="clear" w:color="auto" w:fill="auto"/>
            <w:noWrap/>
            <w:vAlign w:val="bottom"/>
            <w:hideMark/>
          </w:tcPr>
          <w:p w14:paraId="18B56B22"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w:t>
            </w:r>
          </w:p>
        </w:tc>
        <w:tc>
          <w:tcPr>
            <w:tcW w:w="2230" w:type="dxa"/>
            <w:gridSpan w:val="2"/>
            <w:tcBorders>
              <w:top w:val="single" w:sz="8" w:space="0" w:color="000000"/>
              <w:left w:val="nil"/>
              <w:bottom w:val="single" w:sz="4" w:space="0" w:color="000000"/>
              <w:right w:val="single" w:sz="4" w:space="0" w:color="000000"/>
            </w:tcBorders>
            <w:shd w:val="clear" w:color="auto" w:fill="auto"/>
            <w:vAlign w:val="center"/>
            <w:hideMark/>
          </w:tcPr>
          <w:p w14:paraId="02DBC0C9"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Année</w:t>
            </w:r>
          </w:p>
        </w:tc>
        <w:tc>
          <w:tcPr>
            <w:tcW w:w="2230" w:type="dxa"/>
            <w:gridSpan w:val="2"/>
            <w:tcBorders>
              <w:top w:val="single" w:sz="8" w:space="0" w:color="000000"/>
              <w:left w:val="nil"/>
              <w:bottom w:val="single" w:sz="4" w:space="0" w:color="000000"/>
              <w:right w:val="single" w:sz="4" w:space="0" w:color="000000"/>
            </w:tcBorders>
            <w:shd w:val="clear" w:color="auto" w:fill="auto"/>
            <w:vAlign w:val="center"/>
            <w:hideMark/>
          </w:tcPr>
          <w:p w14:paraId="437F92CC"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Année</w:t>
            </w:r>
          </w:p>
        </w:tc>
        <w:tc>
          <w:tcPr>
            <w:tcW w:w="2230" w:type="dxa"/>
            <w:gridSpan w:val="2"/>
            <w:vMerge w:val="restart"/>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102F634C" w14:textId="77777777" w:rsidR="00922C2A" w:rsidRPr="00922C2A" w:rsidRDefault="00922C2A" w:rsidP="006F49C9">
            <w:pPr>
              <w:spacing w:before="0" w:after="0"/>
              <w:jc w:val="center"/>
              <w:rPr>
                <w:rFonts w:eastAsia="Times New Roman"/>
                <w:b/>
                <w:bCs/>
                <w:noProof/>
                <w:color w:val="000000"/>
                <w:sz w:val="18"/>
                <w:szCs w:val="18"/>
              </w:rPr>
            </w:pPr>
            <w:r w:rsidRPr="00922C2A">
              <w:rPr>
                <w:b/>
                <w:noProof/>
                <w:color w:val="000000"/>
                <w:sz w:val="18"/>
              </w:rPr>
              <w:t>TOTAL</w:t>
            </w:r>
            <w:r w:rsidRPr="00922C2A">
              <w:rPr>
                <w:b/>
                <w:noProof/>
                <w:color w:val="000000"/>
                <w:sz w:val="18"/>
              </w:rPr>
              <w:cr/>
            </w:r>
            <w:r w:rsidRPr="00922C2A">
              <w:rPr>
                <w:b/>
                <w:noProof/>
                <w:color w:val="000000"/>
                <w:sz w:val="18"/>
              </w:rPr>
              <w:br/>
              <w:t>2021-2027</w:t>
            </w:r>
          </w:p>
        </w:tc>
      </w:tr>
      <w:tr w:rsidR="00922C2A" w:rsidRPr="00922C2A" w14:paraId="6754D5FB" w14:textId="77777777" w:rsidTr="006F49C9">
        <w:trPr>
          <w:trHeight w:val="331"/>
        </w:trPr>
        <w:tc>
          <w:tcPr>
            <w:tcW w:w="2997" w:type="dxa"/>
            <w:tcBorders>
              <w:top w:val="nil"/>
              <w:left w:val="single" w:sz="8" w:space="0" w:color="000000"/>
              <w:bottom w:val="single" w:sz="4" w:space="0" w:color="000000"/>
              <w:right w:val="single" w:sz="4" w:space="0" w:color="000000"/>
            </w:tcBorders>
            <w:shd w:val="clear" w:color="auto" w:fill="auto"/>
            <w:noWrap/>
            <w:vAlign w:val="bottom"/>
            <w:hideMark/>
          </w:tcPr>
          <w:p w14:paraId="156F0931" w14:textId="77777777" w:rsidR="00922C2A" w:rsidRPr="00922C2A" w:rsidRDefault="00922C2A" w:rsidP="006F49C9">
            <w:pPr>
              <w:spacing w:before="0" w:after="0"/>
              <w:jc w:val="center"/>
              <w:rPr>
                <w:rFonts w:ascii="Wingdings" w:eastAsia="Times New Roman" w:hAnsi="Wingdings" w:cs="Calibri"/>
                <w:noProof/>
                <w:color w:val="000000"/>
                <w:sz w:val="18"/>
                <w:szCs w:val="18"/>
              </w:rPr>
            </w:pPr>
            <w:r w:rsidRPr="00922C2A">
              <w:rPr>
                <w:rFonts w:ascii="Wingdings" w:hAnsi="Wingdings"/>
                <w:noProof/>
                <w:color w:val="000000"/>
                <w:sz w:val="18"/>
              </w:rPr>
              <w:t></w:t>
            </w:r>
          </w:p>
        </w:tc>
        <w:tc>
          <w:tcPr>
            <w:tcW w:w="1254" w:type="dxa"/>
            <w:tcBorders>
              <w:top w:val="nil"/>
              <w:left w:val="nil"/>
              <w:bottom w:val="single" w:sz="4" w:space="0" w:color="000000"/>
              <w:right w:val="single" w:sz="4" w:space="0" w:color="000000"/>
            </w:tcBorders>
            <w:shd w:val="clear" w:color="auto" w:fill="auto"/>
            <w:noWrap/>
            <w:vAlign w:val="bottom"/>
            <w:hideMark/>
          </w:tcPr>
          <w:p w14:paraId="5FC05B4A" w14:textId="77777777" w:rsidR="00922C2A" w:rsidRPr="00922C2A" w:rsidRDefault="00922C2A" w:rsidP="006F49C9">
            <w:pPr>
              <w:spacing w:before="0" w:after="0"/>
              <w:jc w:val="left"/>
              <w:rPr>
                <w:rFonts w:ascii="Calibri" w:eastAsia="Times New Roman" w:hAnsi="Calibri" w:cs="Calibri"/>
                <w:noProof/>
                <w:color w:val="000000"/>
                <w:sz w:val="22"/>
              </w:rPr>
            </w:pPr>
            <w:r w:rsidRPr="00922C2A">
              <w:rPr>
                <w:rFonts w:ascii="Calibri" w:hAnsi="Calibri"/>
                <w:noProof/>
                <w:color w:val="000000"/>
                <w:sz w:val="22"/>
              </w:rPr>
              <w:t> </w:t>
            </w:r>
          </w:p>
        </w:tc>
        <w:tc>
          <w:tcPr>
            <w:tcW w:w="1115" w:type="dxa"/>
            <w:tcBorders>
              <w:top w:val="nil"/>
              <w:left w:val="nil"/>
              <w:bottom w:val="single" w:sz="4" w:space="0" w:color="000000"/>
              <w:right w:val="single" w:sz="4" w:space="0" w:color="000000"/>
            </w:tcBorders>
            <w:shd w:val="clear" w:color="auto" w:fill="auto"/>
            <w:noWrap/>
            <w:vAlign w:val="bottom"/>
            <w:hideMark/>
          </w:tcPr>
          <w:p w14:paraId="717B1274" w14:textId="77777777" w:rsidR="00922C2A" w:rsidRPr="00922C2A" w:rsidRDefault="00922C2A" w:rsidP="006F49C9">
            <w:pPr>
              <w:spacing w:before="0" w:after="0"/>
              <w:jc w:val="left"/>
              <w:rPr>
                <w:rFonts w:ascii="Calibri" w:eastAsia="Times New Roman" w:hAnsi="Calibri" w:cs="Calibri"/>
                <w:noProof/>
                <w:color w:val="000000"/>
                <w:sz w:val="22"/>
              </w:rPr>
            </w:pPr>
            <w:r w:rsidRPr="00922C2A">
              <w:rPr>
                <w:rFonts w:ascii="Calibri" w:hAnsi="Calibri"/>
                <w:noProof/>
                <w:color w:val="000000"/>
                <w:sz w:val="22"/>
              </w:rPr>
              <w:t> </w:t>
            </w:r>
          </w:p>
        </w:tc>
        <w:tc>
          <w:tcPr>
            <w:tcW w:w="2230" w:type="dxa"/>
            <w:gridSpan w:val="2"/>
            <w:tcBorders>
              <w:top w:val="single" w:sz="4" w:space="0" w:color="000000"/>
              <w:left w:val="nil"/>
              <w:bottom w:val="single" w:sz="4" w:space="0" w:color="000000"/>
              <w:right w:val="single" w:sz="4" w:space="0" w:color="000000"/>
            </w:tcBorders>
            <w:shd w:val="clear" w:color="auto" w:fill="auto"/>
            <w:vAlign w:val="center"/>
            <w:hideMark/>
          </w:tcPr>
          <w:p w14:paraId="197FCD8D"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2026</w:t>
            </w:r>
          </w:p>
        </w:tc>
        <w:tc>
          <w:tcPr>
            <w:tcW w:w="2230" w:type="dxa"/>
            <w:gridSpan w:val="2"/>
            <w:tcBorders>
              <w:top w:val="single" w:sz="4" w:space="0" w:color="000000"/>
              <w:left w:val="nil"/>
              <w:bottom w:val="single" w:sz="4" w:space="0" w:color="000000"/>
              <w:right w:val="single" w:sz="4" w:space="0" w:color="000000"/>
            </w:tcBorders>
            <w:shd w:val="clear" w:color="auto" w:fill="auto"/>
            <w:vAlign w:val="center"/>
            <w:hideMark/>
          </w:tcPr>
          <w:p w14:paraId="56FD52CB"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2027</w:t>
            </w:r>
          </w:p>
        </w:tc>
        <w:tc>
          <w:tcPr>
            <w:tcW w:w="2230" w:type="dxa"/>
            <w:gridSpan w:val="2"/>
            <w:vMerge/>
            <w:tcBorders>
              <w:top w:val="single" w:sz="8" w:space="0" w:color="000000"/>
              <w:left w:val="single" w:sz="4" w:space="0" w:color="000000"/>
              <w:bottom w:val="single" w:sz="4" w:space="0" w:color="000000"/>
              <w:right w:val="single" w:sz="4" w:space="0" w:color="000000"/>
            </w:tcBorders>
            <w:vAlign w:val="center"/>
            <w:hideMark/>
          </w:tcPr>
          <w:p w14:paraId="4F5E14E8" w14:textId="77777777" w:rsidR="00922C2A" w:rsidRPr="00922C2A" w:rsidRDefault="00922C2A" w:rsidP="006F49C9">
            <w:pPr>
              <w:spacing w:before="0" w:after="0"/>
              <w:jc w:val="left"/>
              <w:rPr>
                <w:rFonts w:eastAsia="Times New Roman"/>
                <w:b/>
                <w:bCs/>
                <w:noProof/>
                <w:color w:val="000000"/>
                <w:sz w:val="18"/>
                <w:szCs w:val="18"/>
                <w:lang w:eastAsia="en-IE"/>
              </w:rPr>
            </w:pPr>
          </w:p>
        </w:tc>
      </w:tr>
      <w:tr w:rsidR="00922C2A" w:rsidRPr="00922C2A" w14:paraId="68C01D5B" w14:textId="77777777" w:rsidTr="006F49C9">
        <w:trPr>
          <w:trHeight w:val="1324"/>
        </w:trPr>
        <w:tc>
          <w:tcPr>
            <w:tcW w:w="2997" w:type="dxa"/>
            <w:tcBorders>
              <w:top w:val="nil"/>
              <w:left w:val="single" w:sz="8" w:space="0" w:color="000000"/>
              <w:bottom w:val="single" w:sz="4" w:space="0" w:color="000000"/>
              <w:right w:val="single" w:sz="4" w:space="0" w:color="000000"/>
            </w:tcBorders>
            <w:shd w:val="clear" w:color="auto" w:fill="auto"/>
            <w:vAlign w:val="bottom"/>
            <w:hideMark/>
          </w:tcPr>
          <w:p w14:paraId="3CA1E5E3" w14:textId="77777777" w:rsidR="00922C2A" w:rsidRPr="00922C2A" w:rsidRDefault="00922C2A" w:rsidP="006F49C9">
            <w:pPr>
              <w:spacing w:before="0" w:after="0"/>
              <w:jc w:val="left"/>
              <w:rPr>
                <w:rFonts w:ascii="Calibri" w:eastAsia="Times New Roman" w:hAnsi="Calibri" w:cs="Calibri"/>
                <w:noProof/>
                <w:color w:val="000000"/>
                <w:sz w:val="22"/>
              </w:rPr>
            </w:pPr>
            <w:r w:rsidRPr="00922C2A">
              <w:rPr>
                <w:rFonts w:ascii="Calibri" w:hAnsi="Calibri"/>
                <w:noProof/>
                <w:color w:val="000000"/>
                <w:sz w:val="22"/>
              </w:rPr>
              <w:t>06 10 03 Contribution de l’Union à l’Agence européenne des médicaments</w:t>
            </w:r>
          </w:p>
        </w:tc>
        <w:tc>
          <w:tcPr>
            <w:tcW w:w="9062" w:type="dxa"/>
            <w:gridSpan w:val="8"/>
            <w:tcBorders>
              <w:top w:val="single" w:sz="4" w:space="0" w:color="000000"/>
              <w:left w:val="nil"/>
              <w:bottom w:val="single" w:sz="4" w:space="0" w:color="000000"/>
              <w:right w:val="single" w:sz="4" w:space="0" w:color="000000"/>
            </w:tcBorders>
            <w:shd w:val="clear" w:color="auto" w:fill="auto"/>
            <w:noWrap/>
            <w:vAlign w:val="bottom"/>
            <w:hideMark/>
          </w:tcPr>
          <w:p w14:paraId="29FCF7EE" w14:textId="77777777" w:rsidR="00922C2A" w:rsidRPr="00922C2A" w:rsidRDefault="00922C2A" w:rsidP="006F49C9">
            <w:pPr>
              <w:spacing w:before="0" w:after="0"/>
              <w:jc w:val="left"/>
              <w:rPr>
                <w:rFonts w:eastAsia="Times New Roman"/>
                <w:b/>
                <w:bCs/>
                <w:noProof/>
                <w:color w:val="000000"/>
                <w:sz w:val="18"/>
                <w:szCs w:val="18"/>
              </w:rPr>
            </w:pPr>
            <w:r w:rsidRPr="00922C2A">
              <w:rPr>
                <w:b/>
                <w:noProof/>
                <w:color w:val="000000"/>
                <w:sz w:val="18"/>
              </w:rPr>
              <w:t>RÉALISATIONS (outputs)</w:t>
            </w:r>
          </w:p>
        </w:tc>
      </w:tr>
      <w:tr w:rsidR="00922C2A" w:rsidRPr="00922C2A" w14:paraId="12749861" w14:textId="77777777" w:rsidTr="006F49C9">
        <w:trPr>
          <w:trHeight w:val="529"/>
        </w:trPr>
        <w:tc>
          <w:tcPr>
            <w:tcW w:w="2997" w:type="dxa"/>
            <w:tcBorders>
              <w:top w:val="nil"/>
              <w:left w:val="single" w:sz="8" w:space="0" w:color="000000"/>
              <w:bottom w:val="nil"/>
              <w:right w:val="single" w:sz="4" w:space="0" w:color="000000"/>
            </w:tcBorders>
            <w:shd w:val="clear" w:color="auto" w:fill="auto"/>
            <w:noWrap/>
            <w:vAlign w:val="bottom"/>
            <w:hideMark/>
          </w:tcPr>
          <w:p w14:paraId="2D33193B" w14:textId="77777777" w:rsidR="00922C2A" w:rsidRPr="00922C2A" w:rsidRDefault="00922C2A" w:rsidP="006F49C9">
            <w:pPr>
              <w:spacing w:before="0" w:after="0"/>
              <w:jc w:val="left"/>
              <w:rPr>
                <w:rFonts w:ascii="Calibri" w:eastAsia="Times New Roman" w:hAnsi="Calibri" w:cs="Calibri"/>
                <w:noProof/>
                <w:color w:val="000000"/>
                <w:sz w:val="22"/>
              </w:rPr>
            </w:pPr>
            <w:r w:rsidRPr="00922C2A">
              <w:rPr>
                <w:rFonts w:ascii="Calibri" w:hAnsi="Calibri"/>
                <w:noProof/>
                <w:color w:val="000000"/>
                <w:sz w:val="22"/>
              </w:rPr>
              <w:t> </w:t>
            </w:r>
          </w:p>
        </w:tc>
        <w:tc>
          <w:tcPr>
            <w:tcW w:w="1254" w:type="dxa"/>
            <w:tcBorders>
              <w:top w:val="nil"/>
              <w:left w:val="nil"/>
              <w:bottom w:val="nil"/>
              <w:right w:val="single" w:sz="4" w:space="0" w:color="000000"/>
            </w:tcBorders>
            <w:shd w:val="clear" w:color="auto" w:fill="auto"/>
            <w:noWrap/>
            <w:vAlign w:val="center"/>
            <w:hideMark/>
          </w:tcPr>
          <w:p w14:paraId="1C5BB8DD" w14:textId="77777777" w:rsidR="00922C2A" w:rsidRPr="00922C2A" w:rsidRDefault="00922C2A" w:rsidP="006F49C9">
            <w:pPr>
              <w:spacing w:before="0" w:after="0"/>
              <w:jc w:val="center"/>
              <w:rPr>
                <w:rFonts w:eastAsia="Times New Roman"/>
                <w:noProof/>
                <w:color w:val="000000"/>
                <w:sz w:val="18"/>
                <w:szCs w:val="18"/>
              </w:rPr>
            </w:pPr>
            <w:r w:rsidRPr="00922C2A">
              <w:rPr>
                <w:noProof/>
                <w:color w:val="000000"/>
                <w:sz w:val="18"/>
              </w:rPr>
              <w:t>Type</w:t>
            </w:r>
          </w:p>
        </w:tc>
        <w:tc>
          <w:tcPr>
            <w:tcW w:w="1115" w:type="dxa"/>
            <w:tcBorders>
              <w:top w:val="nil"/>
              <w:left w:val="nil"/>
              <w:bottom w:val="nil"/>
              <w:right w:val="single" w:sz="4" w:space="0" w:color="000000"/>
            </w:tcBorders>
            <w:shd w:val="clear" w:color="auto" w:fill="auto"/>
            <w:vAlign w:val="center"/>
            <w:hideMark/>
          </w:tcPr>
          <w:p w14:paraId="05CFB441" w14:textId="77777777" w:rsidR="00922C2A" w:rsidRPr="00922C2A" w:rsidRDefault="00922C2A" w:rsidP="006F49C9">
            <w:pPr>
              <w:spacing w:before="0" w:after="0"/>
              <w:jc w:val="center"/>
              <w:rPr>
                <w:rFonts w:eastAsia="Times New Roman"/>
                <w:noProof/>
                <w:color w:val="000000"/>
                <w:sz w:val="18"/>
                <w:szCs w:val="18"/>
              </w:rPr>
            </w:pPr>
            <w:r w:rsidRPr="00922C2A">
              <w:rPr>
                <w:noProof/>
                <w:color w:val="000000"/>
                <w:sz w:val="18"/>
              </w:rPr>
              <w:t>Coût</w:t>
            </w:r>
            <w:r w:rsidRPr="00922C2A">
              <w:rPr>
                <w:noProof/>
                <w:color w:val="000000"/>
                <w:sz w:val="18"/>
              </w:rPr>
              <w:cr/>
            </w:r>
            <w:r w:rsidRPr="00922C2A">
              <w:rPr>
                <w:noProof/>
                <w:color w:val="000000"/>
                <w:sz w:val="18"/>
              </w:rPr>
              <w:br/>
              <w:t>moyen</w:t>
            </w:r>
          </w:p>
        </w:tc>
        <w:tc>
          <w:tcPr>
            <w:tcW w:w="795" w:type="dxa"/>
            <w:tcBorders>
              <w:top w:val="nil"/>
              <w:left w:val="nil"/>
              <w:bottom w:val="nil"/>
              <w:right w:val="single" w:sz="4" w:space="0" w:color="000000"/>
            </w:tcBorders>
            <w:shd w:val="clear" w:color="auto" w:fill="auto"/>
            <w:noWrap/>
            <w:vAlign w:val="center"/>
            <w:hideMark/>
          </w:tcPr>
          <w:p w14:paraId="0C42DD69" w14:textId="77777777" w:rsidR="00922C2A" w:rsidRPr="00922C2A" w:rsidRDefault="00922C2A" w:rsidP="006F49C9">
            <w:pPr>
              <w:spacing w:before="0" w:after="0"/>
              <w:jc w:val="center"/>
              <w:rPr>
                <w:rFonts w:eastAsia="Times New Roman"/>
                <w:noProof/>
                <w:color w:val="000000"/>
                <w:sz w:val="18"/>
                <w:szCs w:val="18"/>
              </w:rPr>
            </w:pPr>
            <w:r w:rsidRPr="00922C2A">
              <w:rPr>
                <w:noProof/>
                <w:color w:val="000000"/>
                <w:sz w:val="18"/>
              </w:rPr>
              <w:t>Nbre</w:t>
            </w:r>
          </w:p>
        </w:tc>
        <w:tc>
          <w:tcPr>
            <w:tcW w:w="1434" w:type="dxa"/>
            <w:tcBorders>
              <w:top w:val="nil"/>
              <w:left w:val="nil"/>
              <w:bottom w:val="nil"/>
              <w:right w:val="single" w:sz="4" w:space="0" w:color="000000"/>
            </w:tcBorders>
            <w:shd w:val="clear" w:color="auto" w:fill="auto"/>
            <w:noWrap/>
            <w:vAlign w:val="center"/>
            <w:hideMark/>
          </w:tcPr>
          <w:p w14:paraId="7C34B6AB" w14:textId="77777777" w:rsidR="00922C2A" w:rsidRPr="00922C2A" w:rsidRDefault="00922C2A" w:rsidP="006F49C9">
            <w:pPr>
              <w:spacing w:before="0" w:after="0"/>
              <w:jc w:val="center"/>
              <w:rPr>
                <w:rFonts w:eastAsia="Times New Roman"/>
                <w:noProof/>
                <w:color w:val="000000"/>
                <w:sz w:val="18"/>
                <w:szCs w:val="18"/>
              </w:rPr>
            </w:pPr>
            <w:r w:rsidRPr="00922C2A">
              <w:rPr>
                <w:noProof/>
                <w:color w:val="000000"/>
                <w:sz w:val="18"/>
              </w:rPr>
              <w:t>Coût</w:t>
            </w:r>
          </w:p>
        </w:tc>
        <w:tc>
          <w:tcPr>
            <w:tcW w:w="795" w:type="dxa"/>
            <w:tcBorders>
              <w:top w:val="nil"/>
              <w:left w:val="nil"/>
              <w:bottom w:val="nil"/>
              <w:right w:val="single" w:sz="4" w:space="0" w:color="000000"/>
            </w:tcBorders>
            <w:shd w:val="clear" w:color="auto" w:fill="auto"/>
            <w:noWrap/>
            <w:vAlign w:val="center"/>
            <w:hideMark/>
          </w:tcPr>
          <w:p w14:paraId="0D50C0CD" w14:textId="77777777" w:rsidR="00922C2A" w:rsidRPr="00922C2A" w:rsidRDefault="00922C2A" w:rsidP="006F49C9">
            <w:pPr>
              <w:spacing w:before="0" w:after="0"/>
              <w:jc w:val="center"/>
              <w:rPr>
                <w:rFonts w:eastAsia="Times New Roman"/>
                <w:noProof/>
                <w:color w:val="000000"/>
                <w:sz w:val="18"/>
                <w:szCs w:val="18"/>
              </w:rPr>
            </w:pPr>
            <w:r w:rsidRPr="00922C2A">
              <w:rPr>
                <w:noProof/>
                <w:color w:val="000000"/>
                <w:sz w:val="18"/>
              </w:rPr>
              <w:t>Nbre</w:t>
            </w:r>
          </w:p>
        </w:tc>
        <w:tc>
          <w:tcPr>
            <w:tcW w:w="1434" w:type="dxa"/>
            <w:tcBorders>
              <w:top w:val="nil"/>
              <w:left w:val="nil"/>
              <w:bottom w:val="nil"/>
              <w:right w:val="single" w:sz="4" w:space="0" w:color="000000"/>
            </w:tcBorders>
            <w:shd w:val="clear" w:color="auto" w:fill="auto"/>
            <w:noWrap/>
            <w:vAlign w:val="center"/>
            <w:hideMark/>
          </w:tcPr>
          <w:p w14:paraId="6E01238E" w14:textId="77777777" w:rsidR="00922C2A" w:rsidRPr="00922C2A" w:rsidRDefault="00922C2A" w:rsidP="006F49C9">
            <w:pPr>
              <w:spacing w:before="0" w:after="0"/>
              <w:jc w:val="center"/>
              <w:rPr>
                <w:rFonts w:eastAsia="Times New Roman"/>
                <w:noProof/>
                <w:color w:val="000000"/>
                <w:sz w:val="18"/>
                <w:szCs w:val="18"/>
              </w:rPr>
            </w:pPr>
            <w:r w:rsidRPr="00922C2A">
              <w:rPr>
                <w:noProof/>
                <w:color w:val="000000"/>
                <w:sz w:val="18"/>
              </w:rPr>
              <w:t>Coût</w:t>
            </w:r>
          </w:p>
        </w:tc>
        <w:tc>
          <w:tcPr>
            <w:tcW w:w="795" w:type="dxa"/>
            <w:tcBorders>
              <w:top w:val="nil"/>
              <w:left w:val="nil"/>
              <w:bottom w:val="nil"/>
              <w:right w:val="single" w:sz="4" w:space="0" w:color="000000"/>
            </w:tcBorders>
            <w:shd w:val="clear" w:color="auto" w:fill="auto"/>
            <w:noWrap/>
            <w:vAlign w:val="center"/>
            <w:hideMark/>
          </w:tcPr>
          <w:p w14:paraId="3CBDE96F" w14:textId="77777777" w:rsidR="00922C2A" w:rsidRPr="00922C2A" w:rsidRDefault="00922C2A" w:rsidP="006F49C9">
            <w:pPr>
              <w:spacing w:before="0" w:after="0"/>
              <w:jc w:val="center"/>
              <w:rPr>
                <w:rFonts w:eastAsia="Times New Roman"/>
                <w:noProof/>
                <w:color w:val="000000"/>
                <w:sz w:val="18"/>
                <w:szCs w:val="18"/>
              </w:rPr>
            </w:pPr>
            <w:r w:rsidRPr="00922C2A">
              <w:rPr>
                <w:noProof/>
                <w:color w:val="000000"/>
                <w:sz w:val="18"/>
              </w:rPr>
              <w:t>Nbre</w:t>
            </w:r>
          </w:p>
        </w:tc>
        <w:tc>
          <w:tcPr>
            <w:tcW w:w="1434" w:type="dxa"/>
            <w:tcBorders>
              <w:top w:val="nil"/>
              <w:left w:val="nil"/>
              <w:bottom w:val="nil"/>
              <w:right w:val="single" w:sz="4" w:space="0" w:color="000000"/>
            </w:tcBorders>
            <w:shd w:val="clear" w:color="auto" w:fill="auto"/>
            <w:noWrap/>
            <w:vAlign w:val="center"/>
            <w:hideMark/>
          </w:tcPr>
          <w:p w14:paraId="5CB12210" w14:textId="77777777" w:rsidR="00922C2A" w:rsidRPr="00922C2A" w:rsidRDefault="00922C2A" w:rsidP="006F49C9">
            <w:pPr>
              <w:spacing w:before="0" w:after="0"/>
              <w:jc w:val="center"/>
              <w:rPr>
                <w:rFonts w:eastAsia="Times New Roman"/>
                <w:noProof/>
                <w:color w:val="000000"/>
                <w:sz w:val="18"/>
                <w:szCs w:val="18"/>
              </w:rPr>
            </w:pPr>
            <w:r w:rsidRPr="00922C2A">
              <w:rPr>
                <w:noProof/>
                <w:color w:val="000000"/>
                <w:sz w:val="18"/>
              </w:rPr>
              <w:t>Coût</w:t>
            </w:r>
          </w:p>
        </w:tc>
      </w:tr>
      <w:tr w:rsidR="00922C2A" w:rsidRPr="00922C2A" w14:paraId="7CBD73DA" w14:textId="77777777" w:rsidTr="006F49C9">
        <w:trPr>
          <w:trHeight w:val="331"/>
        </w:trPr>
        <w:tc>
          <w:tcPr>
            <w:tcW w:w="12059" w:type="dxa"/>
            <w:gridSpan w:val="9"/>
            <w:tcBorders>
              <w:top w:val="single" w:sz="4" w:space="0" w:color="000000"/>
              <w:left w:val="single" w:sz="8" w:space="0" w:color="000000"/>
              <w:bottom w:val="single" w:sz="4" w:space="0" w:color="000000"/>
              <w:right w:val="nil"/>
            </w:tcBorders>
            <w:shd w:val="clear" w:color="auto" w:fill="auto"/>
            <w:noWrap/>
            <w:vAlign w:val="bottom"/>
            <w:hideMark/>
          </w:tcPr>
          <w:p w14:paraId="1E068F8A"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OBJECTIF Nº 1: Disponibilité et sécurité de l’approvisionnement des médicaments critiques</w:t>
            </w:r>
          </w:p>
        </w:tc>
      </w:tr>
      <w:tr w:rsidR="00922C2A" w:rsidRPr="00922C2A" w14:paraId="62CEAE45" w14:textId="77777777" w:rsidTr="006F49C9">
        <w:trPr>
          <w:trHeight w:val="546"/>
        </w:trPr>
        <w:tc>
          <w:tcPr>
            <w:tcW w:w="2997" w:type="dxa"/>
            <w:tcBorders>
              <w:top w:val="nil"/>
              <w:left w:val="single" w:sz="8" w:space="0" w:color="000000"/>
              <w:bottom w:val="single" w:sz="4" w:space="0" w:color="000000"/>
              <w:right w:val="single" w:sz="4" w:space="0" w:color="000000"/>
            </w:tcBorders>
            <w:shd w:val="clear" w:color="auto" w:fill="auto"/>
            <w:vAlign w:val="bottom"/>
            <w:hideMark/>
          </w:tcPr>
          <w:p w14:paraId="0B12606B"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xml:space="preserve">A. Faciliter les investissements dans les capacités de production </w:t>
            </w:r>
          </w:p>
        </w:tc>
        <w:tc>
          <w:tcPr>
            <w:tcW w:w="1254" w:type="dxa"/>
            <w:tcBorders>
              <w:top w:val="nil"/>
              <w:left w:val="single" w:sz="8" w:space="0" w:color="000000"/>
              <w:bottom w:val="single" w:sz="4" w:space="0" w:color="000000"/>
              <w:right w:val="single" w:sz="4" w:space="0" w:color="000000"/>
            </w:tcBorders>
            <w:shd w:val="clear" w:color="auto" w:fill="auto"/>
            <w:vAlign w:val="bottom"/>
            <w:hideMark/>
          </w:tcPr>
          <w:p w14:paraId="5B09A3D7"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Frais de personnel de l’EMA</w:t>
            </w:r>
          </w:p>
        </w:tc>
        <w:tc>
          <w:tcPr>
            <w:tcW w:w="1115" w:type="dxa"/>
            <w:tcBorders>
              <w:top w:val="nil"/>
              <w:left w:val="nil"/>
              <w:bottom w:val="single" w:sz="4" w:space="0" w:color="000000"/>
              <w:right w:val="single" w:sz="4" w:space="0" w:color="000000"/>
            </w:tcBorders>
            <w:shd w:val="clear" w:color="auto" w:fill="auto"/>
            <w:noWrap/>
            <w:vAlign w:val="bottom"/>
            <w:hideMark/>
          </w:tcPr>
          <w:p w14:paraId="1BDF4713"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w:t>
            </w:r>
          </w:p>
        </w:tc>
        <w:tc>
          <w:tcPr>
            <w:tcW w:w="795" w:type="dxa"/>
            <w:tcBorders>
              <w:top w:val="nil"/>
              <w:left w:val="nil"/>
              <w:bottom w:val="single" w:sz="4" w:space="0" w:color="000000"/>
              <w:right w:val="single" w:sz="4" w:space="0" w:color="000000"/>
            </w:tcBorders>
            <w:shd w:val="clear" w:color="auto" w:fill="auto"/>
            <w:noWrap/>
            <w:vAlign w:val="bottom"/>
            <w:hideMark/>
          </w:tcPr>
          <w:p w14:paraId="5FB660D1"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w:t>
            </w:r>
          </w:p>
        </w:tc>
        <w:tc>
          <w:tcPr>
            <w:tcW w:w="1434" w:type="dxa"/>
            <w:tcBorders>
              <w:top w:val="nil"/>
              <w:left w:val="nil"/>
              <w:bottom w:val="single" w:sz="4" w:space="0" w:color="000000"/>
              <w:right w:val="single" w:sz="4" w:space="0" w:color="000000"/>
            </w:tcBorders>
            <w:shd w:val="clear" w:color="auto" w:fill="auto"/>
            <w:noWrap/>
            <w:vAlign w:val="bottom"/>
            <w:hideMark/>
          </w:tcPr>
          <w:p w14:paraId="72AD259D" w14:textId="77777777" w:rsidR="00922C2A" w:rsidRPr="00922C2A" w:rsidRDefault="00922C2A" w:rsidP="006F49C9">
            <w:pPr>
              <w:spacing w:before="0" w:after="0"/>
              <w:jc w:val="right"/>
              <w:rPr>
                <w:rFonts w:eastAsia="Times New Roman"/>
                <w:noProof/>
                <w:color w:val="000000"/>
                <w:sz w:val="18"/>
                <w:szCs w:val="18"/>
              </w:rPr>
            </w:pPr>
            <w:r w:rsidRPr="00922C2A">
              <w:rPr>
                <w:noProof/>
                <w:color w:val="000000"/>
                <w:sz w:val="18"/>
              </w:rPr>
              <w:t>0,524</w:t>
            </w:r>
          </w:p>
        </w:tc>
        <w:tc>
          <w:tcPr>
            <w:tcW w:w="795" w:type="dxa"/>
            <w:tcBorders>
              <w:top w:val="nil"/>
              <w:left w:val="nil"/>
              <w:bottom w:val="single" w:sz="4" w:space="0" w:color="000000"/>
              <w:right w:val="single" w:sz="4" w:space="0" w:color="000000"/>
            </w:tcBorders>
            <w:shd w:val="clear" w:color="auto" w:fill="auto"/>
            <w:noWrap/>
            <w:vAlign w:val="bottom"/>
            <w:hideMark/>
          </w:tcPr>
          <w:p w14:paraId="7788E341"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w:t>
            </w:r>
          </w:p>
        </w:tc>
        <w:tc>
          <w:tcPr>
            <w:tcW w:w="1434" w:type="dxa"/>
            <w:tcBorders>
              <w:top w:val="nil"/>
              <w:left w:val="nil"/>
              <w:bottom w:val="single" w:sz="4" w:space="0" w:color="000000"/>
              <w:right w:val="single" w:sz="4" w:space="0" w:color="000000"/>
            </w:tcBorders>
            <w:shd w:val="clear" w:color="auto" w:fill="auto"/>
            <w:noWrap/>
            <w:vAlign w:val="bottom"/>
            <w:hideMark/>
          </w:tcPr>
          <w:p w14:paraId="5983321E" w14:textId="77777777" w:rsidR="00922C2A" w:rsidRPr="00922C2A" w:rsidRDefault="00922C2A" w:rsidP="006F49C9">
            <w:pPr>
              <w:spacing w:before="0" w:after="0"/>
              <w:jc w:val="right"/>
              <w:rPr>
                <w:rFonts w:eastAsia="Times New Roman"/>
                <w:noProof/>
                <w:color w:val="000000"/>
                <w:sz w:val="18"/>
                <w:szCs w:val="18"/>
              </w:rPr>
            </w:pPr>
            <w:r w:rsidRPr="00922C2A">
              <w:rPr>
                <w:noProof/>
                <w:color w:val="000000"/>
                <w:sz w:val="18"/>
              </w:rPr>
              <w:t>0,628</w:t>
            </w:r>
          </w:p>
        </w:tc>
        <w:tc>
          <w:tcPr>
            <w:tcW w:w="795" w:type="dxa"/>
            <w:tcBorders>
              <w:top w:val="nil"/>
              <w:left w:val="nil"/>
              <w:bottom w:val="single" w:sz="4" w:space="0" w:color="000000"/>
              <w:right w:val="single" w:sz="4" w:space="0" w:color="000000"/>
            </w:tcBorders>
            <w:shd w:val="clear" w:color="000000" w:fill="F2F2F2"/>
            <w:noWrap/>
            <w:vAlign w:val="bottom"/>
            <w:hideMark/>
          </w:tcPr>
          <w:p w14:paraId="19268C55"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w:t>
            </w:r>
          </w:p>
        </w:tc>
        <w:tc>
          <w:tcPr>
            <w:tcW w:w="1434" w:type="dxa"/>
            <w:tcBorders>
              <w:top w:val="nil"/>
              <w:left w:val="nil"/>
              <w:bottom w:val="single" w:sz="4" w:space="0" w:color="000000"/>
              <w:right w:val="single" w:sz="4" w:space="0" w:color="000000"/>
            </w:tcBorders>
            <w:shd w:val="clear" w:color="000000" w:fill="F2F2F2"/>
            <w:noWrap/>
            <w:vAlign w:val="bottom"/>
            <w:hideMark/>
          </w:tcPr>
          <w:p w14:paraId="76E24DC6"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1,152</w:t>
            </w:r>
          </w:p>
        </w:tc>
      </w:tr>
      <w:tr w:rsidR="00922C2A" w:rsidRPr="00922C2A" w14:paraId="3290C23C" w14:textId="77777777" w:rsidTr="006F49C9">
        <w:trPr>
          <w:trHeight w:val="546"/>
        </w:trPr>
        <w:tc>
          <w:tcPr>
            <w:tcW w:w="2997" w:type="dxa"/>
            <w:tcBorders>
              <w:top w:val="nil"/>
              <w:left w:val="single" w:sz="8" w:space="0" w:color="000000"/>
              <w:bottom w:val="single" w:sz="4" w:space="0" w:color="000000"/>
              <w:right w:val="single" w:sz="4" w:space="0" w:color="000000"/>
            </w:tcBorders>
            <w:shd w:val="clear" w:color="auto" w:fill="auto"/>
            <w:vAlign w:val="bottom"/>
            <w:hideMark/>
          </w:tcPr>
          <w:p w14:paraId="2E008B52"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A. Faciliter les investissements dans les capacités de production</w:t>
            </w:r>
          </w:p>
        </w:tc>
        <w:tc>
          <w:tcPr>
            <w:tcW w:w="1254" w:type="dxa"/>
            <w:tcBorders>
              <w:top w:val="nil"/>
              <w:left w:val="nil"/>
              <w:bottom w:val="single" w:sz="4" w:space="0" w:color="000000"/>
              <w:right w:val="single" w:sz="4" w:space="0" w:color="000000"/>
            </w:tcBorders>
            <w:shd w:val="clear" w:color="auto" w:fill="auto"/>
            <w:noWrap/>
            <w:vAlign w:val="bottom"/>
            <w:hideMark/>
          </w:tcPr>
          <w:p w14:paraId="65EDA519"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TI</w:t>
            </w:r>
          </w:p>
        </w:tc>
        <w:tc>
          <w:tcPr>
            <w:tcW w:w="1115" w:type="dxa"/>
            <w:tcBorders>
              <w:top w:val="nil"/>
              <w:left w:val="nil"/>
              <w:bottom w:val="single" w:sz="4" w:space="0" w:color="000000"/>
              <w:right w:val="single" w:sz="4" w:space="0" w:color="000000"/>
            </w:tcBorders>
            <w:shd w:val="clear" w:color="auto" w:fill="auto"/>
            <w:noWrap/>
            <w:vAlign w:val="bottom"/>
            <w:hideMark/>
          </w:tcPr>
          <w:p w14:paraId="68E3A7E4"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w:t>
            </w:r>
          </w:p>
        </w:tc>
        <w:tc>
          <w:tcPr>
            <w:tcW w:w="795" w:type="dxa"/>
            <w:tcBorders>
              <w:top w:val="nil"/>
              <w:left w:val="nil"/>
              <w:bottom w:val="single" w:sz="4" w:space="0" w:color="000000"/>
              <w:right w:val="single" w:sz="4" w:space="0" w:color="000000"/>
            </w:tcBorders>
            <w:shd w:val="clear" w:color="auto" w:fill="auto"/>
            <w:noWrap/>
            <w:vAlign w:val="bottom"/>
            <w:hideMark/>
          </w:tcPr>
          <w:p w14:paraId="00ACC0AE"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w:t>
            </w:r>
          </w:p>
        </w:tc>
        <w:tc>
          <w:tcPr>
            <w:tcW w:w="1434" w:type="dxa"/>
            <w:tcBorders>
              <w:top w:val="nil"/>
              <w:left w:val="nil"/>
              <w:bottom w:val="single" w:sz="4" w:space="0" w:color="000000"/>
              <w:right w:val="single" w:sz="4" w:space="0" w:color="000000"/>
            </w:tcBorders>
            <w:shd w:val="clear" w:color="auto" w:fill="auto"/>
            <w:noWrap/>
            <w:vAlign w:val="bottom"/>
            <w:hideMark/>
          </w:tcPr>
          <w:p w14:paraId="7E68876F" w14:textId="77777777" w:rsidR="00922C2A" w:rsidRPr="00922C2A" w:rsidRDefault="00922C2A" w:rsidP="006F49C9">
            <w:pPr>
              <w:spacing w:before="0" w:after="0"/>
              <w:jc w:val="right"/>
              <w:rPr>
                <w:rFonts w:eastAsia="Times New Roman"/>
                <w:noProof/>
                <w:color w:val="000000"/>
                <w:sz w:val="18"/>
                <w:szCs w:val="18"/>
              </w:rPr>
            </w:pPr>
            <w:r w:rsidRPr="00922C2A">
              <w:rPr>
                <w:noProof/>
                <w:color w:val="000000"/>
                <w:sz w:val="18"/>
              </w:rPr>
              <w:t>0,100</w:t>
            </w:r>
          </w:p>
        </w:tc>
        <w:tc>
          <w:tcPr>
            <w:tcW w:w="795" w:type="dxa"/>
            <w:tcBorders>
              <w:top w:val="nil"/>
              <w:left w:val="nil"/>
              <w:bottom w:val="single" w:sz="4" w:space="0" w:color="000000"/>
              <w:right w:val="single" w:sz="4" w:space="0" w:color="000000"/>
            </w:tcBorders>
            <w:shd w:val="clear" w:color="auto" w:fill="auto"/>
            <w:noWrap/>
            <w:vAlign w:val="bottom"/>
            <w:hideMark/>
          </w:tcPr>
          <w:p w14:paraId="0B209E52"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w:t>
            </w:r>
          </w:p>
        </w:tc>
        <w:tc>
          <w:tcPr>
            <w:tcW w:w="1434" w:type="dxa"/>
            <w:tcBorders>
              <w:top w:val="nil"/>
              <w:left w:val="nil"/>
              <w:bottom w:val="single" w:sz="4" w:space="0" w:color="000000"/>
              <w:right w:val="single" w:sz="4" w:space="0" w:color="000000"/>
            </w:tcBorders>
            <w:shd w:val="clear" w:color="auto" w:fill="auto"/>
            <w:noWrap/>
            <w:vAlign w:val="bottom"/>
            <w:hideMark/>
          </w:tcPr>
          <w:p w14:paraId="7D666B81" w14:textId="77777777" w:rsidR="00922C2A" w:rsidRPr="00922C2A" w:rsidRDefault="00922C2A" w:rsidP="006F49C9">
            <w:pPr>
              <w:spacing w:before="0" w:after="0"/>
              <w:jc w:val="right"/>
              <w:rPr>
                <w:rFonts w:eastAsia="Times New Roman"/>
                <w:noProof/>
                <w:color w:val="000000"/>
                <w:sz w:val="18"/>
                <w:szCs w:val="18"/>
              </w:rPr>
            </w:pPr>
            <w:r w:rsidRPr="00922C2A">
              <w:rPr>
                <w:noProof/>
                <w:color w:val="000000"/>
                <w:sz w:val="18"/>
              </w:rPr>
              <w:t>0,102</w:t>
            </w:r>
          </w:p>
        </w:tc>
        <w:tc>
          <w:tcPr>
            <w:tcW w:w="795" w:type="dxa"/>
            <w:tcBorders>
              <w:top w:val="nil"/>
              <w:left w:val="nil"/>
              <w:bottom w:val="single" w:sz="4" w:space="0" w:color="000000"/>
              <w:right w:val="single" w:sz="4" w:space="0" w:color="000000"/>
            </w:tcBorders>
            <w:shd w:val="clear" w:color="000000" w:fill="F2F2F2"/>
            <w:noWrap/>
            <w:vAlign w:val="bottom"/>
            <w:hideMark/>
          </w:tcPr>
          <w:p w14:paraId="5D372B26"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w:t>
            </w:r>
          </w:p>
        </w:tc>
        <w:tc>
          <w:tcPr>
            <w:tcW w:w="1434" w:type="dxa"/>
            <w:tcBorders>
              <w:top w:val="nil"/>
              <w:left w:val="nil"/>
              <w:bottom w:val="single" w:sz="4" w:space="0" w:color="000000"/>
              <w:right w:val="single" w:sz="4" w:space="0" w:color="000000"/>
            </w:tcBorders>
            <w:shd w:val="clear" w:color="000000" w:fill="F2F2F2"/>
            <w:noWrap/>
            <w:vAlign w:val="bottom"/>
            <w:hideMark/>
          </w:tcPr>
          <w:p w14:paraId="287F313D"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0,202</w:t>
            </w:r>
          </w:p>
        </w:tc>
      </w:tr>
      <w:tr w:rsidR="00922C2A" w:rsidRPr="00922C2A" w14:paraId="17D8CE86" w14:textId="77777777" w:rsidTr="006F49C9">
        <w:trPr>
          <w:trHeight w:val="546"/>
        </w:trPr>
        <w:tc>
          <w:tcPr>
            <w:tcW w:w="2997" w:type="dxa"/>
            <w:tcBorders>
              <w:top w:val="nil"/>
              <w:left w:val="single" w:sz="8" w:space="0" w:color="000000"/>
              <w:bottom w:val="single" w:sz="4" w:space="0" w:color="000000"/>
              <w:right w:val="single" w:sz="4" w:space="0" w:color="000000"/>
            </w:tcBorders>
            <w:shd w:val="clear" w:color="auto" w:fill="auto"/>
            <w:vAlign w:val="bottom"/>
            <w:hideMark/>
          </w:tcPr>
          <w:p w14:paraId="76783FCD"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xml:space="preserve">A. Faciliter les investissements dans les capacités de production </w:t>
            </w:r>
          </w:p>
        </w:tc>
        <w:tc>
          <w:tcPr>
            <w:tcW w:w="1254" w:type="dxa"/>
            <w:tcBorders>
              <w:top w:val="nil"/>
              <w:left w:val="nil"/>
              <w:bottom w:val="single" w:sz="4" w:space="0" w:color="000000"/>
              <w:right w:val="single" w:sz="4" w:space="0" w:color="000000"/>
            </w:tcBorders>
            <w:shd w:val="clear" w:color="auto" w:fill="auto"/>
            <w:noWrap/>
            <w:vAlign w:val="bottom"/>
            <w:hideMark/>
          </w:tcPr>
          <w:p w14:paraId="7E348AAA"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Réunions</w:t>
            </w:r>
          </w:p>
        </w:tc>
        <w:tc>
          <w:tcPr>
            <w:tcW w:w="1115" w:type="dxa"/>
            <w:tcBorders>
              <w:top w:val="nil"/>
              <w:left w:val="nil"/>
              <w:bottom w:val="single" w:sz="4" w:space="0" w:color="000000"/>
              <w:right w:val="single" w:sz="4" w:space="0" w:color="000000"/>
            </w:tcBorders>
            <w:shd w:val="clear" w:color="auto" w:fill="auto"/>
            <w:noWrap/>
            <w:vAlign w:val="bottom"/>
            <w:hideMark/>
          </w:tcPr>
          <w:p w14:paraId="40B88AE0"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w:t>
            </w:r>
          </w:p>
        </w:tc>
        <w:tc>
          <w:tcPr>
            <w:tcW w:w="795" w:type="dxa"/>
            <w:tcBorders>
              <w:top w:val="nil"/>
              <w:left w:val="nil"/>
              <w:bottom w:val="single" w:sz="4" w:space="0" w:color="000000"/>
              <w:right w:val="single" w:sz="4" w:space="0" w:color="000000"/>
            </w:tcBorders>
            <w:shd w:val="clear" w:color="auto" w:fill="auto"/>
            <w:noWrap/>
            <w:vAlign w:val="bottom"/>
            <w:hideMark/>
          </w:tcPr>
          <w:p w14:paraId="02B49B9B"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w:t>
            </w:r>
          </w:p>
        </w:tc>
        <w:tc>
          <w:tcPr>
            <w:tcW w:w="1434" w:type="dxa"/>
            <w:tcBorders>
              <w:top w:val="nil"/>
              <w:left w:val="nil"/>
              <w:bottom w:val="single" w:sz="4" w:space="0" w:color="000000"/>
              <w:right w:val="single" w:sz="4" w:space="0" w:color="000000"/>
            </w:tcBorders>
            <w:shd w:val="clear" w:color="auto" w:fill="auto"/>
            <w:noWrap/>
            <w:vAlign w:val="bottom"/>
            <w:hideMark/>
          </w:tcPr>
          <w:p w14:paraId="65C22FD2" w14:textId="77777777" w:rsidR="00922C2A" w:rsidRPr="00922C2A" w:rsidRDefault="00922C2A" w:rsidP="006F49C9">
            <w:pPr>
              <w:spacing w:before="0" w:after="0"/>
              <w:jc w:val="right"/>
              <w:rPr>
                <w:rFonts w:eastAsia="Times New Roman"/>
                <w:noProof/>
                <w:color w:val="000000"/>
                <w:sz w:val="18"/>
                <w:szCs w:val="18"/>
              </w:rPr>
            </w:pPr>
            <w:r w:rsidRPr="00922C2A">
              <w:rPr>
                <w:noProof/>
                <w:color w:val="000000"/>
                <w:sz w:val="18"/>
              </w:rPr>
              <w:t>0,027</w:t>
            </w:r>
          </w:p>
        </w:tc>
        <w:tc>
          <w:tcPr>
            <w:tcW w:w="795" w:type="dxa"/>
            <w:tcBorders>
              <w:top w:val="nil"/>
              <w:left w:val="nil"/>
              <w:bottom w:val="single" w:sz="4" w:space="0" w:color="000000"/>
              <w:right w:val="single" w:sz="4" w:space="0" w:color="000000"/>
            </w:tcBorders>
            <w:shd w:val="clear" w:color="auto" w:fill="auto"/>
            <w:noWrap/>
            <w:vAlign w:val="bottom"/>
            <w:hideMark/>
          </w:tcPr>
          <w:p w14:paraId="65B17311"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 </w:t>
            </w:r>
          </w:p>
        </w:tc>
        <w:tc>
          <w:tcPr>
            <w:tcW w:w="1434" w:type="dxa"/>
            <w:tcBorders>
              <w:top w:val="nil"/>
              <w:left w:val="nil"/>
              <w:bottom w:val="single" w:sz="4" w:space="0" w:color="000000"/>
              <w:right w:val="single" w:sz="4" w:space="0" w:color="000000"/>
            </w:tcBorders>
            <w:shd w:val="clear" w:color="auto" w:fill="auto"/>
            <w:noWrap/>
            <w:vAlign w:val="bottom"/>
            <w:hideMark/>
          </w:tcPr>
          <w:p w14:paraId="6398339B" w14:textId="77777777" w:rsidR="00922C2A" w:rsidRPr="00922C2A" w:rsidRDefault="00922C2A" w:rsidP="006F49C9">
            <w:pPr>
              <w:spacing w:before="0" w:after="0"/>
              <w:jc w:val="right"/>
              <w:rPr>
                <w:rFonts w:eastAsia="Times New Roman"/>
                <w:noProof/>
                <w:color w:val="000000"/>
                <w:sz w:val="18"/>
                <w:szCs w:val="18"/>
              </w:rPr>
            </w:pPr>
            <w:r w:rsidRPr="00922C2A">
              <w:rPr>
                <w:noProof/>
                <w:color w:val="000000"/>
                <w:sz w:val="18"/>
              </w:rPr>
              <w:t>0,028</w:t>
            </w:r>
          </w:p>
        </w:tc>
        <w:tc>
          <w:tcPr>
            <w:tcW w:w="795" w:type="dxa"/>
            <w:tcBorders>
              <w:top w:val="nil"/>
              <w:left w:val="nil"/>
              <w:bottom w:val="single" w:sz="4" w:space="0" w:color="000000"/>
              <w:right w:val="single" w:sz="4" w:space="0" w:color="000000"/>
            </w:tcBorders>
            <w:shd w:val="clear" w:color="000000" w:fill="F2F2F2"/>
            <w:noWrap/>
            <w:vAlign w:val="bottom"/>
            <w:hideMark/>
          </w:tcPr>
          <w:p w14:paraId="6100B8BE"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w:t>
            </w:r>
          </w:p>
        </w:tc>
        <w:tc>
          <w:tcPr>
            <w:tcW w:w="1434" w:type="dxa"/>
            <w:tcBorders>
              <w:top w:val="nil"/>
              <w:left w:val="nil"/>
              <w:bottom w:val="single" w:sz="4" w:space="0" w:color="000000"/>
              <w:right w:val="single" w:sz="4" w:space="0" w:color="000000"/>
            </w:tcBorders>
            <w:shd w:val="clear" w:color="000000" w:fill="F2F2F2"/>
            <w:noWrap/>
            <w:vAlign w:val="bottom"/>
            <w:hideMark/>
          </w:tcPr>
          <w:p w14:paraId="73BC3F64"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0,055</w:t>
            </w:r>
          </w:p>
        </w:tc>
      </w:tr>
      <w:tr w:rsidR="00922C2A" w:rsidRPr="00922C2A" w14:paraId="039DE4F6" w14:textId="77777777" w:rsidTr="006F49C9">
        <w:trPr>
          <w:trHeight w:val="331"/>
        </w:trPr>
        <w:tc>
          <w:tcPr>
            <w:tcW w:w="5367" w:type="dxa"/>
            <w:gridSpan w:val="3"/>
            <w:tcBorders>
              <w:top w:val="single" w:sz="4" w:space="0" w:color="000000"/>
              <w:left w:val="single" w:sz="8" w:space="0" w:color="000000"/>
              <w:bottom w:val="single" w:sz="4" w:space="0" w:color="000000"/>
              <w:right w:val="single" w:sz="4" w:space="0" w:color="000000"/>
            </w:tcBorders>
            <w:shd w:val="clear" w:color="auto" w:fill="auto"/>
            <w:noWrap/>
            <w:vAlign w:val="bottom"/>
            <w:hideMark/>
          </w:tcPr>
          <w:p w14:paraId="7377B36F" w14:textId="77777777" w:rsidR="00922C2A" w:rsidRPr="00922C2A" w:rsidRDefault="00922C2A" w:rsidP="006F49C9">
            <w:pPr>
              <w:spacing w:before="0" w:after="0"/>
              <w:jc w:val="left"/>
              <w:rPr>
                <w:rFonts w:eastAsia="Times New Roman"/>
                <w:noProof/>
                <w:color w:val="000000"/>
                <w:sz w:val="18"/>
                <w:szCs w:val="18"/>
              </w:rPr>
            </w:pPr>
            <w:r w:rsidRPr="00922C2A">
              <w:rPr>
                <w:noProof/>
                <w:color w:val="000000"/>
                <w:sz w:val="18"/>
              </w:rPr>
              <w:t>Sous-total objectif nº 1</w:t>
            </w:r>
          </w:p>
        </w:tc>
        <w:tc>
          <w:tcPr>
            <w:tcW w:w="795" w:type="dxa"/>
            <w:tcBorders>
              <w:top w:val="nil"/>
              <w:left w:val="nil"/>
              <w:bottom w:val="single" w:sz="4" w:space="0" w:color="000000"/>
              <w:right w:val="single" w:sz="4" w:space="0" w:color="000000"/>
            </w:tcBorders>
            <w:shd w:val="clear" w:color="000000" w:fill="F2F2F2"/>
            <w:noWrap/>
            <w:vAlign w:val="bottom"/>
            <w:hideMark/>
          </w:tcPr>
          <w:p w14:paraId="522B9179"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w:t>
            </w:r>
          </w:p>
        </w:tc>
        <w:tc>
          <w:tcPr>
            <w:tcW w:w="1434" w:type="dxa"/>
            <w:tcBorders>
              <w:top w:val="nil"/>
              <w:left w:val="nil"/>
              <w:bottom w:val="single" w:sz="4" w:space="0" w:color="000000"/>
              <w:right w:val="single" w:sz="4" w:space="0" w:color="000000"/>
            </w:tcBorders>
            <w:shd w:val="clear" w:color="000000" w:fill="F2F2F2"/>
            <w:noWrap/>
            <w:vAlign w:val="bottom"/>
            <w:hideMark/>
          </w:tcPr>
          <w:p w14:paraId="6C78BB60"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0,651</w:t>
            </w:r>
          </w:p>
        </w:tc>
        <w:tc>
          <w:tcPr>
            <w:tcW w:w="795" w:type="dxa"/>
            <w:tcBorders>
              <w:top w:val="nil"/>
              <w:left w:val="nil"/>
              <w:bottom w:val="single" w:sz="4" w:space="0" w:color="000000"/>
              <w:right w:val="single" w:sz="4" w:space="0" w:color="000000"/>
            </w:tcBorders>
            <w:shd w:val="clear" w:color="000000" w:fill="F2F2F2"/>
            <w:noWrap/>
            <w:vAlign w:val="bottom"/>
            <w:hideMark/>
          </w:tcPr>
          <w:p w14:paraId="6EB94BB5"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w:t>
            </w:r>
          </w:p>
        </w:tc>
        <w:tc>
          <w:tcPr>
            <w:tcW w:w="1434" w:type="dxa"/>
            <w:tcBorders>
              <w:top w:val="nil"/>
              <w:left w:val="nil"/>
              <w:bottom w:val="single" w:sz="4" w:space="0" w:color="000000"/>
              <w:right w:val="single" w:sz="4" w:space="0" w:color="000000"/>
            </w:tcBorders>
            <w:shd w:val="clear" w:color="000000" w:fill="F2F2F2"/>
            <w:noWrap/>
            <w:vAlign w:val="bottom"/>
            <w:hideMark/>
          </w:tcPr>
          <w:p w14:paraId="559A4614"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0,758</w:t>
            </w:r>
          </w:p>
        </w:tc>
        <w:tc>
          <w:tcPr>
            <w:tcW w:w="795" w:type="dxa"/>
            <w:tcBorders>
              <w:top w:val="nil"/>
              <w:left w:val="nil"/>
              <w:bottom w:val="single" w:sz="4" w:space="0" w:color="000000"/>
              <w:right w:val="single" w:sz="4" w:space="0" w:color="000000"/>
            </w:tcBorders>
            <w:shd w:val="clear" w:color="000000" w:fill="F2F2F2"/>
            <w:noWrap/>
            <w:vAlign w:val="bottom"/>
            <w:hideMark/>
          </w:tcPr>
          <w:p w14:paraId="1A7F59B1"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w:t>
            </w:r>
          </w:p>
        </w:tc>
        <w:tc>
          <w:tcPr>
            <w:tcW w:w="1434" w:type="dxa"/>
            <w:tcBorders>
              <w:top w:val="nil"/>
              <w:left w:val="nil"/>
              <w:bottom w:val="single" w:sz="4" w:space="0" w:color="000000"/>
              <w:right w:val="single" w:sz="4" w:space="0" w:color="000000"/>
            </w:tcBorders>
            <w:shd w:val="clear" w:color="000000" w:fill="F2F2F2"/>
            <w:noWrap/>
            <w:vAlign w:val="bottom"/>
            <w:hideMark/>
          </w:tcPr>
          <w:p w14:paraId="22A08869"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1,408</w:t>
            </w:r>
          </w:p>
        </w:tc>
      </w:tr>
      <w:tr w:rsidR="00922C2A" w:rsidRPr="00922C2A" w14:paraId="0A1C4F70" w14:textId="77777777" w:rsidTr="006F49C9">
        <w:trPr>
          <w:trHeight w:val="347"/>
        </w:trPr>
        <w:tc>
          <w:tcPr>
            <w:tcW w:w="5367" w:type="dxa"/>
            <w:gridSpan w:val="3"/>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14:paraId="5B65696A" w14:textId="77777777" w:rsidR="00922C2A" w:rsidRPr="00922C2A" w:rsidRDefault="00922C2A" w:rsidP="006F49C9">
            <w:pPr>
              <w:spacing w:before="0" w:after="0"/>
              <w:jc w:val="left"/>
              <w:rPr>
                <w:rFonts w:eastAsia="Times New Roman"/>
                <w:b/>
                <w:bCs/>
                <w:noProof/>
                <w:color w:val="000000"/>
                <w:sz w:val="18"/>
                <w:szCs w:val="18"/>
              </w:rPr>
            </w:pPr>
            <w:r w:rsidRPr="00922C2A">
              <w:rPr>
                <w:b/>
                <w:noProof/>
                <w:color w:val="000000"/>
                <w:sz w:val="18"/>
              </w:rPr>
              <w:t>TOTAUX</w:t>
            </w:r>
          </w:p>
        </w:tc>
        <w:tc>
          <w:tcPr>
            <w:tcW w:w="795" w:type="dxa"/>
            <w:tcBorders>
              <w:top w:val="nil"/>
              <w:left w:val="nil"/>
              <w:bottom w:val="single" w:sz="8" w:space="0" w:color="000000"/>
              <w:right w:val="single" w:sz="4" w:space="0" w:color="000000"/>
            </w:tcBorders>
            <w:shd w:val="clear" w:color="000000" w:fill="F2F2F2"/>
            <w:noWrap/>
            <w:vAlign w:val="bottom"/>
            <w:hideMark/>
          </w:tcPr>
          <w:p w14:paraId="5C89DC40"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w:t>
            </w:r>
          </w:p>
        </w:tc>
        <w:tc>
          <w:tcPr>
            <w:tcW w:w="1434" w:type="dxa"/>
            <w:tcBorders>
              <w:top w:val="nil"/>
              <w:left w:val="nil"/>
              <w:bottom w:val="single" w:sz="8" w:space="0" w:color="000000"/>
              <w:right w:val="single" w:sz="4" w:space="0" w:color="000000"/>
            </w:tcBorders>
            <w:shd w:val="clear" w:color="000000" w:fill="F2F2F2"/>
            <w:noWrap/>
            <w:vAlign w:val="bottom"/>
            <w:hideMark/>
          </w:tcPr>
          <w:p w14:paraId="2FD36DCD"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0,651</w:t>
            </w:r>
          </w:p>
        </w:tc>
        <w:tc>
          <w:tcPr>
            <w:tcW w:w="795" w:type="dxa"/>
            <w:tcBorders>
              <w:top w:val="nil"/>
              <w:left w:val="nil"/>
              <w:bottom w:val="single" w:sz="8" w:space="0" w:color="000000"/>
              <w:right w:val="single" w:sz="4" w:space="0" w:color="000000"/>
            </w:tcBorders>
            <w:shd w:val="clear" w:color="000000" w:fill="F2F2F2"/>
            <w:noWrap/>
            <w:vAlign w:val="bottom"/>
            <w:hideMark/>
          </w:tcPr>
          <w:p w14:paraId="5D281030"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w:t>
            </w:r>
          </w:p>
        </w:tc>
        <w:tc>
          <w:tcPr>
            <w:tcW w:w="1434" w:type="dxa"/>
            <w:tcBorders>
              <w:top w:val="nil"/>
              <w:left w:val="nil"/>
              <w:bottom w:val="single" w:sz="8" w:space="0" w:color="000000"/>
              <w:right w:val="single" w:sz="4" w:space="0" w:color="000000"/>
            </w:tcBorders>
            <w:shd w:val="clear" w:color="000000" w:fill="F2F2F2"/>
            <w:noWrap/>
            <w:vAlign w:val="bottom"/>
            <w:hideMark/>
          </w:tcPr>
          <w:p w14:paraId="6501DC8C"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0,758</w:t>
            </w:r>
          </w:p>
        </w:tc>
        <w:tc>
          <w:tcPr>
            <w:tcW w:w="795" w:type="dxa"/>
            <w:tcBorders>
              <w:top w:val="nil"/>
              <w:left w:val="nil"/>
              <w:bottom w:val="single" w:sz="8" w:space="0" w:color="000000"/>
              <w:right w:val="single" w:sz="4" w:space="0" w:color="000000"/>
            </w:tcBorders>
            <w:shd w:val="clear" w:color="000000" w:fill="F2F2F2"/>
            <w:noWrap/>
            <w:vAlign w:val="bottom"/>
            <w:hideMark/>
          </w:tcPr>
          <w:p w14:paraId="1376E245"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0</w:t>
            </w:r>
          </w:p>
        </w:tc>
        <w:tc>
          <w:tcPr>
            <w:tcW w:w="1434" w:type="dxa"/>
            <w:tcBorders>
              <w:top w:val="nil"/>
              <w:left w:val="nil"/>
              <w:bottom w:val="single" w:sz="8" w:space="0" w:color="000000"/>
              <w:right w:val="single" w:sz="4" w:space="0" w:color="000000"/>
            </w:tcBorders>
            <w:shd w:val="clear" w:color="000000" w:fill="F2F2F2"/>
            <w:noWrap/>
            <w:vAlign w:val="bottom"/>
            <w:hideMark/>
          </w:tcPr>
          <w:p w14:paraId="52D32AC3" w14:textId="77777777" w:rsidR="00922C2A" w:rsidRPr="00922C2A" w:rsidRDefault="00922C2A" w:rsidP="006F49C9">
            <w:pPr>
              <w:spacing w:before="0" w:after="0"/>
              <w:jc w:val="right"/>
              <w:rPr>
                <w:rFonts w:eastAsia="Times New Roman"/>
                <w:b/>
                <w:bCs/>
                <w:noProof/>
                <w:color w:val="000000"/>
                <w:sz w:val="18"/>
                <w:szCs w:val="18"/>
              </w:rPr>
            </w:pPr>
            <w:r w:rsidRPr="00922C2A">
              <w:rPr>
                <w:b/>
                <w:noProof/>
                <w:color w:val="000000"/>
                <w:sz w:val="18"/>
              </w:rPr>
              <w:t>1,408</w:t>
            </w:r>
          </w:p>
        </w:tc>
      </w:tr>
    </w:tbl>
    <w:p w14:paraId="7B2031EF" w14:textId="77777777" w:rsidR="00922C2A" w:rsidRPr="00922C2A" w:rsidRDefault="00922C2A" w:rsidP="00922C2A">
      <w:pPr>
        <w:jc w:val="right"/>
        <w:rPr>
          <w:noProof/>
          <w:sz w:val="18"/>
          <w:szCs w:val="18"/>
        </w:rPr>
      </w:pPr>
    </w:p>
    <w:p w14:paraId="1D288B26" w14:textId="77777777" w:rsidR="00922C2A" w:rsidRPr="00922C2A" w:rsidRDefault="00922C2A" w:rsidP="00922C2A">
      <w:pPr>
        <w:rPr>
          <w:noProof/>
        </w:rPr>
      </w:pPr>
    </w:p>
    <w:p w14:paraId="376EE4E1" w14:textId="77777777" w:rsidR="00922C2A" w:rsidRPr="00922C2A" w:rsidRDefault="00922C2A" w:rsidP="00922C2A">
      <w:pPr>
        <w:rPr>
          <w:noProof/>
        </w:rPr>
        <w:sectPr w:rsidR="00922C2A" w:rsidRPr="00922C2A" w:rsidSect="00492C75">
          <w:headerReference w:type="default" r:id="rId20"/>
          <w:footerReference w:type="default" r:id="rId21"/>
          <w:pgSz w:w="16840" w:h="11907" w:orient="landscape" w:code="9"/>
          <w:pgMar w:top="1134" w:right="1418" w:bottom="567" w:left="1418" w:header="709" w:footer="709" w:gutter="0"/>
          <w:cols w:space="708"/>
          <w:docGrid w:linePitch="360"/>
        </w:sectPr>
      </w:pPr>
    </w:p>
    <w:p w14:paraId="344F6ECB" w14:textId="77777777" w:rsidR="00922C2A" w:rsidRPr="00922C2A" w:rsidRDefault="00922C2A" w:rsidP="00922C2A">
      <w:pPr>
        <w:pStyle w:val="ManualHeading3"/>
        <w:rPr>
          <w:bCs/>
          <w:noProof/>
          <w:szCs w:val="24"/>
        </w:rPr>
      </w:pPr>
      <w:bookmarkStart w:id="162" w:name="_Toc514938055"/>
      <w:bookmarkStart w:id="163" w:name="_Toc520485054"/>
      <w:bookmarkStart w:id="164" w:name="_Toc160804598"/>
      <w:bookmarkStart w:id="165" w:name="_Toc167220290"/>
      <w:bookmarkStart w:id="166" w:name="_Toc177549023"/>
      <w:r w:rsidRPr="00922C2A">
        <w:rPr>
          <w:noProof/>
        </w:rPr>
        <w:t>3.2.3.</w:t>
      </w:r>
      <w:r w:rsidRPr="00922C2A">
        <w:rPr>
          <w:noProof/>
        </w:rPr>
        <w:tab/>
        <w:t>Synthèse de l’incidence estimée sur les crédits administratifs</w:t>
      </w:r>
      <w:bookmarkEnd w:id="162"/>
      <w:bookmarkEnd w:id="163"/>
      <w:bookmarkEnd w:id="164"/>
      <w:bookmarkEnd w:id="165"/>
      <w:bookmarkEnd w:id="166"/>
      <w:r w:rsidRPr="00922C2A">
        <w:rPr>
          <w:noProof/>
        </w:rPr>
        <w:t xml:space="preserve"> </w:t>
      </w:r>
    </w:p>
    <w:p w14:paraId="665A4087" w14:textId="77777777" w:rsidR="00922C2A" w:rsidRPr="00922C2A" w:rsidRDefault="00922C2A" w:rsidP="00922C2A">
      <w:pPr>
        <w:pStyle w:val="ListDash1"/>
        <w:rPr>
          <w:noProof/>
        </w:rPr>
      </w:pPr>
      <w:r w:rsidRPr="00922C2A">
        <w:rPr>
          <w:rFonts w:ascii="Wingdings" w:hAnsi="Wingdings"/>
          <w:noProof/>
        </w:rPr>
        <w:t></w:t>
      </w:r>
      <w:r w:rsidRPr="00922C2A">
        <w:rPr>
          <w:noProof/>
        </w:rPr>
        <w:tab/>
        <w:t xml:space="preserve">La proposition/l’initiative n’engendre pas l’utilisation de crédits de nature administrative </w:t>
      </w:r>
    </w:p>
    <w:p w14:paraId="2F6A72A1" w14:textId="77777777" w:rsidR="00922C2A" w:rsidRPr="00922C2A" w:rsidRDefault="00922C2A" w:rsidP="00922C2A">
      <w:pPr>
        <w:pStyle w:val="ListDash1"/>
        <w:rPr>
          <w:noProof/>
        </w:rPr>
      </w:pPr>
      <w:r w:rsidRPr="00922C2A">
        <w:rPr>
          <w:rFonts w:ascii="Wingdings" w:hAnsi="Wingdings"/>
          <w:noProof/>
        </w:rPr>
        <w:t></w:t>
      </w:r>
      <w:r w:rsidRPr="00922C2A">
        <w:rPr>
          <w:noProof/>
        </w:rPr>
        <w:tab/>
        <w:t>La proposition/l’initiative engendre l’utilisation de crédits de nature administrative, comme expliqué ci-après</w:t>
      </w:r>
    </w:p>
    <w:p w14:paraId="21BC606F" w14:textId="77777777" w:rsidR="00922C2A" w:rsidRPr="00922C2A" w:rsidRDefault="00922C2A" w:rsidP="00922C2A">
      <w:pPr>
        <w:pStyle w:val="ManualHeading3"/>
        <w:rPr>
          <w:noProof/>
        </w:rPr>
      </w:pPr>
      <w:bookmarkStart w:id="167" w:name="_Toc167220291"/>
      <w:bookmarkStart w:id="168" w:name="_Toc177549024"/>
      <w:r w:rsidRPr="00922C2A">
        <w:rPr>
          <w:noProof/>
        </w:rPr>
        <w:t>3.2.3.1. Crédits issus du budget voté</w:t>
      </w:r>
      <w:bookmarkEnd w:id="167"/>
      <w:bookmarkEnd w:id="168"/>
    </w:p>
    <w:p w14:paraId="52CC42E9" w14:textId="77777777" w:rsidR="00922C2A" w:rsidRPr="00922C2A" w:rsidRDefault="00922C2A" w:rsidP="00922C2A">
      <w:pPr>
        <w:jc w:val="right"/>
        <w:rPr>
          <w:noProof/>
          <w:sz w:val="18"/>
          <w:szCs w:val="18"/>
        </w:rPr>
      </w:pPr>
      <w:r w:rsidRPr="00922C2A">
        <w:rPr>
          <w:noProof/>
          <w:sz w:val="18"/>
        </w:rPr>
        <w:t>En Mio EUR (à la 3</w:t>
      </w:r>
      <w:r w:rsidRPr="00922C2A">
        <w:rPr>
          <w:noProof/>
          <w:sz w:val="18"/>
          <w:vertAlign w:val="superscript"/>
        </w:rPr>
        <w:t>e</w:t>
      </w:r>
      <w:r w:rsidRPr="00922C2A">
        <w:rPr>
          <w:noProof/>
          <w:sz w:val="18"/>
        </w:rPr>
        <w:t> décimale)</w:t>
      </w:r>
    </w:p>
    <w:tbl>
      <w:tblPr>
        <w:tblW w:w="7946" w:type="dxa"/>
        <w:tblInd w:w="118" w:type="dxa"/>
        <w:tblLook w:val="04A0" w:firstRow="1" w:lastRow="0" w:firstColumn="1" w:lastColumn="0" w:noHBand="0" w:noVBand="1"/>
      </w:tblPr>
      <w:tblGrid>
        <w:gridCol w:w="3405"/>
        <w:gridCol w:w="874"/>
        <w:gridCol w:w="893"/>
        <w:gridCol w:w="893"/>
        <w:gridCol w:w="893"/>
        <w:gridCol w:w="988"/>
      </w:tblGrid>
      <w:tr w:rsidR="00922C2A" w:rsidRPr="00922C2A" w14:paraId="6EC596D3" w14:textId="77777777" w:rsidTr="006F49C9">
        <w:trPr>
          <w:trHeight w:val="300"/>
        </w:trPr>
        <w:tc>
          <w:tcPr>
            <w:tcW w:w="3405"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012FD484" w14:textId="77777777" w:rsidR="00922C2A" w:rsidRPr="00922C2A" w:rsidRDefault="00922C2A" w:rsidP="006F49C9">
            <w:pPr>
              <w:spacing w:before="0" w:after="0"/>
              <w:jc w:val="center"/>
              <w:rPr>
                <w:rFonts w:eastAsia="Times New Roman"/>
                <w:b/>
                <w:bCs/>
                <w:noProof/>
                <w:color w:val="000000"/>
                <w:sz w:val="18"/>
                <w:szCs w:val="18"/>
              </w:rPr>
            </w:pPr>
            <w:r w:rsidRPr="00922C2A">
              <w:rPr>
                <w:b/>
                <w:noProof/>
                <w:color w:val="000000"/>
                <w:sz w:val="18"/>
              </w:rPr>
              <w:t>CRÉDITS VOTÉS</w:t>
            </w:r>
          </w:p>
        </w:tc>
        <w:tc>
          <w:tcPr>
            <w:tcW w:w="874" w:type="dxa"/>
            <w:tcBorders>
              <w:top w:val="single" w:sz="8" w:space="0" w:color="auto"/>
              <w:left w:val="nil"/>
              <w:bottom w:val="single" w:sz="8" w:space="0" w:color="auto"/>
              <w:right w:val="single" w:sz="8" w:space="0" w:color="auto"/>
            </w:tcBorders>
            <w:shd w:val="clear" w:color="auto" w:fill="auto"/>
            <w:vAlign w:val="center"/>
            <w:hideMark/>
          </w:tcPr>
          <w:p w14:paraId="22F886B3" w14:textId="77777777" w:rsidR="00922C2A" w:rsidRPr="00922C2A" w:rsidRDefault="00922C2A" w:rsidP="006F49C9">
            <w:pPr>
              <w:spacing w:before="0" w:after="0"/>
              <w:jc w:val="center"/>
              <w:rPr>
                <w:rFonts w:eastAsia="Times New Roman"/>
                <w:noProof/>
                <w:color w:val="000000"/>
                <w:sz w:val="18"/>
                <w:szCs w:val="18"/>
              </w:rPr>
            </w:pPr>
            <w:r w:rsidRPr="00922C2A">
              <w:rPr>
                <w:noProof/>
                <w:color w:val="000000"/>
                <w:sz w:val="18"/>
              </w:rPr>
              <w:t>Année</w:t>
            </w:r>
          </w:p>
        </w:tc>
        <w:tc>
          <w:tcPr>
            <w:tcW w:w="893" w:type="dxa"/>
            <w:tcBorders>
              <w:top w:val="single" w:sz="8" w:space="0" w:color="auto"/>
              <w:left w:val="nil"/>
              <w:bottom w:val="single" w:sz="8" w:space="0" w:color="auto"/>
              <w:right w:val="single" w:sz="8" w:space="0" w:color="auto"/>
            </w:tcBorders>
            <w:shd w:val="clear" w:color="auto" w:fill="auto"/>
            <w:vAlign w:val="center"/>
            <w:hideMark/>
          </w:tcPr>
          <w:p w14:paraId="33544417" w14:textId="77777777" w:rsidR="00922C2A" w:rsidRPr="00922C2A" w:rsidRDefault="00922C2A" w:rsidP="006F49C9">
            <w:pPr>
              <w:spacing w:before="0" w:after="0"/>
              <w:jc w:val="center"/>
              <w:rPr>
                <w:rFonts w:eastAsia="Times New Roman"/>
                <w:noProof/>
                <w:color w:val="000000"/>
                <w:sz w:val="18"/>
                <w:szCs w:val="18"/>
              </w:rPr>
            </w:pPr>
            <w:r w:rsidRPr="00922C2A">
              <w:rPr>
                <w:noProof/>
                <w:color w:val="000000"/>
                <w:sz w:val="18"/>
              </w:rPr>
              <w:t>Année</w:t>
            </w:r>
          </w:p>
        </w:tc>
        <w:tc>
          <w:tcPr>
            <w:tcW w:w="893" w:type="dxa"/>
            <w:tcBorders>
              <w:top w:val="single" w:sz="8" w:space="0" w:color="auto"/>
              <w:left w:val="nil"/>
              <w:bottom w:val="single" w:sz="8" w:space="0" w:color="auto"/>
              <w:right w:val="single" w:sz="8" w:space="0" w:color="auto"/>
            </w:tcBorders>
            <w:shd w:val="clear" w:color="auto" w:fill="auto"/>
            <w:vAlign w:val="center"/>
            <w:hideMark/>
          </w:tcPr>
          <w:p w14:paraId="42C4FB23" w14:textId="77777777" w:rsidR="00922C2A" w:rsidRPr="00922C2A" w:rsidRDefault="00922C2A" w:rsidP="006F49C9">
            <w:pPr>
              <w:spacing w:before="0" w:after="0"/>
              <w:jc w:val="center"/>
              <w:rPr>
                <w:rFonts w:eastAsia="Times New Roman"/>
                <w:noProof/>
                <w:color w:val="000000"/>
                <w:sz w:val="18"/>
                <w:szCs w:val="18"/>
              </w:rPr>
            </w:pPr>
            <w:r w:rsidRPr="00922C2A">
              <w:rPr>
                <w:noProof/>
                <w:color w:val="000000"/>
                <w:sz w:val="18"/>
              </w:rPr>
              <w:t>Année</w:t>
            </w:r>
          </w:p>
        </w:tc>
        <w:tc>
          <w:tcPr>
            <w:tcW w:w="893" w:type="dxa"/>
            <w:tcBorders>
              <w:top w:val="single" w:sz="8" w:space="0" w:color="auto"/>
              <w:left w:val="nil"/>
              <w:bottom w:val="single" w:sz="8" w:space="0" w:color="auto"/>
              <w:right w:val="single" w:sz="8" w:space="0" w:color="auto"/>
            </w:tcBorders>
            <w:shd w:val="clear" w:color="auto" w:fill="auto"/>
            <w:vAlign w:val="center"/>
            <w:hideMark/>
          </w:tcPr>
          <w:p w14:paraId="19E34891" w14:textId="77777777" w:rsidR="00922C2A" w:rsidRPr="00922C2A" w:rsidRDefault="00922C2A" w:rsidP="006F49C9">
            <w:pPr>
              <w:spacing w:before="0" w:after="0"/>
              <w:jc w:val="center"/>
              <w:rPr>
                <w:rFonts w:eastAsia="Times New Roman"/>
                <w:noProof/>
                <w:color w:val="000000"/>
                <w:sz w:val="18"/>
                <w:szCs w:val="18"/>
              </w:rPr>
            </w:pPr>
            <w:r w:rsidRPr="00922C2A">
              <w:rPr>
                <w:noProof/>
                <w:color w:val="000000"/>
                <w:sz w:val="18"/>
              </w:rPr>
              <w:t>Année</w:t>
            </w:r>
          </w:p>
        </w:tc>
        <w:tc>
          <w:tcPr>
            <w:tcW w:w="988"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3F63B28D" w14:textId="77777777" w:rsidR="00922C2A" w:rsidRPr="00922C2A" w:rsidRDefault="00922C2A" w:rsidP="006F49C9">
            <w:pPr>
              <w:spacing w:before="0" w:after="0"/>
              <w:jc w:val="center"/>
              <w:rPr>
                <w:rFonts w:eastAsia="Times New Roman"/>
                <w:b/>
                <w:bCs/>
                <w:noProof/>
                <w:color w:val="000000"/>
                <w:sz w:val="18"/>
                <w:szCs w:val="18"/>
              </w:rPr>
            </w:pPr>
            <w:r w:rsidRPr="00922C2A">
              <w:rPr>
                <w:b/>
                <w:noProof/>
                <w:color w:val="000000"/>
                <w:sz w:val="18"/>
              </w:rPr>
              <w:t>TOTAL</w:t>
            </w:r>
            <w:r w:rsidRPr="00922C2A">
              <w:rPr>
                <w:b/>
                <w:noProof/>
                <w:color w:val="000000"/>
                <w:sz w:val="18"/>
              </w:rPr>
              <w:cr/>
            </w:r>
            <w:r w:rsidRPr="00922C2A">
              <w:rPr>
                <w:b/>
                <w:noProof/>
                <w:color w:val="000000"/>
                <w:sz w:val="18"/>
              </w:rPr>
              <w:br/>
              <w:t>2021-2027</w:t>
            </w:r>
          </w:p>
        </w:tc>
      </w:tr>
      <w:tr w:rsidR="00922C2A" w:rsidRPr="00922C2A" w14:paraId="50745054" w14:textId="77777777" w:rsidTr="006F49C9">
        <w:trPr>
          <w:trHeight w:val="315"/>
        </w:trPr>
        <w:tc>
          <w:tcPr>
            <w:tcW w:w="3405" w:type="dxa"/>
            <w:vMerge/>
            <w:tcBorders>
              <w:top w:val="single" w:sz="8" w:space="0" w:color="auto"/>
              <w:left w:val="single" w:sz="8" w:space="0" w:color="auto"/>
              <w:bottom w:val="single" w:sz="8" w:space="0" w:color="auto"/>
              <w:right w:val="single" w:sz="8" w:space="0" w:color="auto"/>
            </w:tcBorders>
            <w:vAlign w:val="center"/>
            <w:hideMark/>
          </w:tcPr>
          <w:p w14:paraId="2D38010F" w14:textId="77777777" w:rsidR="00922C2A" w:rsidRPr="00922C2A" w:rsidRDefault="00922C2A" w:rsidP="006F49C9">
            <w:pPr>
              <w:spacing w:before="0" w:after="0"/>
              <w:jc w:val="left"/>
              <w:rPr>
                <w:rFonts w:eastAsia="Times New Roman"/>
                <w:b/>
                <w:bCs/>
                <w:noProof/>
                <w:color w:val="000000"/>
                <w:sz w:val="18"/>
                <w:szCs w:val="18"/>
                <w:lang w:eastAsia="en-IE"/>
              </w:rPr>
            </w:pPr>
          </w:p>
        </w:tc>
        <w:tc>
          <w:tcPr>
            <w:tcW w:w="874" w:type="dxa"/>
            <w:tcBorders>
              <w:top w:val="nil"/>
              <w:left w:val="nil"/>
              <w:bottom w:val="single" w:sz="8" w:space="0" w:color="auto"/>
              <w:right w:val="single" w:sz="8" w:space="0" w:color="auto"/>
            </w:tcBorders>
            <w:shd w:val="clear" w:color="auto" w:fill="auto"/>
            <w:vAlign w:val="center"/>
            <w:hideMark/>
          </w:tcPr>
          <w:p w14:paraId="588D5F36" w14:textId="77777777" w:rsidR="00922C2A" w:rsidRPr="00922C2A" w:rsidRDefault="00922C2A" w:rsidP="006F49C9">
            <w:pPr>
              <w:spacing w:before="0" w:after="0"/>
              <w:jc w:val="center"/>
              <w:rPr>
                <w:rFonts w:eastAsia="Times New Roman"/>
                <w:b/>
                <w:bCs/>
                <w:noProof/>
                <w:color w:val="000000"/>
                <w:sz w:val="18"/>
                <w:szCs w:val="18"/>
              </w:rPr>
            </w:pPr>
            <w:r w:rsidRPr="00922C2A">
              <w:rPr>
                <w:b/>
                <w:noProof/>
                <w:color w:val="000000"/>
                <w:sz w:val="18"/>
              </w:rPr>
              <w:t>2024</w:t>
            </w:r>
          </w:p>
        </w:tc>
        <w:tc>
          <w:tcPr>
            <w:tcW w:w="893" w:type="dxa"/>
            <w:tcBorders>
              <w:top w:val="nil"/>
              <w:left w:val="nil"/>
              <w:bottom w:val="single" w:sz="8" w:space="0" w:color="auto"/>
              <w:right w:val="single" w:sz="8" w:space="0" w:color="auto"/>
            </w:tcBorders>
            <w:shd w:val="clear" w:color="auto" w:fill="auto"/>
            <w:vAlign w:val="center"/>
            <w:hideMark/>
          </w:tcPr>
          <w:p w14:paraId="428A6E63" w14:textId="77777777" w:rsidR="00922C2A" w:rsidRPr="00922C2A" w:rsidRDefault="00922C2A" w:rsidP="006F49C9">
            <w:pPr>
              <w:spacing w:before="0" w:after="0"/>
              <w:jc w:val="center"/>
              <w:rPr>
                <w:rFonts w:eastAsia="Times New Roman"/>
                <w:b/>
                <w:bCs/>
                <w:noProof/>
                <w:color w:val="000000"/>
                <w:sz w:val="18"/>
                <w:szCs w:val="18"/>
              </w:rPr>
            </w:pPr>
            <w:r w:rsidRPr="00922C2A">
              <w:rPr>
                <w:b/>
                <w:noProof/>
                <w:color w:val="000000"/>
                <w:sz w:val="18"/>
              </w:rPr>
              <w:t>2025</w:t>
            </w:r>
          </w:p>
        </w:tc>
        <w:tc>
          <w:tcPr>
            <w:tcW w:w="893" w:type="dxa"/>
            <w:tcBorders>
              <w:top w:val="nil"/>
              <w:left w:val="nil"/>
              <w:bottom w:val="single" w:sz="8" w:space="0" w:color="auto"/>
              <w:right w:val="single" w:sz="8" w:space="0" w:color="auto"/>
            </w:tcBorders>
            <w:shd w:val="clear" w:color="auto" w:fill="auto"/>
            <w:vAlign w:val="center"/>
            <w:hideMark/>
          </w:tcPr>
          <w:p w14:paraId="53B9A8A6" w14:textId="77777777" w:rsidR="00922C2A" w:rsidRPr="00922C2A" w:rsidRDefault="00922C2A" w:rsidP="006F49C9">
            <w:pPr>
              <w:spacing w:before="0" w:after="0"/>
              <w:jc w:val="center"/>
              <w:rPr>
                <w:rFonts w:eastAsia="Times New Roman"/>
                <w:b/>
                <w:bCs/>
                <w:noProof/>
                <w:color w:val="000000"/>
                <w:sz w:val="18"/>
                <w:szCs w:val="18"/>
              </w:rPr>
            </w:pPr>
            <w:r w:rsidRPr="00922C2A">
              <w:rPr>
                <w:b/>
                <w:noProof/>
                <w:color w:val="000000"/>
                <w:sz w:val="18"/>
              </w:rPr>
              <w:t>2026</w:t>
            </w:r>
          </w:p>
        </w:tc>
        <w:tc>
          <w:tcPr>
            <w:tcW w:w="893" w:type="dxa"/>
            <w:tcBorders>
              <w:top w:val="nil"/>
              <w:left w:val="nil"/>
              <w:bottom w:val="single" w:sz="8" w:space="0" w:color="auto"/>
              <w:right w:val="single" w:sz="8" w:space="0" w:color="auto"/>
            </w:tcBorders>
            <w:shd w:val="clear" w:color="auto" w:fill="auto"/>
            <w:vAlign w:val="center"/>
            <w:hideMark/>
          </w:tcPr>
          <w:p w14:paraId="1487DC99" w14:textId="77777777" w:rsidR="00922C2A" w:rsidRPr="00922C2A" w:rsidRDefault="00922C2A" w:rsidP="006F49C9">
            <w:pPr>
              <w:spacing w:before="0" w:after="0"/>
              <w:jc w:val="center"/>
              <w:rPr>
                <w:rFonts w:eastAsia="Times New Roman"/>
                <w:b/>
                <w:bCs/>
                <w:noProof/>
                <w:color w:val="000000"/>
                <w:sz w:val="18"/>
                <w:szCs w:val="18"/>
              </w:rPr>
            </w:pPr>
            <w:r w:rsidRPr="00922C2A">
              <w:rPr>
                <w:b/>
                <w:noProof/>
                <w:color w:val="000000"/>
                <w:sz w:val="18"/>
              </w:rPr>
              <w:t>2027</w:t>
            </w:r>
          </w:p>
        </w:tc>
        <w:tc>
          <w:tcPr>
            <w:tcW w:w="988" w:type="dxa"/>
            <w:vMerge/>
            <w:tcBorders>
              <w:top w:val="single" w:sz="8" w:space="0" w:color="auto"/>
              <w:left w:val="single" w:sz="8" w:space="0" w:color="auto"/>
              <w:bottom w:val="single" w:sz="8" w:space="0" w:color="auto"/>
              <w:right w:val="single" w:sz="8" w:space="0" w:color="auto"/>
            </w:tcBorders>
            <w:vAlign w:val="center"/>
            <w:hideMark/>
          </w:tcPr>
          <w:p w14:paraId="3B268976" w14:textId="77777777" w:rsidR="00922C2A" w:rsidRPr="00922C2A" w:rsidRDefault="00922C2A" w:rsidP="006F49C9">
            <w:pPr>
              <w:spacing w:before="0" w:after="0"/>
              <w:jc w:val="left"/>
              <w:rPr>
                <w:rFonts w:eastAsia="Times New Roman"/>
                <w:b/>
                <w:bCs/>
                <w:noProof/>
                <w:color w:val="000000"/>
                <w:sz w:val="18"/>
                <w:szCs w:val="18"/>
                <w:lang w:eastAsia="en-IE"/>
              </w:rPr>
            </w:pPr>
          </w:p>
        </w:tc>
      </w:tr>
      <w:tr w:rsidR="00922C2A" w:rsidRPr="00922C2A" w14:paraId="752FAB28" w14:textId="77777777" w:rsidTr="006F49C9">
        <w:trPr>
          <w:trHeight w:val="781"/>
        </w:trPr>
        <w:tc>
          <w:tcPr>
            <w:tcW w:w="7946" w:type="dxa"/>
            <w:gridSpan w:val="6"/>
            <w:tcBorders>
              <w:top w:val="single" w:sz="8" w:space="0" w:color="auto"/>
              <w:left w:val="single" w:sz="8" w:space="0" w:color="auto"/>
              <w:bottom w:val="single" w:sz="8" w:space="0" w:color="auto"/>
              <w:right w:val="nil"/>
            </w:tcBorders>
            <w:shd w:val="clear" w:color="auto" w:fill="auto"/>
            <w:vAlign w:val="center"/>
            <w:hideMark/>
          </w:tcPr>
          <w:p w14:paraId="193A85E7" w14:textId="77777777" w:rsidR="00922C2A" w:rsidRPr="00922C2A" w:rsidRDefault="00922C2A" w:rsidP="006F49C9">
            <w:pPr>
              <w:spacing w:before="0" w:after="0"/>
              <w:jc w:val="left"/>
              <w:rPr>
                <w:rFonts w:eastAsia="Times New Roman"/>
                <w:b/>
                <w:bCs/>
                <w:noProof/>
                <w:sz w:val="16"/>
                <w:szCs w:val="16"/>
              </w:rPr>
            </w:pPr>
            <w:r w:rsidRPr="00922C2A">
              <w:rPr>
                <w:b/>
                <w:noProof/>
                <w:sz w:val="16"/>
              </w:rPr>
              <w:t>RUBRIQUE 7</w:t>
            </w:r>
          </w:p>
        </w:tc>
      </w:tr>
      <w:tr w:rsidR="00922C2A" w:rsidRPr="00922C2A" w14:paraId="0E4C5F7F" w14:textId="77777777" w:rsidTr="006F49C9">
        <w:trPr>
          <w:trHeight w:val="315"/>
        </w:trPr>
        <w:tc>
          <w:tcPr>
            <w:tcW w:w="3405" w:type="dxa"/>
            <w:tcBorders>
              <w:top w:val="nil"/>
              <w:left w:val="single" w:sz="8" w:space="0" w:color="auto"/>
              <w:bottom w:val="single" w:sz="8" w:space="0" w:color="auto"/>
              <w:right w:val="single" w:sz="8" w:space="0" w:color="auto"/>
            </w:tcBorders>
            <w:shd w:val="clear" w:color="auto" w:fill="auto"/>
            <w:vAlign w:val="center"/>
            <w:hideMark/>
          </w:tcPr>
          <w:p w14:paraId="40C61F3B" w14:textId="77777777" w:rsidR="00922C2A" w:rsidRPr="00922C2A" w:rsidRDefault="00922C2A" w:rsidP="006F49C9">
            <w:pPr>
              <w:spacing w:before="0" w:after="0"/>
              <w:jc w:val="left"/>
              <w:rPr>
                <w:rFonts w:eastAsia="Times New Roman"/>
                <w:noProof/>
                <w:color w:val="000000"/>
                <w:sz w:val="16"/>
                <w:szCs w:val="16"/>
              </w:rPr>
            </w:pPr>
            <w:r w:rsidRPr="00922C2A">
              <w:rPr>
                <w:noProof/>
                <w:color w:val="000000"/>
                <w:sz w:val="16"/>
              </w:rPr>
              <w:t xml:space="preserve">Ressources humaines </w:t>
            </w:r>
          </w:p>
        </w:tc>
        <w:tc>
          <w:tcPr>
            <w:tcW w:w="874" w:type="dxa"/>
            <w:tcBorders>
              <w:top w:val="nil"/>
              <w:left w:val="nil"/>
              <w:bottom w:val="single" w:sz="8" w:space="0" w:color="auto"/>
              <w:right w:val="single" w:sz="8" w:space="0" w:color="auto"/>
            </w:tcBorders>
            <w:shd w:val="clear" w:color="000000" w:fill="D9D9D9"/>
            <w:vAlign w:val="center"/>
            <w:hideMark/>
          </w:tcPr>
          <w:p w14:paraId="0BA90476"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0,000</w:t>
            </w:r>
          </w:p>
        </w:tc>
        <w:tc>
          <w:tcPr>
            <w:tcW w:w="893" w:type="dxa"/>
            <w:tcBorders>
              <w:top w:val="nil"/>
              <w:left w:val="nil"/>
              <w:bottom w:val="single" w:sz="8" w:space="0" w:color="auto"/>
              <w:right w:val="single" w:sz="8" w:space="0" w:color="auto"/>
            </w:tcBorders>
            <w:shd w:val="clear" w:color="000000" w:fill="D9D9D9"/>
            <w:vAlign w:val="center"/>
            <w:hideMark/>
          </w:tcPr>
          <w:p w14:paraId="6E1CD72A"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0,000</w:t>
            </w:r>
          </w:p>
        </w:tc>
        <w:tc>
          <w:tcPr>
            <w:tcW w:w="893"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63775E37"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1,793</w:t>
            </w:r>
          </w:p>
        </w:tc>
        <w:tc>
          <w:tcPr>
            <w:tcW w:w="893" w:type="dxa"/>
            <w:tcBorders>
              <w:top w:val="single" w:sz="8" w:space="0" w:color="auto"/>
              <w:left w:val="nil"/>
              <w:bottom w:val="single" w:sz="8" w:space="0" w:color="auto"/>
              <w:right w:val="single" w:sz="8" w:space="0" w:color="auto"/>
            </w:tcBorders>
            <w:shd w:val="clear" w:color="000000" w:fill="D9D9D9"/>
            <w:vAlign w:val="center"/>
            <w:hideMark/>
          </w:tcPr>
          <w:p w14:paraId="75665CD6"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3,586</w:t>
            </w:r>
          </w:p>
        </w:tc>
        <w:tc>
          <w:tcPr>
            <w:tcW w:w="988" w:type="dxa"/>
            <w:tcBorders>
              <w:top w:val="single" w:sz="8" w:space="0" w:color="auto"/>
              <w:left w:val="nil"/>
              <w:bottom w:val="single" w:sz="8" w:space="0" w:color="auto"/>
              <w:right w:val="single" w:sz="8" w:space="0" w:color="auto"/>
            </w:tcBorders>
            <w:shd w:val="clear" w:color="000000" w:fill="D9D9D9"/>
            <w:vAlign w:val="center"/>
            <w:hideMark/>
          </w:tcPr>
          <w:p w14:paraId="73047D6B"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5,379</w:t>
            </w:r>
          </w:p>
        </w:tc>
      </w:tr>
      <w:tr w:rsidR="00922C2A" w:rsidRPr="00922C2A" w14:paraId="75CEA156" w14:textId="77777777" w:rsidTr="006F49C9">
        <w:trPr>
          <w:trHeight w:val="315"/>
        </w:trPr>
        <w:tc>
          <w:tcPr>
            <w:tcW w:w="3405" w:type="dxa"/>
            <w:tcBorders>
              <w:top w:val="nil"/>
              <w:left w:val="single" w:sz="8" w:space="0" w:color="auto"/>
              <w:bottom w:val="single" w:sz="8" w:space="0" w:color="auto"/>
              <w:right w:val="single" w:sz="8" w:space="0" w:color="auto"/>
            </w:tcBorders>
            <w:shd w:val="clear" w:color="auto" w:fill="auto"/>
            <w:vAlign w:val="center"/>
            <w:hideMark/>
          </w:tcPr>
          <w:p w14:paraId="22F834B9" w14:textId="77777777" w:rsidR="00922C2A" w:rsidRPr="00922C2A" w:rsidRDefault="00922C2A" w:rsidP="006F49C9">
            <w:pPr>
              <w:spacing w:before="0" w:after="0"/>
              <w:jc w:val="left"/>
              <w:rPr>
                <w:rFonts w:eastAsia="Times New Roman"/>
                <w:noProof/>
                <w:color w:val="000000"/>
                <w:sz w:val="16"/>
                <w:szCs w:val="16"/>
              </w:rPr>
            </w:pPr>
            <w:r w:rsidRPr="00922C2A">
              <w:rPr>
                <w:noProof/>
                <w:color w:val="000000"/>
                <w:sz w:val="16"/>
              </w:rPr>
              <w:t xml:space="preserve">Autres dépenses administratives </w:t>
            </w:r>
          </w:p>
        </w:tc>
        <w:tc>
          <w:tcPr>
            <w:tcW w:w="874" w:type="dxa"/>
            <w:tcBorders>
              <w:top w:val="nil"/>
              <w:left w:val="nil"/>
              <w:bottom w:val="single" w:sz="8" w:space="0" w:color="auto"/>
              <w:right w:val="single" w:sz="8" w:space="0" w:color="auto"/>
            </w:tcBorders>
            <w:shd w:val="clear" w:color="000000" w:fill="D9D9D9"/>
            <w:vAlign w:val="center"/>
            <w:hideMark/>
          </w:tcPr>
          <w:p w14:paraId="270B6FC8"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0,000</w:t>
            </w:r>
          </w:p>
        </w:tc>
        <w:tc>
          <w:tcPr>
            <w:tcW w:w="893" w:type="dxa"/>
            <w:tcBorders>
              <w:top w:val="nil"/>
              <w:left w:val="nil"/>
              <w:bottom w:val="single" w:sz="8" w:space="0" w:color="auto"/>
              <w:right w:val="single" w:sz="8" w:space="0" w:color="auto"/>
            </w:tcBorders>
            <w:shd w:val="clear" w:color="000000" w:fill="D9D9D9"/>
            <w:vAlign w:val="center"/>
            <w:hideMark/>
          </w:tcPr>
          <w:p w14:paraId="7CCC0593"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0,000</w:t>
            </w:r>
          </w:p>
        </w:tc>
        <w:tc>
          <w:tcPr>
            <w:tcW w:w="893" w:type="dxa"/>
            <w:tcBorders>
              <w:top w:val="nil"/>
              <w:left w:val="single" w:sz="8" w:space="0" w:color="auto"/>
              <w:bottom w:val="single" w:sz="8" w:space="0" w:color="auto"/>
              <w:right w:val="single" w:sz="8" w:space="0" w:color="auto"/>
            </w:tcBorders>
            <w:shd w:val="clear" w:color="000000" w:fill="D9D9D9"/>
            <w:vAlign w:val="center"/>
            <w:hideMark/>
          </w:tcPr>
          <w:p w14:paraId="39FEC1E7"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0,035</w:t>
            </w:r>
          </w:p>
        </w:tc>
        <w:tc>
          <w:tcPr>
            <w:tcW w:w="893" w:type="dxa"/>
            <w:tcBorders>
              <w:top w:val="nil"/>
              <w:left w:val="nil"/>
              <w:bottom w:val="single" w:sz="8" w:space="0" w:color="auto"/>
              <w:right w:val="single" w:sz="8" w:space="0" w:color="auto"/>
            </w:tcBorders>
            <w:shd w:val="clear" w:color="000000" w:fill="D9D9D9"/>
            <w:vAlign w:val="center"/>
            <w:hideMark/>
          </w:tcPr>
          <w:p w14:paraId="7D618B2A"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0,070</w:t>
            </w:r>
          </w:p>
        </w:tc>
        <w:tc>
          <w:tcPr>
            <w:tcW w:w="988" w:type="dxa"/>
            <w:tcBorders>
              <w:top w:val="nil"/>
              <w:left w:val="nil"/>
              <w:bottom w:val="single" w:sz="8" w:space="0" w:color="auto"/>
              <w:right w:val="single" w:sz="8" w:space="0" w:color="auto"/>
            </w:tcBorders>
            <w:shd w:val="clear" w:color="000000" w:fill="D9D9D9"/>
            <w:vAlign w:val="center"/>
            <w:hideMark/>
          </w:tcPr>
          <w:p w14:paraId="2224B8B4"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0,105</w:t>
            </w:r>
          </w:p>
        </w:tc>
      </w:tr>
      <w:tr w:rsidR="00922C2A" w:rsidRPr="00922C2A" w14:paraId="3E912A5B" w14:textId="77777777" w:rsidTr="006F49C9">
        <w:trPr>
          <w:trHeight w:val="736"/>
        </w:trPr>
        <w:tc>
          <w:tcPr>
            <w:tcW w:w="3405" w:type="dxa"/>
            <w:tcBorders>
              <w:top w:val="nil"/>
              <w:left w:val="single" w:sz="8" w:space="0" w:color="auto"/>
              <w:bottom w:val="single" w:sz="8" w:space="0" w:color="auto"/>
              <w:right w:val="single" w:sz="8" w:space="0" w:color="auto"/>
            </w:tcBorders>
            <w:shd w:val="clear" w:color="000000" w:fill="CCCCCC"/>
            <w:vAlign w:val="center"/>
            <w:hideMark/>
          </w:tcPr>
          <w:p w14:paraId="1310592E" w14:textId="77777777" w:rsidR="00922C2A" w:rsidRPr="00922C2A" w:rsidRDefault="00922C2A" w:rsidP="006F49C9">
            <w:pPr>
              <w:spacing w:before="0" w:after="0"/>
              <w:jc w:val="center"/>
              <w:rPr>
                <w:rFonts w:eastAsia="Times New Roman"/>
                <w:b/>
                <w:bCs/>
                <w:noProof/>
                <w:color w:val="000000"/>
                <w:sz w:val="16"/>
                <w:szCs w:val="16"/>
              </w:rPr>
            </w:pPr>
            <w:r w:rsidRPr="00922C2A">
              <w:rPr>
                <w:b/>
                <w:noProof/>
                <w:color w:val="000000"/>
                <w:sz w:val="16"/>
              </w:rPr>
              <w:t>Sous-total RUBRIQUE 7</w:t>
            </w:r>
          </w:p>
        </w:tc>
        <w:tc>
          <w:tcPr>
            <w:tcW w:w="874" w:type="dxa"/>
            <w:tcBorders>
              <w:top w:val="nil"/>
              <w:left w:val="nil"/>
              <w:bottom w:val="single" w:sz="8" w:space="0" w:color="auto"/>
              <w:right w:val="single" w:sz="8" w:space="0" w:color="auto"/>
            </w:tcBorders>
            <w:shd w:val="clear" w:color="000000" w:fill="D9D9D9"/>
            <w:vAlign w:val="center"/>
            <w:hideMark/>
          </w:tcPr>
          <w:p w14:paraId="7539F3C7"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0,000</w:t>
            </w:r>
          </w:p>
        </w:tc>
        <w:tc>
          <w:tcPr>
            <w:tcW w:w="893" w:type="dxa"/>
            <w:tcBorders>
              <w:top w:val="nil"/>
              <w:left w:val="nil"/>
              <w:bottom w:val="single" w:sz="8" w:space="0" w:color="auto"/>
              <w:right w:val="single" w:sz="8" w:space="0" w:color="auto"/>
            </w:tcBorders>
            <w:shd w:val="clear" w:color="000000" w:fill="D9D9D9"/>
            <w:vAlign w:val="center"/>
            <w:hideMark/>
          </w:tcPr>
          <w:p w14:paraId="4B4A10BA"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0,000</w:t>
            </w:r>
          </w:p>
        </w:tc>
        <w:tc>
          <w:tcPr>
            <w:tcW w:w="893" w:type="dxa"/>
            <w:tcBorders>
              <w:top w:val="nil"/>
              <w:left w:val="single" w:sz="8" w:space="0" w:color="auto"/>
              <w:bottom w:val="single" w:sz="8" w:space="0" w:color="auto"/>
              <w:right w:val="single" w:sz="8" w:space="0" w:color="auto"/>
            </w:tcBorders>
            <w:shd w:val="clear" w:color="000000" w:fill="D9D9D9"/>
            <w:vAlign w:val="center"/>
            <w:hideMark/>
          </w:tcPr>
          <w:p w14:paraId="73709E16"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1,828</w:t>
            </w:r>
          </w:p>
        </w:tc>
        <w:tc>
          <w:tcPr>
            <w:tcW w:w="893" w:type="dxa"/>
            <w:tcBorders>
              <w:top w:val="nil"/>
              <w:left w:val="nil"/>
              <w:bottom w:val="single" w:sz="8" w:space="0" w:color="auto"/>
              <w:right w:val="single" w:sz="8" w:space="0" w:color="auto"/>
            </w:tcBorders>
            <w:shd w:val="clear" w:color="000000" w:fill="D9D9D9"/>
            <w:vAlign w:val="center"/>
            <w:hideMark/>
          </w:tcPr>
          <w:p w14:paraId="426DAF1F"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3,656</w:t>
            </w:r>
          </w:p>
        </w:tc>
        <w:tc>
          <w:tcPr>
            <w:tcW w:w="988" w:type="dxa"/>
            <w:tcBorders>
              <w:top w:val="nil"/>
              <w:left w:val="nil"/>
              <w:bottom w:val="single" w:sz="8" w:space="0" w:color="auto"/>
              <w:right w:val="single" w:sz="8" w:space="0" w:color="auto"/>
            </w:tcBorders>
            <w:shd w:val="clear" w:color="000000" w:fill="D9D9D9"/>
            <w:vAlign w:val="center"/>
            <w:hideMark/>
          </w:tcPr>
          <w:p w14:paraId="04E41F4B"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5,484</w:t>
            </w:r>
          </w:p>
        </w:tc>
      </w:tr>
      <w:tr w:rsidR="00922C2A" w:rsidRPr="00922C2A" w14:paraId="04AB09CC" w14:textId="77777777" w:rsidTr="006F49C9">
        <w:trPr>
          <w:trHeight w:val="1037"/>
        </w:trPr>
        <w:tc>
          <w:tcPr>
            <w:tcW w:w="7946" w:type="dxa"/>
            <w:gridSpan w:val="6"/>
            <w:tcBorders>
              <w:top w:val="single" w:sz="8" w:space="0" w:color="auto"/>
              <w:left w:val="single" w:sz="8" w:space="0" w:color="auto"/>
              <w:bottom w:val="single" w:sz="8" w:space="0" w:color="auto"/>
              <w:right w:val="nil"/>
            </w:tcBorders>
            <w:shd w:val="clear" w:color="auto" w:fill="auto"/>
            <w:vAlign w:val="center"/>
            <w:hideMark/>
          </w:tcPr>
          <w:p w14:paraId="6212C20B" w14:textId="77777777" w:rsidR="00922C2A" w:rsidRPr="00922C2A" w:rsidRDefault="00922C2A" w:rsidP="006F49C9">
            <w:pPr>
              <w:spacing w:before="0" w:after="0"/>
              <w:jc w:val="left"/>
              <w:rPr>
                <w:rFonts w:eastAsia="Times New Roman"/>
                <w:b/>
                <w:bCs/>
                <w:noProof/>
                <w:sz w:val="16"/>
                <w:szCs w:val="16"/>
              </w:rPr>
            </w:pPr>
            <w:r w:rsidRPr="00922C2A">
              <w:rPr>
                <w:b/>
                <w:noProof/>
                <w:sz w:val="16"/>
              </w:rPr>
              <w:t>Hors RUBRIQUE 7</w:t>
            </w:r>
          </w:p>
        </w:tc>
      </w:tr>
      <w:tr w:rsidR="00922C2A" w:rsidRPr="00922C2A" w14:paraId="241D7674" w14:textId="77777777" w:rsidTr="006F49C9">
        <w:trPr>
          <w:trHeight w:val="526"/>
        </w:trPr>
        <w:tc>
          <w:tcPr>
            <w:tcW w:w="3405" w:type="dxa"/>
            <w:tcBorders>
              <w:top w:val="nil"/>
              <w:left w:val="single" w:sz="8" w:space="0" w:color="auto"/>
              <w:bottom w:val="single" w:sz="8" w:space="0" w:color="auto"/>
              <w:right w:val="single" w:sz="8" w:space="0" w:color="auto"/>
            </w:tcBorders>
            <w:shd w:val="clear" w:color="auto" w:fill="auto"/>
            <w:vAlign w:val="center"/>
            <w:hideMark/>
          </w:tcPr>
          <w:p w14:paraId="30A39CDE" w14:textId="77777777" w:rsidR="00922C2A" w:rsidRPr="00922C2A" w:rsidRDefault="00922C2A" w:rsidP="006F49C9">
            <w:pPr>
              <w:spacing w:before="0" w:after="0"/>
              <w:jc w:val="left"/>
              <w:rPr>
                <w:rFonts w:eastAsia="Times New Roman"/>
                <w:noProof/>
                <w:color w:val="000000"/>
                <w:sz w:val="16"/>
                <w:szCs w:val="16"/>
              </w:rPr>
            </w:pPr>
            <w:r w:rsidRPr="00922C2A">
              <w:rPr>
                <w:noProof/>
                <w:color w:val="000000"/>
                <w:sz w:val="16"/>
              </w:rPr>
              <w:t xml:space="preserve">Ressources humaines </w:t>
            </w:r>
          </w:p>
        </w:tc>
        <w:tc>
          <w:tcPr>
            <w:tcW w:w="874" w:type="dxa"/>
            <w:tcBorders>
              <w:top w:val="nil"/>
              <w:left w:val="nil"/>
              <w:bottom w:val="single" w:sz="8" w:space="0" w:color="auto"/>
              <w:right w:val="single" w:sz="8" w:space="0" w:color="auto"/>
            </w:tcBorders>
            <w:shd w:val="clear" w:color="000000" w:fill="D9D9D9"/>
            <w:vAlign w:val="center"/>
            <w:hideMark/>
          </w:tcPr>
          <w:p w14:paraId="0FC5CE9D"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0,000</w:t>
            </w:r>
          </w:p>
        </w:tc>
        <w:tc>
          <w:tcPr>
            <w:tcW w:w="893" w:type="dxa"/>
            <w:tcBorders>
              <w:top w:val="nil"/>
              <w:left w:val="nil"/>
              <w:bottom w:val="single" w:sz="8" w:space="0" w:color="auto"/>
              <w:right w:val="single" w:sz="8" w:space="0" w:color="auto"/>
            </w:tcBorders>
            <w:shd w:val="clear" w:color="000000" w:fill="D9D9D9"/>
            <w:vAlign w:val="center"/>
            <w:hideMark/>
          </w:tcPr>
          <w:p w14:paraId="329407F8"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0,000</w:t>
            </w:r>
          </w:p>
        </w:tc>
        <w:tc>
          <w:tcPr>
            <w:tcW w:w="893" w:type="dxa"/>
            <w:tcBorders>
              <w:top w:val="nil"/>
              <w:left w:val="nil"/>
              <w:bottom w:val="single" w:sz="8" w:space="0" w:color="auto"/>
              <w:right w:val="single" w:sz="8" w:space="0" w:color="auto"/>
            </w:tcBorders>
            <w:shd w:val="clear" w:color="000000" w:fill="D9D9D9"/>
            <w:vAlign w:val="center"/>
            <w:hideMark/>
          </w:tcPr>
          <w:p w14:paraId="74029201"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0,000</w:t>
            </w:r>
          </w:p>
        </w:tc>
        <w:tc>
          <w:tcPr>
            <w:tcW w:w="893" w:type="dxa"/>
            <w:tcBorders>
              <w:top w:val="nil"/>
              <w:left w:val="nil"/>
              <w:bottom w:val="single" w:sz="8" w:space="0" w:color="auto"/>
              <w:right w:val="single" w:sz="8" w:space="0" w:color="auto"/>
            </w:tcBorders>
            <w:shd w:val="clear" w:color="000000" w:fill="D9D9D9"/>
            <w:vAlign w:val="center"/>
            <w:hideMark/>
          </w:tcPr>
          <w:p w14:paraId="21A81332"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0,000</w:t>
            </w:r>
          </w:p>
        </w:tc>
        <w:tc>
          <w:tcPr>
            <w:tcW w:w="988" w:type="dxa"/>
            <w:tcBorders>
              <w:top w:val="nil"/>
              <w:left w:val="nil"/>
              <w:bottom w:val="single" w:sz="8" w:space="0" w:color="auto"/>
              <w:right w:val="single" w:sz="8" w:space="0" w:color="auto"/>
            </w:tcBorders>
            <w:shd w:val="clear" w:color="000000" w:fill="D9D9D9"/>
            <w:vAlign w:val="center"/>
            <w:hideMark/>
          </w:tcPr>
          <w:p w14:paraId="47F52F1E" w14:textId="77777777" w:rsidR="00922C2A" w:rsidRPr="00922C2A" w:rsidRDefault="00922C2A" w:rsidP="006F49C9">
            <w:pPr>
              <w:spacing w:before="0" w:after="0"/>
              <w:jc w:val="right"/>
              <w:rPr>
                <w:rFonts w:eastAsia="Times New Roman"/>
                <w:b/>
                <w:bCs/>
                <w:noProof/>
                <w:color w:val="000000"/>
                <w:sz w:val="16"/>
                <w:szCs w:val="16"/>
              </w:rPr>
            </w:pPr>
            <w:r w:rsidRPr="00922C2A">
              <w:rPr>
                <w:b/>
                <w:noProof/>
                <w:color w:val="000000"/>
                <w:sz w:val="16"/>
              </w:rPr>
              <w:t>0,000</w:t>
            </w:r>
          </w:p>
        </w:tc>
      </w:tr>
      <w:tr w:rsidR="00922C2A" w:rsidRPr="00922C2A" w14:paraId="75DAEEE9" w14:textId="77777777" w:rsidTr="006F49C9">
        <w:trPr>
          <w:trHeight w:val="736"/>
        </w:trPr>
        <w:tc>
          <w:tcPr>
            <w:tcW w:w="3405" w:type="dxa"/>
            <w:tcBorders>
              <w:top w:val="nil"/>
              <w:left w:val="single" w:sz="8" w:space="0" w:color="auto"/>
              <w:bottom w:val="single" w:sz="8" w:space="0" w:color="auto"/>
              <w:right w:val="single" w:sz="8" w:space="0" w:color="auto"/>
            </w:tcBorders>
            <w:shd w:val="clear" w:color="auto" w:fill="auto"/>
            <w:vAlign w:val="center"/>
            <w:hideMark/>
          </w:tcPr>
          <w:p w14:paraId="195610D7" w14:textId="77777777" w:rsidR="00922C2A" w:rsidRPr="00922C2A" w:rsidRDefault="00922C2A" w:rsidP="006F49C9">
            <w:pPr>
              <w:spacing w:before="0" w:after="0"/>
              <w:jc w:val="left"/>
              <w:rPr>
                <w:rFonts w:eastAsia="Times New Roman"/>
                <w:noProof/>
                <w:color w:val="000000"/>
                <w:sz w:val="16"/>
                <w:szCs w:val="16"/>
              </w:rPr>
            </w:pPr>
            <w:r w:rsidRPr="00922C2A">
              <w:rPr>
                <w:noProof/>
                <w:color w:val="000000"/>
                <w:sz w:val="16"/>
              </w:rPr>
              <w:t>Autres dépenses de nature administrative</w:t>
            </w:r>
          </w:p>
        </w:tc>
        <w:tc>
          <w:tcPr>
            <w:tcW w:w="874" w:type="dxa"/>
            <w:tcBorders>
              <w:top w:val="nil"/>
              <w:left w:val="nil"/>
              <w:bottom w:val="single" w:sz="8" w:space="0" w:color="auto"/>
              <w:right w:val="single" w:sz="8" w:space="0" w:color="auto"/>
            </w:tcBorders>
            <w:shd w:val="clear" w:color="000000" w:fill="D9D9D9"/>
            <w:vAlign w:val="center"/>
            <w:hideMark/>
          </w:tcPr>
          <w:p w14:paraId="15D0D3A3"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0,000</w:t>
            </w:r>
          </w:p>
        </w:tc>
        <w:tc>
          <w:tcPr>
            <w:tcW w:w="893" w:type="dxa"/>
            <w:tcBorders>
              <w:top w:val="nil"/>
              <w:left w:val="nil"/>
              <w:bottom w:val="single" w:sz="8" w:space="0" w:color="auto"/>
              <w:right w:val="single" w:sz="8" w:space="0" w:color="auto"/>
            </w:tcBorders>
            <w:shd w:val="clear" w:color="000000" w:fill="D9D9D9"/>
            <w:vAlign w:val="center"/>
            <w:hideMark/>
          </w:tcPr>
          <w:p w14:paraId="0753CB4A"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0,000</w:t>
            </w:r>
          </w:p>
        </w:tc>
        <w:tc>
          <w:tcPr>
            <w:tcW w:w="893" w:type="dxa"/>
            <w:tcBorders>
              <w:top w:val="nil"/>
              <w:left w:val="nil"/>
              <w:bottom w:val="single" w:sz="8" w:space="0" w:color="auto"/>
              <w:right w:val="single" w:sz="8" w:space="0" w:color="auto"/>
            </w:tcBorders>
            <w:shd w:val="clear" w:color="000000" w:fill="D9D9D9"/>
            <w:vAlign w:val="center"/>
            <w:hideMark/>
          </w:tcPr>
          <w:p w14:paraId="34AA9CC4"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0,000</w:t>
            </w:r>
          </w:p>
        </w:tc>
        <w:tc>
          <w:tcPr>
            <w:tcW w:w="893" w:type="dxa"/>
            <w:tcBorders>
              <w:top w:val="nil"/>
              <w:left w:val="nil"/>
              <w:bottom w:val="single" w:sz="8" w:space="0" w:color="auto"/>
              <w:right w:val="single" w:sz="8" w:space="0" w:color="auto"/>
            </w:tcBorders>
            <w:shd w:val="clear" w:color="000000" w:fill="D9D9D9"/>
            <w:vAlign w:val="center"/>
            <w:hideMark/>
          </w:tcPr>
          <w:p w14:paraId="104CDE9A"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0,000</w:t>
            </w:r>
          </w:p>
        </w:tc>
        <w:tc>
          <w:tcPr>
            <w:tcW w:w="988" w:type="dxa"/>
            <w:tcBorders>
              <w:top w:val="nil"/>
              <w:left w:val="nil"/>
              <w:bottom w:val="single" w:sz="8" w:space="0" w:color="auto"/>
              <w:right w:val="single" w:sz="8" w:space="0" w:color="auto"/>
            </w:tcBorders>
            <w:shd w:val="clear" w:color="000000" w:fill="D9D9D9"/>
            <w:vAlign w:val="center"/>
            <w:hideMark/>
          </w:tcPr>
          <w:p w14:paraId="700473CA" w14:textId="77777777" w:rsidR="00922C2A" w:rsidRPr="00922C2A" w:rsidRDefault="00922C2A" w:rsidP="006F49C9">
            <w:pPr>
              <w:spacing w:before="0" w:after="0"/>
              <w:jc w:val="right"/>
              <w:rPr>
                <w:rFonts w:eastAsia="Times New Roman"/>
                <w:b/>
                <w:bCs/>
                <w:noProof/>
                <w:color w:val="000000"/>
                <w:sz w:val="16"/>
                <w:szCs w:val="16"/>
              </w:rPr>
            </w:pPr>
            <w:r w:rsidRPr="00922C2A">
              <w:rPr>
                <w:b/>
                <w:noProof/>
                <w:color w:val="000000"/>
                <w:sz w:val="16"/>
              </w:rPr>
              <w:t>0,000</w:t>
            </w:r>
          </w:p>
        </w:tc>
      </w:tr>
      <w:tr w:rsidR="00922C2A" w:rsidRPr="00922C2A" w14:paraId="1E6018C8" w14:textId="77777777" w:rsidTr="006F49C9">
        <w:trPr>
          <w:trHeight w:val="315"/>
        </w:trPr>
        <w:tc>
          <w:tcPr>
            <w:tcW w:w="3405" w:type="dxa"/>
            <w:tcBorders>
              <w:top w:val="nil"/>
              <w:left w:val="single" w:sz="8" w:space="0" w:color="auto"/>
              <w:bottom w:val="single" w:sz="8" w:space="0" w:color="auto"/>
              <w:right w:val="single" w:sz="8" w:space="0" w:color="auto"/>
            </w:tcBorders>
            <w:shd w:val="clear" w:color="000000" w:fill="CCCCCC"/>
            <w:vAlign w:val="center"/>
            <w:hideMark/>
          </w:tcPr>
          <w:p w14:paraId="6B0C5B73" w14:textId="77777777" w:rsidR="00922C2A" w:rsidRPr="00922C2A" w:rsidRDefault="00922C2A" w:rsidP="006F49C9">
            <w:pPr>
              <w:spacing w:before="0" w:after="0"/>
              <w:jc w:val="center"/>
              <w:rPr>
                <w:rFonts w:eastAsia="Times New Roman"/>
                <w:b/>
                <w:bCs/>
                <w:noProof/>
                <w:color w:val="000000"/>
                <w:sz w:val="16"/>
                <w:szCs w:val="16"/>
              </w:rPr>
            </w:pPr>
            <w:r w:rsidRPr="00922C2A">
              <w:rPr>
                <w:b/>
                <w:noProof/>
                <w:color w:val="000000"/>
                <w:sz w:val="16"/>
              </w:rPr>
              <w:t>Sous-total hors RUBRIQUE 7</w:t>
            </w:r>
          </w:p>
        </w:tc>
        <w:tc>
          <w:tcPr>
            <w:tcW w:w="874" w:type="dxa"/>
            <w:tcBorders>
              <w:top w:val="nil"/>
              <w:left w:val="nil"/>
              <w:bottom w:val="single" w:sz="8" w:space="0" w:color="auto"/>
              <w:right w:val="single" w:sz="8" w:space="0" w:color="auto"/>
            </w:tcBorders>
            <w:shd w:val="clear" w:color="000000" w:fill="D9D9D9"/>
            <w:vAlign w:val="center"/>
            <w:hideMark/>
          </w:tcPr>
          <w:p w14:paraId="541D3FE4" w14:textId="77777777" w:rsidR="00922C2A" w:rsidRPr="00922C2A" w:rsidRDefault="00922C2A" w:rsidP="006F49C9">
            <w:pPr>
              <w:spacing w:before="0" w:after="0"/>
              <w:jc w:val="right"/>
              <w:rPr>
                <w:rFonts w:eastAsia="Times New Roman"/>
                <w:b/>
                <w:bCs/>
                <w:noProof/>
                <w:color w:val="000000"/>
                <w:sz w:val="16"/>
                <w:szCs w:val="16"/>
              </w:rPr>
            </w:pPr>
            <w:r w:rsidRPr="00922C2A">
              <w:rPr>
                <w:b/>
                <w:noProof/>
                <w:color w:val="000000"/>
                <w:sz w:val="16"/>
              </w:rPr>
              <w:t>0,000</w:t>
            </w:r>
          </w:p>
        </w:tc>
        <w:tc>
          <w:tcPr>
            <w:tcW w:w="893" w:type="dxa"/>
            <w:tcBorders>
              <w:top w:val="nil"/>
              <w:left w:val="nil"/>
              <w:bottom w:val="single" w:sz="8" w:space="0" w:color="auto"/>
              <w:right w:val="single" w:sz="8" w:space="0" w:color="auto"/>
            </w:tcBorders>
            <w:shd w:val="clear" w:color="000000" w:fill="D9D9D9"/>
            <w:vAlign w:val="center"/>
            <w:hideMark/>
          </w:tcPr>
          <w:p w14:paraId="0128E413" w14:textId="77777777" w:rsidR="00922C2A" w:rsidRPr="00922C2A" w:rsidRDefault="00922C2A" w:rsidP="006F49C9">
            <w:pPr>
              <w:spacing w:before="0" w:after="0"/>
              <w:jc w:val="right"/>
              <w:rPr>
                <w:rFonts w:eastAsia="Times New Roman"/>
                <w:b/>
                <w:bCs/>
                <w:noProof/>
                <w:color w:val="000000"/>
                <w:sz w:val="16"/>
                <w:szCs w:val="16"/>
              </w:rPr>
            </w:pPr>
            <w:r w:rsidRPr="00922C2A">
              <w:rPr>
                <w:b/>
                <w:noProof/>
                <w:color w:val="000000"/>
                <w:sz w:val="16"/>
              </w:rPr>
              <w:t>0,000</w:t>
            </w:r>
          </w:p>
        </w:tc>
        <w:tc>
          <w:tcPr>
            <w:tcW w:w="893" w:type="dxa"/>
            <w:tcBorders>
              <w:top w:val="nil"/>
              <w:left w:val="nil"/>
              <w:bottom w:val="single" w:sz="8" w:space="0" w:color="auto"/>
              <w:right w:val="single" w:sz="8" w:space="0" w:color="auto"/>
            </w:tcBorders>
            <w:shd w:val="clear" w:color="000000" w:fill="D9D9D9"/>
            <w:vAlign w:val="center"/>
            <w:hideMark/>
          </w:tcPr>
          <w:p w14:paraId="18C26301" w14:textId="77777777" w:rsidR="00922C2A" w:rsidRPr="00922C2A" w:rsidRDefault="00922C2A" w:rsidP="006F49C9">
            <w:pPr>
              <w:spacing w:before="0" w:after="0"/>
              <w:jc w:val="right"/>
              <w:rPr>
                <w:rFonts w:eastAsia="Times New Roman"/>
                <w:b/>
                <w:bCs/>
                <w:noProof/>
                <w:color w:val="000000"/>
                <w:sz w:val="16"/>
                <w:szCs w:val="16"/>
              </w:rPr>
            </w:pPr>
            <w:r w:rsidRPr="00922C2A">
              <w:rPr>
                <w:b/>
                <w:noProof/>
                <w:color w:val="000000"/>
                <w:sz w:val="16"/>
              </w:rPr>
              <w:t>0,000</w:t>
            </w:r>
          </w:p>
        </w:tc>
        <w:tc>
          <w:tcPr>
            <w:tcW w:w="893" w:type="dxa"/>
            <w:tcBorders>
              <w:top w:val="nil"/>
              <w:left w:val="nil"/>
              <w:bottom w:val="single" w:sz="8" w:space="0" w:color="auto"/>
              <w:right w:val="single" w:sz="8" w:space="0" w:color="auto"/>
            </w:tcBorders>
            <w:shd w:val="clear" w:color="000000" w:fill="D9D9D9"/>
            <w:vAlign w:val="center"/>
            <w:hideMark/>
          </w:tcPr>
          <w:p w14:paraId="745CD662" w14:textId="77777777" w:rsidR="00922C2A" w:rsidRPr="00922C2A" w:rsidRDefault="00922C2A" w:rsidP="006F49C9">
            <w:pPr>
              <w:spacing w:before="0" w:after="0"/>
              <w:jc w:val="right"/>
              <w:rPr>
                <w:rFonts w:eastAsia="Times New Roman"/>
                <w:b/>
                <w:bCs/>
                <w:noProof/>
                <w:color w:val="000000"/>
                <w:sz w:val="16"/>
                <w:szCs w:val="16"/>
              </w:rPr>
            </w:pPr>
            <w:r w:rsidRPr="00922C2A">
              <w:rPr>
                <w:b/>
                <w:noProof/>
                <w:color w:val="000000"/>
                <w:sz w:val="16"/>
              </w:rPr>
              <w:t>0,000</w:t>
            </w:r>
          </w:p>
        </w:tc>
        <w:tc>
          <w:tcPr>
            <w:tcW w:w="988" w:type="dxa"/>
            <w:tcBorders>
              <w:top w:val="nil"/>
              <w:left w:val="nil"/>
              <w:bottom w:val="single" w:sz="8" w:space="0" w:color="auto"/>
              <w:right w:val="single" w:sz="8" w:space="0" w:color="auto"/>
            </w:tcBorders>
            <w:shd w:val="clear" w:color="000000" w:fill="D9D9D9"/>
            <w:vAlign w:val="center"/>
            <w:hideMark/>
          </w:tcPr>
          <w:p w14:paraId="28995BB6" w14:textId="77777777" w:rsidR="00922C2A" w:rsidRPr="00922C2A" w:rsidRDefault="00922C2A" w:rsidP="006F49C9">
            <w:pPr>
              <w:spacing w:before="0" w:after="0"/>
              <w:jc w:val="right"/>
              <w:rPr>
                <w:rFonts w:eastAsia="Times New Roman"/>
                <w:b/>
                <w:bCs/>
                <w:noProof/>
                <w:color w:val="000000"/>
                <w:sz w:val="16"/>
                <w:szCs w:val="16"/>
              </w:rPr>
            </w:pPr>
            <w:r w:rsidRPr="00922C2A">
              <w:rPr>
                <w:b/>
                <w:noProof/>
                <w:color w:val="000000"/>
                <w:sz w:val="16"/>
              </w:rPr>
              <w:t>0,000</w:t>
            </w:r>
          </w:p>
        </w:tc>
      </w:tr>
      <w:tr w:rsidR="00922C2A" w:rsidRPr="00922C2A" w14:paraId="0264DC9B" w14:textId="77777777" w:rsidTr="006F49C9">
        <w:trPr>
          <w:trHeight w:val="315"/>
        </w:trPr>
        <w:tc>
          <w:tcPr>
            <w:tcW w:w="7946" w:type="dxa"/>
            <w:gridSpan w:val="6"/>
            <w:tcBorders>
              <w:top w:val="single" w:sz="8" w:space="0" w:color="auto"/>
              <w:left w:val="single" w:sz="8" w:space="0" w:color="auto"/>
              <w:bottom w:val="single" w:sz="8" w:space="0" w:color="auto"/>
              <w:right w:val="nil"/>
            </w:tcBorders>
            <w:shd w:val="clear" w:color="auto" w:fill="auto"/>
            <w:noWrap/>
            <w:vAlign w:val="center"/>
            <w:hideMark/>
          </w:tcPr>
          <w:p w14:paraId="67A364F4"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 </w:t>
            </w:r>
          </w:p>
        </w:tc>
      </w:tr>
      <w:tr w:rsidR="00922C2A" w:rsidRPr="00922C2A" w14:paraId="64FB93DD" w14:textId="77777777" w:rsidTr="006F49C9">
        <w:trPr>
          <w:trHeight w:val="315"/>
        </w:trPr>
        <w:tc>
          <w:tcPr>
            <w:tcW w:w="3405" w:type="dxa"/>
            <w:tcBorders>
              <w:top w:val="nil"/>
              <w:left w:val="single" w:sz="8" w:space="0" w:color="auto"/>
              <w:bottom w:val="single" w:sz="8" w:space="0" w:color="auto"/>
              <w:right w:val="single" w:sz="8" w:space="0" w:color="auto"/>
            </w:tcBorders>
            <w:shd w:val="clear" w:color="auto" w:fill="auto"/>
            <w:vAlign w:val="center"/>
            <w:hideMark/>
          </w:tcPr>
          <w:p w14:paraId="726FD25D" w14:textId="77777777" w:rsidR="00922C2A" w:rsidRPr="00922C2A" w:rsidRDefault="00922C2A" w:rsidP="006F49C9">
            <w:pPr>
              <w:spacing w:before="0" w:after="0"/>
              <w:jc w:val="center"/>
              <w:rPr>
                <w:rFonts w:eastAsia="Times New Roman"/>
                <w:b/>
                <w:bCs/>
                <w:noProof/>
                <w:color w:val="000000"/>
                <w:sz w:val="16"/>
                <w:szCs w:val="16"/>
              </w:rPr>
            </w:pPr>
            <w:r w:rsidRPr="00922C2A">
              <w:rPr>
                <w:b/>
                <w:noProof/>
                <w:color w:val="000000"/>
                <w:sz w:val="16"/>
              </w:rPr>
              <w:t>TOTAL</w:t>
            </w:r>
          </w:p>
        </w:tc>
        <w:tc>
          <w:tcPr>
            <w:tcW w:w="874" w:type="dxa"/>
            <w:tcBorders>
              <w:top w:val="nil"/>
              <w:left w:val="nil"/>
              <w:bottom w:val="single" w:sz="8" w:space="0" w:color="auto"/>
              <w:right w:val="single" w:sz="8" w:space="0" w:color="auto"/>
            </w:tcBorders>
            <w:shd w:val="clear" w:color="000000" w:fill="D9D9D9"/>
            <w:hideMark/>
          </w:tcPr>
          <w:p w14:paraId="46E6327F"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0,000</w:t>
            </w:r>
          </w:p>
        </w:tc>
        <w:tc>
          <w:tcPr>
            <w:tcW w:w="893" w:type="dxa"/>
            <w:tcBorders>
              <w:top w:val="nil"/>
              <w:left w:val="nil"/>
              <w:bottom w:val="single" w:sz="8" w:space="0" w:color="auto"/>
              <w:right w:val="single" w:sz="8" w:space="0" w:color="auto"/>
            </w:tcBorders>
            <w:shd w:val="clear" w:color="000000" w:fill="D9D9D9"/>
            <w:hideMark/>
          </w:tcPr>
          <w:p w14:paraId="082C1485"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0,000</w:t>
            </w:r>
          </w:p>
        </w:tc>
        <w:tc>
          <w:tcPr>
            <w:tcW w:w="893" w:type="dxa"/>
            <w:tcBorders>
              <w:top w:val="nil"/>
              <w:left w:val="nil"/>
              <w:bottom w:val="single" w:sz="8" w:space="0" w:color="auto"/>
              <w:right w:val="single" w:sz="8" w:space="0" w:color="auto"/>
            </w:tcBorders>
            <w:shd w:val="clear" w:color="000000" w:fill="D9D9D9"/>
            <w:hideMark/>
          </w:tcPr>
          <w:p w14:paraId="1E1BF8C0"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1,828</w:t>
            </w:r>
          </w:p>
        </w:tc>
        <w:tc>
          <w:tcPr>
            <w:tcW w:w="893" w:type="dxa"/>
            <w:tcBorders>
              <w:top w:val="nil"/>
              <w:left w:val="nil"/>
              <w:bottom w:val="single" w:sz="8" w:space="0" w:color="auto"/>
              <w:right w:val="single" w:sz="8" w:space="0" w:color="auto"/>
            </w:tcBorders>
            <w:shd w:val="clear" w:color="000000" w:fill="D9D9D9"/>
            <w:hideMark/>
          </w:tcPr>
          <w:p w14:paraId="3222ADB3"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3,656</w:t>
            </w:r>
          </w:p>
        </w:tc>
        <w:tc>
          <w:tcPr>
            <w:tcW w:w="988" w:type="dxa"/>
            <w:tcBorders>
              <w:top w:val="nil"/>
              <w:left w:val="nil"/>
              <w:bottom w:val="single" w:sz="8" w:space="0" w:color="auto"/>
              <w:right w:val="single" w:sz="8" w:space="0" w:color="auto"/>
            </w:tcBorders>
            <w:shd w:val="clear" w:color="000000" w:fill="D9D9D9"/>
            <w:hideMark/>
          </w:tcPr>
          <w:p w14:paraId="776E7E98"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5,484</w:t>
            </w:r>
          </w:p>
        </w:tc>
      </w:tr>
    </w:tbl>
    <w:p w14:paraId="22646EDC" w14:textId="77777777" w:rsidR="00922C2A" w:rsidRPr="00922C2A" w:rsidRDefault="00922C2A" w:rsidP="00922C2A">
      <w:pPr>
        <w:pStyle w:val="Text1"/>
        <w:ind w:left="0"/>
        <w:rPr>
          <w:noProof/>
        </w:rPr>
      </w:pPr>
    </w:p>
    <w:p w14:paraId="01FDC524" w14:textId="77777777" w:rsidR="00922C2A" w:rsidRPr="00922C2A" w:rsidRDefault="00922C2A" w:rsidP="00922C2A">
      <w:pPr>
        <w:pStyle w:val="ManualHeading3"/>
        <w:rPr>
          <w:noProof/>
        </w:rPr>
      </w:pPr>
      <w:bookmarkStart w:id="169" w:name="_Toc167220293"/>
      <w:bookmarkStart w:id="170" w:name="_Toc177549026"/>
      <w:r w:rsidRPr="00922C2A">
        <w:rPr>
          <w:noProof/>
        </w:rPr>
        <w:t>3.2.3.3.</w:t>
      </w:r>
      <w:r w:rsidRPr="00922C2A">
        <w:rPr>
          <w:noProof/>
        </w:rPr>
        <w:tab/>
        <w:t>Total des crédits</w:t>
      </w:r>
      <w:bookmarkEnd w:id="169"/>
      <w:bookmarkEnd w:id="170"/>
    </w:p>
    <w:tbl>
      <w:tblPr>
        <w:tblW w:w="8140" w:type="dxa"/>
        <w:tblInd w:w="118" w:type="dxa"/>
        <w:tblLook w:val="04A0" w:firstRow="1" w:lastRow="0" w:firstColumn="1" w:lastColumn="0" w:noHBand="0" w:noVBand="1"/>
      </w:tblPr>
      <w:tblGrid>
        <w:gridCol w:w="3488"/>
        <w:gridCol w:w="896"/>
        <w:gridCol w:w="915"/>
        <w:gridCol w:w="915"/>
        <w:gridCol w:w="915"/>
        <w:gridCol w:w="1011"/>
      </w:tblGrid>
      <w:tr w:rsidR="00922C2A" w:rsidRPr="00922C2A" w14:paraId="274536BF" w14:textId="77777777" w:rsidTr="006F49C9">
        <w:trPr>
          <w:trHeight w:val="874"/>
        </w:trPr>
        <w:tc>
          <w:tcPr>
            <w:tcW w:w="348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F80BA09" w14:textId="77777777" w:rsidR="00922C2A" w:rsidRPr="00922C2A" w:rsidRDefault="00922C2A" w:rsidP="006F49C9">
            <w:pPr>
              <w:spacing w:before="0" w:after="0"/>
              <w:jc w:val="center"/>
              <w:rPr>
                <w:rFonts w:eastAsia="Times New Roman"/>
                <w:b/>
                <w:bCs/>
                <w:noProof/>
                <w:color w:val="000000"/>
                <w:sz w:val="18"/>
                <w:szCs w:val="18"/>
              </w:rPr>
            </w:pPr>
            <w:r w:rsidRPr="00922C2A">
              <w:rPr>
                <w:b/>
                <w:noProof/>
                <w:color w:val="000000"/>
                <w:sz w:val="18"/>
              </w:rPr>
              <w:t>TOTAL</w:t>
            </w:r>
            <w:r w:rsidRPr="00922C2A">
              <w:rPr>
                <w:b/>
                <w:noProof/>
                <w:color w:val="000000"/>
                <w:sz w:val="18"/>
              </w:rPr>
              <w:cr/>
            </w:r>
            <w:r w:rsidRPr="00922C2A">
              <w:rPr>
                <w:b/>
                <w:noProof/>
                <w:color w:val="000000"/>
                <w:sz w:val="18"/>
              </w:rPr>
              <w:br/>
              <w:t xml:space="preserve">CRÉDITS VOTÉS </w:t>
            </w:r>
            <w:r w:rsidRPr="00922C2A">
              <w:rPr>
                <w:b/>
                <w:noProof/>
                <w:color w:val="000000"/>
                <w:sz w:val="18"/>
              </w:rPr>
              <w:cr/>
            </w:r>
            <w:r w:rsidRPr="00922C2A">
              <w:rPr>
                <w:b/>
                <w:noProof/>
                <w:color w:val="000000"/>
                <w:sz w:val="18"/>
              </w:rPr>
              <w:br/>
              <w:t>+</w:t>
            </w:r>
            <w:r w:rsidRPr="00922C2A">
              <w:rPr>
                <w:b/>
                <w:noProof/>
                <w:color w:val="000000"/>
                <w:sz w:val="18"/>
              </w:rPr>
              <w:cr/>
            </w:r>
            <w:r w:rsidRPr="00922C2A">
              <w:rPr>
                <w:b/>
                <w:noProof/>
                <w:color w:val="000000"/>
                <w:sz w:val="18"/>
              </w:rPr>
              <w:br/>
              <w:t>RECETTES AFFECTÉES EXTERNES</w:t>
            </w:r>
          </w:p>
        </w:tc>
        <w:tc>
          <w:tcPr>
            <w:tcW w:w="896" w:type="dxa"/>
            <w:tcBorders>
              <w:top w:val="single" w:sz="8" w:space="0" w:color="auto"/>
              <w:left w:val="nil"/>
              <w:bottom w:val="nil"/>
              <w:right w:val="single" w:sz="8" w:space="0" w:color="auto"/>
            </w:tcBorders>
            <w:shd w:val="clear" w:color="auto" w:fill="auto"/>
            <w:vAlign w:val="center"/>
            <w:hideMark/>
          </w:tcPr>
          <w:p w14:paraId="086DE1D0" w14:textId="77777777" w:rsidR="00922C2A" w:rsidRPr="00922C2A" w:rsidRDefault="00922C2A" w:rsidP="006F49C9">
            <w:pPr>
              <w:spacing w:before="0" w:after="0"/>
              <w:jc w:val="center"/>
              <w:rPr>
                <w:rFonts w:eastAsia="Times New Roman"/>
                <w:noProof/>
                <w:color w:val="000000"/>
                <w:sz w:val="18"/>
                <w:szCs w:val="18"/>
              </w:rPr>
            </w:pPr>
            <w:r w:rsidRPr="00922C2A">
              <w:rPr>
                <w:noProof/>
                <w:color w:val="000000"/>
                <w:sz w:val="18"/>
              </w:rPr>
              <w:t>Année</w:t>
            </w:r>
          </w:p>
        </w:tc>
        <w:tc>
          <w:tcPr>
            <w:tcW w:w="915" w:type="dxa"/>
            <w:tcBorders>
              <w:top w:val="single" w:sz="8" w:space="0" w:color="auto"/>
              <w:left w:val="nil"/>
              <w:bottom w:val="nil"/>
              <w:right w:val="single" w:sz="8" w:space="0" w:color="auto"/>
            </w:tcBorders>
            <w:shd w:val="clear" w:color="auto" w:fill="auto"/>
            <w:vAlign w:val="center"/>
            <w:hideMark/>
          </w:tcPr>
          <w:p w14:paraId="7A7C9A63" w14:textId="77777777" w:rsidR="00922C2A" w:rsidRPr="00922C2A" w:rsidRDefault="00922C2A" w:rsidP="006F49C9">
            <w:pPr>
              <w:spacing w:before="0" w:after="0"/>
              <w:jc w:val="center"/>
              <w:rPr>
                <w:rFonts w:eastAsia="Times New Roman"/>
                <w:noProof/>
                <w:color w:val="000000"/>
                <w:sz w:val="18"/>
                <w:szCs w:val="18"/>
              </w:rPr>
            </w:pPr>
            <w:r w:rsidRPr="00922C2A">
              <w:rPr>
                <w:noProof/>
                <w:color w:val="000000"/>
                <w:sz w:val="18"/>
              </w:rPr>
              <w:t>Année</w:t>
            </w:r>
          </w:p>
        </w:tc>
        <w:tc>
          <w:tcPr>
            <w:tcW w:w="915" w:type="dxa"/>
            <w:tcBorders>
              <w:top w:val="single" w:sz="8" w:space="0" w:color="auto"/>
              <w:left w:val="nil"/>
              <w:bottom w:val="nil"/>
              <w:right w:val="single" w:sz="8" w:space="0" w:color="auto"/>
            </w:tcBorders>
            <w:shd w:val="clear" w:color="auto" w:fill="auto"/>
            <w:vAlign w:val="center"/>
            <w:hideMark/>
          </w:tcPr>
          <w:p w14:paraId="193BC027" w14:textId="77777777" w:rsidR="00922C2A" w:rsidRPr="00922C2A" w:rsidRDefault="00922C2A" w:rsidP="006F49C9">
            <w:pPr>
              <w:spacing w:before="0" w:after="0"/>
              <w:jc w:val="center"/>
              <w:rPr>
                <w:rFonts w:eastAsia="Times New Roman"/>
                <w:noProof/>
                <w:color w:val="000000"/>
                <w:sz w:val="18"/>
                <w:szCs w:val="18"/>
              </w:rPr>
            </w:pPr>
            <w:r w:rsidRPr="00922C2A">
              <w:rPr>
                <w:noProof/>
                <w:color w:val="000000"/>
                <w:sz w:val="18"/>
              </w:rPr>
              <w:t>Année</w:t>
            </w:r>
          </w:p>
        </w:tc>
        <w:tc>
          <w:tcPr>
            <w:tcW w:w="915" w:type="dxa"/>
            <w:tcBorders>
              <w:top w:val="single" w:sz="8" w:space="0" w:color="auto"/>
              <w:left w:val="nil"/>
              <w:bottom w:val="nil"/>
              <w:right w:val="single" w:sz="8" w:space="0" w:color="auto"/>
            </w:tcBorders>
            <w:shd w:val="clear" w:color="auto" w:fill="auto"/>
            <w:vAlign w:val="center"/>
            <w:hideMark/>
          </w:tcPr>
          <w:p w14:paraId="24475922" w14:textId="77777777" w:rsidR="00922C2A" w:rsidRPr="00922C2A" w:rsidRDefault="00922C2A" w:rsidP="006F49C9">
            <w:pPr>
              <w:spacing w:before="0" w:after="0"/>
              <w:jc w:val="center"/>
              <w:rPr>
                <w:rFonts w:eastAsia="Times New Roman"/>
                <w:noProof/>
                <w:color w:val="000000"/>
                <w:sz w:val="18"/>
                <w:szCs w:val="18"/>
              </w:rPr>
            </w:pPr>
            <w:r w:rsidRPr="00922C2A">
              <w:rPr>
                <w:noProof/>
                <w:color w:val="000000"/>
                <w:sz w:val="18"/>
              </w:rPr>
              <w:t>Année</w:t>
            </w:r>
          </w:p>
        </w:tc>
        <w:tc>
          <w:tcPr>
            <w:tcW w:w="101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0333355" w14:textId="77777777" w:rsidR="00922C2A" w:rsidRPr="00922C2A" w:rsidRDefault="00922C2A" w:rsidP="006F49C9">
            <w:pPr>
              <w:spacing w:before="0" w:after="0"/>
              <w:jc w:val="center"/>
              <w:rPr>
                <w:rFonts w:eastAsia="Times New Roman"/>
                <w:b/>
                <w:bCs/>
                <w:noProof/>
                <w:color w:val="000000"/>
                <w:sz w:val="18"/>
                <w:szCs w:val="18"/>
              </w:rPr>
            </w:pPr>
            <w:r w:rsidRPr="00922C2A">
              <w:rPr>
                <w:b/>
                <w:noProof/>
                <w:color w:val="000000"/>
                <w:sz w:val="18"/>
              </w:rPr>
              <w:t>TOTAL</w:t>
            </w:r>
            <w:r w:rsidRPr="00922C2A">
              <w:rPr>
                <w:b/>
                <w:noProof/>
                <w:color w:val="000000"/>
                <w:sz w:val="18"/>
              </w:rPr>
              <w:cr/>
            </w:r>
            <w:r w:rsidRPr="00922C2A">
              <w:rPr>
                <w:b/>
                <w:noProof/>
                <w:color w:val="000000"/>
                <w:sz w:val="18"/>
              </w:rPr>
              <w:br/>
              <w:t>2021-2027</w:t>
            </w:r>
          </w:p>
        </w:tc>
      </w:tr>
      <w:tr w:rsidR="00922C2A" w:rsidRPr="00922C2A" w14:paraId="293B01D1" w14:textId="77777777" w:rsidTr="006F49C9">
        <w:trPr>
          <w:trHeight w:val="874"/>
        </w:trPr>
        <w:tc>
          <w:tcPr>
            <w:tcW w:w="3488" w:type="dxa"/>
            <w:vMerge/>
            <w:tcBorders>
              <w:top w:val="single" w:sz="8" w:space="0" w:color="auto"/>
              <w:left w:val="single" w:sz="8" w:space="0" w:color="auto"/>
              <w:bottom w:val="single" w:sz="8" w:space="0" w:color="000000"/>
              <w:right w:val="single" w:sz="8" w:space="0" w:color="auto"/>
            </w:tcBorders>
            <w:vAlign w:val="center"/>
            <w:hideMark/>
          </w:tcPr>
          <w:p w14:paraId="25520253" w14:textId="77777777" w:rsidR="00922C2A" w:rsidRPr="00922C2A" w:rsidRDefault="00922C2A" w:rsidP="006F49C9">
            <w:pPr>
              <w:spacing w:before="0" w:after="0"/>
              <w:jc w:val="left"/>
              <w:rPr>
                <w:rFonts w:eastAsia="Times New Roman"/>
                <w:b/>
                <w:bCs/>
                <w:noProof/>
                <w:color w:val="000000"/>
                <w:sz w:val="18"/>
                <w:szCs w:val="18"/>
                <w:lang w:eastAsia="en-IE"/>
              </w:rPr>
            </w:pPr>
          </w:p>
        </w:tc>
        <w:tc>
          <w:tcPr>
            <w:tcW w:w="896" w:type="dxa"/>
            <w:tcBorders>
              <w:top w:val="nil"/>
              <w:left w:val="nil"/>
              <w:bottom w:val="single" w:sz="8" w:space="0" w:color="auto"/>
              <w:right w:val="single" w:sz="8" w:space="0" w:color="auto"/>
            </w:tcBorders>
            <w:shd w:val="clear" w:color="auto" w:fill="auto"/>
            <w:vAlign w:val="center"/>
            <w:hideMark/>
          </w:tcPr>
          <w:p w14:paraId="562FE1D3" w14:textId="77777777" w:rsidR="00922C2A" w:rsidRPr="00922C2A" w:rsidRDefault="00922C2A" w:rsidP="006F49C9">
            <w:pPr>
              <w:spacing w:before="0" w:after="0"/>
              <w:jc w:val="center"/>
              <w:rPr>
                <w:rFonts w:eastAsia="Times New Roman"/>
                <w:b/>
                <w:bCs/>
                <w:noProof/>
                <w:color w:val="000000"/>
                <w:sz w:val="18"/>
                <w:szCs w:val="18"/>
              </w:rPr>
            </w:pPr>
            <w:r w:rsidRPr="00922C2A">
              <w:rPr>
                <w:b/>
                <w:noProof/>
                <w:color w:val="000000"/>
                <w:sz w:val="18"/>
              </w:rPr>
              <w:t>2024</w:t>
            </w:r>
          </w:p>
        </w:tc>
        <w:tc>
          <w:tcPr>
            <w:tcW w:w="915" w:type="dxa"/>
            <w:tcBorders>
              <w:top w:val="nil"/>
              <w:left w:val="nil"/>
              <w:bottom w:val="single" w:sz="8" w:space="0" w:color="auto"/>
              <w:right w:val="single" w:sz="8" w:space="0" w:color="auto"/>
            </w:tcBorders>
            <w:shd w:val="clear" w:color="auto" w:fill="auto"/>
            <w:vAlign w:val="center"/>
            <w:hideMark/>
          </w:tcPr>
          <w:p w14:paraId="05F733EC" w14:textId="77777777" w:rsidR="00922C2A" w:rsidRPr="00922C2A" w:rsidRDefault="00922C2A" w:rsidP="006F49C9">
            <w:pPr>
              <w:spacing w:before="0" w:after="0"/>
              <w:jc w:val="center"/>
              <w:rPr>
                <w:rFonts w:eastAsia="Times New Roman"/>
                <w:b/>
                <w:bCs/>
                <w:noProof/>
                <w:color w:val="000000"/>
                <w:sz w:val="18"/>
                <w:szCs w:val="18"/>
              </w:rPr>
            </w:pPr>
            <w:r w:rsidRPr="00922C2A">
              <w:rPr>
                <w:b/>
                <w:noProof/>
                <w:color w:val="000000"/>
                <w:sz w:val="18"/>
              </w:rPr>
              <w:t>2025</w:t>
            </w:r>
          </w:p>
        </w:tc>
        <w:tc>
          <w:tcPr>
            <w:tcW w:w="915" w:type="dxa"/>
            <w:tcBorders>
              <w:top w:val="nil"/>
              <w:left w:val="nil"/>
              <w:bottom w:val="single" w:sz="8" w:space="0" w:color="auto"/>
              <w:right w:val="single" w:sz="8" w:space="0" w:color="auto"/>
            </w:tcBorders>
            <w:shd w:val="clear" w:color="auto" w:fill="auto"/>
            <w:vAlign w:val="center"/>
            <w:hideMark/>
          </w:tcPr>
          <w:p w14:paraId="778F9728" w14:textId="77777777" w:rsidR="00922C2A" w:rsidRPr="00922C2A" w:rsidRDefault="00922C2A" w:rsidP="006F49C9">
            <w:pPr>
              <w:spacing w:before="0" w:after="0"/>
              <w:jc w:val="center"/>
              <w:rPr>
                <w:rFonts w:eastAsia="Times New Roman"/>
                <w:b/>
                <w:bCs/>
                <w:noProof/>
                <w:color w:val="000000"/>
                <w:sz w:val="18"/>
                <w:szCs w:val="18"/>
              </w:rPr>
            </w:pPr>
            <w:r w:rsidRPr="00922C2A">
              <w:rPr>
                <w:b/>
                <w:noProof/>
                <w:color w:val="000000"/>
                <w:sz w:val="18"/>
              </w:rPr>
              <w:t>2026</w:t>
            </w:r>
          </w:p>
        </w:tc>
        <w:tc>
          <w:tcPr>
            <w:tcW w:w="915" w:type="dxa"/>
            <w:tcBorders>
              <w:top w:val="nil"/>
              <w:left w:val="nil"/>
              <w:bottom w:val="single" w:sz="8" w:space="0" w:color="auto"/>
              <w:right w:val="single" w:sz="8" w:space="0" w:color="auto"/>
            </w:tcBorders>
            <w:shd w:val="clear" w:color="auto" w:fill="auto"/>
            <w:vAlign w:val="center"/>
            <w:hideMark/>
          </w:tcPr>
          <w:p w14:paraId="5AA6E319" w14:textId="77777777" w:rsidR="00922C2A" w:rsidRPr="00922C2A" w:rsidRDefault="00922C2A" w:rsidP="006F49C9">
            <w:pPr>
              <w:spacing w:before="0" w:after="0"/>
              <w:jc w:val="center"/>
              <w:rPr>
                <w:rFonts w:eastAsia="Times New Roman"/>
                <w:b/>
                <w:bCs/>
                <w:noProof/>
                <w:color w:val="000000"/>
                <w:sz w:val="18"/>
                <w:szCs w:val="18"/>
              </w:rPr>
            </w:pPr>
            <w:r w:rsidRPr="00922C2A">
              <w:rPr>
                <w:b/>
                <w:noProof/>
                <w:color w:val="000000"/>
                <w:sz w:val="18"/>
              </w:rPr>
              <w:t>2027</w:t>
            </w:r>
          </w:p>
        </w:tc>
        <w:tc>
          <w:tcPr>
            <w:tcW w:w="1011" w:type="dxa"/>
            <w:vMerge/>
            <w:tcBorders>
              <w:top w:val="single" w:sz="8" w:space="0" w:color="auto"/>
              <w:left w:val="single" w:sz="8" w:space="0" w:color="auto"/>
              <w:bottom w:val="single" w:sz="8" w:space="0" w:color="000000"/>
              <w:right w:val="single" w:sz="8" w:space="0" w:color="auto"/>
            </w:tcBorders>
            <w:vAlign w:val="center"/>
            <w:hideMark/>
          </w:tcPr>
          <w:p w14:paraId="4F6322CD" w14:textId="77777777" w:rsidR="00922C2A" w:rsidRPr="00922C2A" w:rsidRDefault="00922C2A" w:rsidP="006F49C9">
            <w:pPr>
              <w:spacing w:before="0" w:after="0"/>
              <w:jc w:val="left"/>
              <w:rPr>
                <w:rFonts w:eastAsia="Times New Roman"/>
                <w:b/>
                <w:bCs/>
                <w:noProof/>
                <w:color w:val="000000"/>
                <w:sz w:val="18"/>
                <w:szCs w:val="18"/>
                <w:lang w:eastAsia="en-IE"/>
              </w:rPr>
            </w:pPr>
          </w:p>
        </w:tc>
      </w:tr>
      <w:tr w:rsidR="00922C2A" w:rsidRPr="00922C2A" w14:paraId="362FDE4F" w14:textId="77777777" w:rsidTr="006F49C9">
        <w:trPr>
          <w:trHeight w:val="531"/>
        </w:trPr>
        <w:tc>
          <w:tcPr>
            <w:tcW w:w="8140" w:type="dxa"/>
            <w:gridSpan w:val="6"/>
            <w:tcBorders>
              <w:top w:val="single" w:sz="8" w:space="0" w:color="auto"/>
              <w:left w:val="single" w:sz="8" w:space="0" w:color="auto"/>
              <w:bottom w:val="single" w:sz="8" w:space="0" w:color="auto"/>
              <w:right w:val="nil"/>
            </w:tcBorders>
            <w:shd w:val="clear" w:color="auto" w:fill="auto"/>
            <w:vAlign w:val="center"/>
            <w:hideMark/>
          </w:tcPr>
          <w:p w14:paraId="57C1859E" w14:textId="77777777" w:rsidR="00922C2A" w:rsidRPr="00922C2A" w:rsidRDefault="00922C2A" w:rsidP="006F49C9">
            <w:pPr>
              <w:spacing w:before="0" w:after="0"/>
              <w:jc w:val="left"/>
              <w:rPr>
                <w:rFonts w:eastAsia="Times New Roman"/>
                <w:b/>
                <w:bCs/>
                <w:noProof/>
                <w:sz w:val="16"/>
                <w:szCs w:val="16"/>
              </w:rPr>
            </w:pPr>
            <w:r w:rsidRPr="00922C2A">
              <w:rPr>
                <w:b/>
                <w:noProof/>
                <w:sz w:val="16"/>
              </w:rPr>
              <w:t>RUBRIQUE 7</w:t>
            </w:r>
          </w:p>
        </w:tc>
      </w:tr>
      <w:tr w:rsidR="00922C2A" w:rsidRPr="00922C2A" w14:paraId="330D742F" w14:textId="77777777" w:rsidTr="006F49C9">
        <w:trPr>
          <w:trHeight w:val="531"/>
        </w:trPr>
        <w:tc>
          <w:tcPr>
            <w:tcW w:w="3488" w:type="dxa"/>
            <w:tcBorders>
              <w:top w:val="nil"/>
              <w:left w:val="single" w:sz="8" w:space="0" w:color="auto"/>
              <w:bottom w:val="single" w:sz="8" w:space="0" w:color="auto"/>
              <w:right w:val="single" w:sz="8" w:space="0" w:color="auto"/>
            </w:tcBorders>
            <w:shd w:val="clear" w:color="auto" w:fill="auto"/>
            <w:vAlign w:val="center"/>
            <w:hideMark/>
          </w:tcPr>
          <w:p w14:paraId="6570435B" w14:textId="77777777" w:rsidR="00922C2A" w:rsidRPr="00922C2A" w:rsidRDefault="00922C2A" w:rsidP="006F49C9">
            <w:pPr>
              <w:spacing w:before="0" w:after="0"/>
              <w:jc w:val="left"/>
              <w:rPr>
                <w:rFonts w:eastAsia="Times New Roman"/>
                <w:noProof/>
                <w:color w:val="000000"/>
                <w:sz w:val="16"/>
                <w:szCs w:val="16"/>
              </w:rPr>
            </w:pPr>
            <w:r w:rsidRPr="00922C2A">
              <w:rPr>
                <w:noProof/>
                <w:color w:val="000000"/>
                <w:sz w:val="16"/>
              </w:rPr>
              <w:t xml:space="preserve">Ressources humaines </w:t>
            </w:r>
          </w:p>
        </w:tc>
        <w:tc>
          <w:tcPr>
            <w:tcW w:w="896" w:type="dxa"/>
            <w:tcBorders>
              <w:top w:val="nil"/>
              <w:left w:val="nil"/>
              <w:bottom w:val="single" w:sz="8" w:space="0" w:color="auto"/>
              <w:right w:val="single" w:sz="8" w:space="0" w:color="auto"/>
            </w:tcBorders>
            <w:shd w:val="clear" w:color="000000" w:fill="D9D9D9"/>
            <w:vAlign w:val="center"/>
            <w:hideMark/>
          </w:tcPr>
          <w:p w14:paraId="1ED4DEEA"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0,000</w:t>
            </w:r>
          </w:p>
        </w:tc>
        <w:tc>
          <w:tcPr>
            <w:tcW w:w="915" w:type="dxa"/>
            <w:tcBorders>
              <w:top w:val="nil"/>
              <w:left w:val="nil"/>
              <w:bottom w:val="single" w:sz="8" w:space="0" w:color="auto"/>
              <w:right w:val="single" w:sz="8" w:space="0" w:color="auto"/>
            </w:tcBorders>
            <w:shd w:val="clear" w:color="000000" w:fill="D9D9D9"/>
            <w:vAlign w:val="center"/>
            <w:hideMark/>
          </w:tcPr>
          <w:p w14:paraId="67787D37"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0,000</w:t>
            </w:r>
          </w:p>
        </w:tc>
        <w:tc>
          <w:tcPr>
            <w:tcW w:w="915"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14688864"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1,793</w:t>
            </w:r>
          </w:p>
        </w:tc>
        <w:tc>
          <w:tcPr>
            <w:tcW w:w="915" w:type="dxa"/>
            <w:tcBorders>
              <w:top w:val="single" w:sz="8" w:space="0" w:color="auto"/>
              <w:left w:val="nil"/>
              <w:bottom w:val="single" w:sz="8" w:space="0" w:color="auto"/>
              <w:right w:val="single" w:sz="8" w:space="0" w:color="auto"/>
            </w:tcBorders>
            <w:shd w:val="clear" w:color="000000" w:fill="D9D9D9"/>
            <w:vAlign w:val="center"/>
            <w:hideMark/>
          </w:tcPr>
          <w:p w14:paraId="09451CE7"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3,586</w:t>
            </w:r>
          </w:p>
        </w:tc>
        <w:tc>
          <w:tcPr>
            <w:tcW w:w="1011" w:type="dxa"/>
            <w:tcBorders>
              <w:top w:val="single" w:sz="8" w:space="0" w:color="auto"/>
              <w:left w:val="nil"/>
              <w:bottom w:val="single" w:sz="8" w:space="0" w:color="auto"/>
              <w:right w:val="single" w:sz="8" w:space="0" w:color="auto"/>
            </w:tcBorders>
            <w:shd w:val="clear" w:color="000000" w:fill="D9D9D9"/>
            <w:vAlign w:val="center"/>
            <w:hideMark/>
          </w:tcPr>
          <w:p w14:paraId="3B7282B7" w14:textId="77777777" w:rsidR="00922C2A" w:rsidRPr="00922C2A" w:rsidRDefault="00922C2A" w:rsidP="006F49C9">
            <w:pPr>
              <w:spacing w:before="0" w:after="0"/>
              <w:jc w:val="right"/>
              <w:rPr>
                <w:rFonts w:eastAsia="Times New Roman"/>
                <w:b/>
                <w:bCs/>
                <w:noProof/>
                <w:color w:val="000000"/>
                <w:sz w:val="16"/>
                <w:szCs w:val="16"/>
              </w:rPr>
            </w:pPr>
            <w:r w:rsidRPr="00922C2A">
              <w:rPr>
                <w:noProof/>
                <w:color w:val="000000"/>
                <w:sz w:val="16"/>
              </w:rPr>
              <w:t>5,379</w:t>
            </w:r>
          </w:p>
        </w:tc>
      </w:tr>
      <w:tr w:rsidR="00922C2A" w:rsidRPr="00922C2A" w14:paraId="0657F4BE" w14:textId="77777777" w:rsidTr="006F49C9">
        <w:trPr>
          <w:trHeight w:val="531"/>
        </w:trPr>
        <w:tc>
          <w:tcPr>
            <w:tcW w:w="3488" w:type="dxa"/>
            <w:tcBorders>
              <w:top w:val="nil"/>
              <w:left w:val="single" w:sz="8" w:space="0" w:color="auto"/>
              <w:bottom w:val="single" w:sz="8" w:space="0" w:color="auto"/>
              <w:right w:val="single" w:sz="8" w:space="0" w:color="auto"/>
            </w:tcBorders>
            <w:shd w:val="clear" w:color="auto" w:fill="auto"/>
            <w:vAlign w:val="center"/>
            <w:hideMark/>
          </w:tcPr>
          <w:p w14:paraId="262EF06A" w14:textId="77777777" w:rsidR="00922C2A" w:rsidRPr="00922C2A" w:rsidRDefault="00922C2A" w:rsidP="006F49C9">
            <w:pPr>
              <w:spacing w:before="0" w:after="0"/>
              <w:jc w:val="left"/>
              <w:rPr>
                <w:rFonts w:eastAsia="Times New Roman"/>
                <w:noProof/>
                <w:color w:val="000000"/>
                <w:sz w:val="16"/>
                <w:szCs w:val="16"/>
              </w:rPr>
            </w:pPr>
            <w:r w:rsidRPr="00922C2A">
              <w:rPr>
                <w:noProof/>
                <w:color w:val="000000"/>
                <w:sz w:val="16"/>
              </w:rPr>
              <w:t xml:space="preserve">Autres dépenses administratives </w:t>
            </w:r>
          </w:p>
        </w:tc>
        <w:tc>
          <w:tcPr>
            <w:tcW w:w="896" w:type="dxa"/>
            <w:tcBorders>
              <w:top w:val="nil"/>
              <w:left w:val="nil"/>
              <w:bottom w:val="single" w:sz="8" w:space="0" w:color="auto"/>
              <w:right w:val="single" w:sz="8" w:space="0" w:color="auto"/>
            </w:tcBorders>
            <w:shd w:val="clear" w:color="000000" w:fill="D9D9D9"/>
            <w:vAlign w:val="center"/>
            <w:hideMark/>
          </w:tcPr>
          <w:p w14:paraId="71C9D4F7"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0,000</w:t>
            </w:r>
          </w:p>
        </w:tc>
        <w:tc>
          <w:tcPr>
            <w:tcW w:w="915" w:type="dxa"/>
            <w:tcBorders>
              <w:top w:val="nil"/>
              <w:left w:val="nil"/>
              <w:bottom w:val="single" w:sz="8" w:space="0" w:color="auto"/>
              <w:right w:val="single" w:sz="8" w:space="0" w:color="auto"/>
            </w:tcBorders>
            <w:shd w:val="clear" w:color="000000" w:fill="D9D9D9"/>
            <w:vAlign w:val="center"/>
            <w:hideMark/>
          </w:tcPr>
          <w:p w14:paraId="66FC0C5A"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0,000</w:t>
            </w:r>
          </w:p>
        </w:tc>
        <w:tc>
          <w:tcPr>
            <w:tcW w:w="915" w:type="dxa"/>
            <w:tcBorders>
              <w:top w:val="nil"/>
              <w:left w:val="single" w:sz="8" w:space="0" w:color="auto"/>
              <w:bottom w:val="single" w:sz="8" w:space="0" w:color="auto"/>
              <w:right w:val="single" w:sz="8" w:space="0" w:color="auto"/>
            </w:tcBorders>
            <w:shd w:val="clear" w:color="000000" w:fill="D9D9D9"/>
            <w:vAlign w:val="center"/>
            <w:hideMark/>
          </w:tcPr>
          <w:p w14:paraId="6E72C603"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0,035</w:t>
            </w:r>
          </w:p>
        </w:tc>
        <w:tc>
          <w:tcPr>
            <w:tcW w:w="915" w:type="dxa"/>
            <w:tcBorders>
              <w:top w:val="nil"/>
              <w:left w:val="nil"/>
              <w:bottom w:val="single" w:sz="8" w:space="0" w:color="auto"/>
              <w:right w:val="single" w:sz="8" w:space="0" w:color="auto"/>
            </w:tcBorders>
            <w:shd w:val="clear" w:color="000000" w:fill="D9D9D9"/>
            <w:vAlign w:val="center"/>
            <w:hideMark/>
          </w:tcPr>
          <w:p w14:paraId="442361D1"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0,070</w:t>
            </w:r>
          </w:p>
        </w:tc>
        <w:tc>
          <w:tcPr>
            <w:tcW w:w="1011" w:type="dxa"/>
            <w:tcBorders>
              <w:top w:val="nil"/>
              <w:left w:val="nil"/>
              <w:bottom w:val="single" w:sz="8" w:space="0" w:color="auto"/>
              <w:right w:val="single" w:sz="8" w:space="0" w:color="auto"/>
            </w:tcBorders>
            <w:shd w:val="clear" w:color="000000" w:fill="D9D9D9"/>
            <w:vAlign w:val="center"/>
            <w:hideMark/>
          </w:tcPr>
          <w:p w14:paraId="1C6C6B2A" w14:textId="77777777" w:rsidR="00922C2A" w:rsidRPr="00922C2A" w:rsidRDefault="00922C2A" w:rsidP="006F49C9">
            <w:pPr>
              <w:spacing w:before="0" w:after="0"/>
              <w:jc w:val="right"/>
              <w:rPr>
                <w:rFonts w:eastAsia="Times New Roman"/>
                <w:b/>
                <w:bCs/>
                <w:noProof/>
                <w:color w:val="000000"/>
                <w:sz w:val="16"/>
                <w:szCs w:val="16"/>
              </w:rPr>
            </w:pPr>
            <w:r w:rsidRPr="00922C2A">
              <w:rPr>
                <w:noProof/>
                <w:color w:val="000000"/>
                <w:sz w:val="16"/>
              </w:rPr>
              <w:t>0,105</w:t>
            </w:r>
          </w:p>
        </w:tc>
      </w:tr>
      <w:tr w:rsidR="00922C2A" w:rsidRPr="00922C2A" w14:paraId="7A5EC138" w14:textId="77777777" w:rsidTr="006F49C9">
        <w:trPr>
          <w:trHeight w:val="531"/>
        </w:trPr>
        <w:tc>
          <w:tcPr>
            <w:tcW w:w="3488" w:type="dxa"/>
            <w:tcBorders>
              <w:top w:val="nil"/>
              <w:left w:val="single" w:sz="8" w:space="0" w:color="auto"/>
              <w:bottom w:val="single" w:sz="8" w:space="0" w:color="auto"/>
              <w:right w:val="single" w:sz="8" w:space="0" w:color="auto"/>
            </w:tcBorders>
            <w:shd w:val="clear" w:color="000000" w:fill="CCCCCC"/>
            <w:vAlign w:val="center"/>
            <w:hideMark/>
          </w:tcPr>
          <w:p w14:paraId="7754BF43" w14:textId="77777777" w:rsidR="00922C2A" w:rsidRPr="00922C2A" w:rsidRDefault="00922C2A" w:rsidP="006F49C9">
            <w:pPr>
              <w:spacing w:before="0" w:after="0"/>
              <w:jc w:val="center"/>
              <w:rPr>
                <w:rFonts w:eastAsia="Times New Roman"/>
                <w:b/>
                <w:bCs/>
                <w:noProof/>
                <w:color w:val="000000"/>
                <w:sz w:val="16"/>
                <w:szCs w:val="16"/>
              </w:rPr>
            </w:pPr>
            <w:r w:rsidRPr="00922C2A">
              <w:rPr>
                <w:b/>
                <w:noProof/>
                <w:color w:val="000000"/>
                <w:sz w:val="16"/>
              </w:rPr>
              <w:t>Sous-total RUBRIQUE 7</w:t>
            </w:r>
          </w:p>
        </w:tc>
        <w:tc>
          <w:tcPr>
            <w:tcW w:w="896" w:type="dxa"/>
            <w:tcBorders>
              <w:top w:val="nil"/>
              <w:left w:val="nil"/>
              <w:bottom w:val="single" w:sz="8" w:space="0" w:color="auto"/>
              <w:right w:val="single" w:sz="8" w:space="0" w:color="auto"/>
            </w:tcBorders>
            <w:shd w:val="clear" w:color="000000" w:fill="D9D9D9"/>
            <w:vAlign w:val="center"/>
            <w:hideMark/>
          </w:tcPr>
          <w:p w14:paraId="093A6DEC" w14:textId="77777777" w:rsidR="00922C2A" w:rsidRPr="00922C2A" w:rsidRDefault="00922C2A" w:rsidP="006F49C9">
            <w:pPr>
              <w:spacing w:before="0" w:after="0"/>
              <w:jc w:val="right"/>
              <w:rPr>
                <w:rFonts w:eastAsia="Times New Roman"/>
                <w:b/>
                <w:bCs/>
                <w:noProof/>
                <w:color w:val="000000"/>
                <w:sz w:val="16"/>
                <w:szCs w:val="16"/>
              </w:rPr>
            </w:pPr>
            <w:r w:rsidRPr="00922C2A">
              <w:rPr>
                <w:noProof/>
                <w:color w:val="000000"/>
                <w:sz w:val="16"/>
              </w:rPr>
              <w:t>0,000</w:t>
            </w:r>
          </w:p>
        </w:tc>
        <w:tc>
          <w:tcPr>
            <w:tcW w:w="915" w:type="dxa"/>
            <w:tcBorders>
              <w:top w:val="nil"/>
              <w:left w:val="nil"/>
              <w:bottom w:val="single" w:sz="8" w:space="0" w:color="auto"/>
              <w:right w:val="single" w:sz="8" w:space="0" w:color="auto"/>
            </w:tcBorders>
            <w:shd w:val="clear" w:color="000000" w:fill="D9D9D9"/>
            <w:vAlign w:val="center"/>
            <w:hideMark/>
          </w:tcPr>
          <w:p w14:paraId="21979E86" w14:textId="77777777" w:rsidR="00922C2A" w:rsidRPr="00922C2A" w:rsidRDefault="00922C2A" w:rsidP="006F49C9">
            <w:pPr>
              <w:spacing w:before="0" w:after="0"/>
              <w:jc w:val="right"/>
              <w:rPr>
                <w:rFonts w:eastAsia="Times New Roman"/>
                <w:b/>
                <w:bCs/>
                <w:noProof/>
                <w:color w:val="000000"/>
                <w:sz w:val="16"/>
                <w:szCs w:val="16"/>
              </w:rPr>
            </w:pPr>
            <w:r w:rsidRPr="00922C2A">
              <w:rPr>
                <w:noProof/>
                <w:color w:val="000000"/>
                <w:sz w:val="16"/>
              </w:rPr>
              <w:t>0,000</w:t>
            </w:r>
          </w:p>
        </w:tc>
        <w:tc>
          <w:tcPr>
            <w:tcW w:w="915" w:type="dxa"/>
            <w:tcBorders>
              <w:top w:val="nil"/>
              <w:left w:val="single" w:sz="8" w:space="0" w:color="auto"/>
              <w:bottom w:val="single" w:sz="8" w:space="0" w:color="auto"/>
              <w:right w:val="single" w:sz="8" w:space="0" w:color="auto"/>
            </w:tcBorders>
            <w:shd w:val="clear" w:color="000000" w:fill="D9D9D9"/>
            <w:vAlign w:val="center"/>
            <w:hideMark/>
          </w:tcPr>
          <w:p w14:paraId="50A93F77" w14:textId="77777777" w:rsidR="00922C2A" w:rsidRPr="00922C2A" w:rsidRDefault="00922C2A" w:rsidP="006F49C9">
            <w:pPr>
              <w:spacing w:before="0" w:after="0"/>
              <w:jc w:val="right"/>
              <w:rPr>
                <w:rFonts w:eastAsia="Times New Roman"/>
                <w:b/>
                <w:bCs/>
                <w:noProof/>
                <w:color w:val="000000"/>
                <w:sz w:val="16"/>
                <w:szCs w:val="16"/>
              </w:rPr>
            </w:pPr>
            <w:r w:rsidRPr="00922C2A">
              <w:rPr>
                <w:noProof/>
                <w:color w:val="000000"/>
                <w:sz w:val="16"/>
              </w:rPr>
              <w:t>1,828</w:t>
            </w:r>
          </w:p>
        </w:tc>
        <w:tc>
          <w:tcPr>
            <w:tcW w:w="915" w:type="dxa"/>
            <w:tcBorders>
              <w:top w:val="nil"/>
              <w:left w:val="nil"/>
              <w:bottom w:val="single" w:sz="8" w:space="0" w:color="auto"/>
              <w:right w:val="single" w:sz="8" w:space="0" w:color="auto"/>
            </w:tcBorders>
            <w:shd w:val="clear" w:color="000000" w:fill="D9D9D9"/>
            <w:vAlign w:val="center"/>
            <w:hideMark/>
          </w:tcPr>
          <w:p w14:paraId="07F48855" w14:textId="77777777" w:rsidR="00922C2A" w:rsidRPr="00922C2A" w:rsidRDefault="00922C2A" w:rsidP="006F49C9">
            <w:pPr>
              <w:spacing w:before="0" w:after="0"/>
              <w:jc w:val="right"/>
              <w:rPr>
                <w:rFonts w:eastAsia="Times New Roman"/>
                <w:b/>
                <w:bCs/>
                <w:noProof/>
                <w:color w:val="000000"/>
                <w:sz w:val="16"/>
                <w:szCs w:val="16"/>
              </w:rPr>
            </w:pPr>
            <w:r w:rsidRPr="00922C2A">
              <w:rPr>
                <w:noProof/>
                <w:color w:val="000000"/>
                <w:sz w:val="16"/>
              </w:rPr>
              <w:t>3,656</w:t>
            </w:r>
          </w:p>
        </w:tc>
        <w:tc>
          <w:tcPr>
            <w:tcW w:w="1011" w:type="dxa"/>
            <w:tcBorders>
              <w:top w:val="nil"/>
              <w:left w:val="nil"/>
              <w:bottom w:val="single" w:sz="8" w:space="0" w:color="auto"/>
              <w:right w:val="single" w:sz="8" w:space="0" w:color="auto"/>
            </w:tcBorders>
            <w:shd w:val="clear" w:color="000000" w:fill="D9D9D9"/>
            <w:vAlign w:val="center"/>
            <w:hideMark/>
          </w:tcPr>
          <w:p w14:paraId="4B1EDF06" w14:textId="77777777" w:rsidR="00922C2A" w:rsidRPr="00922C2A" w:rsidRDefault="00922C2A" w:rsidP="006F49C9">
            <w:pPr>
              <w:spacing w:before="0" w:after="0"/>
              <w:jc w:val="right"/>
              <w:rPr>
                <w:rFonts w:eastAsia="Times New Roman"/>
                <w:b/>
                <w:bCs/>
                <w:noProof/>
                <w:color w:val="000000"/>
                <w:sz w:val="16"/>
                <w:szCs w:val="16"/>
              </w:rPr>
            </w:pPr>
            <w:r w:rsidRPr="00922C2A">
              <w:rPr>
                <w:noProof/>
                <w:color w:val="000000"/>
                <w:sz w:val="16"/>
              </w:rPr>
              <w:t>5,484</w:t>
            </w:r>
          </w:p>
        </w:tc>
      </w:tr>
      <w:tr w:rsidR="00922C2A" w:rsidRPr="00922C2A" w14:paraId="23576F93" w14:textId="77777777" w:rsidTr="006F49C9">
        <w:trPr>
          <w:trHeight w:val="531"/>
        </w:trPr>
        <w:tc>
          <w:tcPr>
            <w:tcW w:w="8140" w:type="dxa"/>
            <w:gridSpan w:val="6"/>
            <w:tcBorders>
              <w:top w:val="single" w:sz="8" w:space="0" w:color="auto"/>
              <w:left w:val="single" w:sz="8" w:space="0" w:color="auto"/>
              <w:bottom w:val="single" w:sz="8" w:space="0" w:color="auto"/>
              <w:right w:val="nil"/>
            </w:tcBorders>
            <w:shd w:val="clear" w:color="auto" w:fill="auto"/>
            <w:vAlign w:val="center"/>
            <w:hideMark/>
          </w:tcPr>
          <w:p w14:paraId="20276B98" w14:textId="77777777" w:rsidR="00922C2A" w:rsidRPr="00922C2A" w:rsidRDefault="00922C2A" w:rsidP="006F49C9">
            <w:pPr>
              <w:spacing w:before="0" w:after="0"/>
              <w:jc w:val="left"/>
              <w:rPr>
                <w:rFonts w:eastAsia="Times New Roman"/>
                <w:b/>
                <w:bCs/>
                <w:noProof/>
                <w:sz w:val="16"/>
                <w:szCs w:val="16"/>
              </w:rPr>
            </w:pPr>
            <w:r w:rsidRPr="00922C2A">
              <w:rPr>
                <w:b/>
                <w:noProof/>
                <w:sz w:val="16"/>
              </w:rPr>
              <w:t>Hors RUBRIQUE 7</w:t>
            </w:r>
          </w:p>
        </w:tc>
      </w:tr>
      <w:tr w:rsidR="00922C2A" w:rsidRPr="00922C2A" w14:paraId="344D6BCB" w14:textId="77777777" w:rsidTr="006F49C9">
        <w:trPr>
          <w:trHeight w:val="531"/>
        </w:trPr>
        <w:tc>
          <w:tcPr>
            <w:tcW w:w="3488" w:type="dxa"/>
            <w:tcBorders>
              <w:top w:val="nil"/>
              <w:left w:val="single" w:sz="8" w:space="0" w:color="auto"/>
              <w:bottom w:val="single" w:sz="8" w:space="0" w:color="auto"/>
              <w:right w:val="single" w:sz="8" w:space="0" w:color="auto"/>
            </w:tcBorders>
            <w:shd w:val="clear" w:color="auto" w:fill="auto"/>
            <w:vAlign w:val="center"/>
            <w:hideMark/>
          </w:tcPr>
          <w:p w14:paraId="6C602D92" w14:textId="77777777" w:rsidR="00922C2A" w:rsidRPr="00922C2A" w:rsidRDefault="00922C2A" w:rsidP="006F49C9">
            <w:pPr>
              <w:spacing w:before="0" w:after="0"/>
              <w:jc w:val="left"/>
              <w:rPr>
                <w:rFonts w:eastAsia="Times New Roman"/>
                <w:noProof/>
                <w:color w:val="000000"/>
                <w:sz w:val="16"/>
                <w:szCs w:val="16"/>
              </w:rPr>
            </w:pPr>
            <w:r w:rsidRPr="00922C2A">
              <w:rPr>
                <w:noProof/>
                <w:color w:val="000000"/>
                <w:sz w:val="16"/>
              </w:rPr>
              <w:t xml:space="preserve">Ressources humaines </w:t>
            </w:r>
          </w:p>
        </w:tc>
        <w:tc>
          <w:tcPr>
            <w:tcW w:w="896" w:type="dxa"/>
            <w:tcBorders>
              <w:top w:val="nil"/>
              <w:left w:val="nil"/>
              <w:bottom w:val="single" w:sz="8" w:space="0" w:color="auto"/>
              <w:right w:val="single" w:sz="8" w:space="0" w:color="auto"/>
            </w:tcBorders>
            <w:shd w:val="clear" w:color="000000" w:fill="D9D9D9"/>
            <w:vAlign w:val="center"/>
            <w:hideMark/>
          </w:tcPr>
          <w:p w14:paraId="40C12BB5"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0,000</w:t>
            </w:r>
          </w:p>
        </w:tc>
        <w:tc>
          <w:tcPr>
            <w:tcW w:w="915" w:type="dxa"/>
            <w:tcBorders>
              <w:top w:val="nil"/>
              <w:left w:val="nil"/>
              <w:bottom w:val="single" w:sz="8" w:space="0" w:color="auto"/>
              <w:right w:val="single" w:sz="8" w:space="0" w:color="auto"/>
            </w:tcBorders>
            <w:shd w:val="clear" w:color="000000" w:fill="D9D9D9"/>
            <w:vAlign w:val="center"/>
            <w:hideMark/>
          </w:tcPr>
          <w:p w14:paraId="4DB6875C"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0,000</w:t>
            </w:r>
          </w:p>
        </w:tc>
        <w:tc>
          <w:tcPr>
            <w:tcW w:w="915" w:type="dxa"/>
            <w:tcBorders>
              <w:top w:val="nil"/>
              <w:left w:val="nil"/>
              <w:bottom w:val="single" w:sz="8" w:space="0" w:color="auto"/>
              <w:right w:val="single" w:sz="8" w:space="0" w:color="auto"/>
            </w:tcBorders>
            <w:shd w:val="clear" w:color="000000" w:fill="D9D9D9"/>
            <w:vAlign w:val="center"/>
            <w:hideMark/>
          </w:tcPr>
          <w:p w14:paraId="6E73AEA2"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0,000</w:t>
            </w:r>
          </w:p>
        </w:tc>
        <w:tc>
          <w:tcPr>
            <w:tcW w:w="915" w:type="dxa"/>
            <w:tcBorders>
              <w:top w:val="nil"/>
              <w:left w:val="nil"/>
              <w:bottom w:val="single" w:sz="8" w:space="0" w:color="auto"/>
              <w:right w:val="single" w:sz="8" w:space="0" w:color="auto"/>
            </w:tcBorders>
            <w:shd w:val="clear" w:color="000000" w:fill="D9D9D9"/>
            <w:vAlign w:val="center"/>
            <w:hideMark/>
          </w:tcPr>
          <w:p w14:paraId="66FF715D"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0,000</w:t>
            </w:r>
          </w:p>
        </w:tc>
        <w:tc>
          <w:tcPr>
            <w:tcW w:w="1011" w:type="dxa"/>
            <w:tcBorders>
              <w:top w:val="nil"/>
              <w:left w:val="nil"/>
              <w:bottom w:val="single" w:sz="8" w:space="0" w:color="auto"/>
              <w:right w:val="single" w:sz="8" w:space="0" w:color="auto"/>
            </w:tcBorders>
            <w:shd w:val="clear" w:color="000000" w:fill="D9D9D9"/>
            <w:vAlign w:val="center"/>
            <w:hideMark/>
          </w:tcPr>
          <w:p w14:paraId="70ACE801" w14:textId="77777777" w:rsidR="00922C2A" w:rsidRPr="00922C2A" w:rsidRDefault="00922C2A" w:rsidP="006F49C9">
            <w:pPr>
              <w:spacing w:before="0" w:after="0"/>
              <w:jc w:val="right"/>
              <w:rPr>
                <w:rFonts w:eastAsia="Times New Roman"/>
                <w:b/>
                <w:bCs/>
                <w:noProof/>
                <w:color w:val="000000"/>
                <w:sz w:val="16"/>
                <w:szCs w:val="16"/>
              </w:rPr>
            </w:pPr>
            <w:r w:rsidRPr="00922C2A">
              <w:rPr>
                <w:b/>
                <w:noProof/>
                <w:color w:val="000000"/>
                <w:sz w:val="16"/>
              </w:rPr>
              <w:t>0,000</w:t>
            </w:r>
          </w:p>
        </w:tc>
      </w:tr>
      <w:tr w:rsidR="00922C2A" w:rsidRPr="00922C2A" w14:paraId="2B1AD0A9" w14:textId="77777777" w:rsidTr="006F49C9">
        <w:trPr>
          <w:trHeight w:val="531"/>
        </w:trPr>
        <w:tc>
          <w:tcPr>
            <w:tcW w:w="3488" w:type="dxa"/>
            <w:tcBorders>
              <w:top w:val="nil"/>
              <w:left w:val="single" w:sz="8" w:space="0" w:color="auto"/>
              <w:bottom w:val="single" w:sz="8" w:space="0" w:color="auto"/>
              <w:right w:val="single" w:sz="8" w:space="0" w:color="auto"/>
            </w:tcBorders>
            <w:shd w:val="clear" w:color="auto" w:fill="auto"/>
            <w:vAlign w:val="center"/>
            <w:hideMark/>
          </w:tcPr>
          <w:p w14:paraId="192D2749" w14:textId="77777777" w:rsidR="00922C2A" w:rsidRPr="00922C2A" w:rsidRDefault="00922C2A" w:rsidP="006F49C9">
            <w:pPr>
              <w:spacing w:before="0" w:after="0"/>
              <w:jc w:val="left"/>
              <w:rPr>
                <w:rFonts w:eastAsia="Times New Roman"/>
                <w:noProof/>
                <w:color w:val="000000"/>
                <w:sz w:val="16"/>
                <w:szCs w:val="16"/>
              </w:rPr>
            </w:pPr>
            <w:r w:rsidRPr="00922C2A">
              <w:rPr>
                <w:noProof/>
                <w:color w:val="000000"/>
                <w:sz w:val="16"/>
              </w:rPr>
              <w:t>Autres dépenses de nature administrative</w:t>
            </w:r>
          </w:p>
        </w:tc>
        <w:tc>
          <w:tcPr>
            <w:tcW w:w="896" w:type="dxa"/>
            <w:tcBorders>
              <w:top w:val="nil"/>
              <w:left w:val="nil"/>
              <w:bottom w:val="single" w:sz="8" w:space="0" w:color="auto"/>
              <w:right w:val="single" w:sz="8" w:space="0" w:color="auto"/>
            </w:tcBorders>
            <w:shd w:val="clear" w:color="000000" w:fill="D9D9D9"/>
            <w:vAlign w:val="center"/>
            <w:hideMark/>
          </w:tcPr>
          <w:p w14:paraId="7448DB81"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0,000</w:t>
            </w:r>
          </w:p>
        </w:tc>
        <w:tc>
          <w:tcPr>
            <w:tcW w:w="915" w:type="dxa"/>
            <w:tcBorders>
              <w:top w:val="nil"/>
              <w:left w:val="nil"/>
              <w:bottom w:val="single" w:sz="8" w:space="0" w:color="auto"/>
              <w:right w:val="single" w:sz="8" w:space="0" w:color="auto"/>
            </w:tcBorders>
            <w:shd w:val="clear" w:color="000000" w:fill="D9D9D9"/>
            <w:vAlign w:val="center"/>
            <w:hideMark/>
          </w:tcPr>
          <w:p w14:paraId="2A19E8B6"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0,000</w:t>
            </w:r>
          </w:p>
        </w:tc>
        <w:tc>
          <w:tcPr>
            <w:tcW w:w="915" w:type="dxa"/>
            <w:tcBorders>
              <w:top w:val="nil"/>
              <w:left w:val="nil"/>
              <w:bottom w:val="single" w:sz="8" w:space="0" w:color="auto"/>
              <w:right w:val="single" w:sz="8" w:space="0" w:color="auto"/>
            </w:tcBorders>
            <w:shd w:val="clear" w:color="000000" w:fill="D9D9D9"/>
            <w:vAlign w:val="center"/>
            <w:hideMark/>
          </w:tcPr>
          <w:p w14:paraId="3F0169E8"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0,000</w:t>
            </w:r>
          </w:p>
        </w:tc>
        <w:tc>
          <w:tcPr>
            <w:tcW w:w="915" w:type="dxa"/>
            <w:tcBorders>
              <w:top w:val="nil"/>
              <w:left w:val="nil"/>
              <w:bottom w:val="single" w:sz="8" w:space="0" w:color="auto"/>
              <w:right w:val="single" w:sz="8" w:space="0" w:color="auto"/>
            </w:tcBorders>
            <w:shd w:val="clear" w:color="000000" w:fill="D9D9D9"/>
            <w:vAlign w:val="center"/>
            <w:hideMark/>
          </w:tcPr>
          <w:p w14:paraId="3448B050"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0,000</w:t>
            </w:r>
          </w:p>
        </w:tc>
        <w:tc>
          <w:tcPr>
            <w:tcW w:w="1011" w:type="dxa"/>
            <w:tcBorders>
              <w:top w:val="nil"/>
              <w:left w:val="nil"/>
              <w:bottom w:val="single" w:sz="8" w:space="0" w:color="auto"/>
              <w:right w:val="single" w:sz="8" w:space="0" w:color="auto"/>
            </w:tcBorders>
            <w:shd w:val="clear" w:color="000000" w:fill="D9D9D9"/>
            <w:vAlign w:val="center"/>
            <w:hideMark/>
          </w:tcPr>
          <w:p w14:paraId="63A0CE64" w14:textId="77777777" w:rsidR="00922C2A" w:rsidRPr="00922C2A" w:rsidRDefault="00922C2A" w:rsidP="006F49C9">
            <w:pPr>
              <w:spacing w:before="0" w:after="0"/>
              <w:jc w:val="right"/>
              <w:rPr>
                <w:rFonts w:eastAsia="Times New Roman"/>
                <w:b/>
                <w:bCs/>
                <w:noProof/>
                <w:color w:val="000000"/>
                <w:sz w:val="16"/>
                <w:szCs w:val="16"/>
              </w:rPr>
            </w:pPr>
            <w:r w:rsidRPr="00922C2A">
              <w:rPr>
                <w:b/>
                <w:noProof/>
                <w:color w:val="000000"/>
                <w:sz w:val="16"/>
              </w:rPr>
              <w:t>0,000</w:t>
            </w:r>
          </w:p>
        </w:tc>
      </w:tr>
      <w:tr w:rsidR="00922C2A" w:rsidRPr="00922C2A" w14:paraId="64DFD7AF" w14:textId="77777777" w:rsidTr="006F49C9">
        <w:trPr>
          <w:trHeight w:val="531"/>
        </w:trPr>
        <w:tc>
          <w:tcPr>
            <w:tcW w:w="3488" w:type="dxa"/>
            <w:tcBorders>
              <w:top w:val="nil"/>
              <w:left w:val="single" w:sz="8" w:space="0" w:color="auto"/>
              <w:bottom w:val="single" w:sz="8" w:space="0" w:color="auto"/>
              <w:right w:val="single" w:sz="8" w:space="0" w:color="auto"/>
            </w:tcBorders>
            <w:shd w:val="clear" w:color="000000" w:fill="CCCCCC"/>
            <w:vAlign w:val="center"/>
            <w:hideMark/>
          </w:tcPr>
          <w:p w14:paraId="3EC3A050" w14:textId="77777777" w:rsidR="00922C2A" w:rsidRPr="00922C2A" w:rsidRDefault="00922C2A" w:rsidP="006F49C9">
            <w:pPr>
              <w:spacing w:before="0" w:after="0"/>
              <w:jc w:val="center"/>
              <w:rPr>
                <w:rFonts w:eastAsia="Times New Roman"/>
                <w:b/>
                <w:bCs/>
                <w:noProof/>
                <w:color w:val="000000"/>
                <w:sz w:val="16"/>
                <w:szCs w:val="16"/>
              </w:rPr>
            </w:pPr>
            <w:r w:rsidRPr="00922C2A">
              <w:rPr>
                <w:b/>
                <w:noProof/>
                <w:color w:val="000000"/>
                <w:sz w:val="16"/>
              </w:rPr>
              <w:t>Sous-total hors RUBRIQUE 7</w:t>
            </w:r>
          </w:p>
        </w:tc>
        <w:tc>
          <w:tcPr>
            <w:tcW w:w="896" w:type="dxa"/>
            <w:tcBorders>
              <w:top w:val="nil"/>
              <w:left w:val="nil"/>
              <w:bottom w:val="single" w:sz="8" w:space="0" w:color="auto"/>
              <w:right w:val="single" w:sz="8" w:space="0" w:color="auto"/>
            </w:tcBorders>
            <w:shd w:val="clear" w:color="000000" w:fill="D9D9D9"/>
            <w:vAlign w:val="center"/>
            <w:hideMark/>
          </w:tcPr>
          <w:p w14:paraId="71E9EA63" w14:textId="77777777" w:rsidR="00922C2A" w:rsidRPr="00922C2A" w:rsidRDefault="00922C2A" w:rsidP="006F49C9">
            <w:pPr>
              <w:spacing w:before="0" w:after="0"/>
              <w:jc w:val="right"/>
              <w:rPr>
                <w:rFonts w:eastAsia="Times New Roman"/>
                <w:b/>
                <w:bCs/>
                <w:noProof/>
                <w:color w:val="000000"/>
                <w:sz w:val="16"/>
                <w:szCs w:val="16"/>
              </w:rPr>
            </w:pPr>
            <w:r w:rsidRPr="00922C2A">
              <w:rPr>
                <w:b/>
                <w:noProof/>
                <w:color w:val="000000"/>
                <w:sz w:val="16"/>
              </w:rPr>
              <w:t>0,000</w:t>
            </w:r>
          </w:p>
        </w:tc>
        <w:tc>
          <w:tcPr>
            <w:tcW w:w="915" w:type="dxa"/>
            <w:tcBorders>
              <w:top w:val="nil"/>
              <w:left w:val="nil"/>
              <w:bottom w:val="single" w:sz="8" w:space="0" w:color="auto"/>
              <w:right w:val="single" w:sz="8" w:space="0" w:color="auto"/>
            </w:tcBorders>
            <w:shd w:val="clear" w:color="000000" w:fill="D9D9D9"/>
            <w:vAlign w:val="center"/>
            <w:hideMark/>
          </w:tcPr>
          <w:p w14:paraId="35D1C330" w14:textId="77777777" w:rsidR="00922C2A" w:rsidRPr="00922C2A" w:rsidRDefault="00922C2A" w:rsidP="006F49C9">
            <w:pPr>
              <w:spacing w:before="0" w:after="0"/>
              <w:jc w:val="right"/>
              <w:rPr>
                <w:rFonts w:eastAsia="Times New Roman"/>
                <w:b/>
                <w:bCs/>
                <w:noProof/>
                <w:color w:val="000000"/>
                <w:sz w:val="16"/>
                <w:szCs w:val="16"/>
              </w:rPr>
            </w:pPr>
            <w:r w:rsidRPr="00922C2A">
              <w:rPr>
                <w:b/>
                <w:noProof/>
                <w:color w:val="000000"/>
                <w:sz w:val="16"/>
              </w:rPr>
              <w:t>0,000</w:t>
            </w:r>
          </w:p>
        </w:tc>
        <w:tc>
          <w:tcPr>
            <w:tcW w:w="915" w:type="dxa"/>
            <w:tcBorders>
              <w:top w:val="nil"/>
              <w:left w:val="nil"/>
              <w:bottom w:val="single" w:sz="8" w:space="0" w:color="auto"/>
              <w:right w:val="single" w:sz="8" w:space="0" w:color="auto"/>
            </w:tcBorders>
            <w:shd w:val="clear" w:color="000000" w:fill="D9D9D9"/>
            <w:vAlign w:val="center"/>
            <w:hideMark/>
          </w:tcPr>
          <w:p w14:paraId="4B39DF94" w14:textId="77777777" w:rsidR="00922C2A" w:rsidRPr="00922C2A" w:rsidRDefault="00922C2A" w:rsidP="006F49C9">
            <w:pPr>
              <w:spacing w:before="0" w:after="0"/>
              <w:jc w:val="right"/>
              <w:rPr>
                <w:rFonts w:eastAsia="Times New Roman"/>
                <w:b/>
                <w:bCs/>
                <w:noProof/>
                <w:color w:val="000000"/>
                <w:sz w:val="16"/>
                <w:szCs w:val="16"/>
              </w:rPr>
            </w:pPr>
            <w:r w:rsidRPr="00922C2A">
              <w:rPr>
                <w:b/>
                <w:noProof/>
                <w:color w:val="000000"/>
                <w:sz w:val="16"/>
              </w:rPr>
              <w:t>0,000</w:t>
            </w:r>
          </w:p>
        </w:tc>
        <w:tc>
          <w:tcPr>
            <w:tcW w:w="915" w:type="dxa"/>
            <w:tcBorders>
              <w:top w:val="nil"/>
              <w:left w:val="nil"/>
              <w:bottom w:val="single" w:sz="8" w:space="0" w:color="auto"/>
              <w:right w:val="single" w:sz="8" w:space="0" w:color="auto"/>
            </w:tcBorders>
            <w:shd w:val="clear" w:color="000000" w:fill="D9D9D9"/>
            <w:vAlign w:val="center"/>
            <w:hideMark/>
          </w:tcPr>
          <w:p w14:paraId="06431420" w14:textId="77777777" w:rsidR="00922C2A" w:rsidRPr="00922C2A" w:rsidRDefault="00922C2A" w:rsidP="006F49C9">
            <w:pPr>
              <w:spacing w:before="0" w:after="0"/>
              <w:jc w:val="right"/>
              <w:rPr>
                <w:rFonts w:eastAsia="Times New Roman"/>
                <w:b/>
                <w:bCs/>
                <w:noProof/>
                <w:color w:val="000000"/>
                <w:sz w:val="16"/>
                <w:szCs w:val="16"/>
              </w:rPr>
            </w:pPr>
            <w:r w:rsidRPr="00922C2A">
              <w:rPr>
                <w:b/>
                <w:noProof/>
                <w:color w:val="000000"/>
                <w:sz w:val="16"/>
              </w:rPr>
              <w:t>0,000</w:t>
            </w:r>
          </w:p>
        </w:tc>
        <w:tc>
          <w:tcPr>
            <w:tcW w:w="1011" w:type="dxa"/>
            <w:tcBorders>
              <w:top w:val="nil"/>
              <w:left w:val="nil"/>
              <w:bottom w:val="single" w:sz="8" w:space="0" w:color="auto"/>
              <w:right w:val="single" w:sz="8" w:space="0" w:color="auto"/>
            </w:tcBorders>
            <w:shd w:val="clear" w:color="000000" w:fill="D9D9D9"/>
            <w:vAlign w:val="center"/>
            <w:hideMark/>
          </w:tcPr>
          <w:p w14:paraId="5667BD8E" w14:textId="77777777" w:rsidR="00922C2A" w:rsidRPr="00922C2A" w:rsidRDefault="00922C2A" w:rsidP="006F49C9">
            <w:pPr>
              <w:spacing w:before="0" w:after="0"/>
              <w:jc w:val="right"/>
              <w:rPr>
                <w:rFonts w:eastAsia="Times New Roman"/>
                <w:b/>
                <w:bCs/>
                <w:noProof/>
                <w:color w:val="000000"/>
                <w:sz w:val="16"/>
                <w:szCs w:val="16"/>
              </w:rPr>
            </w:pPr>
            <w:r w:rsidRPr="00922C2A">
              <w:rPr>
                <w:b/>
                <w:noProof/>
                <w:color w:val="000000"/>
                <w:sz w:val="16"/>
              </w:rPr>
              <w:t>0,000</w:t>
            </w:r>
          </w:p>
        </w:tc>
      </w:tr>
      <w:tr w:rsidR="00922C2A" w:rsidRPr="00922C2A" w14:paraId="28FF2C1B" w14:textId="77777777" w:rsidTr="006F49C9">
        <w:trPr>
          <w:trHeight w:val="531"/>
        </w:trPr>
        <w:tc>
          <w:tcPr>
            <w:tcW w:w="8140" w:type="dxa"/>
            <w:gridSpan w:val="6"/>
            <w:tcBorders>
              <w:top w:val="single" w:sz="8" w:space="0" w:color="auto"/>
              <w:left w:val="single" w:sz="8" w:space="0" w:color="auto"/>
              <w:bottom w:val="single" w:sz="8" w:space="0" w:color="auto"/>
              <w:right w:val="nil"/>
            </w:tcBorders>
            <w:shd w:val="clear" w:color="auto" w:fill="auto"/>
            <w:noWrap/>
            <w:vAlign w:val="center"/>
            <w:hideMark/>
          </w:tcPr>
          <w:p w14:paraId="7A625260"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 </w:t>
            </w:r>
          </w:p>
        </w:tc>
      </w:tr>
      <w:tr w:rsidR="00922C2A" w:rsidRPr="00922C2A" w14:paraId="5A25CFD1" w14:textId="77777777" w:rsidTr="006F49C9">
        <w:trPr>
          <w:trHeight w:val="556"/>
        </w:trPr>
        <w:tc>
          <w:tcPr>
            <w:tcW w:w="3488" w:type="dxa"/>
            <w:tcBorders>
              <w:top w:val="single" w:sz="12" w:space="0" w:color="auto"/>
              <w:left w:val="single" w:sz="12" w:space="0" w:color="auto"/>
              <w:bottom w:val="single" w:sz="12" w:space="0" w:color="auto"/>
              <w:right w:val="single" w:sz="8" w:space="0" w:color="auto"/>
            </w:tcBorders>
            <w:shd w:val="clear" w:color="auto" w:fill="auto"/>
            <w:vAlign w:val="center"/>
            <w:hideMark/>
          </w:tcPr>
          <w:p w14:paraId="604BCBC4" w14:textId="77777777" w:rsidR="00922C2A" w:rsidRPr="00922C2A" w:rsidRDefault="00922C2A" w:rsidP="006F49C9">
            <w:pPr>
              <w:spacing w:before="0" w:after="0"/>
              <w:jc w:val="center"/>
              <w:rPr>
                <w:rFonts w:eastAsia="Times New Roman"/>
                <w:b/>
                <w:bCs/>
                <w:noProof/>
                <w:color w:val="000000"/>
                <w:sz w:val="16"/>
                <w:szCs w:val="16"/>
              </w:rPr>
            </w:pPr>
            <w:r w:rsidRPr="00922C2A">
              <w:rPr>
                <w:b/>
                <w:noProof/>
                <w:color w:val="000000"/>
                <w:sz w:val="16"/>
              </w:rPr>
              <w:t>TOTAL</w:t>
            </w:r>
          </w:p>
        </w:tc>
        <w:tc>
          <w:tcPr>
            <w:tcW w:w="896" w:type="dxa"/>
            <w:tcBorders>
              <w:top w:val="nil"/>
              <w:left w:val="nil"/>
              <w:bottom w:val="single" w:sz="8" w:space="0" w:color="auto"/>
              <w:right w:val="single" w:sz="8" w:space="0" w:color="auto"/>
            </w:tcBorders>
            <w:shd w:val="clear" w:color="000000" w:fill="D9D9D9"/>
            <w:vAlign w:val="center"/>
            <w:hideMark/>
          </w:tcPr>
          <w:p w14:paraId="56D514BD"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0,000</w:t>
            </w:r>
          </w:p>
        </w:tc>
        <w:tc>
          <w:tcPr>
            <w:tcW w:w="915" w:type="dxa"/>
            <w:tcBorders>
              <w:top w:val="nil"/>
              <w:left w:val="nil"/>
              <w:bottom w:val="single" w:sz="8" w:space="0" w:color="auto"/>
              <w:right w:val="single" w:sz="8" w:space="0" w:color="auto"/>
            </w:tcBorders>
            <w:shd w:val="clear" w:color="000000" w:fill="D9D9D9"/>
            <w:vAlign w:val="center"/>
            <w:hideMark/>
          </w:tcPr>
          <w:p w14:paraId="47897E23"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0,000</w:t>
            </w:r>
          </w:p>
        </w:tc>
        <w:tc>
          <w:tcPr>
            <w:tcW w:w="915" w:type="dxa"/>
            <w:tcBorders>
              <w:top w:val="nil"/>
              <w:left w:val="single" w:sz="8" w:space="0" w:color="auto"/>
              <w:bottom w:val="single" w:sz="8" w:space="0" w:color="auto"/>
              <w:right w:val="single" w:sz="8" w:space="0" w:color="auto"/>
            </w:tcBorders>
            <w:shd w:val="clear" w:color="000000" w:fill="D9D9D9"/>
            <w:vAlign w:val="center"/>
            <w:hideMark/>
          </w:tcPr>
          <w:p w14:paraId="00B8D8A4"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1,828</w:t>
            </w:r>
          </w:p>
        </w:tc>
        <w:tc>
          <w:tcPr>
            <w:tcW w:w="915" w:type="dxa"/>
            <w:tcBorders>
              <w:top w:val="nil"/>
              <w:left w:val="nil"/>
              <w:bottom w:val="single" w:sz="8" w:space="0" w:color="auto"/>
              <w:right w:val="single" w:sz="8" w:space="0" w:color="auto"/>
            </w:tcBorders>
            <w:shd w:val="clear" w:color="000000" w:fill="D9D9D9"/>
            <w:vAlign w:val="center"/>
            <w:hideMark/>
          </w:tcPr>
          <w:p w14:paraId="4E5BA979"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3,656</w:t>
            </w:r>
          </w:p>
        </w:tc>
        <w:tc>
          <w:tcPr>
            <w:tcW w:w="1011" w:type="dxa"/>
            <w:tcBorders>
              <w:top w:val="nil"/>
              <w:left w:val="nil"/>
              <w:bottom w:val="single" w:sz="8" w:space="0" w:color="auto"/>
              <w:right w:val="single" w:sz="8" w:space="0" w:color="auto"/>
            </w:tcBorders>
            <w:shd w:val="clear" w:color="000000" w:fill="D9D9D9"/>
            <w:vAlign w:val="center"/>
            <w:hideMark/>
          </w:tcPr>
          <w:p w14:paraId="2D817302" w14:textId="77777777" w:rsidR="00922C2A" w:rsidRPr="00922C2A" w:rsidRDefault="00922C2A" w:rsidP="006F49C9">
            <w:pPr>
              <w:spacing w:before="0" w:after="0"/>
              <w:jc w:val="right"/>
              <w:rPr>
                <w:rFonts w:eastAsia="Times New Roman"/>
                <w:noProof/>
                <w:color w:val="000000"/>
                <w:sz w:val="16"/>
                <w:szCs w:val="16"/>
              </w:rPr>
            </w:pPr>
            <w:r w:rsidRPr="00922C2A">
              <w:rPr>
                <w:noProof/>
                <w:color w:val="000000"/>
                <w:sz w:val="16"/>
              </w:rPr>
              <w:t>5,484</w:t>
            </w:r>
          </w:p>
        </w:tc>
      </w:tr>
    </w:tbl>
    <w:p w14:paraId="77A278B0" w14:textId="77777777" w:rsidR="00922C2A" w:rsidRPr="00922C2A" w:rsidRDefault="00922C2A" w:rsidP="00922C2A">
      <w:pPr>
        <w:pStyle w:val="Text1"/>
        <w:ind w:left="0"/>
        <w:rPr>
          <w:noProof/>
        </w:rPr>
      </w:pPr>
    </w:p>
    <w:p w14:paraId="2EFCEA21" w14:textId="77777777" w:rsidR="00922C2A" w:rsidRPr="00922C2A" w:rsidRDefault="00922C2A" w:rsidP="00922C2A">
      <w:pPr>
        <w:rPr>
          <w:noProof/>
          <w:sz w:val="22"/>
          <w:szCs w:val="28"/>
        </w:rPr>
      </w:pPr>
      <w:r w:rsidRPr="00922C2A">
        <w:rPr>
          <w:noProof/>
          <w:sz w:val="22"/>
        </w:rPr>
        <w:t>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14:paraId="37AEC6EF" w14:textId="77777777" w:rsidR="00922C2A" w:rsidRPr="00922C2A" w:rsidRDefault="00922C2A" w:rsidP="00922C2A">
      <w:pPr>
        <w:pStyle w:val="ManualHeading3"/>
        <w:rPr>
          <w:bCs/>
          <w:noProof/>
          <w:szCs w:val="24"/>
        </w:rPr>
      </w:pPr>
      <w:bookmarkStart w:id="171" w:name="_Toc167220294"/>
      <w:bookmarkStart w:id="172" w:name="_Toc177549027"/>
      <w:r w:rsidRPr="00922C2A">
        <w:rPr>
          <w:noProof/>
        </w:rPr>
        <w:t>3.2.4.</w:t>
      </w:r>
      <w:r w:rsidRPr="00922C2A">
        <w:rPr>
          <w:noProof/>
        </w:rPr>
        <w:tab/>
        <w:t>Besoins estimés en ressources humaines</w:t>
      </w:r>
      <w:bookmarkEnd w:id="171"/>
      <w:bookmarkEnd w:id="172"/>
      <w:r w:rsidRPr="00922C2A">
        <w:rPr>
          <w:noProof/>
        </w:rPr>
        <w:t xml:space="preserve"> </w:t>
      </w:r>
    </w:p>
    <w:p w14:paraId="47129B96" w14:textId="77777777" w:rsidR="00922C2A" w:rsidRPr="00922C2A" w:rsidRDefault="00922C2A" w:rsidP="00922C2A">
      <w:pPr>
        <w:pStyle w:val="ListDash1"/>
        <w:rPr>
          <w:noProof/>
        </w:rPr>
      </w:pPr>
      <w:r w:rsidRPr="00922C2A">
        <w:rPr>
          <w:rFonts w:ascii="Wingdings" w:hAnsi="Wingdings"/>
          <w:noProof/>
        </w:rPr>
        <w:t></w:t>
      </w:r>
      <w:r w:rsidRPr="00922C2A">
        <w:rPr>
          <w:noProof/>
        </w:rPr>
        <w:tab/>
        <w:t xml:space="preserve">La proposition/l’initiative n’engendre pas l’utilisation de ressources humaines </w:t>
      </w:r>
    </w:p>
    <w:p w14:paraId="2FE79E63" w14:textId="77777777" w:rsidR="00922C2A" w:rsidRPr="00922C2A" w:rsidRDefault="00922C2A" w:rsidP="00922C2A">
      <w:pPr>
        <w:pStyle w:val="ListDash1"/>
        <w:rPr>
          <w:noProof/>
        </w:rPr>
      </w:pPr>
      <w:r w:rsidRPr="00922C2A">
        <w:rPr>
          <w:rFonts w:ascii="Wingdings" w:hAnsi="Wingdings"/>
          <w:noProof/>
        </w:rPr>
        <w:t></w:t>
      </w:r>
      <w:r w:rsidRPr="00922C2A">
        <w:rPr>
          <w:noProof/>
        </w:rPr>
        <w:tab/>
        <w:t>La proposition/l’initiative engendre l’utilisation de ressources humaines, comme expliqué ci-après</w:t>
      </w:r>
    </w:p>
    <w:p w14:paraId="63B40E16" w14:textId="77777777" w:rsidR="00922C2A" w:rsidRPr="00922C2A" w:rsidRDefault="00922C2A" w:rsidP="00922C2A">
      <w:pPr>
        <w:pStyle w:val="ManualHeading3"/>
        <w:rPr>
          <w:noProof/>
        </w:rPr>
      </w:pPr>
      <w:bookmarkStart w:id="173" w:name="_Toc167220295"/>
      <w:bookmarkStart w:id="174" w:name="_Toc177549028"/>
      <w:r w:rsidRPr="00922C2A">
        <w:rPr>
          <w:noProof/>
        </w:rPr>
        <w:t>3.2.4.1.</w:t>
      </w:r>
      <w:r w:rsidRPr="00922C2A">
        <w:rPr>
          <w:noProof/>
        </w:rPr>
        <w:tab/>
        <w:t>Financement sur le budget voté</w:t>
      </w:r>
      <w:bookmarkEnd w:id="173"/>
      <w:bookmarkEnd w:id="174"/>
    </w:p>
    <w:p w14:paraId="0D8D3ED5" w14:textId="77777777" w:rsidR="00922C2A" w:rsidRPr="00922C2A" w:rsidRDefault="00922C2A" w:rsidP="00922C2A">
      <w:pPr>
        <w:spacing w:after="60"/>
        <w:jc w:val="right"/>
        <w:rPr>
          <w:i/>
          <w:noProof/>
          <w:sz w:val="20"/>
        </w:rPr>
      </w:pPr>
      <w:r w:rsidRPr="00922C2A">
        <w:rPr>
          <w:i/>
          <w:noProof/>
          <w:sz w:val="20"/>
        </w:rPr>
        <w:t>Estimation à exprimer en équivalents temps plein (ETP)</w:t>
      </w:r>
      <w:r w:rsidRPr="00922C2A">
        <w:rPr>
          <w:rStyle w:val="FootnoteReference"/>
          <w:i/>
          <w:noProof/>
          <w:sz w:val="20"/>
        </w:rPr>
        <w:footnoteReference w:id="103"/>
      </w:r>
    </w:p>
    <w:tbl>
      <w:tblPr>
        <w:tblW w:w="10020" w:type="dxa"/>
        <w:tblInd w:w="118" w:type="dxa"/>
        <w:tblLook w:val="04A0" w:firstRow="1" w:lastRow="0" w:firstColumn="1" w:lastColumn="0" w:noHBand="0" w:noVBand="1"/>
      </w:tblPr>
      <w:tblGrid>
        <w:gridCol w:w="1460"/>
        <w:gridCol w:w="3760"/>
        <w:gridCol w:w="960"/>
        <w:gridCol w:w="960"/>
        <w:gridCol w:w="960"/>
        <w:gridCol w:w="960"/>
        <w:gridCol w:w="960"/>
      </w:tblGrid>
      <w:tr w:rsidR="00922C2A" w:rsidRPr="00922C2A" w14:paraId="5490AD2C" w14:textId="77777777" w:rsidTr="006F49C9">
        <w:trPr>
          <w:trHeight w:val="300"/>
        </w:trPr>
        <w:tc>
          <w:tcPr>
            <w:tcW w:w="5220" w:type="dxa"/>
            <w:gridSpan w:val="2"/>
            <w:tcBorders>
              <w:top w:val="single" w:sz="8" w:space="0" w:color="auto"/>
              <w:left w:val="single" w:sz="8" w:space="0" w:color="auto"/>
              <w:bottom w:val="single" w:sz="8" w:space="0" w:color="000000"/>
              <w:right w:val="single" w:sz="8" w:space="0" w:color="000000"/>
            </w:tcBorders>
            <w:shd w:val="clear" w:color="auto" w:fill="auto"/>
            <w:vAlign w:val="center"/>
            <w:hideMark/>
          </w:tcPr>
          <w:p w14:paraId="7EB026E0" w14:textId="77777777" w:rsidR="00922C2A" w:rsidRPr="00922C2A" w:rsidRDefault="00922C2A" w:rsidP="006F49C9">
            <w:pPr>
              <w:spacing w:before="0" w:after="0"/>
              <w:jc w:val="center"/>
              <w:rPr>
                <w:rFonts w:eastAsia="Times New Roman"/>
                <w:b/>
                <w:bCs/>
                <w:noProof/>
                <w:color w:val="000000"/>
                <w:sz w:val="18"/>
                <w:szCs w:val="18"/>
              </w:rPr>
            </w:pPr>
            <w:bookmarkStart w:id="175" w:name="_Hlk156979231"/>
            <w:r w:rsidRPr="00922C2A">
              <w:rPr>
                <w:b/>
                <w:noProof/>
                <w:color w:val="000000"/>
                <w:sz w:val="18"/>
              </w:rPr>
              <w:t>CRÉDITS VOTÉS</w:t>
            </w:r>
          </w:p>
        </w:tc>
        <w:tc>
          <w:tcPr>
            <w:tcW w:w="960" w:type="dxa"/>
            <w:tcBorders>
              <w:top w:val="single" w:sz="8" w:space="0" w:color="auto"/>
              <w:left w:val="nil"/>
              <w:bottom w:val="nil"/>
              <w:right w:val="single" w:sz="8" w:space="0" w:color="auto"/>
            </w:tcBorders>
            <w:shd w:val="clear" w:color="auto" w:fill="auto"/>
            <w:vAlign w:val="center"/>
            <w:hideMark/>
          </w:tcPr>
          <w:p w14:paraId="46D053BD"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c>
          <w:tcPr>
            <w:tcW w:w="960" w:type="dxa"/>
            <w:tcBorders>
              <w:top w:val="single" w:sz="8" w:space="0" w:color="auto"/>
              <w:left w:val="nil"/>
              <w:bottom w:val="nil"/>
              <w:right w:val="single" w:sz="8" w:space="0" w:color="auto"/>
            </w:tcBorders>
            <w:shd w:val="clear" w:color="auto" w:fill="auto"/>
            <w:vAlign w:val="center"/>
            <w:hideMark/>
          </w:tcPr>
          <w:p w14:paraId="412956F2"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c>
          <w:tcPr>
            <w:tcW w:w="960" w:type="dxa"/>
            <w:tcBorders>
              <w:top w:val="single" w:sz="8" w:space="0" w:color="auto"/>
              <w:left w:val="nil"/>
              <w:bottom w:val="nil"/>
              <w:right w:val="single" w:sz="8" w:space="0" w:color="auto"/>
            </w:tcBorders>
            <w:shd w:val="clear" w:color="auto" w:fill="auto"/>
            <w:vAlign w:val="center"/>
            <w:hideMark/>
          </w:tcPr>
          <w:p w14:paraId="69F96138"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c>
          <w:tcPr>
            <w:tcW w:w="960" w:type="dxa"/>
            <w:tcBorders>
              <w:top w:val="single" w:sz="8" w:space="0" w:color="auto"/>
              <w:left w:val="nil"/>
              <w:bottom w:val="nil"/>
              <w:right w:val="single" w:sz="8" w:space="0" w:color="auto"/>
            </w:tcBorders>
            <w:shd w:val="clear" w:color="auto" w:fill="auto"/>
            <w:vAlign w:val="center"/>
            <w:hideMark/>
          </w:tcPr>
          <w:p w14:paraId="1F13A359"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c>
          <w:tcPr>
            <w:tcW w:w="960" w:type="dxa"/>
            <w:tcBorders>
              <w:top w:val="single" w:sz="8" w:space="0" w:color="auto"/>
              <w:left w:val="nil"/>
              <w:bottom w:val="nil"/>
              <w:right w:val="single" w:sz="8" w:space="0" w:color="auto"/>
            </w:tcBorders>
            <w:shd w:val="clear" w:color="auto" w:fill="auto"/>
            <w:vAlign w:val="center"/>
            <w:hideMark/>
          </w:tcPr>
          <w:p w14:paraId="4F6E466D"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POST</w:t>
            </w:r>
          </w:p>
        </w:tc>
      </w:tr>
      <w:tr w:rsidR="00922C2A" w:rsidRPr="00922C2A" w14:paraId="253E8172" w14:textId="77777777" w:rsidTr="006F49C9">
        <w:trPr>
          <w:trHeight w:val="300"/>
        </w:trPr>
        <w:tc>
          <w:tcPr>
            <w:tcW w:w="5220" w:type="dxa"/>
            <w:gridSpan w:val="2"/>
            <w:tcBorders>
              <w:top w:val="single" w:sz="8" w:space="0" w:color="auto"/>
              <w:left w:val="single" w:sz="8" w:space="0" w:color="auto"/>
              <w:bottom w:val="single" w:sz="8" w:space="0" w:color="000000"/>
              <w:right w:val="single" w:sz="8" w:space="0" w:color="000000"/>
            </w:tcBorders>
            <w:shd w:val="clear" w:color="auto" w:fill="auto"/>
            <w:vAlign w:val="center"/>
            <w:hideMark/>
          </w:tcPr>
          <w:p w14:paraId="4D504833" w14:textId="77777777" w:rsidR="00922C2A" w:rsidRPr="00922C2A" w:rsidRDefault="00922C2A" w:rsidP="006F49C9">
            <w:pPr>
              <w:spacing w:before="0" w:after="0"/>
              <w:jc w:val="center"/>
              <w:rPr>
                <w:rFonts w:eastAsia="Times New Roman"/>
                <w:b/>
                <w:bCs/>
                <w:noProof/>
                <w:color w:val="000000"/>
                <w:sz w:val="18"/>
                <w:szCs w:val="18"/>
                <w:lang w:eastAsia="en-IE"/>
              </w:rPr>
            </w:pPr>
          </w:p>
        </w:tc>
        <w:tc>
          <w:tcPr>
            <w:tcW w:w="960" w:type="dxa"/>
            <w:tcBorders>
              <w:top w:val="single" w:sz="8" w:space="0" w:color="auto"/>
              <w:left w:val="nil"/>
              <w:bottom w:val="nil"/>
              <w:right w:val="single" w:sz="8" w:space="0" w:color="auto"/>
            </w:tcBorders>
            <w:shd w:val="clear" w:color="auto" w:fill="auto"/>
            <w:vAlign w:val="center"/>
            <w:hideMark/>
          </w:tcPr>
          <w:p w14:paraId="1BEEB6DA"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2024</w:t>
            </w:r>
          </w:p>
        </w:tc>
        <w:tc>
          <w:tcPr>
            <w:tcW w:w="960" w:type="dxa"/>
            <w:tcBorders>
              <w:top w:val="single" w:sz="8" w:space="0" w:color="auto"/>
              <w:left w:val="nil"/>
              <w:bottom w:val="nil"/>
              <w:right w:val="single" w:sz="8" w:space="0" w:color="auto"/>
            </w:tcBorders>
            <w:shd w:val="clear" w:color="auto" w:fill="auto"/>
            <w:vAlign w:val="center"/>
            <w:hideMark/>
          </w:tcPr>
          <w:p w14:paraId="2FE9995F"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2025</w:t>
            </w:r>
          </w:p>
        </w:tc>
        <w:tc>
          <w:tcPr>
            <w:tcW w:w="960" w:type="dxa"/>
            <w:tcBorders>
              <w:top w:val="single" w:sz="8" w:space="0" w:color="auto"/>
              <w:left w:val="nil"/>
              <w:bottom w:val="nil"/>
              <w:right w:val="single" w:sz="8" w:space="0" w:color="auto"/>
            </w:tcBorders>
            <w:shd w:val="clear" w:color="auto" w:fill="auto"/>
            <w:vAlign w:val="center"/>
            <w:hideMark/>
          </w:tcPr>
          <w:p w14:paraId="2FAD92A0"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2026</w:t>
            </w:r>
          </w:p>
        </w:tc>
        <w:tc>
          <w:tcPr>
            <w:tcW w:w="960" w:type="dxa"/>
            <w:tcBorders>
              <w:top w:val="single" w:sz="8" w:space="0" w:color="auto"/>
              <w:left w:val="nil"/>
              <w:bottom w:val="nil"/>
              <w:right w:val="single" w:sz="8" w:space="0" w:color="auto"/>
            </w:tcBorders>
            <w:shd w:val="clear" w:color="auto" w:fill="auto"/>
            <w:vAlign w:val="center"/>
            <w:hideMark/>
          </w:tcPr>
          <w:p w14:paraId="30DED80C"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2027</w:t>
            </w:r>
          </w:p>
        </w:tc>
        <w:tc>
          <w:tcPr>
            <w:tcW w:w="960" w:type="dxa"/>
            <w:tcBorders>
              <w:top w:val="single" w:sz="8" w:space="0" w:color="auto"/>
              <w:left w:val="nil"/>
              <w:bottom w:val="nil"/>
              <w:right w:val="single" w:sz="8" w:space="0" w:color="auto"/>
            </w:tcBorders>
            <w:shd w:val="clear" w:color="auto" w:fill="auto"/>
            <w:vAlign w:val="center"/>
            <w:hideMark/>
          </w:tcPr>
          <w:p w14:paraId="7013089E"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2027</w:t>
            </w:r>
          </w:p>
        </w:tc>
      </w:tr>
      <w:tr w:rsidR="00922C2A" w:rsidRPr="00922C2A" w14:paraId="609104D8" w14:textId="77777777" w:rsidTr="006F49C9">
        <w:trPr>
          <w:trHeight w:val="300"/>
        </w:trPr>
        <w:tc>
          <w:tcPr>
            <w:tcW w:w="9060" w:type="dxa"/>
            <w:gridSpan w:val="6"/>
            <w:tcBorders>
              <w:top w:val="single" w:sz="8" w:space="0" w:color="auto"/>
              <w:left w:val="single" w:sz="8" w:space="0" w:color="auto"/>
              <w:bottom w:val="single" w:sz="8" w:space="0" w:color="auto"/>
              <w:right w:val="nil"/>
            </w:tcBorders>
            <w:shd w:val="clear" w:color="auto" w:fill="auto"/>
            <w:vAlign w:val="center"/>
            <w:hideMark/>
          </w:tcPr>
          <w:p w14:paraId="69F8C98E" w14:textId="77777777" w:rsidR="00922C2A" w:rsidRPr="00922C2A" w:rsidRDefault="00922C2A" w:rsidP="006F49C9">
            <w:pPr>
              <w:spacing w:before="0" w:after="0"/>
              <w:jc w:val="left"/>
              <w:rPr>
                <w:rFonts w:ascii="Wingdings" w:eastAsia="Times New Roman" w:hAnsi="Wingdings" w:cs="Calibri"/>
                <w:b/>
                <w:bCs/>
                <w:noProof/>
                <w:color w:val="000000"/>
                <w:sz w:val="16"/>
                <w:szCs w:val="16"/>
              </w:rPr>
            </w:pPr>
            <w:r w:rsidRPr="00922C2A">
              <w:rPr>
                <w:rFonts w:ascii="Wingdings" w:hAnsi="Wingdings"/>
                <w:b/>
                <w:noProof/>
                <w:color w:val="000000"/>
                <w:sz w:val="16"/>
              </w:rPr>
              <w:t></w:t>
            </w:r>
            <w:r w:rsidRPr="00922C2A">
              <w:rPr>
                <w:b/>
                <w:noProof/>
                <w:color w:val="000000"/>
                <w:sz w:val="16"/>
              </w:rPr>
              <w:t xml:space="preserve"> Emplois du tableau des effectifs (fonctionnaires et agents temporaires)</w:t>
            </w:r>
          </w:p>
        </w:tc>
        <w:tc>
          <w:tcPr>
            <w:tcW w:w="960" w:type="dxa"/>
            <w:tcBorders>
              <w:top w:val="nil"/>
              <w:left w:val="nil"/>
              <w:bottom w:val="single" w:sz="8" w:space="0" w:color="auto"/>
              <w:right w:val="nil"/>
            </w:tcBorders>
            <w:shd w:val="clear" w:color="auto" w:fill="auto"/>
            <w:vAlign w:val="center"/>
            <w:hideMark/>
          </w:tcPr>
          <w:p w14:paraId="08592FF2" w14:textId="77777777" w:rsidR="00922C2A" w:rsidRPr="00922C2A" w:rsidRDefault="00922C2A" w:rsidP="006F49C9">
            <w:pPr>
              <w:spacing w:before="0" w:after="0"/>
              <w:jc w:val="left"/>
              <w:rPr>
                <w:rFonts w:ascii="Wingdings" w:eastAsia="Times New Roman" w:hAnsi="Wingdings" w:cs="Calibri"/>
                <w:b/>
                <w:bCs/>
                <w:noProof/>
                <w:color w:val="000000"/>
                <w:sz w:val="16"/>
                <w:szCs w:val="16"/>
              </w:rPr>
            </w:pPr>
            <w:r w:rsidRPr="00922C2A">
              <w:rPr>
                <w:rFonts w:ascii="Wingdings"/>
                <w:b/>
                <w:noProof/>
                <w:color w:val="000000"/>
                <w:sz w:val="16"/>
              </w:rPr>
              <w:t> </w:t>
            </w:r>
          </w:p>
        </w:tc>
      </w:tr>
      <w:tr w:rsidR="00922C2A" w:rsidRPr="00922C2A" w14:paraId="0B82E74E" w14:textId="77777777" w:rsidTr="006F49C9">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673B992" w14:textId="77777777" w:rsidR="00922C2A" w:rsidRPr="00922C2A" w:rsidRDefault="00922C2A" w:rsidP="006F49C9">
            <w:pPr>
              <w:spacing w:before="0" w:after="0"/>
              <w:ind w:firstLineChars="100" w:firstLine="160"/>
              <w:jc w:val="left"/>
              <w:rPr>
                <w:rFonts w:eastAsia="Times New Roman"/>
                <w:noProof/>
                <w:color w:val="000000"/>
                <w:sz w:val="16"/>
                <w:szCs w:val="16"/>
              </w:rPr>
            </w:pPr>
            <w:r w:rsidRPr="00922C2A">
              <w:rPr>
                <w:noProof/>
                <w:color w:val="000000"/>
                <w:sz w:val="16"/>
              </w:rPr>
              <w:t>20 01 02 01</w:t>
            </w:r>
            <w:r w:rsidRPr="00922C2A">
              <w:rPr>
                <w:rFonts w:ascii="Arial Narrow" w:hAnsi="Arial Narrow"/>
                <w:noProof/>
                <w:color w:val="000000"/>
                <w:sz w:val="20"/>
              </w:rPr>
              <w:t xml:space="preserve"> </w:t>
            </w:r>
            <w:r w:rsidRPr="00922C2A">
              <w:rPr>
                <w:rFonts w:ascii="Arial Narrow" w:hAnsi="Arial Narrow"/>
                <w:noProof/>
                <w:color w:val="000000"/>
                <w:sz w:val="16"/>
              </w:rPr>
              <w:t>(au siège et dans les bureaux de représentation de la Commission)</w:t>
            </w:r>
          </w:p>
        </w:tc>
        <w:tc>
          <w:tcPr>
            <w:tcW w:w="960" w:type="dxa"/>
            <w:tcBorders>
              <w:top w:val="nil"/>
              <w:left w:val="nil"/>
              <w:bottom w:val="single" w:sz="8" w:space="0" w:color="auto"/>
              <w:right w:val="single" w:sz="8" w:space="0" w:color="auto"/>
            </w:tcBorders>
            <w:shd w:val="clear" w:color="000000" w:fill="D9D9D9"/>
            <w:vAlign w:val="center"/>
            <w:hideMark/>
          </w:tcPr>
          <w:p w14:paraId="10A2ED7C"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57D608C"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5EDC508"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9</w:t>
            </w:r>
          </w:p>
        </w:tc>
        <w:tc>
          <w:tcPr>
            <w:tcW w:w="960" w:type="dxa"/>
            <w:tcBorders>
              <w:top w:val="nil"/>
              <w:left w:val="nil"/>
              <w:bottom w:val="single" w:sz="8" w:space="0" w:color="auto"/>
              <w:right w:val="single" w:sz="8" w:space="0" w:color="auto"/>
            </w:tcBorders>
            <w:shd w:val="clear" w:color="000000" w:fill="D9D9D9"/>
            <w:vAlign w:val="center"/>
            <w:hideMark/>
          </w:tcPr>
          <w:p w14:paraId="4DACAC81"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18</w:t>
            </w:r>
          </w:p>
        </w:tc>
        <w:tc>
          <w:tcPr>
            <w:tcW w:w="960" w:type="dxa"/>
            <w:tcBorders>
              <w:top w:val="nil"/>
              <w:left w:val="nil"/>
              <w:bottom w:val="single" w:sz="8" w:space="0" w:color="auto"/>
              <w:right w:val="single" w:sz="8" w:space="0" w:color="auto"/>
            </w:tcBorders>
            <w:shd w:val="clear" w:color="000000" w:fill="D9D9D9"/>
            <w:vAlign w:val="center"/>
            <w:hideMark/>
          </w:tcPr>
          <w:p w14:paraId="7462C094"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18</w:t>
            </w:r>
          </w:p>
        </w:tc>
      </w:tr>
      <w:tr w:rsidR="00922C2A" w:rsidRPr="00922C2A" w14:paraId="44D39CE7" w14:textId="77777777" w:rsidTr="006F49C9">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7F0406D" w14:textId="77777777" w:rsidR="00922C2A" w:rsidRPr="00922C2A" w:rsidRDefault="00922C2A" w:rsidP="006F49C9">
            <w:pPr>
              <w:spacing w:before="0" w:after="0"/>
              <w:ind w:firstLineChars="100" w:firstLine="160"/>
              <w:jc w:val="left"/>
              <w:rPr>
                <w:rFonts w:eastAsia="Times New Roman"/>
                <w:noProof/>
                <w:color w:val="000000"/>
                <w:sz w:val="16"/>
                <w:szCs w:val="16"/>
              </w:rPr>
            </w:pPr>
            <w:r w:rsidRPr="00922C2A">
              <w:rPr>
                <w:noProof/>
                <w:color w:val="000000"/>
                <w:sz w:val="16"/>
              </w:rPr>
              <w:t>20 01 02 03 (délégations de l’UE)</w:t>
            </w:r>
          </w:p>
        </w:tc>
        <w:tc>
          <w:tcPr>
            <w:tcW w:w="960" w:type="dxa"/>
            <w:tcBorders>
              <w:top w:val="nil"/>
              <w:left w:val="nil"/>
              <w:bottom w:val="single" w:sz="8" w:space="0" w:color="auto"/>
              <w:right w:val="single" w:sz="8" w:space="0" w:color="auto"/>
            </w:tcBorders>
            <w:shd w:val="clear" w:color="000000" w:fill="D9D9D9"/>
            <w:vAlign w:val="center"/>
            <w:hideMark/>
          </w:tcPr>
          <w:p w14:paraId="16E46C11"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412932E"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7A51EBB"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498CFAA"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5637D88"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r>
      <w:tr w:rsidR="00922C2A" w:rsidRPr="00922C2A" w14:paraId="497BE52F" w14:textId="77777777" w:rsidTr="006F49C9">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537233D" w14:textId="77777777" w:rsidR="00922C2A" w:rsidRPr="00922C2A" w:rsidRDefault="00922C2A" w:rsidP="006F49C9">
            <w:pPr>
              <w:spacing w:before="0" w:after="0"/>
              <w:ind w:firstLineChars="100" w:firstLine="160"/>
              <w:jc w:val="left"/>
              <w:rPr>
                <w:rFonts w:eastAsia="Times New Roman"/>
                <w:noProof/>
                <w:color w:val="000000"/>
                <w:sz w:val="16"/>
                <w:szCs w:val="16"/>
              </w:rPr>
            </w:pPr>
            <w:r w:rsidRPr="00922C2A">
              <w:rPr>
                <w:noProof/>
                <w:color w:val="000000"/>
                <w:sz w:val="16"/>
              </w:rPr>
              <w:t>01 01 01 01</w:t>
            </w:r>
            <w:r w:rsidRPr="00922C2A">
              <w:rPr>
                <w:rFonts w:ascii="Arial Narrow" w:hAnsi="Arial Narrow"/>
                <w:noProof/>
                <w:color w:val="000000"/>
                <w:sz w:val="20"/>
              </w:rPr>
              <w:t xml:space="preserve"> </w:t>
            </w:r>
            <w:r w:rsidRPr="00922C2A">
              <w:rPr>
                <w:noProof/>
                <w:color w:val="000000"/>
                <w:sz w:val="16"/>
              </w:rPr>
              <w:t>(recherche indirecte)</w:t>
            </w:r>
          </w:p>
        </w:tc>
        <w:tc>
          <w:tcPr>
            <w:tcW w:w="960" w:type="dxa"/>
            <w:tcBorders>
              <w:top w:val="nil"/>
              <w:left w:val="nil"/>
              <w:bottom w:val="single" w:sz="8" w:space="0" w:color="auto"/>
              <w:right w:val="single" w:sz="8" w:space="0" w:color="auto"/>
            </w:tcBorders>
            <w:shd w:val="clear" w:color="000000" w:fill="D9D9D9"/>
            <w:vAlign w:val="center"/>
            <w:hideMark/>
          </w:tcPr>
          <w:p w14:paraId="2F4F7C0E"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1756F4F6"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E004CF7"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C95AA7F"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4BAB343"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r>
      <w:tr w:rsidR="00922C2A" w:rsidRPr="00922C2A" w14:paraId="1EC7A055" w14:textId="77777777" w:rsidTr="006F49C9">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1141FBB" w14:textId="77777777" w:rsidR="00922C2A" w:rsidRPr="00922C2A" w:rsidRDefault="00922C2A" w:rsidP="006F49C9">
            <w:pPr>
              <w:spacing w:before="0" w:after="0"/>
              <w:ind w:firstLineChars="100" w:firstLine="160"/>
              <w:jc w:val="left"/>
              <w:rPr>
                <w:rFonts w:eastAsia="Times New Roman"/>
                <w:noProof/>
                <w:color w:val="000000"/>
                <w:sz w:val="16"/>
                <w:szCs w:val="16"/>
              </w:rPr>
            </w:pPr>
            <w:r w:rsidRPr="00922C2A">
              <w:rPr>
                <w:noProof/>
                <w:color w:val="000000"/>
                <w:sz w:val="16"/>
              </w:rPr>
              <w:t>01 01 01 11 (recherche directe)</w:t>
            </w:r>
          </w:p>
        </w:tc>
        <w:tc>
          <w:tcPr>
            <w:tcW w:w="960" w:type="dxa"/>
            <w:tcBorders>
              <w:top w:val="nil"/>
              <w:left w:val="nil"/>
              <w:bottom w:val="single" w:sz="8" w:space="0" w:color="auto"/>
              <w:right w:val="single" w:sz="8" w:space="0" w:color="auto"/>
            </w:tcBorders>
            <w:shd w:val="clear" w:color="000000" w:fill="D9D9D9"/>
            <w:vAlign w:val="center"/>
            <w:hideMark/>
          </w:tcPr>
          <w:p w14:paraId="6C1212BC"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0C65B348"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49B83BC"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D198E13"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86C5361"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r>
      <w:tr w:rsidR="00922C2A" w:rsidRPr="00922C2A" w14:paraId="545BF9F2" w14:textId="77777777" w:rsidTr="006F49C9">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B5EAC86" w14:textId="77777777" w:rsidR="00922C2A" w:rsidRPr="00922C2A" w:rsidRDefault="00922C2A" w:rsidP="006F49C9">
            <w:pPr>
              <w:spacing w:before="0" w:after="0"/>
              <w:ind w:firstLineChars="100" w:firstLine="160"/>
              <w:jc w:val="left"/>
              <w:rPr>
                <w:rFonts w:eastAsia="Times New Roman"/>
                <w:noProof/>
                <w:color w:val="000000"/>
                <w:sz w:val="16"/>
                <w:szCs w:val="16"/>
              </w:rPr>
            </w:pPr>
            <w:r w:rsidRPr="00922C2A">
              <w:rPr>
                <w:noProof/>
                <w:color w:val="000000"/>
                <w:sz w:val="16"/>
              </w:rPr>
              <w:t>Autres lignes budgétaires (à préciser)</w:t>
            </w:r>
          </w:p>
        </w:tc>
        <w:tc>
          <w:tcPr>
            <w:tcW w:w="960" w:type="dxa"/>
            <w:tcBorders>
              <w:top w:val="nil"/>
              <w:left w:val="nil"/>
              <w:bottom w:val="single" w:sz="8" w:space="0" w:color="auto"/>
              <w:right w:val="single" w:sz="8" w:space="0" w:color="auto"/>
            </w:tcBorders>
            <w:shd w:val="clear" w:color="000000" w:fill="D9D9D9"/>
            <w:vAlign w:val="center"/>
            <w:hideMark/>
          </w:tcPr>
          <w:p w14:paraId="2A0D941B"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5F79A5C"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6E9B15B"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E45EC84"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B8F527A"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r>
      <w:tr w:rsidR="00922C2A" w:rsidRPr="00922C2A" w14:paraId="3D1D85B6" w14:textId="77777777" w:rsidTr="006F49C9">
        <w:trPr>
          <w:trHeight w:val="300"/>
        </w:trPr>
        <w:tc>
          <w:tcPr>
            <w:tcW w:w="9060" w:type="dxa"/>
            <w:gridSpan w:val="6"/>
            <w:tcBorders>
              <w:top w:val="single" w:sz="8" w:space="0" w:color="auto"/>
              <w:left w:val="single" w:sz="8" w:space="0" w:color="auto"/>
              <w:bottom w:val="single" w:sz="8" w:space="0" w:color="auto"/>
              <w:right w:val="nil"/>
            </w:tcBorders>
            <w:shd w:val="clear" w:color="auto" w:fill="auto"/>
            <w:vAlign w:val="center"/>
            <w:hideMark/>
          </w:tcPr>
          <w:p w14:paraId="67909AC5" w14:textId="77777777" w:rsidR="00922C2A" w:rsidRPr="00922C2A" w:rsidRDefault="00922C2A" w:rsidP="006F49C9">
            <w:pPr>
              <w:spacing w:before="0" w:after="0"/>
              <w:jc w:val="left"/>
              <w:rPr>
                <w:rFonts w:ascii="Wingdings" w:eastAsia="Times New Roman" w:hAnsi="Wingdings" w:cs="Calibri"/>
                <w:b/>
                <w:bCs/>
                <w:noProof/>
                <w:color w:val="000000"/>
                <w:sz w:val="16"/>
                <w:szCs w:val="16"/>
              </w:rPr>
            </w:pPr>
            <w:r w:rsidRPr="00922C2A">
              <w:rPr>
                <w:rFonts w:ascii="Calibri" w:hAnsi="Calibri"/>
                <w:b/>
                <w:noProof/>
                <w:color w:val="000000"/>
                <w:sz w:val="16"/>
              </w:rPr>
              <w:t>•</w:t>
            </w:r>
            <w:r w:rsidRPr="00922C2A">
              <w:rPr>
                <w:b/>
                <w:noProof/>
                <w:color w:val="000000"/>
                <w:sz w:val="16"/>
              </w:rPr>
              <w:t xml:space="preserve"> Personnel externe (en équivalents temps plein: ETP)</w:t>
            </w:r>
          </w:p>
        </w:tc>
        <w:tc>
          <w:tcPr>
            <w:tcW w:w="960" w:type="dxa"/>
            <w:tcBorders>
              <w:top w:val="nil"/>
              <w:left w:val="nil"/>
              <w:bottom w:val="single" w:sz="8" w:space="0" w:color="auto"/>
              <w:right w:val="nil"/>
            </w:tcBorders>
            <w:shd w:val="clear" w:color="auto" w:fill="auto"/>
            <w:vAlign w:val="center"/>
            <w:hideMark/>
          </w:tcPr>
          <w:p w14:paraId="318E59F3" w14:textId="77777777" w:rsidR="00922C2A" w:rsidRPr="00922C2A" w:rsidRDefault="00922C2A" w:rsidP="006F49C9">
            <w:pPr>
              <w:spacing w:before="0" w:after="0"/>
              <w:jc w:val="left"/>
              <w:rPr>
                <w:rFonts w:ascii="Wingdings" w:eastAsia="Times New Roman" w:hAnsi="Wingdings" w:cs="Calibri"/>
                <w:b/>
                <w:bCs/>
                <w:noProof/>
                <w:color w:val="000000"/>
                <w:sz w:val="16"/>
                <w:szCs w:val="16"/>
              </w:rPr>
            </w:pPr>
            <w:r w:rsidRPr="00922C2A">
              <w:rPr>
                <w:rFonts w:ascii="Wingdings"/>
                <w:b/>
                <w:noProof/>
                <w:color w:val="000000"/>
                <w:sz w:val="16"/>
              </w:rPr>
              <w:t> </w:t>
            </w:r>
          </w:p>
        </w:tc>
      </w:tr>
      <w:tr w:rsidR="00922C2A" w:rsidRPr="00922C2A" w14:paraId="5D54C5E0" w14:textId="77777777" w:rsidTr="006F49C9">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09F6711" w14:textId="77777777" w:rsidR="00922C2A" w:rsidRPr="00922C2A" w:rsidRDefault="00922C2A" w:rsidP="006F49C9">
            <w:pPr>
              <w:spacing w:before="0" w:after="0"/>
              <w:ind w:firstLineChars="100" w:firstLine="160"/>
              <w:jc w:val="left"/>
              <w:rPr>
                <w:rFonts w:eastAsia="Times New Roman"/>
                <w:noProof/>
                <w:color w:val="000000"/>
                <w:sz w:val="16"/>
                <w:szCs w:val="16"/>
              </w:rPr>
            </w:pPr>
            <w:r w:rsidRPr="00922C2A">
              <w:rPr>
                <w:noProof/>
                <w:color w:val="000000"/>
                <w:sz w:val="16"/>
              </w:rPr>
              <w:t>20 02 01</w:t>
            </w:r>
            <w:r w:rsidRPr="00922C2A">
              <w:rPr>
                <w:rFonts w:ascii="Arial Narrow" w:hAnsi="Arial Narrow"/>
                <w:noProof/>
                <w:color w:val="000000"/>
                <w:sz w:val="20"/>
              </w:rPr>
              <w:t xml:space="preserve"> </w:t>
            </w:r>
            <w:r w:rsidRPr="00922C2A">
              <w:rPr>
                <w:noProof/>
                <w:color w:val="000000"/>
                <w:sz w:val="16"/>
              </w:rPr>
              <w:t>(AC, END de l’«enveloppe globale»)</w:t>
            </w:r>
          </w:p>
        </w:tc>
        <w:tc>
          <w:tcPr>
            <w:tcW w:w="960" w:type="dxa"/>
            <w:tcBorders>
              <w:top w:val="nil"/>
              <w:left w:val="nil"/>
              <w:bottom w:val="single" w:sz="8" w:space="0" w:color="auto"/>
              <w:right w:val="single" w:sz="8" w:space="0" w:color="auto"/>
            </w:tcBorders>
            <w:shd w:val="clear" w:color="000000" w:fill="D9D9D9"/>
            <w:vAlign w:val="center"/>
            <w:hideMark/>
          </w:tcPr>
          <w:p w14:paraId="6E41C9BF"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CE584AB"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C1F7DB2"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1</w:t>
            </w:r>
          </w:p>
        </w:tc>
        <w:tc>
          <w:tcPr>
            <w:tcW w:w="960" w:type="dxa"/>
            <w:tcBorders>
              <w:top w:val="nil"/>
              <w:left w:val="nil"/>
              <w:bottom w:val="single" w:sz="8" w:space="0" w:color="auto"/>
              <w:right w:val="single" w:sz="8" w:space="0" w:color="auto"/>
            </w:tcBorders>
            <w:shd w:val="clear" w:color="000000" w:fill="D9D9D9"/>
            <w:vAlign w:val="center"/>
            <w:hideMark/>
          </w:tcPr>
          <w:p w14:paraId="1F25ECF5"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2</w:t>
            </w:r>
          </w:p>
        </w:tc>
        <w:tc>
          <w:tcPr>
            <w:tcW w:w="960" w:type="dxa"/>
            <w:tcBorders>
              <w:top w:val="nil"/>
              <w:left w:val="nil"/>
              <w:bottom w:val="single" w:sz="8" w:space="0" w:color="auto"/>
              <w:right w:val="single" w:sz="8" w:space="0" w:color="auto"/>
            </w:tcBorders>
            <w:shd w:val="clear" w:color="000000" w:fill="D9D9D9"/>
            <w:vAlign w:val="center"/>
            <w:hideMark/>
          </w:tcPr>
          <w:p w14:paraId="0D003DF0"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2</w:t>
            </w:r>
          </w:p>
        </w:tc>
      </w:tr>
      <w:tr w:rsidR="00922C2A" w:rsidRPr="00922C2A" w14:paraId="39392064" w14:textId="77777777" w:rsidTr="006F49C9">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8380A3A" w14:textId="77777777" w:rsidR="00922C2A" w:rsidRPr="00922C2A" w:rsidRDefault="00922C2A" w:rsidP="006F49C9">
            <w:pPr>
              <w:spacing w:before="0" w:after="0"/>
              <w:ind w:firstLineChars="100" w:firstLine="160"/>
              <w:jc w:val="left"/>
              <w:rPr>
                <w:rFonts w:eastAsia="Times New Roman"/>
                <w:noProof/>
                <w:color w:val="000000"/>
                <w:sz w:val="16"/>
                <w:szCs w:val="16"/>
              </w:rPr>
            </w:pPr>
            <w:r w:rsidRPr="00922C2A">
              <w:rPr>
                <w:noProof/>
                <w:color w:val="000000"/>
                <w:sz w:val="16"/>
              </w:rPr>
              <w:t>20 02 03 (AC, AL, END et JPD dans les délégations de l’UE)</w:t>
            </w:r>
          </w:p>
        </w:tc>
        <w:tc>
          <w:tcPr>
            <w:tcW w:w="960" w:type="dxa"/>
            <w:tcBorders>
              <w:top w:val="nil"/>
              <w:left w:val="nil"/>
              <w:bottom w:val="single" w:sz="8" w:space="0" w:color="auto"/>
              <w:right w:val="single" w:sz="8" w:space="0" w:color="auto"/>
            </w:tcBorders>
            <w:shd w:val="clear" w:color="000000" w:fill="D9D9D9"/>
            <w:vAlign w:val="center"/>
            <w:hideMark/>
          </w:tcPr>
          <w:p w14:paraId="38ED2378"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C76889C"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A63B697"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0E60AAAE"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D80974D"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r>
      <w:tr w:rsidR="00922C2A" w:rsidRPr="00922C2A" w14:paraId="1E52A399" w14:textId="77777777" w:rsidTr="006F49C9">
        <w:trPr>
          <w:trHeight w:val="315"/>
        </w:trPr>
        <w:tc>
          <w:tcPr>
            <w:tcW w:w="1460" w:type="dxa"/>
            <w:vMerge w:val="restart"/>
            <w:tcBorders>
              <w:top w:val="nil"/>
              <w:left w:val="single" w:sz="8" w:space="0" w:color="auto"/>
              <w:bottom w:val="single" w:sz="8" w:space="0" w:color="auto"/>
              <w:right w:val="single" w:sz="8" w:space="0" w:color="auto"/>
            </w:tcBorders>
            <w:shd w:val="clear" w:color="auto" w:fill="auto"/>
            <w:vAlign w:val="center"/>
            <w:hideMark/>
          </w:tcPr>
          <w:p w14:paraId="5F9C77BD"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Ligne d’appui administratif</w:t>
            </w:r>
            <w:r w:rsidRPr="00922C2A">
              <w:rPr>
                <w:noProof/>
                <w:color w:val="000000"/>
                <w:sz w:val="16"/>
              </w:rPr>
              <w:cr/>
            </w:r>
            <w:r w:rsidRPr="00922C2A">
              <w:rPr>
                <w:noProof/>
                <w:color w:val="000000"/>
                <w:sz w:val="16"/>
              </w:rPr>
              <w:br/>
              <w:t>[XX.01.YY.YY] [2]</w:t>
            </w:r>
          </w:p>
        </w:tc>
        <w:tc>
          <w:tcPr>
            <w:tcW w:w="3760" w:type="dxa"/>
            <w:tcBorders>
              <w:top w:val="nil"/>
              <w:left w:val="nil"/>
              <w:bottom w:val="single" w:sz="8" w:space="0" w:color="auto"/>
              <w:right w:val="single" w:sz="8" w:space="0" w:color="auto"/>
            </w:tcBorders>
            <w:shd w:val="clear" w:color="auto" w:fill="auto"/>
            <w:vAlign w:val="center"/>
            <w:hideMark/>
          </w:tcPr>
          <w:p w14:paraId="10AA7E95" w14:textId="77777777" w:rsidR="00922C2A" w:rsidRPr="00922C2A" w:rsidRDefault="00922C2A" w:rsidP="006F49C9">
            <w:pPr>
              <w:spacing w:before="0" w:after="0"/>
              <w:ind w:firstLineChars="100" w:firstLine="160"/>
              <w:jc w:val="left"/>
              <w:rPr>
                <w:rFonts w:eastAsia="Times New Roman"/>
                <w:noProof/>
                <w:color w:val="000000"/>
                <w:sz w:val="16"/>
                <w:szCs w:val="16"/>
              </w:rPr>
            </w:pPr>
            <w:r w:rsidRPr="00922C2A">
              <w:rPr>
                <w:noProof/>
                <w:color w:val="000000"/>
                <w:sz w:val="16"/>
              </w:rPr>
              <w:t>- au siège</w:t>
            </w:r>
          </w:p>
        </w:tc>
        <w:tc>
          <w:tcPr>
            <w:tcW w:w="960" w:type="dxa"/>
            <w:tcBorders>
              <w:top w:val="nil"/>
              <w:left w:val="nil"/>
              <w:bottom w:val="single" w:sz="8" w:space="0" w:color="auto"/>
              <w:right w:val="single" w:sz="8" w:space="0" w:color="auto"/>
            </w:tcBorders>
            <w:shd w:val="clear" w:color="000000" w:fill="D9D9D9"/>
            <w:vAlign w:val="center"/>
            <w:hideMark/>
          </w:tcPr>
          <w:p w14:paraId="77C6C356"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1F40B6B3"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10ADBFA1"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49D4BB7"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16EAF94"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r>
      <w:tr w:rsidR="00922C2A" w:rsidRPr="00922C2A" w14:paraId="22E25F84" w14:textId="77777777" w:rsidTr="006F49C9">
        <w:trPr>
          <w:trHeight w:val="315"/>
        </w:trPr>
        <w:tc>
          <w:tcPr>
            <w:tcW w:w="1460" w:type="dxa"/>
            <w:vMerge/>
            <w:tcBorders>
              <w:top w:val="nil"/>
              <w:left w:val="single" w:sz="8" w:space="0" w:color="auto"/>
              <w:bottom w:val="single" w:sz="8" w:space="0" w:color="auto"/>
              <w:right w:val="single" w:sz="8" w:space="0" w:color="auto"/>
            </w:tcBorders>
            <w:vAlign w:val="center"/>
            <w:hideMark/>
          </w:tcPr>
          <w:p w14:paraId="635AEE76" w14:textId="77777777" w:rsidR="00922C2A" w:rsidRPr="00922C2A" w:rsidRDefault="00922C2A" w:rsidP="006F49C9">
            <w:pPr>
              <w:spacing w:before="0" w:after="0"/>
              <w:jc w:val="left"/>
              <w:rPr>
                <w:rFonts w:eastAsia="Times New Roman"/>
                <w:noProof/>
                <w:color w:val="000000"/>
                <w:sz w:val="16"/>
                <w:szCs w:val="16"/>
                <w:lang w:eastAsia="en-IE"/>
              </w:rPr>
            </w:pPr>
          </w:p>
        </w:tc>
        <w:tc>
          <w:tcPr>
            <w:tcW w:w="3760" w:type="dxa"/>
            <w:tcBorders>
              <w:top w:val="nil"/>
              <w:left w:val="nil"/>
              <w:bottom w:val="single" w:sz="8" w:space="0" w:color="auto"/>
              <w:right w:val="single" w:sz="8" w:space="0" w:color="auto"/>
            </w:tcBorders>
            <w:shd w:val="clear" w:color="auto" w:fill="auto"/>
            <w:vAlign w:val="center"/>
            <w:hideMark/>
          </w:tcPr>
          <w:p w14:paraId="327B0274" w14:textId="77777777" w:rsidR="00922C2A" w:rsidRPr="00922C2A" w:rsidRDefault="00922C2A" w:rsidP="006F49C9">
            <w:pPr>
              <w:spacing w:before="0" w:after="0"/>
              <w:ind w:firstLineChars="100" w:firstLine="160"/>
              <w:jc w:val="left"/>
              <w:rPr>
                <w:rFonts w:eastAsia="Times New Roman"/>
                <w:noProof/>
                <w:color w:val="000000"/>
                <w:sz w:val="16"/>
                <w:szCs w:val="16"/>
              </w:rPr>
            </w:pPr>
            <w:r w:rsidRPr="00922C2A">
              <w:rPr>
                <w:noProof/>
                <w:color w:val="000000"/>
                <w:sz w:val="16"/>
              </w:rPr>
              <w:t xml:space="preserve">- dans les délégations de l’UE </w:t>
            </w:r>
          </w:p>
        </w:tc>
        <w:tc>
          <w:tcPr>
            <w:tcW w:w="960" w:type="dxa"/>
            <w:tcBorders>
              <w:top w:val="nil"/>
              <w:left w:val="nil"/>
              <w:bottom w:val="single" w:sz="8" w:space="0" w:color="auto"/>
              <w:right w:val="single" w:sz="8" w:space="0" w:color="auto"/>
            </w:tcBorders>
            <w:shd w:val="clear" w:color="000000" w:fill="D9D9D9"/>
            <w:vAlign w:val="center"/>
            <w:hideMark/>
          </w:tcPr>
          <w:p w14:paraId="3419F0F6"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23DD885"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9A84745"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7C323EB"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445BFF8"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r>
      <w:tr w:rsidR="00922C2A" w:rsidRPr="00922C2A" w14:paraId="4BB680A0" w14:textId="77777777" w:rsidTr="006F49C9">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1771D4C" w14:textId="77777777" w:rsidR="00922C2A" w:rsidRPr="00922C2A" w:rsidRDefault="00922C2A" w:rsidP="006F49C9">
            <w:pPr>
              <w:spacing w:before="0" w:after="0"/>
              <w:ind w:firstLineChars="100" w:firstLine="160"/>
              <w:jc w:val="left"/>
              <w:rPr>
                <w:rFonts w:eastAsia="Times New Roman"/>
                <w:noProof/>
                <w:color w:val="000000"/>
                <w:sz w:val="16"/>
                <w:szCs w:val="16"/>
              </w:rPr>
            </w:pPr>
            <w:r w:rsidRPr="00922C2A">
              <w:rPr>
                <w:noProof/>
                <w:color w:val="000000"/>
                <w:sz w:val="16"/>
              </w:rPr>
              <w:t>01 01 01 02</w:t>
            </w:r>
            <w:r w:rsidRPr="00922C2A">
              <w:rPr>
                <w:rFonts w:ascii="Arial Narrow" w:hAnsi="Arial Narrow"/>
                <w:noProof/>
                <w:color w:val="000000"/>
                <w:sz w:val="20"/>
              </w:rPr>
              <w:t xml:space="preserve"> </w:t>
            </w:r>
            <w:r w:rsidRPr="00922C2A">
              <w:rPr>
                <w:noProof/>
                <w:color w:val="000000"/>
                <w:sz w:val="16"/>
              </w:rPr>
              <w:t>(AC, END - Recherche indirecte)</w:t>
            </w:r>
          </w:p>
        </w:tc>
        <w:tc>
          <w:tcPr>
            <w:tcW w:w="960" w:type="dxa"/>
            <w:tcBorders>
              <w:top w:val="nil"/>
              <w:left w:val="nil"/>
              <w:bottom w:val="single" w:sz="8" w:space="0" w:color="auto"/>
              <w:right w:val="single" w:sz="8" w:space="0" w:color="auto"/>
            </w:tcBorders>
            <w:shd w:val="clear" w:color="000000" w:fill="D9D9D9"/>
            <w:vAlign w:val="center"/>
            <w:hideMark/>
          </w:tcPr>
          <w:p w14:paraId="31ABDE5A"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97DF232"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FC13749"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1272E488"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CB5F64B"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r>
      <w:tr w:rsidR="00922C2A" w:rsidRPr="00922C2A" w14:paraId="1677985F" w14:textId="77777777" w:rsidTr="006F49C9">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3714AC0" w14:textId="77777777" w:rsidR="00922C2A" w:rsidRPr="00922C2A" w:rsidRDefault="00922C2A" w:rsidP="006F49C9">
            <w:pPr>
              <w:spacing w:before="0" w:after="0"/>
              <w:ind w:firstLineChars="100" w:firstLine="160"/>
              <w:jc w:val="left"/>
              <w:rPr>
                <w:rFonts w:eastAsia="Times New Roman"/>
                <w:noProof/>
                <w:color w:val="000000"/>
                <w:sz w:val="16"/>
                <w:szCs w:val="16"/>
              </w:rPr>
            </w:pPr>
            <w:r w:rsidRPr="00922C2A">
              <w:rPr>
                <w:noProof/>
                <w:color w:val="000000"/>
                <w:sz w:val="16"/>
              </w:rPr>
              <w:t xml:space="preserve"> 01 01 01 12 (AC, END - Recherche directe)</w:t>
            </w:r>
          </w:p>
        </w:tc>
        <w:tc>
          <w:tcPr>
            <w:tcW w:w="960" w:type="dxa"/>
            <w:tcBorders>
              <w:top w:val="nil"/>
              <w:left w:val="nil"/>
              <w:bottom w:val="single" w:sz="8" w:space="0" w:color="auto"/>
              <w:right w:val="single" w:sz="8" w:space="0" w:color="auto"/>
            </w:tcBorders>
            <w:shd w:val="clear" w:color="000000" w:fill="D9D9D9"/>
            <w:vAlign w:val="center"/>
            <w:hideMark/>
          </w:tcPr>
          <w:p w14:paraId="1C4D6C50"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140F441"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13E74E7D"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BBAC1F7"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6AFEF2E"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r>
      <w:tr w:rsidR="00922C2A" w:rsidRPr="00922C2A" w14:paraId="7E48ECE7" w14:textId="77777777" w:rsidTr="006F49C9">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51D3421" w14:textId="77777777" w:rsidR="00922C2A" w:rsidRPr="00922C2A" w:rsidRDefault="00922C2A" w:rsidP="006F49C9">
            <w:pPr>
              <w:spacing w:before="0" w:after="0"/>
              <w:ind w:firstLineChars="100" w:firstLine="160"/>
              <w:jc w:val="left"/>
              <w:rPr>
                <w:rFonts w:eastAsia="Times New Roman"/>
                <w:noProof/>
                <w:color w:val="000000"/>
                <w:sz w:val="16"/>
                <w:szCs w:val="16"/>
              </w:rPr>
            </w:pPr>
            <w:r w:rsidRPr="00922C2A">
              <w:rPr>
                <w:noProof/>
                <w:color w:val="000000"/>
                <w:sz w:val="16"/>
              </w:rPr>
              <w:t>Autres lignes budgétaires (à préciser) - Rubrique 7</w:t>
            </w:r>
          </w:p>
        </w:tc>
        <w:tc>
          <w:tcPr>
            <w:tcW w:w="960" w:type="dxa"/>
            <w:tcBorders>
              <w:top w:val="nil"/>
              <w:left w:val="nil"/>
              <w:bottom w:val="single" w:sz="8" w:space="0" w:color="auto"/>
              <w:right w:val="single" w:sz="8" w:space="0" w:color="auto"/>
            </w:tcBorders>
            <w:shd w:val="clear" w:color="000000" w:fill="D9D9D9"/>
            <w:vAlign w:val="center"/>
            <w:hideMark/>
          </w:tcPr>
          <w:p w14:paraId="4C6591A1"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F90BDCE"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1ECE6C64"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021092C"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E69DCD0"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r>
      <w:tr w:rsidR="00922C2A" w:rsidRPr="00922C2A" w14:paraId="640AC248" w14:textId="77777777" w:rsidTr="006F49C9">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EB555D9" w14:textId="77777777" w:rsidR="00922C2A" w:rsidRPr="00922C2A" w:rsidRDefault="00922C2A" w:rsidP="006F49C9">
            <w:pPr>
              <w:spacing w:before="0" w:after="0"/>
              <w:ind w:firstLineChars="100" w:firstLine="160"/>
              <w:jc w:val="left"/>
              <w:rPr>
                <w:rFonts w:eastAsia="Times New Roman"/>
                <w:noProof/>
                <w:color w:val="000000"/>
                <w:sz w:val="16"/>
                <w:szCs w:val="16"/>
              </w:rPr>
            </w:pPr>
            <w:r w:rsidRPr="00922C2A">
              <w:rPr>
                <w:noProof/>
                <w:color w:val="000000"/>
                <w:sz w:val="16"/>
              </w:rPr>
              <w:t>Autres lignes budgétaires (à préciser) - Hors rubrique 7</w:t>
            </w:r>
          </w:p>
        </w:tc>
        <w:tc>
          <w:tcPr>
            <w:tcW w:w="960" w:type="dxa"/>
            <w:tcBorders>
              <w:top w:val="nil"/>
              <w:left w:val="nil"/>
              <w:bottom w:val="single" w:sz="8" w:space="0" w:color="auto"/>
              <w:right w:val="single" w:sz="8" w:space="0" w:color="auto"/>
            </w:tcBorders>
            <w:shd w:val="clear" w:color="000000" w:fill="D9D9D9"/>
            <w:vAlign w:val="center"/>
            <w:hideMark/>
          </w:tcPr>
          <w:p w14:paraId="1DAB5075"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03A5E30"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A3C2E6D"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1CE0762"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7FDF0C6"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r>
      <w:tr w:rsidR="00922C2A" w:rsidRPr="00922C2A" w14:paraId="39CC3009" w14:textId="77777777" w:rsidTr="006F49C9">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BCC22CB" w14:textId="77777777" w:rsidR="00922C2A" w:rsidRPr="00922C2A" w:rsidRDefault="00922C2A" w:rsidP="006F49C9">
            <w:pPr>
              <w:spacing w:before="0" w:after="0"/>
              <w:ind w:firstLineChars="100" w:firstLine="160"/>
              <w:jc w:val="left"/>
              <w:rPr>
                <w:rFonts w:eastAsia="Times New Roman"/>
                <w:b/>
                <w:bCs/>
                <w:noProof/>
                <w:color w:val="000000"/>
                <w:sz w:val="16"/>
                <w:szCs w:val="16"/>
              </w:rPr>
            </w:pPr>
            <w:r w:rsidRPr="00922C2A">
              <w:rPr>
                <w:b/>
                <w:noProof/>
                <w:color w:val="000000"/>
                <w:sz w:val="16"/>
              </w:rPr>
              <w:t>TOTAL</w:t>
            </w:r>
          </w:p>
        </w:tc>
        <w:tc>
          <w:tcPr>
            <w:tcW w:w="960" w:type="dxa"/>
            <w:tcBorders>
              <w:top w:val="nil"/>
              <w:left w:val="nil"/>
              <w:bottom w:val="single" w:sz="8" w:space="0" w:color="auto"/>
              <w:right w:val="single" w:sz="8" w:space="0" w:color="auto"/>
            </w:tcBorders>
            <w:shd w:val="clear" w:color="000000" w:fill="D9D9D9"/>
            <w:vAlign w:val="center"/>
            <w:hideMark/>
          </w:tcPr>
          <w:p w14:paraId="315F8908" w14:textId="77777777" w:rsidR="00922C2A" w:rsidRPr="00922C2A" w:rsidRDefault="00922C2A" w:rsidP="006F49C9">
            <w:pPr>
              <w:spacing w:before="0" w:after="0"/>
              <w:jc w:val="center"/>
              <w:rPr>
                <w:rFonts w:eastAsia="Times New Roman"/>
                <w:b/>
                <w:bCs/>
                <w:noProof/>
                <w:color w:val="000000"/>
                <w:sz w:val="16"/>
                <w:szCs w:val="16"/>
              </w:rPr>
            </w:pPr>
            <w:r w:rsidRPr="00922C2A">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918D618" w14:textId="77777777" w:rsidR="00922C2A" w:rsidRPr="00922C2A" w:rsidRDefault="00922C2A" w:rsidP="006F49C9">
            <w:pPr>
              <w:spacing w:before="0" w:after="0"/>
              <w:jc w:val="center"/>
              <w:rPr>
                <w:rFonts w:eastAsia="Times New Roman"/>
                <w:b/>
                <w:bCs/>
                <w:noProof/>
                <w:color w:val="000000"/>
                <w:sz w:val="16"/>
                <w:szCs w:val="16"/>
              </w:rPr>
            </w:pPr>
            <w:r w:rsidRPr="00922C2A">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08DA1690" w14:textId="77777777" w:rsidR="00922C2A" w:rsidRPr="00922C2A" w:rsidRDefault="00922C2A" w:rsidP="006F49C9">
            <w:pPr>
              <w:spacing w:before="0" w:after="0"/>
              <w:jc w:val="center"/>
              <w:rPr>
                <w:rFonts w:eastAsia="Times New Roman"/>
                <w:b/>
                <w:bCs/>
                <w:noProof/>
                <w:color w:val="000000"/>
                <w:sz w:val="16"/>
                <w:szCs w:val="16"/>
              </w:rPr>
            </w:pPr>
            <w:r w:rsidRPr="00922C2A">
              <w:rPr>
                <w:b/>
                <w:noProof/>
                <w:color w:val="000000"/>
                <w:sz w:val="16"/>
              </w:rPr>
              <w:t>10</w:t>
            </w:r>
          </w:p>
        </w:tc>
        <w:tc>
          <w:tcPr>
            <w:tcW w:w="960" w:type="dxa"/>
            <w:tcBorders>
              <w:top w:val="nil"/>
              <w:left w:val="nil"/>
              <w:bottom w:val="single" w:sz="8" w:space="0" w:color="auto"/>
              <w:right w:val="single" w:sz="8" w:space="0" w:color="auto"/>
            </w:tcBorders>
            <w:shd w:val="clear" w:color="000000" w:fill="D9D9D9"/>
            <w:vAlign w:val="center"/>
            <w:hideMark/>
          </w:tcPr>
          <w:p w14:paraId="31A03C80" w14:textId="77777777" w:rsidR="00922C2A" w:rsidRPr="00922C2A" w:rsidRDefault="00922C2A" w:rsidP="006F49C9">
            <w:pPr>
              <w:spacing w:before="0" w:after="0"/>
              <w:jc w:val="center"/>
              <w:rPr>
                <w:rFonts w:eastAsia="Times New Roman"/>
                <w:b/>
                <w:bCs/>
                <w:noProof/>
                <w:color w:val="000000"/>
                <w:sz w:val="16"/>
                <w:szCs w:val="16"/>
              </w:rPr>
            </w:pPr>
            <w:r w:rsidRPr="00922C2A">
              <w:rPr>
                <w:b/>
                <w:noProof/>
                <w:color w:val="000000"/>
                <w:sz w:val="16"/>
              </w:rPr>
              <w:t>20</w:t>
            </w:r>
          </w:p>
        </w:tc>
        <w:tc>
          <w:tcPr>
            <w:tcW w:w="960" w:type="dxa"/>
            <w:tcBorders>
              <w:top w:val="nil"/>
              <w:left w:val="nil"/>
              <w:bottom w:val="single" w:sz="8" w:space="0" w:color="auto"/>
              <w:right w:val="single" w:sz="8" w:space="0" w:color="auto"/>
            </w:tcBorders>
            <w:shd w:val="clear" w:color="000000" w:fill="D9D9D9"/>
            <w:vAlign w:val="center"/>
            <w:hideMark/>
          </w:tcPr>
          <w:p w14:paraId="6B3DB817" w14:textId="77777777" w:rsidR="00922C2A" w:rsidRPr="00922C2A" w:rsidRDefault="00922C2A" w:rsidP="006F49C9">
            <w:pPr>
              <w:spacing w:before="0" w:after="0"/>
              <w:jc w:val="center"/>
              <w:rPr>
                <w:rFonts w:eastAsia="Times New Roman"/>
                <w:b/>
                <w:bCs/>
                <w:noProof/>
                <w:color w:val="000000"/>
                <w:sz w:val="16"/>
                <w:szCs w:val="16"/>
              </w:rPr>
            </w:pPr>
            <w:r w:rsidRPr="00922C2A">
              <w:rPr>
                <w:b/>
                <w:noProof/>
                <w:color w:val="000000"/>
                <w:sz w:val="16"/>
              </w:rPr>
              <w:t>20</w:t>
            </w:r>
          </w:p>
        </w:tc>
      </w:tr>
    </w:tbl>
    <w:p w14:paraId="695B8F7A" w14:textId="77777777" w:rsidR="00922C2A" w:rsidRPr="00922C2A" w:rsidRDefault="00922C2A" w:rsidP="00922C2A">
      <w:pPr>
        <w:pStyle w:val="Text1"/>
        <w:ind w:left="0"/>
        <w:rPr>
          <w:noProof/>
        </w:rPr>
      </w:pPr>
      <w:bookmarkStart w:id="176" w:name="_Toc167220296"/>
      <w:bookmarkStart w:id="177" w:name="_Toc177549029"/>
    </w:p>
    <w:p w14:paraId="789C1CB9" w14:textId="77777777" w:rsidR="00922C2A" w:rsidRPr="00922C2A" w:rsidRDefault="00922C2A" w:rsidP="00922C2A">
      <w:pPr>
        <w:pStyle w:val="ManualHeading3"/>
        <w:rPr>
          <w:noProof/>
        </w:rPr>
      </w:pPr>
      <w:r w:rsidRPr="00922C2A">
        <w:rPr>
          <w:noProof/>
        </w:rPr>
        <w:t>3.2.4.2.</w:t>
      </w:r>
      <w:r w:rsidRPr="00922C2A">
        <w:rPr>
          <w:noProof/>
        </w:rPr>
        <w:tab/>
        <w:t>Financement par des recettes affectées externes</w:t>
      </w:r>
      <w:bookmarkEnd w:id="176"/>
      <w:bookmarkEnd w:id="177"/>
    </w:p>
    <w:p w14:paraId="1806EA82" w14:textId="77777777" w:rsidR="00922C2A" w:rsidRPr="00922C2A" w:rsidRDefault="00922C2A" w:rsidP="00922C2A">
      <w:pPr>
        <w:pStyle w:val="Text1"/>
        <w:rPr>
          <w:noProof/>
        </w:rPr>
      </w:pPr>
      <w:r w:rsidRPr="00922C2A">
        <w:rPr>
          <w:noProof/>
        </w:rPr>
        <w:t>s.o.</w:t>
      </w:r>
    </w:p>
    <w:p w14:paraId="5C5F3619" w14:textId="77777777" w:rsidR="00922C2A" w:rsidRPr="00922C2A" w:rsidRDefault="00922C2A" w:rsidP="00922C2A">
      <w:pPr>
        <w:pStyle w:val="ManualHeading3"/>
        <w:rPr>
          <w:noProof/>
        </w:rPr>
      </w:pPr>
      <w:bookmarkStart w:id="178" w:name="_Toc167220297"/>
      <w:bookmarkStart w:id="179" w:name="_Toc177549030"/>
      <w:r w:rsidRPr="00922C2A">
        <w:rPr>
          <w:noProof/>
        </w:rPr>
        <w:t>3.2.4.3.</w:t>
      </w:r>
      <w:r w:rsidRPr="00922C2A">
        <w:rPr>
          <w:noProof/>
        </w:rPr>
        <w:tab/>
        <w:t>Total des besoins en ressources humaines</w:t>
      </w:r>
      <w:bookmarkEnd w:id="178"/>
      <w:bookmarkEnd w:id="179"/>
      <w:r w:rsidRPr="00922C2A">
        <w:rPr>
          <w:noProof/>
        </w:rPr>
        <w:t xml:space="preserve"> </w:t>
      </w:r>
    </w:p>
    <w:tbl>
      <w:tblPr>
        <w:tblW w:w="9655" w:type="dxa"/>
        <w:tblInd w:w="118" w:type="dxa"/>
        <w:tblLook w:val="04A0" w:firstRow="1" w:lastRow="0" w:firstColumn="1" w:lastColumn="0" w:noHBand="0" w:noVBand="1"/>
      </w:tblPr>
      <w:tblGrid>
        <w:gridCol w:w="1598"/>
        <w:gridCol w:w="3933"/>
        <w:gridCol w:w="1031"/>
        <w:gridCol w:w="1031"/>
        <w:gridCol w:w="1031"/>
        <w:gridCol w:w="1031"/>
      </w:tblGrid>
      <w:tr w:rsidR="00922C2A" w:rsidRPr="00922C2A" w14:paraId="65C42319" w14:textId="77777777" w:rsidTr="006F49C9">
        <w:trPr>
          <w:trHeight w:val="511"/>
        </w:trPr>
        <w:tc>
          <w:tcPr>
            <w:tcW w:w="5531" w:type="dxa"/>
            <w:gridSpan w:val="2"/>
            <w:tcBorders>
              <w:top w:val="single" w:sz="8" w:space="0" w:color="auto"/>
              <w:left w:val="single" w:sz="8" w:space="0" w:color="auto"/>
              <w:bottom w:val="single" w:sz="8" w:space="0" w:color="000000"/>
              <w:right w:val="single" w:sz="8" w:space="0" w:color="000000"/>
            </w:tcBorders>
            <w:shd w:val="clear" w:color="auto" w:fill="auto"/>
            <w:vAlign w:val="center"/>
            <w:hideMark/>
          </w:tcPr>
          <w:p w14:paraId="4BAB31C0" w14:textId="77777777" w:rsidR="00922C2A" w:rsidRPr="00922C2A" w:rsidRDefault="00922C2A" w:rsidP="006F49C9">
            <w:pPr>
              <w:spacing w:before="0" w:after="0"/>
              <w:jc w:val="center"/>
              <w:rPr>
                <w:rFonts w:eastAsia="Times New Roman"/>
                <w:b/>
                <w:bCs/>
                <w:noProof/>
                <w:color w:val="000000"/>
                <w:sz w:val="18"/>
                <w:szCs w:val="18"/>
              </w:rPr>
            </w:pPr>
            <w:r w:rsidRPr="00922C2A">
              <w:rPr>
                <w:b/>
                <w:noProof/>
                <w:color w:val="000000"/>
                <w:sz w:val="18"/>
              </w:rPr>
              <w:t>TOTAL</w:t>
            </w:r>
            <w:r w:rsidRPr="00922C2A">
              <w:rPr>
                <w:b/>
                <w:noProof/>
                <w:color w:val="000000"/>
                <w:sz w:val="18"/>
              </w:rPr>
              <w:cr/>
            </w:r>
            <w:r w:rsidRPr="00922C2A">
              <w:rPr>
                <w:b/>
                <w:noProof/>
                <w:color w:val="000000"/>
                <w:sz w:val="18"/>
              </w:rPr>
              <w:br/>
              <w:t xml:space="preserve">CRÉDITS VOTÉS </w:t>
            </w:r>
            <w:r w:rsidRPr="00922C2A">
              <w:rPr>
                <w:b/>
                <w:noProof/>
                <w:color w:val="000000"/>
                <w:sz w:val="18"/>
              </w:rPr>
              <w:cr/>
            </w:r>
            <w:r w:rsidRPr="00922C2A">
              <w:rPr>
                <w:b/>
                <w:noProof/>
                <w:color w:val="000000"/>
                <w:sz w:val="18"/>
              </w:rPr>
              <w:br/>
              <w:t>+</w:t>
            </w:r>
            <w:r w:rsidRPr="00922C2A">
              <w:rPr>
                <w:b/>
                <w:noProof/>
                <w:color w:val="000000"/>
                <w:sz w:val="18"/>
              </w:rPr>
              <w:cr/>
            </w:r>
            <w:r w:rsidRPr="00922C2A">
              <w:rPr>
                <w:b/>
                <w:noProof/>
                <w:color w:val="000000"/>
                <w:sz w:val="18"/>
              </w:rPr>
              <w:br/>
              <w:t>RECETTES AFFECTÉES EXTERNES</w:t>
            </w:r>
          </w:p>
        </w:tc>
        <w:tc>
          <w:tcPr>
            <w:tcW w:w="1031" w:type="dxa"/>
            <w:tcBorders>
              <w:top w:val="single" w:sz="8" w:space="0" w:color="auto"/>
              <w:left w:val="nil"/>
              <w:bottom w:val="nil"/>
              <w:right w:val="single" w:sz="8" w:space="0" w:color="auto"/>
            </w:tcBorders>
            <w:shd w:val="clear" w:color="auto" w:fill="auto"/>
            <w:vAlign w:val="center"/>
            <w:hideMark/>
          </w:tcPr>
          <w:p w14:paraId="01A07655"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c>
          <w:tcPr>
            <w:tcW w:w="1031" w:type="dxa"/>
            <w:tcBorders>
              <w:top w:val="single" w:sz="8" w:space="0" w:color="auto"/>
              <w:left w:val="nil"/>
              <w:bottom w:val="nil"/>
              <w:right w:val="single" w:sz="8" w:space="0" w:color="auto"/>
            </w:tcBorders>
            <w:shd w:val="clear" w:color="auto" w:fill="auto"/>
            <w:vAlign w:val="center"/>
            <w:hideMark/>
          </w:tcPr>
          <w:p w14:paraId="03E85DB8"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c>
          <w:tcPr>
            <w:tcW w:w="1031" w:type="dxa"/>
            <w:tcBorders>
              <w:top w:val="single" w:sz="8" w:space="0" w:color="auto"/>
              <w:left w:val="nil"/>
              <w:bottom w:val="nil"/>
              <w:right w:val="single" w:sz="8" w:space="0" w:color="auto"/>
            </w:tcBorders>
            <w:shd w:val="clear" w:color="auto" w:fill="auto"/>
            <w:vAlign w:val="center"/>
            <w:hideMark/>
          </w:tcPr>
          <w:p w14:paraId="04601039"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c>
          <w:tcPr>
            <w:tcW w:w="1031" w:type="dxa"/>
            <w:tcBorders>
              <w:top w:val="single" w:sz="8" w:space="0" w:color="auto"/>
              <w:left w:val="nil"/>
              <w:bottom w:val="nil"/>
              <w:right w:val="single" w:sz="8" w:space="0" w:color="auto"/>
            </w:tcBorders>
            <w:shd w:val="clear" w:color="auto" w:fill="auto"/>
            <w:vAlign w:val="center"/>
            <w:hideMark/>
          </w:tcPr>
          <w:p w14:paraId="745B1867"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r>
      <w:tr w:rsidR="00922C2A" w:rsidRPr="00922C2A" w14:paraId="7AF9F5A3" w14:textId="77777777" w:rsidTr="006F49C9">
        <w:trPr>
          <w:trHeight w:val="511"/>
        </w:trPr>
        <w:tc>
          <w:tcPr>
            <w:tcW w:w="5531" w:type="dxa"/>
            <w:gridSpan w:val="2"/>
            <w:tcBorders>
              <w:top w:val="single" w:sz="8" w:space="0" w:color="auto"/>
              <w:left w:val="single" w:sz="8" w:space="0" w:color="auto"/>
              <w:bottom w:val="single" w:sz="8" w:space="0" w:color="000000"/>
              <w:right w:val="single" w:sz="8" w:space="0" w:color="000000"/>
            </w:tcBorders>
            <w:shd w:val="clear" w:color="auto" w:fill="auto"/>
            <w:vAlign w:val="center"/>
            <w:hideMark/>
          </w:tcPr>
          <w:p w14:paraId="3083723D" w14:textId="77777777" w:rsidR="00922C2A" w:rsidRPr="00922C2A" w:rsidRDefault="00922C2A" w:rsidP="006F49C9">
            <w:pPr>
              <w:spacing w:before="0" w:after="0"/>
              <w:jc w:val="center"/>
              <w:rPr>
                <w:rFonts w:eastAsia="Times New Roman"/>
                <w:b/>
                <w:bCs/>
                <w:noProof/>
                <w:color w:val="000000"/>
                <w:sz w:val="18"/>
                <w:szCs w:val="18"/>
                <w:lang w:eastAsia="en-IE"/>
              </w:rPr>
            </w:pPr>
          </w:p>
        </w:tc>
        <w:tc>
          <w:tcPr>
            <w:tcW w:w="1031" w:type="dxa"/>
            <w:tcBorders>
              <w:top w:val="single" w:sz="8" w:space="0" w:color="auto"/>
              <w:left w:val="nil"/>
              <w:bottom w:val="nil"/>
              <w:right w:val="single" w:sz="8" w:space="0" w:color="auto"/>
            </w:tcBorders>
            <w:shd w:val="clear" w:color="auto" w:fill="auto"/>
            <w:vAlign w:val="center"/>
            <w:hideMark/>
          </w:tcPr>
          <w:p w14:paraId="3DC2672D"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2024</w:t>
            </w:r>
          </w:p>
        </w:tc>
        <w:tc>
          <w:tcPr>
            <w:tcW w:w="1031" w:type="dxa"/>
            <w:tcBorders>
              <w:top w:val="single" w:sz="8" w:space="0" w:color="auto"/>
              <w:left w:val="nil"/>
              <w:bottom w:val="nil"/>
              <w:right w:val="single" w:sz="8" w:space="0" w:color="auto"/>
            </w:tcBorders>
            <w:shd w:val="clear" w:color="auto" w:fill="auto"/>
            <w:vAlign w:val="center"/>
            <w:hideMark/>
          </w:tcPr>
          <w:p w14:paraId="65FCFB18"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2025</w:t>
            </w:r>
          </w:p>
        </w:tc>
        <w:tc>
          <w:tcPr>
            <w:tcW w:w="1031" w:type="dxa"/>
            <w:tcBorders>
              <w:top w:val="single" w:sz="8" w:space="0" w:color="auto"/>
              <w:left w:val="nil"/>
              <w:bottom w:val="nil"/>
              <w:right w:val="single" w:sz="8" w:space="0" w:color="auto"/>
            </w:tcBorders>
            <w:shd w:val="clear" w:color="auto" w:fill="auto"/>
            <w:vAlign w:val="center"/>
            <w:hideMark/>
          </w:tcPr>
          <w:p w14:paraId="3539A814"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2026</w:t>
            </w:r>
          </w:p>
        </w:tc>
        <w:tc>
          <w:tcPr>
            <w:tcW w:w="1031" w:type="dxa"/>
            <w:tcBorders>
              <w:top w:val="single" w:sz="8" w:space="0" w:color="auto"/>
              <w:left w:val="nil"/>
              <w:bottom w:val="nil"/>
              <w:right w:val="single" w:sz="8" w:space="0" w:color="auto"/>
            </w:tcBorders>
            <w:shd w:val="clear" w:color="auto" w:fill="auto"/>
            <w:vAlign w:val="center"/>
            <w:hideMark/>
          </w:tcPr>
          <w:p w14:paraId="7FF1D15E"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2027</w:t>
            </w:r>
          </w:p>
        </w:tc>
      </w:tr>
      <w:tr w:rsidR="00922C2A" w:rsidRPr="00922C2A" w14:paraId="666AEE9F" w14:textId="77777777" w:rsidTr="006F49C9">
        <w:trPr>
          <w:trHeight w:val="311"/>
        </w:trPr>
        <w:tc>
          <w:tcPr>
            <w:tcW w:w="9655" w:type="dxa"/>
            <w:gridSpan w:val="6"/>
            <w:tcBorders>
              <w:top w:val="single" w:sz="8" w:space="0" w:color="auto"/>
              <w:left w:val="single" w:sz="8" w:space="0" w:color="auto"/>
              <w:bottom w:val="single" w:sz="8" w:space="0" w:color="auto"/>
              <w:right w:val="nil"/>
            </w:tcBorders>
            <w:shd w:val="clear" w:color="auto" w:fill="auto"/>
            <w:vAlign w:val="center"/>
            <w:hideMark/>
          </w:tcPr>
          <w:p w14:paraId="62515D08" w14:textId="77777777" w:rsidR="00922C2A" w:rsidRPr="00922C2A" w:rsidRDefault="00922C2A" w:rsidP="006F49C9">
            <w:pPr>
              <w:spacing w:before="0" w:after="0"/>
              <w:jc w:val="left"/>
              <w:rPr>
                <w:rFonts w:ascii="Wingdings" w:eastAsia="Times New Roman" w:hAnsi="Wingdings" w:cs="Calibri"/>
                <w:b/>
                <w:bCs/>
                <w:noProof/>
                <w:color w:val="000000"/>
                <w:sz w:val="16"/>
                <w:szCs w:val="16"/>
              </w:rPr>
            </w:pPr>
            <w:r w:rsidRPr="00922C2A">
              <w:rPr>
                <w:rFonts w:ascii="Wingdings" w:hAnsi="Wingdings"/>
                <w:b/>
                <w:noProof/>
                <w:color w:val="000000"/>
                <w:sz w:val="16"/>
              </w:rPr>
              <w:t></w:t>
            </w:r>
            <w:r w:rsidRPr="00922C2A">
              <w:rPr>
                <w:b/>
                <w:noProof/>
                <w:color w:val="000000"/>
                <w:sz w:val="16"/>
              </w:rPr>
              <w:t xml:space="preserve"> Emplois du tableau des effectifs (fonctionnaires et agents temporaires)</w:t>
            </w:r>
          </w:p>
        </w:tc>
      </w:tr>
      <w:tr w:rsidR="00922C2A" w:rsidRPr="00922C2A" w14:paraId="59114B2D" w14:textId="77777777" w:rsidTr="006F49C9">
        <w:trPr>
          <w:trHeight w:val="327"/>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F512720" w14:textId="77777777" w:rsidR="00922C2A" w:rsidRPr="00922C2A" w:rsidRDefault="00922C2A" w:rsidP="006F49C9">
            <w:pPr>
              <w:spacing w:before="0" w:after="0"/>
              <w:ind w:firstLineChars="100" w:firstLine="160"/>
              <w:jc w:val="left"/>
              <w:rPr>
                <w:rFonts w:eastAsia="Times New Roman"/>
                <w:noProof/>
                <w:color w:val="000000"/>
                <w:sz w:val="16"/>
                <w:szCs w:val="16"/>
              </w:rPr>
            </w:pPr>
            <w:r w:rsidRPr="00922C2A">
              <w:rPr>
                <w:noProof/>
                <w:color w:val="000000"/>
                <w:sz w:val="16"/>
              </w:rPr>
              <w:t>20 01 02 01</w:t>
            </w:r>
            <w:r w:rsidRPr="00922C2A">
              <w:rPr>
                <w:rFonts w:ascii="Arial Narrow" w:hAnsi="Arial Narrow"/>
                <w:noProof/>
                <w:color w:val="000000"/>
                <w:sz w:val="20"/>
              </w:rPr>
              <w:t xml:space="preserve"> </w:t>
            </w:r>
            <w:r w:rsidRPr="00922C2A">
              <w:rPr>
                <w:rFonts w:ascii="Arial Narrow" w:hAnsi="Arial Narrow"/>
                <w:noProof/>
                <w:color w:val="000000"/>
                <w:sz w:val="16"/>
              </w:rPr>
              <w:t>(au siège et dans les bureaux de représentation de la Commission)</w:t>
            </w:r>
          </w:p>
        </w:tc>
        <w:tc>
          <w:tcPr>
            <w:tcW w:w="1031" w:type="dxa"/>
            <w:tcBorders>
              <w:top w:val="nil"/>
              <w:left w:val="nil"/>
              <w:bottom w:val="single" w:sz="8" w:space="0" w:color="auto"/>
              <w:right w:val="single" w:sz="8" w:space="0" w:color="auto"/>
            </w:tcBorders>
            <w:shd w:val="clear" w:color="000000" w:fill="D9D9D9"/>
            <w:vAlign w:val="center"/>
            <w:hideMark/>
          </w:tcPr>
          <w:p w14:paraId="5756B68A"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34A5A3A6"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5183F723"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9</w:t>
            </w:r>
          </w:p>
        </w:tc>
        <w:tc>
          <w:tcPr>
            <w:tcW w:w="1031" w:type="dxa"/>
            <w:tcBorders>
              <w:top w:val="nil"/>
              <w:left w:val="nil"/>
              <w:bottom w:val="single" w:sz="8" w:space="0" w:color="auto"/>
              <w:right w:val="single" w:sz="8" w:space="0" w:color="auto"/>
            </w:tcBorders>
            <w:shd w:val="clear" w:color="000000" w:fill="D9D9D9"/>
            <w:vAlign w:val="center"/>
            <w:hideMark/>
          </w:tcPr>
          <w:p w14:paraId="4EACDFC4"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18</w:t>
            </w:r>
          </w:p>
        </w:tc>
      </w:tr>
      <w:tr w:rsidR="00922C2A" w:rsidRPr="00922C2A" w14:paraId="73617484" w14:textId="77777777" w:rsidTr="006F49C9">
        <w:trPr>
          <w:trHeight w:val="327"/>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77DE98C" w14:textId="77777777" w:rsidR="00922C2A" w:rsidRPr="00922C2A" w:rsidRDefault="00922C2A" w:rsidP="006F49C9">
            <w:pPr>
              <w:spacing w:before="0" w:after="0"/>
              <w:ind w:firstLineChars="100" w:firstLine="160"/>
              <w:jc w:val="left"/>
              <w:rPr>
                <w:rFonts w:eastAsia="Times New Roman"/>
                <w:noProof/>
                <w:color w:val="000000"/>
                <w:sz w:val="16"/>
                <w:szCs w:val="16"/>
              </w:rPr>
            </w:pPr>
            <w:r w:rsidRPr="00922C2A">
              <w:rPr>
                <w:noProof/>
                <w:color w:val="000000"/>
                <w:sz w:val="16"/>
              </w:rPr>
              <w:t>20 01 02 03 (délégations de l’UE)</w:t>
            </w:r>
          </w:p>
        </w:tc>
        <w:tc>
          <w:tcPr>
            <w:tcW w:w="1031" w:type="dxa"/>
            <w:tcBorders>
              <w:top w:val="nil"/>
              <w:left w:val="nil"/>
              <w:bottom w:val="single" w:sz="8" w:space="0" w:color="auto"/>
              <w:right w:val="single" w:sz="8" w:space="0" w:color="auto"/>
            </w:tcBorders>
            <w:shd w:val="clear" w:color="000000" w:fill="D9D9D9"/>
            <w:vAlign w:val="center"/>
            <w:hideMark/>
          </w:tcPr>
          <w:p w14:paraId="04755E6E"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25B448C7"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1058B138"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35936A4A"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r>
      <w:tr w:rsidR="00922C2A" w:rsidRPr="00922C2A" w14:paraId="3E2A8EF6" w14:textId="77777777" w:rsidTr="006F49C9">
        <w:trPr>
          <w:trHeight w:val="327"/>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CBFF1C6" w14:textId="77777777" w:rsidR="00922C2A" w:rsidRPr="00922C2A" w:rsidRDefault="00922C2A" w:rsidP="006F49C9">
            <w:pPr>
              <w:spacing w:before="0" w:after="0"/>
              <w:ind w:firstLineChars="100" w:firstLine="160"/>
              <w:jc w:val="left"/>
              <w:rPr>
                <w:rFonts w:eastAsia="Times New Roman"/>
                <w:noProof/>
                <w:color w:val="000000"/>
                <w:sz w:val="16"/>
                <w:szCs w:val="16"/>
              </w:rPr>
            </w:pPr>
            <w:r w:rsidRPr="00922C2A">
              <w:rPr>
                <w:noProof/>
                <w:color w:val="000000"/>
                <w:sz w:val="16"/>
              </w:rPr>
              <w:t>01 01 01 01</w:t>
            </w:r>
            <w:r w:rsidRPr="00922C2A">
              <w:rPr>
                <w:rFonts w:ascii="Arial Narrow" w:hAnsi="Arial Narrow"/>
                <w:noProof/>
                <w:color w:val="000000"/>
                <w:sz w:val="20"/>
              </w:rPr>
              <w:t xml:space="preserve"> </w:t>
            </w:r>
            <w:r w:rsidRPr="00922C2A">
              <w:rPr>
                <w:noProof/>
                <w:color w:val="000000"/>
                <w:sz w:val="16"/>
              </w:rPr>
              <w:t>(recherche indirecte)</w:t>
            </w:r>
          </w:p>
        </w:tc>
        <w:tc>
          <w:tcPr>
            <w:tcW w:w="1031" w:type="dxa"/>
            <w:tcBorders>
              <w:top w:val="nil"/>
              <w:left w:val="nil"/>
              <w:bottom w:val="single" w:sz="8" w:space="0" w:color="auto"/>
              <w:right w:val="single" w:sz="8" w:space="0" w:color="auto"/>
            </w:tcBorders>
            <w:shd w:val="clear" w:color="000000" w:fill="D9D9D9"/>
            <w:vAlign w:val="center"/>
            <w:hideMark/>
          </w:tcPr>
          <w:p w14:paraId="6AAB22A7"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425D45E5"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0F4F4B3F"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70065653"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r>
      <w:tr w:rsidR="00922C2A" w:rsidRPr="00922C2A" w14:paraId="42A27988" w14:textId="77777777" w:rsidTr="006F49C9">
        <w:trPr>
          <w:trHeight w:val="327"/>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1BB40EC" w14:textId="77777777" w:rsidR="00922C2A" w:rsidRPr="00922C2A" w:rsidRDefault="00922C2A" w:rsidP="006F49C9">
            <w:pPr>
              <w:spacing w:before="0" w:after="0"/>
              <w:ind w:firstLineChars="100" w:firstLine="160"/>
              <w:jc w:val="left"/>
              <w:rPr>
                <w:rFonts w:eastAsia="Times New Roman"/>
                <w:noProof/>
                <w:color w:val="000000"/>
                <w:sz w:val="16"/>
                <w:szCs w:val="16"/>
              </w:rPr>
            </w:pPr>
            <w:r w:rsidRPr="00922C2A">
              <w:rPr>
                <w:noProof/>
                <w:color w:val="000000"/>
                <w:sz w:val="16"/>
              </w:rPr>
              <w:t>01 01 01 11 (recherche directe)</w:t>
            </w:r>
          </w:p>
        </w:tc>
        <w:tc>
          <w:tcPr>
            <w:tcW w:w="1031" w:type="dxa"/>
            <w:tcBorders>
              <w:top w:val="nil"/>
              <w:left w:val="nil"/>
              <w:bottom w:val="single" w:sz="8" w:space="0" w:color="auto"/>
              <w:right w:val="single" w:sz="8" w:space="0" w:color="auto"/>
            </w:tcBorders>
            <w:shd w:val="clear" w:color="000000" w:fill="D9D9D9"/>
            <w:vAlign w:val="center"/>
            <w:hideMark/>
          </w:tcPr>
          <w:p w14:paraId="07B65124"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7853766B"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34F2DB60"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63D6CDCF"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r>
      <w:tr w:rsidR="00922C2A" w:rsidRPr="00922C2A" w14:paraId="21E9B028" w14:textId="77777777" w:rsidTr="006F49C9">
        <w:trPr>
          <w:trHeight w:val="327"/>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E1D2F7E" w14:textId="77777777" w:rsidR="00922C2A" w:rsidRPr="00922C2A" w:rsidRDefault="00922C2A" w:rsidP="006F49C9">
            <w:pPr>
              <w:spacing w:before="0" w:after="0"/>
              <w:ind w:firstLineChars="100" w:firstLine="160"/>
              <w:jc w:val="left"/>
              <w:rPr>
                <w:rFonts w:eastAsia="Times New Roman"/>
                <w:noProof/>
                <w:color w:val="000000"/>
                <w:sz w:val="16"/>
                <w:szCs w:val="16"/>
              </w:rPr>
            </w:pPr>
            <w:r w:rsidRPr="00922C2A">
              <w:rPr>
                <w:noProof/>
                <w:color w:val="000000"/>
                <w:sz w:val="16"/>
              </w:rPr>
              <w:t>Autres lignes budgétaires (à préciser)</w:t>
            </w:r>
          </w:p>
        </w:tc>
        <w:tc>
          <w:tcPr>
            <w:tcW w:w="1031" w:type="dxa"/>
            <w:tcBorders>
              <w:top w:val="nil"/>
              <w:left w:val="nil"/>
              <w:bottom w:val="single" w:sz="8" w:space="0" w:color="auto"/>
              <w:right w:val="single" w:sz="8" w:space="0" w:color="auto"/>
            </w:tcBorders>
            <w:shd w:val="clear" w:color="000000" w:fill="D9D9D9"/>
            <w:vAlign w:val="center"/>
            <w:hideMark/>
          </w:tcPr>
          <w:p w14:paraId="70B3F3D9"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429ECE6F"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616242E0"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11AC8151"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r>
      <w:tr w:rsidR="00922C2A" w:rsidRPr="00922C2A" w14:paraId="32BCA9B7" w14:textId="77777777" w:rsidTr="006F49C9">
        <w:trPr>
          <w:trHeight w:val="311"/>
        </w:trPr>
        <w:tc>
          <w:tcPr>
            <w:tcW w:w="9655" w:type="dxa"/>
            <w:gridSpan w:val="6"/>
            <w:tcBorders>
              <w:top w:val="single" w:sz="8" w:space="0" w:color="auto"/>
              <w:left w:val="single" w:sz="8" w:space="0" w:color="auto"/>
              <w:bottom w:val="single" w:sz="8" w:space="0" w:color="auto"/>
              <w:right w:val="nil"/>
            </w:tcBorders>
            <w:shd w:val="clear" w:color="auto" w:fill="auto"/>
            <w:vAlign w:val="center"/>
            <w:hideMark/>
          </w:tcPr>
          <w:p w14:paraId="1D17BD0F" w14:textId="77777777" w:rsidR="00922C2A" w:rsidRPr="00922C2A" w:rsidRDefault="00922C2A" w:rsidP="006F49C9">
            <w:pPr>
              <w:spacing w:before="0" w:after="0"/>
              <w:jc w:val="left"/>
              <w:rPr>
                <w:rFonts w:ascii="Wingdings" w:eastAsia="Times New Roman" w:hAnsi="Wingdings" w:cs="Calibri"/>
                <w:b/>
                <w:bCs/>
                <w:noProof/>
                <w:color w:val="000000"/>
                <w:sz w:val="16"/>
                <w:szCs w:val="16"/>
              </w:rPr>
            </w:pPr>
            <w:r w:rsidRPr="00922C2A">
              <w:rPr>
                <w:rFonts w:ascii="Calibri" w:hAnsi="Calibri"/>
                <w:b/>
                <w:noProof/>
                <w:color w:val="000000"/>
                <w:sz w:val="16"/>
              </w:rPr>
              <w:t>•</w:t>
            </w:r>
            <w:r w:rsidRPr="00922C2A">
              <w:rPr>
                <w:b/>
                <w:noProof/>
                <w:color w:val="000000"/>
                <w:sz w:val="16"/>
              </w:rPr>
              <w:t xml:space="preserve"> Personnel externe (en équivalents temps plein: ETP)</w:t>
            </w:r>
          </w:p>
        </w:tc>
      </w:tr>
      <w:tr w:rsidR="00922C2A" w:rsidRPr="00922C2A" w14:paraId="33F9EED0" w14:textId="77777777" w:rsidTr="006F49C9">
        <w:trPr>
          <w:trHeight w:val="327"/>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AC78CFA" w14:textId="77777777" w:rsidR="00922C2A" w:rsidRPr="00922C2A" w:rsidRDefault="00922C2A" w:rsidP="006F49C9">
            <w:pPr>
              <w:spacing w:before="0" w:after="0"/>
              <w:ind w:firstLineChars="100" w:firstLine="160"/>
              <w:jc w:val="left"/>
              <w:rPr>
                <w:rFonts w:eastAsia="Times New Roman"/>
                <w:noProof/>
                <w:color w:val="000000"/>
                <w:sz w:val="16"/>
                <w:szCs w:val="16"/>
              </w:rPr>
            </w:pPr>
            <w:r w:rsidRPr="00922C2A">
              <w:rPr>
                <w:noProof/>
                <w:color w:val="000000"/>
                <w:sz w:val="16"/>
              </w:rPr>
              <w:t>20 02 01</w:t>
            </w:r>
            <w:r w:rsidRPr="00922C2A">
              <w:rPr>
                <w:rFonts w:ascii="Arial Narrow" w:hAnsi="Arial Narrow"/>
                <w:noProof/>
                <w:color w:val="000000"/>
                <w:sz w:val="20"/>
              </w:rPr>
              <w:t xml:space="preserve"> </w:t>
            </w:r>
            <w:r w:rsidRPr="00922C2A">
              <w:rPr>
                <w:noProof/>
                <w:color w:val="000000"/>
                <w:sz w:val="16"/>
              </w:rPr>
              <w:t>(AC, END de l’«enveloppe globale»)</w:t>
            </w:r>
          </w:p>
        </w:tc>
        <w:tc>
          <w:tcPr>
            <w:tcW w:w="1031" w:type="dxa"/>
            <w:tcBorders>
              <w:top w:val="nil"/>
              <w:left w:val="nil"/>
              <w:bottom w:val="single" w:sz="8" w:space="0" w:color="auto"/>
              <w:right w:val="single" w:sz="8" w:space="0" w:color="auto"/>
            </w:tcBorders>
            <w:shd w:val="clear" w:color="000000" w:fill="D9D9D9"/>
            <w:vAlign w:val="center"/>
            <w:hideMark/>
          </w:tcPr>
          <w:p w14:paraId="24780ED7"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2CDE148A"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5EC6C214"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1</w:t>
            </w:r>
          </w:p>
        </w:tc>
        <w:tc>
          <w:tcPr>
            <w:tcW w:w="1031" w:type="dxa"/>
            <w:tcBorders>
              <w:top w:val="nil"/>
              <w:left w:val="nil"/>
              <w:bottom w:val="single" w:sz="8" w:space="0" w:color="auto"/>
              <w:right w:val="single" w:sz="8" w:space="0" w:color="auto"/>
            </w:tcBorders>
            <w:shd w:val="clear" w:color="000000" w:fill="D9D9D9"/>
            <w:vAlign w:val="center"/>
            <w:hideMark/>
          </w:tcPr>
          <w:p w14:paraId="0A107234"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2</w:t>
            </w:r>
          </w:p>
        </w:tc>
      </w:tr>
      <w:tr w:rsidR="00922C2A" w:rsidRPr="00922C2A" w14:paraId="45D5A6B5" w14:textId="77777777" w:rsidTr="006F49C9">
        <w:trPr>
          <w:trHeight w:val="327"/>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64B64B3" w14:textId="77777777" w:rsidR="00922C2A" w:rsidRPr="00922C2A" w:rsidRDefault="00922C2A" w:rsidP="006F49C9">
            <w:pPr>
              <w:spacing w:before="0" w:after="0"/>
              <w:ind w:firstLineChars="100" w:firstLine="160"/>
              <w:jc w:val="left"/>
              <w:rPr>
                <w:rFonts w:eastAsia="Times New Roman"/>
                <w:noProof/>
                <w:color w:val="000000"/>
                <w:sz w:val="16"/>
                <w:szCs w:val="16"/>
              </w:rPr>
            </w:pPr>
            <w:r w:rsidRPr="00922C2A">
              <w:rPr>
                <w:noProof/>
                <w:color w:val="000000"/>
                <w:sz w:val="16"/>
              </w:rPr>
              <w:t>20 02 03 (AC, AL, END et JPD dans les délégations de l’UE)</w:t>
            </w:r>
          </w:p>
        </w:tc>
        <w:tc>
          <w:tcPr>
            <w:tcW w:w="1031" w:type="dxa"/>
            <w:tcBorders>
              <w:top w:val="nil"/>
              <w:left w:val="nil"/>
              <w:bottom w:val="single" w:sz="8" w:space="0" w:color="auto"/>
              <w:right w:val="single" w:sz="8" w:space="0" w:color="auto"/>
            </w:tcBorders>
            <w:shd w:val="clear" w:color="000000" w:fill="D9D9D9"/>
            <w:vAlign w:val="center"/>
            <w:hideMark/>
          </w:tcPr>
          <w:p w14:paraId="6562F746"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20B526E0"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60A12F2C"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229B95FC"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r>
      <w:tr w:rsidR="00922C2A" w:rsidRPr="00922C2A" w14:paraId="6F5FE4D3" w14:textId="77777777" w:rsidTr="006F49C9">
        <w:trPr>
          <w:trHeight w:val="327"/>
        </w:trPr>
        <w:tc>
          <w:tcPr>
            <w:tcW w:w="1598" w:type="dxa"/>
            <w:vMerge w:val="restart"/>
            <w:tcBorders>
              <w:top w:val="nil"/>
              <w:left w:val="single" w:sz="8" w:space="0" w:color="auto"/>
              <w:bottom w:val="single" w:sz="8" w:space="0" w:color="auto"/>
              <w:right w:val="single" w:sz="8" w:space="0" w:color="auto"/>
            </w:tcBorders>
            <w:shd w:val="clear" w:color="auto" w:fill="auto"/>
            <w:vAlign w:val="center"/>
            <w:hideMark/>
          </w:tcPr>
          <w:p w14:paraId="30695681"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Ligne d’appui administratif</w:t>
            </w:r>
            <w:r w:rsidRPr="00922C2A">
              <w:rPr>
                <w:noProof/>
                <w:color w:val="000000"/>
                <w:sz w:val="16"/>
              </w:rPr>
              <w:cr/>
            </w:r>
            <w:r w:rsidRPr="00922C2A">
              <w:rPr>
                <w:noProof/>
                <w:color w:val="000000"/>
                <w:sz w:val="16"/>
              </w:rPr>
              <w:br/>
              <w:t>[XX.01.YY.YY] [2]</w:t>
            </w:r>
          </w:p>
        </w:tc>
        <w:tc>
          <w:tcPr>
            <w:tcW w:w="3932" w:type="dxa"/>
            <w:tcBorders>
              <w:top w:val="nil"/>
              <w:left w:val="nil"/>
              <w:bottom w:val="single" w:sz="8" w:space="0" w:color="auto"/>
              <w:right w:val="single" w:sz="8" w:space="0" w:color="auto"/>
            </w:tcBorders>
            <w:shd w:val="clear" w:color="auto" w:fill="auto"/>
            <w:vAlign w:val="center"/>
            <w:hideMark/>
          </w:tcPr>
          <w:p w14:paraId="54286A27" w14:textId="77777777" w:rsidR="00922C2A" w:rsidRPr="00922C2A" w:rsidRDefault="00922C2A" w:rsidP="006F49C9">
            <w:pPr>
              <w:spacing w:before="0" w:after="0"/>
              <w:ind w:firstLineChars="100" w:firstLine="160"/>
              <w:jc w:val="left"/>
              <w:rPr>
                <w:rFonts w:eastAsia="Times New Roman"/>
                <w:noProof/>
                <w:color w:val="000000"/>
                <w:sz w:val="16"/>
                <w:szCs w:val="16"/>
              </w:rPr>
            </w:pPr>
            <w:r w:rsidRPr="00922C2A">
              <w:rPr>
                <w:noProof/>
                <w:color w:val="000000"/>
                <w:sz w:val="16"/>
              </w:rPr>
              <w:t>- au siège</w:t>
            </w:r>
          </w:p>
        </w:tc>
        <w:tc>
          <w:tcPr>
            <w:tcW w:w="1031" w:type="dxa"/>
            <w:tcBorders>
              <w:top w:val="nil"/>
              <w:left w:val="nil"/>
              <w:bottom w:val="single" w:sz="8" w:space="0" w:color="auto"/>
              <w:right w:val="single" w:sz="8" w:space="0" w:color="auto"/>
            </w:tcBorders>
            <w:shd w:val="clear" w:color="000000" w:fill="D9D9D9"/>
            <w:vAlign w:val="center"/>
            <w:hideMark/>
          </w:tcPr>
          <w:p w14:paraId="2D7D4B76"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3AC4B9EC"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281D5439"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0834DF1C"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r>
      <w:tr w:rsidR="00922C2A" w:rsidRPr="00922C2A" w14:paraId="5978ED41" w14:textId="77777777" w:rsidTr="006F49C9">
        <w:trPr>
          <w:trHeight w:val="327"/>
        </w:trPr>
        <w:tc>
          <w:tcPr>
            <w:tcW w:w="1598" w:type="dxa"/>
            <w:vMerge/>
            <w:tcBorders>
              <w:top w:val="nil"/>
              <w:left w:val="single" w:sz="8" w:space="0" w:color="auto"/>
              <w:bottom w:val="single" w:sz="8" w:space="0" w:color="auto"/>
              <w:right w:val="single" w:sz="8" w:space="0" w:color="auto"/>
            </w:tcBorders>
            <w:vAlign w:val="center"/>
            <w:hideMark/>
          </w:tcPr>
          <w:p w14:paraId="4CDA6092" w14:textId="77777777" w:rsidR="00922C2A" w:rsidRPr="00922C2A" w:rsidRDefault="00922C2A" w:rsidP="006F49C9">
            <w:pPr>
              <w:spacing w:before="0" w:after="0"/>
              <w:jc w:val="left"/>
              <w:rPr>
                <w:rFonts w:eastAsia="Times New Roman"/>
                <w:noProof/>
                <w:color w:val="000000"/>
                <w:sz w:val="16"/>
                <w:szCs w:val="16"/>
                <w:lang w:eastAsia="en-IE"/>
              </w:rPr>
            </w:pPr>
          </w:p>
        </w:tc>
        <w:tc>
          <w:tcPr>
            <w:tcW w:w="3932" w:type="dxa"/>
            <w:tcBorders>
              <w:top w:val="nil"/>
              <w:left w:val="nil"/>
              <w:bottom w:val="single" w:sz="8" w:space="0" w:color="auto"/>
              <w:right w:val="single" w:sz="8" w:space="0" w:color="auto"/>
            </w:tcBorders>
            <w:shd w:val="clear" w:color="auto" w:fill="auto"/>
            <w:vAlign w:val="center"/>
            <w:hideMark/>
          </w:tcPr>
          <w:p w14:paraId="70B7ACDC" w14:textId="77777777" w:rsidR="00922C2A" w:rsidRPr="00922C2A" w:rsidRDefault="00922C2A" w:rsidP="006F49C9">
            <w:pPr>
              <w:spacing w:before="0" w:after="0"/>
              <w:ind w:firstLineChars="100" w:firstLine="160"/>
              <w:jc w:val="left"/>
              <w:rPr>
                <w:rFonts w:eastAsia="Times New Roman"/>
                <w:noProof/>
                <w:color w:val="000000"/>
                <w:sz w:val="16"/>
                <w:szCs w:val="16"/>
              </w:rPr>
            </w:pPr>
            <w:r w:rsidRPr="00922C2A">
              <w:rPr>
                <w:noProof/>
                <w:color w:val="000000"/>
                <w:sz w:val="16"/>
              </w:rPr>
              <w:t xml:space="preserve">- dans les délégations de l’UE </w:t>
            </w:r>
          </w:p>
        </w:tc>
        <w:tc>
          <w:tcPr>
            <w:tcW w:w="1031" w:type="dxa"/>
            <w:tcBorders>
              <w:top w:val="nil"/>
              <w:left w:val="nil"/>
              <w:bottom w:val="single" w:sz="8" w:space="0" w:color="auto"/>
              <w:right w:val="single" w:sz="8" w:space="0" w:color="auto"/>
            </w:tcBorders>
            <w:shd w:val="clear" w:color="000000" w:fill="D9D9D9"/>
            <w:vAlign w:val="center"/>
            <w:hideMark/>
          </w:tcPr>
          <w:p w14:paraId="516F5C5F"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38378A72"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45C6FA66"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7D8103BA"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r>
      <w:tr w:rsidR="00922C2A" w:rsidRPr="00922C2A" w14:paraId="1EB6ADF8" w14:textId="77777777" w:rsidTr="006F49C9">
        <w:trPr>
          <w:trHeight w:val="327"/>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F32CC07" w14:textId="77777777" w:rsidR="00922C2A" w:rsidRPr="00922C2A" w:rsidRDefault="00922C2A" w:rsidP="006F49C9">
            <w:pPr>
              <w:spacing w:before="0" w:after="0"/>
              <w:ind w:firstLineChars="100" w:firstLine="160"/>
              <w:jc w:val="left"/>
              <w:rPr>
                <w:rFonts w:eastAsia="Times New Roman"/>
                <w:noProof/>
                <w:color w:val="000000"/>
                <w:sz w:val="16"/>
                <w:szCs w:val="16"/>
              </w:rPr>
            </w:pPr>
            <w:r w:rsidRPr="00922C2A">
              <w:rPr>
                <w:noProof/>
                <w:color w:val="000000"/>
                <w:sz w:val="16"/>
              </w:rPr>
              <w:t>01 01 01 02</w:t>
            </w:r>
            <w:r w:rsidRPr="00922C2A">
              <w:rPr>
                <w:noProof/>
                <w:color w:val="000000"/>
              </w:rPr>
              <w:t xml:space="preserve"> </w:t>
            </w:r>
            <w:r w:rsidRPr="00922C2A">
              <w:rPr>
                <w:noProof/>
                <w:color w:val="000000"/>
                <w:sz w:val="16"/>
              </w:rPr>
              <w:t>(AC, END - Recherche indirecte)</w:t>
            </w:r>
          </w:p>
        </w:tc>
        <w:tc>
          <w:tcPr>
            <w:tcW w:w="1031" w:type="dxa"/>
            <w:tcBorders>
              <w:top w:val="nil"/>
              <w:left w:val="nil"/>
              <w:bottom w:val="single" w:sz="8" w:space="0" w:color="auto"/>
              <w:right w:val="single" w:sz="8" w:space="0" w:color="auto"/>
            </w:tcBorders>
            <w:shd w:val="clear" w:color="000000" w:fill="D9D9D9"/>
            <w:vAlign w:val="center"/>
            <w:hideMark/>
          </w:tcPr>
          <w:p w14:paraId="2AC9F439"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20AAF3B8"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5954987C"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1D6AA132"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r>
      <w:tr w:rsidR="00922C2A" w:rsidRPr="00922C2A" w14:paraId="1F4EFEEA" w14:textId="77777777" w:rsidTr="006F49C9">
        <w:trPr>
          <w:trHeight w:val="327"/>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13CBC6A" w14:textId="77777777" w:rsidR="00922C2A" w:rsidRPr="00922C2A" w:rsidRDefault="00922C2A" w:rsidP="006F49C9">
            <w:pPr>
              <w:spacing w:before="0" w:after="0"/>
              <w:ind w:firstLineChars="100" w:firstLine="160"/>
              <w:jc w:val="left"/>
              <w:rPr>
                <w:rFonts w:eastAsia="Times New Roman"/>
                <w:noProof/>
                <w:color w:val="000000"/>
                <w:sz w:val="16"/>
                <w:szCs w:val="16"/>
              </w:rPr>
            </w:pPr>
            <w:r w:rsidRPr="00922C2A">
              <w:rPr>
                <w:noProof/>
                <w:color w:val="000000"/>
                <w:sz w:val="16"/>
              </w:rPr>
              <w:t xml:space="preserve"> 01 01 01 12 (AC, END - Recherche directe)</w:t>
            </w:r>
          </w:p>
        </w:tc>
        <w:tc>
          <w:tcPr>
            <w:tcW w:w="1031" w:type="dxa"/>
            <w:tcBorders>
              <w:top w:val="nil"/>
              <w:left w:val="nil"/>
              <w:bottom w:val="single" w:sz="8" w:space="0" w:color="auto"/>
              <w:right w:val="single" w:sz="8" w:space="0" w:color="auto"/>
            </w:tcBorders>
            <w:shd w:val="clear" w:color="000000" w:fill="D9D9D9"/>
            <w:vAlign w:val="center"/>
            <w:hideMark/>
          </w:tcPr>
          <w:p w14:paraId="7215069F"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2BABF2FB"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7E954C57"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409E988C"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r>
      <w:tr w:rsidR="00922C2A" w:rsidRPr="00922C2A" w14:paraId="3AF19975" w14:textId="77777777" w:rsidTr="006F49C9">
        <w:trPr>
          <w:trHeight w:val="327"/>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496187F" w14:textId="77777777" w:rsidR="00922C2A" w:rsidRPr="00922C2A" w:rsidRDefault="00922C2A" w:rsidP="006F49C9">
            <w:pPr>
              <w:spacing w:before="0" w:after="0"/>
              <w:ind w:firstLineChars="100" w:firstLine="160"/>
              <w:jc w:val="left"/>
              <w:rPr>
                <w:rFonts w:eastAsia="Times New Roman"/>
                <w:noProof/>
                <w:color w:val="000000"/>
                <w:sz w:val="16"/>
                <w:szCs w:val="16"/>
              </w:rPr>
            </w:pPr>
            <w:r w:rsidRPr="00922C2A">
              <w:rPr>
                <w:noProof/>
                <w:color w:val="000000"/>
                <w:sz w:val="16"/>
              </w:rPr>
              <w:t>Autres lignes budgétaires (à préciser) - Rubrique 7</w:t>
            </w:r>
          </w:p>
        </w:tc>
        <w:tc>
          <w:tcPr>
            <w:tcW w:w="1031" w:type="dxa"/>
            <w:tcBorders>
              <w:top w:val="nil"/>
              <w:left w:val="nil"/>
              <w:bottom w:val="single" w:sz="8" w:space="0" w:color="auto"/>
              <w:right w:val="single" w:sz="8" w:space="0" w:color="auto"/>
            </w:tcBorders>
            <w:shd w:val="clear" w:color="000000" w:fill="D9D9D9"/>
            <w:vAlign w:val="center"/>
            <w:hideMark/>
          </w:tcPr>
          <w:p w14:paraId="7D369088"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3153ADCA"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723EE5F0"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720813EF"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r>
      <w:tr w:rsidR="00922C2A" w:rsidRPr="00922C2A" w14:paraId="21EACBD2" w14:textId="77777777" w:rsidTr="006F49C9">
        <w:trPr>
          <w:trHeight w:val="311"/>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198EB0E" w14:textId="77777777" w:rsidR="00922C2A" w:rsidRPr="00922C2A" w:rsidRDefault="00922C2A" w:rsidP="006F49C9">
            <w:pPr>
              <w:spacing w:before="0" w:after="0"/>
              <w:ind w:firstLineChars="100" w:firstLine="160"/>
              <w:jc w:val="left"/>
              <w:rPr>
                <w:rFonts w:eastAsia="Times New Roman"/>
                <w:noProof/>
                <w:color w:val="000000"/>
                <w:sz w:val="16"/>
                <w:szCs w:val="16"/>
              </w:rPr>
            </w:pPr>
            <w:r w:rsidRPr="00922C2A">
              <w:rPr>
                <w:noProof/>
                <w:color w:val="000000"/>
                <w:sz w:val="16"/>
              </w:rPr>
              <w:t>Autres lignes budgétaires (à préciser) - Hors rubrique 7</w:t>
            </w:r>
          </w:p>
        </w:tc>
        <w:tc>
          <w:tcPr>
            <w:tcW w:w="1031" w:type="dxa"/>
            <w:tcBorders>
              <w:top w:val="nil"/>
              <w:left w:val="nil"/>
              <w:bottom w:val="single" w:sz="8" w:space="0" w:color="auto"/>
              <w:right w:val="single" w:sz="8" w:space="0" w:color="auto"/>
            </w:tcBorders>
            <w:shd w:val="clear" w:color="000000" w:fill="D9D9D9"/>
            <w:vAlign w:val="center"/>
            <w:hideMark/>
          </w:tcPr>
          <w:p w14:paraId="427E51DA"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0316E2E7"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200B6F11"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71B0AD07" w14:textId="77777777" w:rsidR="00922C2A" w:rsidRPr="00922C2A" w:rsidRDefault="00922C2A" w:rsidP="006F49C9">
            <w:pPr>
              <w:spacing w:before="0" w:after="0"/>
              <w:jc w:val="center"/>
              <w:rPr>
                <w:rFonts w:eastAsia="Times New Roman"/>
                <w:noProof/>
                <w:color w:val="000000"/>
                <w:sz w:val="16"/>
                <w:szCs w:val="16"/>
              </w:rPr>
            </w:pPr>
            <w:r w:rsidRPr="00922C2A">
              <w:rPr>
                <w:noProof/>
                <w:color w:val="000000"/>
                <w:sz w:val="16"/>
              </w:rPr>
              <w:t>0</w:t>
            </w:r>
          </w:p>
        </w:tc>
      </w:tr>
      <w:tr w:rsidR="00922C2A" w:rsidRPr="00922C2A" w14:paraId="434A9F41" w14:textId="77777777" w:rsidTr="006F49C9">
        <w:trPr>
          <w:trHeight w:val="327"/>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79A0EE1" w14:textId="77777777" w:rsidR="00922C2A" w:rsidRPr="00922C2A" w:rsidRDefault="00922C2A" w:rsidP="006F49C9">
            <w:pPr>
              <w:spacing w:before="0" w:after="0"/>
              <w:ind w:firstLineChars="100" w:firstLine="160"/>
              <w:jc w:val="left"/>
              <w:rPr>
                <w:rFonts w:eastAsia="Times New Roman"/>
                <w:b/>
                <w:bCs/>
                <w:noProof/>
                <w:color w:val="000000"/>
                <w:sz w:val="16"/>
                <w:szCs w:val="16"/>
              </w:rPr>
            </w:pPr>
            <w:r w:rsidRPr="00922C2A">
              <w:rPr>
                <w:b/>
                <w:noProof/>
                <w:color w:val="000000"/>
                <w:sz w:val="16"/>
              </w:rPr>
              <w:t>TOTAL</w:t>
            </w:r>
          </w:p>
        </w:tc>
        <w:tc>
          <w:tcPr>
            <w:tcW w:w="1031" w:type="dxa"/>
            <w:tcBorders>
              <w:top w:val="nil"/>
              <w:left w:val="nil"/>
              <w:bottom w:val="single" w:sz="8" w:space="0" w:color="auto"/>
              <w:right w:val="single" w:sz="8" w:space="0" w:color="auto"/>
            </w:tcBorders>
            <w:shd w:val="clear" w:color="000000" w:fill="D9D9D9"/>
            <w:vAlign w:val="center"/>
            <w:hideMark/>
          </w:tcPr>
          <w:p w14:paraId="7C39B489" w14:textId="77777777" w:rsidR="00922C2A" w:rsidRPr="00922C2A" w:rsidRDefault="00922C2A" w:rsidP="006F49C9">
            <w:pPr>
              <w:spacing w:before="0" w:after="0"/>
              <w:jc w:val="center"/>
              <w:rPr>
                <w:rFonts w:eastAsia="Times New Roman"/>
                <w:b/>
                <w:bCs/>
                <w:noProof/>
                <w:color w:val="000000"/>
                <w:sz w:val="16"/>
                <w:szCs w:val="16"/>
              </w:rPr>
            </w:pPr>
            <w:r w:rsidRPr="00922C2A">
              <w:rPr>
                <w:b/>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4CCFF410" w14:textId="77777777" w:rsidR="00922C2A" w:rsidRPr="00922C2A" w:rsidRDefault="00922C2A" w:rsidP="006F49C9">
            <w:pPr>
              <w:spacing w:before="0" w:after="0"/>
              <w:jc w:val="center"/>
              <w:rPr>
                <w:rFonts w:eastAsia="Times New Roman"/>
                <w:b/>
                <w:bCs/>
                <w:noProof/>
                <w:color w:val="000000"/>
                <w:sz w:val="16"/>
                <w:szCs w:val="16"/>
              </w:rPr>
            </w:pPr>
            <w:r w:rsidRPr="00922C2A">
              <w:rPr>
                <w:b/>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60D2F33C" w14:textId="77777777" w:rsidR="00922C2A" w:rsidRPr="00922C2A" w:rsidRDefault="00922C2A" w:rsidP="006F49C9">
            <w:pPr>
              <w:spacing w:before="0" w:after="0"/>
              <w:jc w:val="center"/>
              <w:rPr>
                <w:rFonts w:eastAsia="Times New Roman"/>
                <w:b/>
                <w:bCs/>
                <w:noProof/>
                <w:color w:val="000000"/>
                <w:sz w:val="16"/>
                <w:szCs w:val="16"/>
              </w:rPr>
            </w:pPr>
            <w:r w:rsidRPr="00922C2A">
              <w:rPr>
                <w:b/>
                <w:noProof/>
                <w:color w:val="000000"/>
                <w:sz w:val="16"/>
              </w:rPr>
              <w:t>10</w:t>
            </w:r>
          </w:p>
        </w:tc>
        <w:tc>
          <w:tcPr>
            <w:tcW w:w="1031" w:type="dxa"/>
            <w:tcBorders>
              <w:top w:val="nil"/>
              <w:left w:val="nil"/>
              <w:bottom w:val="single" w:sz="8" w:space="0" w:color="auto"/>
              <w:right w:val="single" w:sz="8" w:space="0" w:color="auto"/>
            </w:tcBorders>
            <w:shd w:val="clear" w:color="000000" w:fill="D9D9D9"/>
            <w:vAlign w:val="center"/>
            <w:hideMark/>
          </w:tcPr>
          <w:p w14:paraId="17CA3471" w14:textId="77777777" w:rsidR="00922C2A" w:rsidRPr="00922C2A" w:rsidRDefault="00922C2A" w:rsidP="006F49C9">
            <w:pPr>
              <w:spacing w:before="0" w:after="0"/>
              <w:jc w:val="center"/>
              <w:rPr>
                <w:rFonts w:eastAsia="Times New Roman"/>
                <w:b/>
                <w:bCs/>
                <w:noProof/>
                <w:color w:val="000000"/>
                <w:sz w:val="16"/>
                <w:szCs w:val="16"/>
              </w:rPr>
            </w:pPr>
            <w:r w:rsidRPr="00922C2A">
              <w:rPr>
                <w:b/>
                <w:noProof/>
                <w:color w:val="000000"/>
                <w:sz w:val="16"/>
              </w:rPr>
              <w:t>20</w:t>
            </w:r>
          </w:p>
        </w:tc>
      </w:tr>
    </w:tbl>
    <w:p w14:paraId="20CC500A" w14:textId="77777777" w:rsidR="00922C2A" w:rsidRPr="00922C2A" w:rsidRDefault="00922C2A" w:rsidP="00922C2A">
      <w:pPr>
        <w:pStyle w:val="Text1"/>
        <w:ind w:left="1215"/>
        <w:rPr>
          <w:noProof/>
        </w:rPr>
      </w:pPr>
    </w:p>
    <w:p w14:paraId="592757CA" w14:textId="77777777" w:rsidR="00922C2A" w:rsidRPr="00922C2A" w:rsidRDefault="00922C2A" w:rsidP="00922C2A">
      <w:pPr>
        <w:pStyle w:val="Text1"/>
        <w:ind w:left="-426"/>
        <w:rPr>
          <w:noProof/>
          <w:color w:val="000000" w:themeColor="text1"/>
        </w:rPr>
      </w:pPr>
      <w:bookmarkStart w:id="180" w:name="_Hlk167692843"/>
      <w:bookmarkEnd w:id="175"/>
      <w:r w:rsidRPr="00922C2A">
        <w:rPr>
          <w:noProof/>
          <w:color w:val="000000" w:themeColor="text1"/>
        </w:rPr>
        <w:t xml:space="preserve">Personnel nécessaire à la mise en œuvre de la proposition (en ETP):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922C2A" w:rsidRPr="00922C2A" w14:paraId="6C4A8E66" w14:textId="77777777" w:rsidTr="006F49C9">
        <w:trPr>
          <w:trHeight w:val="300"/>
        </w:trPr>
        <w:tc>
          <w:tcPr>
            <w:tcW w:w="1845" w:type="dxa"/>
          </w:tcPr>
          <w:p w14:paraId="555FB726" w14:textId="77777777" w:rsidR="00922C2A" w:rsidRPr="00922C2A" w:rsidRDefault="00922C2A" w:rsidP="006F49C9">
            <w:pPr>
              <w:pStyle w:val="Text1"/>
              <w:ind w:left="0"/>
              <w:jc w:val="center"/>
              <w:rPr>
                <w:b/>
                <w:bCs/>
                <w:noProof/>
                <w:sz w:val="22"/>
                <w:szCs w:val="28"/>
              </w:rPr>
            </w:pPr>
          </w:p>
        </w:tc>
        <w:tc>
          <w:tcPr>
            <w:tcW w:w="2031" w:type="dxa"/>
          </w:tcPr>
          <w:p w14:paraId="540213AE" w14:textId="77777777" w:rsidR="00922C2A" w:rsidRPr="00922C2A" w:rsidRDefault="00922C2A" w:rsidP="006F49C9">
            <w:pPr>
              <w:pStyle w:val="Text1"/>
              <w:ind w:left="0"/>
              <w:jc w:val="center"/>
              <w:rPr>
                <w:b/>
                <w:bCs/>
                <w:noProof/>
                <w:sz w:val="22"/>
              </w:rPr>
            </w:pPr>
            <w:r w:rsidRPr="00922C2A">
              <w:rPr>
                <w:b/>
                <w:noProof/>
                <w:sz w:val="22"/>
              </w:rPr>
              <w:t xml:space="preserve">À couvrir par le personnel actuellement disponible dans les services de la Commission </w:t>
            </w:r>
          </w:p>
        </w:tc>
        <w:tc>
          <w:tcPr>
            <w:tcW w:w="5611" w:type="dxa"/>
            <w:gridSpan w:val="3"/>
          </w:tcPr>
          <w:p w14:paraId="6EB9E31C" w14:textId="77777777" w:rsidR="00922C2A" w:rsidRPr="00922C2A" w:rsidRDefault="00922C2A" w:rsidP="006F49C9">
            <w:pPr>
              <w:pStyle w:val="Text1"/>
              <w:ind w:left="0"/>
              <w:jc w:val="center"/>
              <w:rPr>
                <w:b/>
                <w:bCs/>
                <w:noProof/>
                <w:sz w:val="22"/>
              </w:rPr>
            </w:pPr>
            <w:r w:rsidRPr="00922C2A">
              <w:rPr>
                <w:b/>
                <w:noProof/>
                <w:sz w:val="22"/>
              </w:rPr>
              <w:t>Personnel supplémentaire exceptionnel*</w:t>
            </w:r>
          </w:p>
        </w:tc>
      </w:tr>
      <w:tr w:rsidR="00922C2A" w:rsidRPr="00922C2A" w14:paraId="5FE571B9" w14:textId="77777777" w:rsidTr="006F49C9">
        <w:trPr>
          <w:trHeight w:val="300"/>
        </w:trPr>
        <w:tc>
          <w:tcPr>
            <w:tcW w:w="1845" w:type="dxa"/>
          </w:tcPr>
          <w:p w14:paraId="0345C82F" w14:textId="77777777" w:rsidR="00922C2A" w:rsidRPr="00922C2A" w:rsidRDefault="00922C2A" w:rsidP="006F49C9">
            <w:pPr>
              <w:pStyle w:val="Text1"/>
              <w:ind w:left="0"/>
              <w:jc w:val="center"/>
              <w:rPr>
                <w:b/>
                <w:bCs/>
                <w:noProof/>
                <w:sz w:val="22"/>
                <w:szCs w:val="28"/>
              </w:rPr>
            </w:pPr>
          </w:p>
        </w:tc>
        <w:tc>
          <w:tcPr>
            <w:tcW w:w="2031" w:type="dxa"/>
          </w:tcPr>
          <w:p w14:paraId="271D608F" w14:textId="77777777" w:rsidR="00922C2A" w:rsidRPr="00922C2A" w:rsidRDefault="00922C2A" w:rsidP="006F49C9">
            <w:pPr>
              <w:pStyle w:val="Text1"/>
              <w:ind w:left="0"/>
              <w:jc w:val="center"/>
              <w:rPr>
                <w:b/>
                <w:bCs/>
                <w:noProof/>
                <w:sz w:val="22"/>
                <w:szCs w:val="28"/>
              </w:rPr>
            </w:pPr>
          </w:p>
        </w:tc>
        <w:tc>
          <w:tcPr>
            <w:tcW w:w="1925" w:type="dxa"/>
          </w:tcPr>
          <w:p w14:paraId="2D0E0B3F" w14:textId="77777777" w:rsidR="00922C2A" w:rsidRPr="00922C2A" w:rsidRDefault="00922C2A" w:rsidP="006F49C9">
            <w:pPr>
              <w:pStyle w:val="Text1"/>
              <w:ind w:left="0"/>
              <w:jc w:val="center"/>
              <w:rPr>
                <w:b/>
                <w:bCs/>
                <w:noProof/>
                <w:sz w:val="22"/>
              </w:rPr>
            </w:pPr>
            <w:r w:rsidRPr="00922C2A">
              <w:rPr>
                <w:b/>
                <w:noProof/>
                <w:sz w:val="22"/>
              </w:rPr>
              <w:t>À financer sur la rubrique 7 ou la recherche</w:t>
            </w:r>
          </w:p>
        </w:tc>
        <w:tc>
          <w:tcPr>
            <w:tcW w:w="1938" w:type="dxa"/>
          </w:tcPr>
          <w:p w14:paraId="0ED22A56" w14:textId="77777777" w:rsidR="00922C2A" w:rsidRPr="00922C2A" w:rsidRDefault="00922C2A" w:rsidP="006F49C9">
            <w:pPr>
              <w:pStyle w:val="Text1"/>
              <w:ind w:left="0"/>
              <w:jc w:val="center"/>
              <w:rPr>
                <w:b/>
                <w:bCs/>
                <w:noProof/>
                <w:sz w:val="22"/>
                <w:szCs w:val="28"/>
              </w:rPr>
            </w:pPr>
            <w:r w:rsidRPr="00922C2A">
              <w:rPr>
                <w:b/>
                <w:noProof/>
                <w:sz w:val="22"/>
              </w:rPr>
              <w:t>À financer sur la ligne BA</w:t>
            </w:r>
          </w:p>
        </w:tc>
        <w:tc>
          <w:tcPr>
            <w:tcW w:w="1748" w:type="dxa"/>
          </w:tcPr>
          <w:p w14:paraId="2FAECC6E" w14:textId="77777777" w:rsidR="00922C2A" w:rsidRPr="00922C2A" w:rsidRDefault="00922C2A" w:rsidP="006F49C9">
            <w:pPr>
              <w:pStyle w:val="Text1"/>
              <w:ind w:left="0"/>
              <w:jc w:val="center"/>
              <w:rPr>
                <w:b/>
                <w:bCs/>
                <w:noProof/>
                <w:sz w:val="22"/>
                <w:szCs w:val="28"/>
              </w:rPr>
            </w:pPr>
            <w:r w:rsidRPr="00922C2A">
              <w:rPr>
                <w:b/>
                <w:noProof/>
                <w:sz w:val="22"/>
              </w:rPr>
              <w:t>À financer sur les redevances</w:t>
            </w:r>
          </w:p>
        </w:tc>
      </w:tr>
      <w:tr w:rsidR="00922C2A" w:rsidRPr="00922C2A" w14:paraId="1391E879" w14:textId="77777777" w:rsidTr="006F49C9">
        <w:trPr>
          <w:trHeight w:val="300"/>
        </w:trPr>
        <w:tc>
          <w:tcPr>
            <w:tcW w:w="1845" w:type="dxa"/>
          </w:tcPr>
          <w:p w14:paraId="0048B747" w14:textId="77777777" w:rsidR="00922C2A" w:rsidRPr="00922C2A" w:rsidRDefault="00922C2A" w:rsidP="006F49C9">
            <w:pPr>
              <w:pStyle w:val="Text1"/>
              <w:ind w:left="0"/>
              <w:rPr>
                <w:noProof/>
                <w:sz w:val="22"/>
                <w:szCs w:val="28"/>
              </w:rPr>
            </w:pPr>
            <w:r w:rsidRPr="00922C2A">
              <w:rPr>
                <w:noProof/>
                <w:sz w:val="22"/>
              </w:rPr>
              <w:t>Emplois du tableau des effectifs</w:t>
            </w:r>
          </w:p>
        </w:tc>
        <w:tc>
          <w:tcPr>
            <w:tcW w:w="2031" w:type="dxa"/>
          </w:tcPr>
          <w:p w14:paraId="00ABD5F2" w14:textId="77777777" w:rsidR="00922C2A" w:rsidRPr="00922C2A" w:rsidRDefault="00922C2A" w:rsidP="006F49C9">
            <w:pPr>
              <w:pStyle w:val="Text1"/>
              <w:ind w:left="0"/>
              <w:rPr>
                <w:noProof/>
                <w:sz w:val="22"/>
                <w:szCs w:val="28"/>
              </w:rPr>
            </w:pPr>
            <w:r w:rsidRPr="00922C2A">
              <w:rPr>
                <w:noProof/>
                <w:sz w:val="22"/>
              </w:rPr>
              <w:t>2026: 9 emplois</w:t>
            </w:r>
          </w:p>
          <w:p w14:paraId="5B3B4C67" w14:textId="77777777" w:rsidR="00922C2A" w:rsidRPr="00922C2A" w:rsidRDefault="00922C2A" w:rsidP="006F49C9">
            <w:pPr>
              <w:pStyle w:val="Text1"/>
              <w:ind w:left="0"/>
              <w:rPr>
                <w:noProof/>
                <w:sz w:val="22"/>
                <w:szCs w:val="28"/>
              </w:rPr>
            </w:pPr>
            <w:r w:rsidRPr="00922C2A">
              <w:rPr>
                <w:noProof/>
                <w:sz w:val="22"/>
              </w:rPr>
              <w:t>2027: 18 emplois</w:t>
            </w:r>
          </w:p>
          <w:p w14:paraId="0CEEE912" w14:textId="77777777" w:rsidR="00922C2A" w:rsidRPr="00922C2A" w:rsidRDefault="00922C2A" w:rsidP="006F49C9">
            <w:pPr>
              <w:pStyle w:val="Text1"/>
              <w:ind w:left="0"/>
              <w:rPr>
                <w:noProof/>
                <w:sz w:val="22"/>
                <w:szCs w:val="28"/>
              </w:rPr>
            </w:pPr>
            <w:r w:rsidRPr="00922C2A">
              <w:rPr>
                <w:noProof/>
                <w:sz w:val="22"/>
              </w:rPr>
              <w:t>Post-CFP: 18 emplois</w:t>
            </w:r>
          </w:p>
          <w:p w14:paraId="44700193" w14:textId="77777777" w:rsidR="00922C2A" w:rsidRPr="00922C2A" w:rsidRDefault="00922C2A" w:rsidP="006F49C9">
            <w:pPr>
              <w:pStyle w:val="Text1"/>
              <w:ind w:left="0"/>
              <w:rPr>
                <w:noProof/>
                <w:sz w:val="22"/>
                <w:szCs w:val="28"/>
              </w:rPr>
            </w:pPr>
          </w:p>
        </w:tc>
        <w:tc>
          <w:tcPr>
            <w:tcW w:w="1925" w:type="dxa"/>
          </w:tcPr>
          <w:p w14:paraId="17F93A6C" w14:textId="77777777" w:rsidR="00922C2A" w:rsidRPr="00922C2A" w:rsidRDefault="00922C2A" w:rsidP="006F49C9">
            <w:pPr>
              <w:pStyle w:val="Text1"/>
              <w:ind w:left="0"/>
              <w:rPr>
                <w:noProof/>
                <w:sz w:val="22"/>
                <w:szCs w:val="28"/>
              </w:rPr>
            </w:pPr>
          </w:p>
        </w:tc>
        <w:tc>
          <w:tcPr>
            <w:tcW w:w="1938" w:type="dxa"/>
          </w:tcPr>
          <w:p w14:paraId="4F4308CA" w14:textId="77777777" w:rsidR="00922C2A" w:rsidRPr="00922C2A" w:rsidRDefault="00922C2A" w:rsidP="006F49C9">
            <w:pPr>
              <w:pStyle w:val="Text1"/>
              <w:ind w:left="0"/>
              <w:rPr>
                <w:noProof/>
                <w:sz w:val="22"/>
                <w:szCs w:val="28"/>
              </w:rPr>
            </w:pPr>
            <w:r w:rsidRPr="00922C2A">
              <w:rPr>
                <w:noProof/>
                <w:sz w:val="22"/>
              </w:rPr>
              <w:t>s.o.</w:t>
            </w:r>
          </w:p>
        </w:tc>
        <w:tc>
          <w:tcPr>
            <w:tcW w:w="1748" w:type="dxa"/>
          </w:tcPr>
          <w:p w14:paraId="59B51921" w14:textId="77777777" w:rsidR="00922C2A" w:rsidRPr="00922C2A" w:rsidRDefault="00922C2A" w:rsidP="006F49C9">
            <w:pPr>
              <w:pStyle w:val="Text1"/>
              <w:ind w:left="0"/>
              <w:rPr>
                <w:noProof/>
                <w:sz w:val="22"/>
                <w:szCs w:val="28"/>
              </w:rPr>
            </w:pPr>
          </w:p>
        </w:tc>
      </w:tr>
      <w:tr w:rsidR="00922C2A" w:rsidRPr="00922C2A" w14:paraId="1F8674B0" w14:textId="77777777" w:rsidTr="006F49C9">
        <w:trPr>
          <w:trHeight w:val="300"/>
        </w:trPr>
        <w:tc>
          <w:tcPr>
            <w:tcW w:w="1845" w:type="dxa"/>
          </w:tcPr>
          <w:p w14:paraId="5F90297F" w14:textId="77777777" w:rsidR="00922C2A" w:rsidRPr="00922C2A" w:rsidRDefault="00922C2A" w:rsidP="006F49C9">
            <w:pPr>
              <w:pStyle w:val="Text1"/>
              <w:ind w:left="0"/>
              <w:rPr>
                <w:noProof/>
                <w:sz w:val="22"/>
                <w:szCs w:val="28"/>
              </w:rPr>
            </w:pPr>
            <w:r w:rsidRPr="00922C2A">
              <w:rPr>
                <w:noProof/>
                <w:sz w:val="22"/>
              </w:rPr>
              <w:t>Personnel externe (AC, END, INT)</w:t>
            </w:r>
          </w:p>
        </w:tc>
        <w:tc>
          <w:tcPr>
            <w:tcW w:w="2031" w:type="dxa"/>
          </w:tcPr>
          <w:p w14:paraId="3894C82D" w14:textId="77777777" w:rsidR="00922C2A" w:rsidRPr="00922C2A" w:rsidRDefault="00922C2A" w:rsidP="006F49C9">
            <w:pPr>
              <w:pStyle w:val="Text1"/>
              <w:ind w:left="0"/>
              <w:rPr>
                <w:noProof/>
                <w:sz w:val="22"/>
                <w:szCs w:val="28"/>
              </w:rPr>
            </w:pPr>
            <w:r w:rsidRPr="00922C2A">
              <w:rPr>
                <w:noProof/>
                <w:sz w:val="22"/>
              </w:rPr>
              <w:t>2026: 1 AC</w:t>
            </w:r>
          </w:p>
          <w:p w14:paraId="3ED0346C" w14:textId="77777777" w:rsidR="00922C2A" w:rsidRPr="00922C2A" w:rsidRDefault="00922C2A" w:rsidP="006F49C9">
            <w:pPr>
              <w:pStyle w:val="Text1"/>
              <w:ind w:left="0"/>
              <w:rPr>
                <w:noProof/>
                <w:sz w:val="22"/>
                <w:szCs w:val="28"/>
              </w:rPr>
            </w:pPr>
            <w:r w:rsidRPr="00922C2A">
              <w:rPr>
                <w:noProof/>
                <w:sz w:val="22"/>
              </w:rPr>
              <w:t>2027: 2 AC</w:t>
            </w:r>
          </w:p>
          <w:p w14:paraId="5477F76A" w14:textId="77777777" w:rsidR="00922C2A" w:rsidRPr="00922C2A" w:rsidRDefault="00922C2A" w:rsidP="006F49C9">
            <w:pPr>
              <w:pStyle w:val="Text1"/>
              <w:ind w:left="0"/>
              <w:rPr>
                <w:noProof/>
                <w:sz w:val="22"/>
                <w:szCs w:val="28"/>
              </w:rPr>
            </w:pPr>
            <w:r w:rsidRPr="00922C2A">
              <w:rPr>
                <w:noProof/>
                <w:sz w:val="22"/>
              </w:rPr>
              <w:t>Post-CFP: 2 AC</w:t>
            </w:r>
          </w:p>
          <w:p w14:paraId="195B71BB" w14:textId="77777777" w:rsidR="00922C2A" w:rsidRPr="00922C2A" w:rsidRDefault="00922C2A" w:rsidP="006F49C9">
            <w:pPr>
              <w:pStyle w:val="Text1"/>
              <w:ind w:left="0"/>
              <w:rPr>
                <w:noProof/>
                <w:sz w:val="22"/>
                <w:szCs w:val="28"/>
              </w:rPr>
            </w:pPr>
          </w:p>
        </w:tc>
        <w:tc>
          <w:tcPr>
            <w:tcW w:w="1925" w:type="dxa"/>
          </w:tcPr>
          <w:p w14:paraId="6426CCB4" w14:textId="77777777" w:rsidR="00922C2A" w:rsidRPr="00922C2A" w:rsidRDefault="00922C2A" w:rsidP="006F49C9">
            <w:pPr>
              <w:pStyle w:val="Text1"/>
              <w:ind w:left="0"/>
              <w:rPr>
                <w:noProof/>
                <w:sz w:val="22"/>
                <w:szCs w:val="28"/>
              </w:rPr>
            </w:pPr>
          </w:p>
        </w:tc>
        <w:tc>
          <w:tcPr>
            <w:tcW w:w="1938" w:type="dxa"/>
          </w:tcPr>
          <w:p w14:paraId="3F87F0F4" w14:textId="77777777" w:rsidR="00922C2A" w:rsidRPr="00922C2A" w:rsidRDefault="00922C2A" w:rsidP="006F49C9">
            <w:pPr>
              <w:pStyle w:val="Text1"/>
              <w:ind w:left="0"/>
              <w:rPr>
                <w:noProof/>
                <w:sz w:val="22"/>
                <w:szCs w:val="28"/>
              </w:rPr>
            </w:pPr>
          </w:p>
        </w:tc>
        <w:tc>
          <w:tcPr>
            <w:tcW w:w="1748" w:type="dxa"/>
          </w:tcPr>
          <w:p w14:paraId="5D339921" w14:textId="77777777" w:rsidR="00922C2A" w:rsidRPr="00922C2A" w:rsidRDefault="00922C2A" w:rsidP="006F49C9">
            <w:pPr>
              <w:pStyle w:val="Text1"/>
              <w:ind w:left="0"/>
              <w:rPr>
                <w:noProof/>
                <w:sz w:val="22"/>
                <w:szCs w:val="28"/>
              </w:rPr>
            </w:pPr>
          </w:p>
        </w:tc>
      </w:tr>
    </w:tbl>
    <w:p w14:paraId="0437346C" w14:textId="77777777" w:rsidR="00922C2A" w:rsidRPr="00922C2A" w:rsidRDefault="00922C2A" w:rsidP="00922C2A">
      <w:pPr>
        <w:pStyle w:val="Text1"/>
        <w:ind w:left="-426" w:right="-427"/>
        <w:rPr>
          <w:noProof/>
        </w:rPr>
      </w:pPr>
    </w:p>
    <w:p w14:paraId="54E2B45A" w14:textId="77777777" w:rsidR="00922C2A" w:rsidRPr="00922C2A" w:rsidRDefault="00922C2A" w:rsidP="00922C2A">
      <w:pPr>
        <w:pStyle w:val="ManualHeading3"/>
        <w:rPr>
          <w:noProof/>
        </w:rPr>
      </w:pPr>
      <w:r w:rsidRPr="00922C2A">
        <w:rPr>
          <w:noProof/>
        </w:rPr>
        <w:t>3.2.4.4.</w:t>
      </w:r>
      <w:r w:rsidRPr="00922C2A">
        <w:rPr>
          <w:noProof/>
        </w:rPr>
        <w:tab/>
        <w:t>Total des besoins en ressources humaines de l’EMA</w:t>
      </w:r>
    </w:p>
    <w:p w14:paraId="182DC57A" w14:textId="77777777" w:rsidR="00922C2A" w:rsidRPr="00922C2A" w:rsidRDefault="00922C2A" w:rsidP="00922C2A">
      <w:pPr>
        <w:pStyle w:val="Text1"/>
        <w:rPr>
          <w:noProof/>
        </w:rPr>
      </w:pPr>
    </w:p>
    <w:tbl>
      <w:tblPr>
        <w:tblW w:w="6588" w:type="dxa"/>
        <w:tblInd w:w="118" w:type="dxa"/>
        <w:tblLook w:val="04A0" w:firstRow="1" w:lastRow="0" w:firstColumn="1" w:lastColumn="0" w:noHBand="0" w:noVBand="1"/>
      </w:tblPr>
      <w:tblGrid>
        <w:gridCol w:w="2480"/>
        <w:gridCol w:w="759"/>
        <w:gridCol w:w="759"/>
        <w:gridCol w:w="759"/>
        <w:gridCol w:w="759"/>
        <w:gridCol w:w="1072"/>
      </w:tblGrid>
      <w:tr w:rsidR="00922C2A" w:rsidRPr="00922C2A" w14:paraId="76B1606A" w14:textId="77777777" w:rsidTr="006F49C9">
        <w:trPr>
          <w:trHeight w:val="281"/>
        </w:trPr>
        <w:tc>
          <w:tcPr>
            <w:tcW w:w="262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EFD9890" w14:textId="77777777" w:rsidR="00922C2A" w:rsidRPr="00922C2A" w:rsidRDefault="00922C2A" w:rsidP="006F49C9">
            <w:pPr>
              <w:spacing w:before="0" w:after="0"/>
              <w:jc w:val="center"/>
              <w:rPr>
                <w:rFonts w:eastAsia="Times New Roman"/>
                <w:b/>
                <w:bCs/>
                <w:noProof/>
                <w:color w:val="444444"/>
                <w:sz w:val="20"/>
                <w:szCs w:val="20"/>
              </w:rPr>
            </w:pPr>
            <w:r w:rsidRPr="00922C2A">
              <w:rPr>
                <w:b/>
                <w:noProof/>
                <w:color w:val="444444"/>
                <w:sz w:val="20"/>
              </w:rPr>
              <w:t>EMA</w:t>
            </w:r>
          </w:p>
        </w:tc>
        <w:tc>
          <w:tcPr>
            <w:tcW w:w="761" w:type="dxa"/>
            <w:tcBorders>
              <w:top w:val="single" w:sz="8" w:space="0" w:color="auto"/>
              <w:left w:val="nil"/>
              <w:bottom w:val="nil"/>
              <w:right w:val="single" w:sz="8" w:space="0" w:color="auto"/>
            </w:tcBorders>
            <w:shd w:val="clear" w:color="000000" w:fill="FFFFFF"/>
            <w:vAlign w:val="bottom"/>
            <w:hideMark/>
          </w:tcPr>
          <w:p w14:paraId="51D28B7A"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c>
          <w:tcPr>
            <w:tcW w:w="761" w:type="dxa"/>
            <w:tcBorders>
              <w:top w:val="single" w:sz="8" w:space="0" w:color="auto"/>
              <w:left w:val="nil"/>
              <w:bottom w:val="nil"/>
              <w:right w:val="single" w:sz="8" w:space="0" w:color="auto"/>
            </w:tcBorders>
            <w:shd w:val="clear" w:color="000000" w:fill="FFFFFF"/>
            <w:vAlign w:val="bottom"/>
            <w:hideMark/>
          </w:tcPr>
          <w:p w14:paraId="153DA5E2"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c>
          <w:tcPr>
            <w:tcW w:w="761" w:type="dxa"/>
            <w:tcBorders>
              <w:top w:val="single" w:sz="8" w:space="0" w:color="auto"/>
              <w:left w:val="nil"/>
              <w:bottom w:val="nil"/>
              <w:right w:val="single" w:sz="8" w:space="0" w:color="auto"/>
            </w:tcBorders>
            <w:shd w:val="clear" w:color="000000" w:fill="FFFFFF"/>
            <w:vAlign w:val="bottom"/>
            <w:hideMark/>
          </w:tcPr>
          <w:p w14:paraId="79118B6A"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c>
          <w:tcPr>
            <w:tcW w:w="761" w:type="dxa"/>
            <w:tcBorders>
              <w:top w:val="single" w:sz="8" w:space="0" w:color="auto"/>
              <w:left w:val="nil"/>
              <w:bottom w:val="nil"/>
              <w:right w:val="single" w:sz="8" w:space="0" w:color="auto"/>
            </w:tcBorders>
            <w:shd w:val="clear" w:color="000000" w:fill="FFFFFF"/>
            <w:vAlign w:val="bottom"/>
            <w:hideMark/>
          </w:tcPr>
          <w:p w14:paraId="311E6A2E"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c>
          <w:tcPr>
            <w:tcW w:w="91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6DC262C"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TOTAL</w:t>
            </w:r>
            <w:r w:rsidRPr="00922C2A">
              <w:rPr>
                <w:b/>
                <w:noProof/>
                <w:color w:val="000000"/>
                <w:sz w:val="20"/>
              </w:rPr>
              <w:cr/>
            </w:r>
            <w:r w:rsidRPr="00922C2A">
              <w:rPr>
                <w:b/>
                <w:noProof/>
                <w:color w:val="000000"/>
                <w:sz w:val="20"/>
              </w:rPr>
              <w:br/>
              <w:t>2021-2027</w:t>
            </w:r>
          </w:p>
        </w:tc>
      </w:tr>
      <w:tr w:rsidR="00922C2A" w:rsidRPr="00922C2A" w14:paraId="06501C11" w14:textId="77777777" w:rsidTr="006F49C9">
        <w:trPr>
          <w:trHeight w:val="295"/>
        </w:trPr>
        <w:tc>
          <w:tcPr>
            <w:tcW w:w="2627" w:type="dxa"/>
            <w:vMerge/>
            <w:tcBorders>
              <w:top w:val="single" w:sz="8" w:space="0" w:color="auto"/>
              <w:left w:val="single" w:sz="8" w:space="0" w:color="auto"/>
              <w:bottom w:val="single" w:sz="8" w:space="0" w:color="000000"/>
              <w:right w:val="single" w:sz="8" w:space="0" w:color="auto"/>
            </w:tcBorders>
            <w:vAlign w:val="center"/>
            <w:hideMark/>
          </w:tcPr>
          <w:p w14:paraId="0DCCBB38" w14:textId="77777777" w:rsidR="00922C2A" w:rsidRPr="00922C2A" w:rsidRDefault="00922C2A" w:rsidP="006F49C9">
            <w:pPr>
              <w:spacing w:before="0" w:after="0"/>
              <w:jc w:val="left"/>
              <w:rPr>
                <w:rFonts w:eastAsia="Times New Roman"/>
                <w:b/>
                <w:bCs/>
                <w:noProof/>
                <w:color w:val="444444"/>
                <w:sz w:val="20"/>
                <w:szCs w:val="20"/>
                <w:lang w:eastAsia="en-IE"/>
              </w:rPr>
            </w:pPr>
          </w:p>
        </w:tc>
        <w:tc>
          <w:tcPr>
            <w:tcW w:w="761" w:type="dxa"/>
            <w:tcBorders>
              <w:top w:val="nil"/>
              <w:left w:val="nil"/>
              <w:bottom w:val="single" w:sz="8" w:space="0" w:color="auto"/>
              <w:right w:val="single" w:sz="8" w:space="0" w:color="auto"/>
            </w:tcBorders>
            <w:shd w:val="clear" w:color="000000" w:fill="FFFFFF"/>
            <w:hideMark/>
          </w:tcPr>
          <w:p w14:paraId="02371ECD"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2024</w:t>
            </w:r>
          </w:p>
        </w:tc>
        <w:tc>
          <w:tcPr>
            <w:tcW w:w="761" w:type="dxa"/>
            <w:tcBorders>
              <w:top w:val="nil"/>
              <w:left w:val="nil"/>
              <w:bottom w:val="single" w:sz="8" w:space="0" w:color="auto"/>
              <w:right w:val="single" w:sz="8" w:space="0" w:color="auto"/>
            </w:tcBorders>
            <w:shd w:val="clear" w:color="000000" w:fill="FFFFFF"/>
            <w:hideMark/>
          </w:tcPr>
          <w:p w14:paraId="17A54E94"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2025</w:t>
            </w:r>
          </w:p>
        </w:tc>
        <w:tc>
          <w:tcPr>
            <w:tcW w:w="761" w:type="dxa"/>
            <w:tcBorders>
              <w:top w:val="nil"/>
              <w:left w:val="nil"/>
              <w:bottom w:val="single" w:sz="8" w:space="0" w:color="auto"/>
              <w:right w:val="single" w:sz="8" w:space="0" w:color="auto"/>
            </w:tcBorders>
            <w:shd w:val="clear" w:color="000000" w:fill="FFFFFF"/>
            <w:hideMark/>
          </w:tcPr>
          <w:p w14:paraId="3BC44EC6"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2026</w:t>
            </w:r>
          </w:p>
        </w:tc>
        <w:tc>
          <w:tcPr>
            <w:tcW w:w="761" w:type="dxa"/>
            <w:tcBorders>
              <w:top w:val="nil"/>
              <w:left w:val="nil"/>
              <w:bottom w:val="single" w:sz="8" w:space="0" w:color="auto"/>
              <w:right w:val="single" w:sz="8" w:space="0" w:color="auto"/>
            </w:tcBorders>
            <w:shd w:val="clear" w:color="000000" w:fill="FFFFFF"/>
            <w:hideMark/>
          </w:tcPr>
          <w:p w14:paraId="750EC596"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2027</w:t>
            </w:r>
          </w:p>
        </w:tc>
        <w:tc>
          <w:tcPr>
            <w:tcW w:w="917" w:type="dxa"/>
            <w:vMerge/>
            <w:tcBorders>
              <w:top w:val="single" w:sz="8" w:space="0" w:color="auto"/>
              <w:left w:val="single" w:sz="8" w:space="0" w:color="auto"/>
              <w:bottom w:val="single" w:sz="8" w:space="0" w:color="000000"/>
              <w:right w:val="single" w:sz="8" w:space="0" w:color="auto"/>
            </w:tcBorders>
            <w:vAlign w:val="center"/>
            <w:hideMark/>
          </w:tcPr>
          <w:p w14:paraId="52BF0C85" w14:textId="77777777" w:rsidR="00922C2A" w:rsidRPr="00922C2A" w:rsidRDefault="00922C2A" w:rsidP="006F49C9">
            <w:pPr>
              <w:spacing w:before="0" w:after="0"/>
              <w:jc w:val="left"/>
              <w:rPr>
                <w:rFonts w:eastAsia="Times New Roman"/>
                <w:b/>
                <w:bCs/>
                <w:noProof/>
                <w:color w:val="000000"/>
                <w:sz w:val="20"/>
                <w:szCs w:val="20"/>
                <w:lang w:eastAsia="en-IE"/>
              </w:rPr>
            </w:pPr>
          </w:p>
        </w:tc>
      </w:tr>
      <w:tr w:rsidR="00922C2A" w:rsidRPr="00922C2A" w14:paraId="6B0E88FD" w14:textId="77777777" w:rsidTr="006F49C9">
        <w:trPr>
          <w:trHeight w:val="295"/>
        </w:trPr>
        <w:tc>
          <w:tcPr>
            <w:tcW w:w="2627" w:type="dxa"/>
            <w:tcBorders>
              <w:top w:val="nil"/>
              <w:left w:val="single" w:sz="8" w:space="0" w:color="auto"/>
              <w:bottom w:val="single" w:sz="8" w:space="0" w:color="auto"/>
              <w:right w:val="single" w:sz="8" w:space="0" w:color="auto"/>
            </w:tcBorders>
            <w:shd w:val="clear" w:color="auto" w:fill="auto"/>
            <w:vAlign w:val="center"/>
            <w:hideMark/>
          </w:tcPr>
          <w:p w14:paraId="4A51722C" w14:textId="77777777" w:rsidR="00922C2A" w:rsidRPr="00922C2A" w:rsidRDefault="00922C2A" w:rsidP="006F49C9">
            <w:pPr>
              <w:spacing w:before="0" w:after="0"/>
              <w:jc w:val="left"/>
              <w:rPr>
                <w:rFonts w:eastAsia="Times New Roman"/>
                <w:noProof/>
                <w:color w:val="000000"/>
                <w:sz w:val="20"/>
                <w:szCs w:val="20"/>
              </w:rPr>
            </w:pPr>
            <w:r w:rsidRPr="00922C2A">
              <w:rPr>
                <w:noProof/>
                <w:color w:val="000000"/>
                <w:sz w:val="20"/>
              </w:rPr>
              <w:t>Agents temporaires (AD+AST)</w:t>
            </w:r>
          </w:p>
        </w:tc>
        <w:tc>
          <w:tcPr>
            <w:tcW w:w="761" w:type="dxa"/>
            <w:tcBorders>
              <w:top w:val="nil"/>
              <w:left w:val="nil"/>
              <w:bottom w:val="single" w:sz="8" w:space="0" w:color="auto"/>
              <w:right w:val="single" w:sz="8" w:space="0" w:color="auto"/>
            </w:tcBorders>
            <w:shd w:val="clear" w:color="auto" w:fill="auto"/>
            <w:vAlign w:val="center"/>
            <w:hideMark/>
          </w:tcPr>
          <w:p w14:paraId="3195CC17" w14:textId="77777777" w:rsidR="00922C2A" w:rsidRPr="00922C2A" w:rsidRDefault="00922C2A" w:rsidP="006F49C9">
            <w:pPr>
              <w:spacing w:before="0" w:after="0"/>
              <w:jc w:val="right"/>
              <w:rPr>
                <w:rFonts w:eastAsia="Times New Roman"/>
                <w:b/>
                <w:bCs/>
                <w:noProof/>
                <w:color w:val="000000"/>
                <w:sz w:val="16"/>
                <w:szCs w:val="16"/>
              </w:rPr>
            </w:pPr>
            <w:r w:rsidRPr="00922C2A">
              <w:rPr>
                <w:b/>
                <w:noProof/>
                <w:color w:val="000000"/>
                <w:sz w:val="16"/>
              </w:rPr>
              <w:t>0</w:t>
            </w:r>
          </w:p>
        </w:tc>
        <w:tc>
          <w:tcPr>
            <w:tcW w:w="761" w:type="dxa"/>
            <w:tcBorders>
              <w:top w:val="nil"/>
              <w:left w:val="nil"/>
              <w:bottom w:val="single" w:sz="8" w:space="0" w:color="auto"/>
              <w:right w:val="single" w:sz="8" w:space="0" w:color="auto"/>
            </w:tcBorders>
            <w:shd w:val="clear" w:color="auto" w:fill="auto"/>
            <w:vAlign w:val="center"/>
            <w:hideMark/>
          </w:tcPr>
          <w:p w14:paraId="5AC35A7B" w14:textId="77777777" w:rsidR="00922C2A" w:rsidRPr="00922C2A" w:rsidRDefault="00922C2A" w:rsidP="006F49C9">
            <w:pPr>
              <w:spacing w:before="0" w:after="0"/>
              <w:jc w:val="right"/>
              <w:rPr>
                <w:rFonts w:eastAsia="Times New Roman"/>
                <w:b/>
                <w:bCs/>
                <w:noProof/>
                <w:color w:val="000000"/>
                <w:sz w:val="16"/>
                <w:szCs w:val="16"/>
              </w:rPr>
            </w:pPr>
            <w:r w:rsidRPr="00922C2A">
              <w:rPr>
                <w:b/>
                <w:noProof/>
                <w:color w:val="000000"/>
                <w:sz w:val="16"/>
              </w:rPr>
              <w:t>0</w:t>
            </w:r>
          </w:p>
        </w:tc>
        <w:tc>
          <w:tcPr>
            <w:tcW w:w="761" w:type="dxa"/>
            <w:tcBorders>
              <w:top w:val="nil"/>
              <w:left w:val="nil"/>
              <w:bottom w:val="single" w:sz="8" w:space="0" w:color="auto"/>
              <w:right w:val="single" w:sz="8" w:space="0" w:color="auto"/>
            </w:tcBorders>
            <w:shd w:val="clear" w:color="auto" w:fill="auto"/>
            <w:vAlign w:val="center"/>
            <w:hideMark/>
          </w:tcPr>
          <w:p w14:paraId="13730F81" w14:textId="77777777" w:rsidR="00922C2A" w:rsidRPr="00922C2A" w:rsidRDefault="00922C2A" w:rsidP="006F49C9">
            <w:pPr>
              <w:spacing w:before="0" w:after="0"/>
              <w:jc w:val="right"/>
              <w:rPr>
                <w:rFonts w:eastAsia="Times New Roman"/>
                <w:b/>
                <w:bCs/>
                <w:noProof/>
                <w:color w:val="000000"/>
                <w:sz w:val="16"/>
                <w:szCs w:val="16"/>
              </w:rPr>
            </w:pPr>
            <w:r w:rsidRPr="00922C2A">
              <w:rPr>
                <w:b/>
                <w:noProof/>
                <w:color w:val="000000"/>
                <w:sz w:val="16"/>
              </w:rPr>
              <w:t>3</w:t>
            </w:r>
            <w:r w:rsidRPr="00922C2A">
              <w:rPr>
                <w:rStyle w:val="FootnoteReference"/>
                <w:rFonts w:eastAsia="Times New Roman"/>
                <w:b/>
                <w:bCs/>
                <w:noProof/>
                <w:color w:val="000000"/>
                <w:sz w:val="16"/>
                <w:szCs w:val="16"/>
                <w:lang w:eastAsia="en-IE"/>
              </w:rPr>
              <w:footnoteReference w:id="104"/>
            </w:r>
          </w:p>
        </w:tc>
        <w:tc>
          <w:tcPr>
            <w:tcW w:w="761" w:type="dxa"/>
            <w:tcBorders>
              <w:top w:val="nil"/>
              <w:left w:val="nil"/>
              <w:bottom w:val="single" w:sz="8" w:space="0" w:color="auto"/>
              <w:right w:val="single" w:sz="8" w:space="0" w:color="auto"/>
            </w:tcBorders>
            <w:shd w:val="clear" w:color="auto" w:fill="auto"/>
            <w:vAlign w:val="center"/>
            <w:hideMark/>
          </w:tcPr>
          <w:p w14:paraId="40269424" w14:textId="77777777" w:rsidR="00922C2A" w:rsidRPr="00922C2A" w:rsidRDefault="00922C2A" w:rsidP="006F49C9">
            <w:pPr>
              <w:spacing w:before="0" w:after="0"/>
              <w:jc w:val="right"/>
              <w:rPr>
                <w:rFonts w:eastAsia="Times New Roman"/>
                <w:b/>
                <w:bCs/>
                <w:noProof/>
                <w:color w:val="000000"/>
                <w:sz w:val="16"/>
                <w:szCs w:val="16"/>
              </w:rPr>
            </w:pPr>
            <w:r w:rsidRPr="00922C2A">
              <w:rPr>
                <w:b/>
                <w:noProof/>
                <w:color w:val="000000"/>
                <w:sz w:val="16"/>
              </w:rPr>
              <w:t>3</w:t>
            </w:r>
          </w:p>
        </w:tc>
        <w:tc>
          <w:tcPr>
            <w:tcW w:w="917" w:type="dxa"/>
            <w:tcBorders>
              <w:top w:val="nil"/>
              <w:left w:val="nil"/>
              <w:bottom w:val="single" w:sz="8" w:space="0" w:color="auto"/>
              <w:right w:val="single" w:sz="8" w:space="0" w:color="auto"/>
            </w:tcBorders>
            <w:shd w:val="clear" w:color="000000" w:fill="808080"/>
            <w:vAlign w:val="center"/>
            <w:hideMark/>
          </w:tcPr>
          <w:p w14:paraId="230DFF79"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 </w:t>
            </w:r>
          </w:p>
        </w:tc>
      </w:tr>
      <w:tr w:rsidR="00922C2A" w:rsidRPr="00922C2A" w14:paraId="2CB8DA6D" w14:textId="77777777" w:rsidTr="006F49C9">
        <w:trPr>
          <w:trHeight w:val="295"/>
        </w:trPr>
        <w:tc>
          <w:tcPr>
            <w:tcW w:w="2627" w:type="dxa"/>
            <w:tcBorders>
              <w:top w:val="nil"/>
              <w:left w:val="single" w:sz="8" w:space="0" w:color="auto"/>
              <w:bottom w:val="single" w:sz="8" w:space="0" w:color="auto"/>
              <w:right w:val="single" w:sz="8" w:space="0" w:color="auto"/>
            </w:tcBorders>
            <w:shd w:val="clear" w:color="auto" w:fill="auto"/>
            <w:vAlign w:val="center"/>
            <w:hideMark/>
          </w:tcPr>
          <w:p w14:paraId="27AA4F6B" w14:textId="77777777" w:rsidR="00922C2A" w:rsidRPr="00922C2A" w:rsidRDefault="00922C2A" w:rsidP="006F49C9">
            <w:pPr>
              <w:spacing w:before="0" w:after="0"/>
              <w:jc w:val="left"/>
              <w:rPr>
                <w:rFonts w:eastAsia="Times New Roman"/>
                <w:noProof/>
                <w:color w:val="000000"/>
                <w:sz w:val="20"/>
                <w:szCs w:val="20"/>
              </w:rPr>
            </w:pPr>
            <w:r w:rsidRPr="00922C2A">
              <w:rPr>
                <w:noProof/>
                <w:color w:val="000000"/>
                <w:sz w:val="20"/>
              </w:rPr>
              <w:t>Agents contractuels</w:t>
            </w:r>
          </w:p>
        </w:tc>
        <w:tc>
          <w:tcPr>
            <w:tcW w:w="761" w:type="dxa"/>
            <w:tcBorders>
              <w:top w:val="nil"/>
              <w:left w:val="nil"/>
              <w:bottom w:val="single" w:sz="8" w:space="0" w:color="auto"/>
              <w:right w:val="single" w:sz="8" w:space="0" w:color="auto"/>
            </w:tcBorders>
            <w:shd w:val="clear" w:color="auto" w:fill="auto"/>
            <w:vAlign w:val="center"/>
            <w:hideMark/>
          </w:tcPr>
          <w:p w14:paraId="4BB578F0" w14:textId="77777777" w:rsidR="00922C2A" w:rsidRPr="00922C2A" w:rsidRDefault="00922C2A" w:rsidP="006F49C9">
            <w:pPr>
              <w:spacing w:before="0" w:after="0"/>
              <w:jc w:val="right"/>
              <w:rPr>
                <w:rFonts w:eastAsia="Times New Roman"/>
                <w:b/>
                <w:bCs/>
                <w:noProof/>
                <w:color w:val="000000"/>
                <w:sz w:val="16"/>
                <w:szCs w:val="16"/>
              </w:rPr>
            </w:pPr>
            <w:r w:rsidRPr="00922C2A">
              <w:rPr>
                <w:b/>
                <w:noProof/>
                <w:color w:val="000000"/>
                <w:sz w:val="16"/>
              </w:rPr>
              <w:t>0</w:t>
            </w:r>
          </w:p>
        </w:tc>
        <w:tc>
          <w:tcPr>
            <w:tcW w:w="761" w:type="dxa"/>
            <w:tcBorders>
              <w:top w:val="nil"/>
              <w:left w:val="nil"/>
              <w:bottom w:val="single" w:sz="8" w:space="0" w:color="auto"/>
              <w:right w:val="single" w:sz="8" w:space="0" w:color="auto"/>
            </w:tcBorders>
            <w:shd w:val="clear" w:color="auto" w:fill="auto"/>
            <w:vAlign w:val="center"/>
            <w:hideMark/>
          </w:tcPr>
          <w:p w14:paraId="0BED6A74" w14:textId="77777777" w:rsidR="00922C2A" w:rsidRPr="00922C2A" w:rsidRDefault="00922C2A" w:rsidP="006F49C9">
            <w:pPr>
              <w:spacing w:before="0" w:after="0"/>
              <w:jc w:val="right"/>
              <w:rPr>
                <w:rFonts w:eastAsia="Times New Roman"/>
                <w:b/>
                <w:bCs/>
                <w:noProof/>
                <w:color w:val="000000"/>
                <w:sz w:val="16"/>
                <w:szCs w:val="16"/>
              </w:rPr>
            </w:pPr>
            <w:r w:rsidRPr="00922C2A">
              <w:rPr>
                <w:b/>
                <w:noProof/>
                <w:color w:val="000000"/>
                <w:sz w:val="16"/>
              </w:rPr>
              <w:t>0</w:t>
            </w:r>
          </w:p>
        </w:tc>
        <w:tc>
          <w:tcPr>
            <w:tcW w:w="761" w:type="dxa"/>
            <w:tcBorders>
              <w:top w:val="nil"/>
              <w:left w:val="nil"/>
              <w:bottom w:val="single" w:sz="8" w:space="0" w:color="auto"/>
              <w:right w:val="single" w:sz="8" w:space="0" w:color="auto"/>
            </w:tcBorders>
            <w:shd w:val="clear" w:color="auto" w:fill="auto"/>
            <w:vAlign w:val="center"/>
            <w:hideMark/>
          </w:tcPr>
          <w:p w14:paraId="2E19A0C2" w14:textId="77777777" w:rsidR="00922C2A" w:rsidRPr="00922C2A" w:rsidRDefault="00922C2A" w:rsidP="006F49C9">
            <w:pPr>
              <w:spacing w:before="0" w:after="0"/>
              <w:jc w:val="right"/>
              <w:rPr>
                <w:rFonts w:eastAsia="Times New Roman"/>
                <w:b/>
                <w:bCs/>
                <w:noProof/>
                <w:color w:val="000000"/>
                <w:sz w:val="16"/>
                <w:szCs w:val="16"/>
              </w:rPr>
            </w:pPr>
            <w:r w:rsidRPr="00922C2A">
              <w:rPr>
                <w:b/>
                <w:noProof/>
                <w:color w:val="000000"/>
                <w:sz w:val="16"/>
              </w:rPr>
              <w:t>0</w:t>
            </w:r>
          </w:p>
        </w:tc>
        <w:tc>
          <w:tcPr>
            <w:tcW w:w="761" w:type="dxa"/>
            <w:tcBorders>
              <w:top w:val="nil"/>
              <w:left w:val="nil"/>
              <w:bottom w:val="single" w:sz="8" w:space="0" w:color="auto"/>
              <w:right w:val="single" w:sz="8" w:space="0" w:color="auto"/>
            </w:tcBorders>
            <w:shd w:val="clear" w:color="auto" w:fill="auto"/>
            <w:vAlign w:val="center"/>
            <w:hideMark/>
          </w:tcPr>
          <w:p w14:paraId="28390A4B" w14:textId="77777777" w:rsidR="00922C2A" w:rsidRPr="00922C2A" w:rsidRDefault="00922C2A" w:rsidP="006F49C9">
            <w:pPr>
              <w:spacing w:before="0" w:after="0"/>
              <w:jc w:val="right"/>
              <w:rPr>
                <w:rFonts w:eastAsia="Times New Roman"/>
                <w:b/>
                <w:bCs/>
                <w:noProof/>
                <w:color w:val="000000"/>
                <w:sz w:val="16"/>
                <w:szCs w:val="16"/>
              </w:rPr>
            </w:pPr>
            <w:r w:rsidRPr="00922C2A">
              <w:rPr>
                <w:b/>
                <w:noProof/>
                <w:color w:val="000000"/>
                <w:sz w:val="16"/>
              </w:rPr>
              <w:t>0</w:t>
            </w:r>
          </w:p>
        </w:tc>
        <w:tc>
          <w:tcPr>
            <w:tcW w:w="917" w:type="dxa"/>
            <w:tcBorders>
              <w:top w:val="nil"/>
              <w:left w:val="nil"/>
              <w:bottom w:val="single" w:sz="8" w:space="0" w:color="auto"/>
              <w:right w:val="single" w:sz="8" w:space="0" w:color="auto"/>
            </w:tcBorders>
            <w:shd w:val="clear" w:color="000000" w:fill="808080"/>
            <w:vAlign w:val="center"/>
            <w:hideMark/>
          </w:tcPr>
          <w:p w14:paraId="2F4CB497"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 </w:t>
            </w:r>
          </w:p>
        </w:tc>
      </w:tr>
      <w:tr w:rsidR="00922C2A" w:rsidRPr="00922C2A" w14:paraId="74C6DBE5" w14:textId="77777777" w:rsidTr="006F49C9">
        <w:trPr>
          <w:trHeight w:val="295"/>
        </w:trPr>
        <w:tc>
          <w:tcPr>
            <w:tcW w:w="2627" w:type="dxa"/>
            <w:tcBorders>
              <w:top w:val="nil"/>
              <w:left w:val="single" w:sz="8" w:space="0" w:color="auto"/>
              <w:bottom w:val="single" w:sz="8" w:space="0" w:color="auto"/>
              <w:right w:val="single" w:sz="8" w:space="0" w:color="auto"/>
            </w:tcBorders>
            <w:shd w:val="clear" w:color="auto" w:fill="auto"/>
            <w:vAlign w:val="center"/>
            <w:hideMark/>
          </w:tcPr>
          <w:p w14:paraId="4AA04BB5" w14:textId="77777777" w:rsidR="00922C2A" w:rsidRPr="00922C2A" w:rsidRDefault="00922C2A" w:rsidP="006F49C9">
            <w:pPr>
              <w:spacing w:before="0" w:after="0"/>
              <w:jc w:val="left"/>
              <w:rPr>
                <w:rFonts w:eastAsia="Times New Roman"/>
                <w:noProof/>
                <w:color w:val="000000"/>
                <w:sz w:val="20"/>
                <w:szCs w:val="20"/>
              </w:rPr>
            </w:pPr>
            <w:r w:rsidRPr="00922C2A">
              <w:rPr>
                <w:noProof/>
                <w:color w:val="000000"/>
                <w:sz w:val="20"/>
              </w:rPr>
              <w:t>Experts nationaux détachés</w:t>
            </w:r>
          </w:p>
        </w:tc>
        <w:tc>
          <w:tcPr>
            <w:tcW w:w="761" w:type="dxa"/>
            <w:tcBorders>
              <w:top w:val="nil"/>
              <w:left w:val="nil"/>
              <w:bottom w:val="single" w:sz="8" w:space="0" w:color="auto"/>
              <w:right w:val="single" w:sz="8" w:space="0" w:color="auto"/>
            </w:tcBorders>
            <w:shd w:val="clear" w:color="auto" w:fill="auto"/>
            <w:vAlign w:val="center"/>
            <w:hideMark/>
          </w:tcPr>
          <w:p w14:paraId="02853CDE" w14:textId="77777777" w:rsidR="00922C2A" w:rsidRPr="00922C2A" w:rsidRDefault="00922C2A" w:rsidP="006F49C9">
            <w:pPr>
              <w:spacing w:before="0" w:after="0"/>
              <w:jc w:val="right"/>
              <w:rPr>
                <w:rFonts w:eastAsia="Times New Roman"/>
                <w:b/>
                <w:bCs/>
                <w:noProof/>
                <w:color w:val="000000"/>
                <w:sz w:val="16"/>
                <w:szCs w:val="16"/>
              </w:rPr>
            </w:pPr>
            <w:r w:rsidRPr="00922C2A">
              <w:rPr>
                <w:b/>
                <w:noProof/>
                <w:color w:val="000000"/>
                <w:sz w:val="16"/>
              </w:rPr>
              <w:t>0</w:t>
            </w:r>
          </w:p>
        </w:tc>
        <w:tc>
          <w:tcPr>
            <w:tcW w:w="761" w:type="dxa"/>
            <w:tcBorders>
              <w:top w:val="nil"/>
              <w:left w:val="nil"/>
              <w:bottom w:val="single" w:sz="8" w:space="0" w:color="auto"/>
              <w:right w:val="single" w:sz="8" w:space="0" w:color="auto"/>
            </w:tcBorders>
            <w:shd w:val="clear" w:color="auto" w:fill="auto"/>
            <w:vAlign w:val="center"/>
            <w:hideMark/>
          </w:tcPr>
          <w:p w14:paraId="4C7CC985" w14:textId="77777777" w:rsidR="00922C2A" w:rsidRPr="00922C2A" w:rsidRDefault="00922C2A" w:rsidP="006F49C9">
            <w:pPr>
              <w:spacing w:before="0" w:after="0"/>
              <w:jc w:val="right"/>
              <w:rPr>
                <w:rFonts w:eastAsia="Times New Roman"/>
                <w:b/>
                <w:bCs/>
                <w:noProof/>
                <w:color w:val="000000"/>
                <w:sz w:val="16"/>
                <w:szCs w:val="16"/>
              </w:rPr>
            </w:pPr>
            <w:r w:rsidRPr="00922C2A">
              <w:rPr>
                <w:b/>
                <w:noProof/>
                <w:color w:val="000000"/>
                <w:sz w:val="16"/>
              </w:rPr>
              <w:t>0</w:t>
            </w:r>
          </w:p>
        </w:tc>
        <w:tc>
          <w:tcPr>
            <w:tcW w:w="761" w:type="dxa"/>
            <w:tcBorders>
              <w:top w:val="nil"/>
              <w:left w:val="nil"/>
              <w:bottom w:val="single" w:sz="8" w:space="0" w:color="auto"/>
              <w:right w:val="single" w:sz="8" w:space="0" w:color="auto"/>
            </w:tcBorders>
            <w:shd w:val="clear" w:color="auto" w:fill="auto"/>
            <w:vAlign w:val="center"/>
            <w:hideMark/>
          </w:tcPr>
          <w:p w14:paraId="6A4BC7FC" w14:textId="77777777" w:rsidR="00922C2A" w:rsidRPr="00922C2A" w:rsidRDefault="00922C2A" w:rsidP="006F49C9">
            <w:pPr>
              <w:spacing w:before="0" w:after="0"/>
              <w:jc w:val="right"/>
              <w:rPr>
                <w:rFonts w:eastAsia="Times New Roman"/>
                <w:b/>
                <w:bCs/>
                <w:noProof/>
                <w:color w:val="000000"/>
                <w:sz w:val="16"/>
                <w:szCs w:val="16"/>
              </w:rPr>
            </w:pPr>
            <w:r w:rsidRPr="00922C2A">
              <w:rPr>
                <w:b/>
                <w:noProof/>
                <w:color w:val="000000"/>
                <w:sz w:val="16"/>
              </w:rPr>
              <w:t>0</w:t>
            </w:r>
          </w:p>
        </w:tc>
        <w:tc>
          <w:tcPr>
            <w:tcW w:w="761" w:type="dxa"/>
            <w:tcBorders>
              <w:top w:val="nil"/>
              <w:left w:val="nil"/>
              <w:bottom w:val="single" w:sz="8" w:space="0" w:color="auto"/>
              <w:right w:val="single" w:sz="8" w:space="0" w:color="auto"/>
            </w:tcBorders>
            <w:shd w:val="clear" w:color="auto" w:fill="auto"/>
            <w:vAlign w:val="center"/>
            <w:hideMark/>
          </w:tcPr>
          <w:p w14:paraId="78440920" w14:textId="77777777" w:rsidR="00922C2A" w:rsidRPr="00922C2A" w:rsidRDefault="00922C2A" w:rsidP="006F49C9">
            <w:pPr>
              <w:spacing w:before="0" w:after="0"/>
              <w:jc w:val="right"/>
              <w:rPr>
                <w:rFonts w:eastAsia="Times New Roman"/>
                <w:b/>
                <w:bCs/>
                <w:noProof/>
                <w:color w:val="000000"/>
                <w:sz w:val="16"/>
                <w:szCs w:val="16"/>
              </w:rPr>
            </w:pPr>
            <w:r w:rsidRPr="00922C2A">
              <w:rPr>
                <w:b/>
                <w:noProof/>
                <w:color w:val="000000"/>
                <w:sz w:val="16"/>
              </w:rPr>
              <w:t>0</w:t>
            </w:r>
          </w:p>
        </w:tc>
        <w:tc>
          <w:tcPr>
            <w:tcW w:w="917" w:type="dxa"/>
            <w:tcBorders>
              <w:top w:val="nil"/>
              <w:left w:val="nil"/>
              <w:bottom w:val="single" w:sz="8" w:space="0" w:color="auto"/>
              <w:right w:val="single" w:sz="8" w:space="0" w:color="auto"/>
            </w:tcBorders>
            <w:shd w:val="clear" w:color="000000" w:fill="808080"/>
            <w:vAlign w:val="center"/>
            <w:hideMark/>
          </w:tcPr>
          <w:p w14:paraId="651F171F"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 </w:t>
            </w:r>
          </w:p>
        </w:tc>
      </w:tr>
      <w:tr w:rsidR="00922C2A" w:rsidRPr="00922C2A" w14:paraId="1CD2D382" w14:textId="77777777" w:rsidTr="006F49C9">
        <w:trPr>
          <w:trHeight w:val="295"/>
        </w:trPr>
        <w:tc>
          <w:tcPr>
            <w:tcW w:w="2627" w:type="dxa"/>
            <w:tcBorders>
              <w:top w:val="nil"/>
              <w:left w:val="single" w:sz="8" w:space="0" w:color="auto"/>
              <w:bottom w:val="single" w:sz="8" w:space="0" w:color="auto"/>
              <w:right w:val="single" w:sz="8" w:space="0" w:color="auto"/>
            </w:tcBorders>
            <w:shd w:val="clear" w:color="000000" w:fill="BFBFBF"/>
            <w:vAlign w:val="center"/>
            <w:hideMark/>
          </w:tcPr>
          <w:p w14:paraId="0BEEE604" w14:textId="77777777" w:rsidR="00922C2A" w:rsidRPr="00922C2A" w:rsidRDefault="00922C2A" w:rsidP="006F49C9">
            <w:pPr>
              <w:spacing w:before="0" w:after="0"/>
              <w:jc w:val="left"/>
              <w:rPr>
                <w:rFonts w:eastAsia="Times New Roman"/>
                <w:b/>
                <w:bCs/>
                <w:noProof/>
                <w:color w:val="000000"/>
                <w:sz w:val="20"/>
                <w:szCs w:val="20"/>
              </w:rPr>
            </w:pPr>
            <w:r w:rsidRPr="00922C2A">
              <w:rPr>
                <w:b/>
                <w:noProof/>
                <w:color w:val="000000"/>
                <w:sz w:val="20"/>
              </w:rPr>
              <w:t>Total du personnel</w:t>
            </w:r>
          </w:p>
        </w:tc>
        <w:tc>
          <w:tcPr>
            <w:tcW w:w="761" w:type="dxa"/>
            <w:tcBorders>
              <w:top w:val="nil"/>
              <w:left w:val="nil"/>
              <w:bottom w:val="single" w:sz="8" w:space="0" w:color="auto"/>
              <w:right w:val="single" w:sz="8" w:space="0" w:color="auto"/>
            </w:tcBorders>
            <w:shd w:val="clear" w:color="000000" w:fill="BFBFBF"/>
            <w:vAlign w:val="center"/>
            <w:hideMark/>
          </w:tcPr>
          <w:p w14:paraId="66FAEAD0" w14:textId="77777777" w:rsidR="00922C2A" w:rsidRPr="00922C2A" w:rsidRDefault="00922C2A" w:rsidP="006F49C9">
            <w:pPr>
              <w:spacing w:before="0" w:after="0"/>
              <w:jc w:val="right"/>
              <w:rPr>
                <w:rFonts w:eastAsia="Times New Roman"/>
                <w:b/>
                <w:bCs/>
                <w:noProof/>
                <w:color w:val="000000"/>
                <w:sz w:val="16"/>
                <w:szCs w:val="16"/>
              </w:rPr>
            </w:pPr>
            <w:r w:rsidRPr="00922C2A">
              <w:rPr>
                <w:b/>
                <w:noProof/>
                <w:color w:val="000000"/>
                <w:sz w:val="16"/>
              </w:rPr>
              <w:t>0</w:t>
            </w:r>
          </w:p>
        </w:tc>
        <w:tc>
          <w:tcPr>
            <w:tcW w:w="761" w:type="dxa"/>
            <w:tcBorders>
              <w:top w:val="nil"/>
              <w:left w:val="nil"/>
              <w:bottom w:val="single" w:sz="8" w:space="0" w:color="auto"/>
              <w:right w:val="single" w:sz="8" w:space="0" w:color="auto"/>
            </w:tcBorders>
            <w:shd w:val="clear" w:color="000000" w:fill="BFBFBF"/>
            <w:vAlign w:val="center"/>
            <w:hideMark/>
          </w:tcPr>
          <w:p w14:paraId="430F12B7" w14:textId="77777777" w:rsidR="00922C2A" w:rsidRPr="00922C2A" w:rsidRDefault="00922C2A" w:rsidP="006F49C9">
            <w:pPr>
              <w:spacing w:before="0" w:after="0"/>
              <w:jc w:val="right"/>
              <w:rPr>
                <w:rFonts w:eastAsia="Times New Roman"/>
                <w:b/>
                <w:bCs/>
                <w:noProof/>
                <w:color w:val="000000"/>
                <w:sz w:val="16"/>
                <w:szCs w:val="16"/>
              </w:rPr>
            </w:pPr>
            <w:r w:rsidRPr="00922C2A">
              <w:rPr>
                <w:b/>
                <w:noProof/>
                <w:color w:val="000000"/>
                <w:sz w:val="16"/>
              </w:rPr>
              <w:t>0</w:t>
            </w:r>
          </w:p>
        </w:tc>
        <w:tc>
          <w:tcPr>
            <w:tcW w:w="761" w:type="dxa"/>
            <w:tcBorders>
              <w:top w:val="nil"/>
              <w:left w:val="nil"/>
              <w:bottom w:val="single" w:sz="8" w:space="0" w:color="auto"/>
              <w:right w:val="single" w:sz="8" w:space="0" w:color="auto"/>
            </w:tcBorders>
            <w:shd w:val="clear" w:color="000000" w:fill="BFBFBF"/>
            <w:vAlign w:val="center"/>
            <w:hideMark/>
          </w:tcPr>
          <w:p w14:paraId="344DD890" w14:textId="77777777" w:rsidR="00922C2A" w:rsidRPr="00922C2A" w:rsidRDefault="00922C2A" w:rsidP="006F49C9">
            <w:pPr>
              <w:spacing w:before="0" w:after="0"/>
              <w:jc w:val="right"/>
              <w:rPr>
                <w:rFonts w:eastAsia="Times New Roman"/>
                <w:b/>
                <w:bCs/>
                <w:noProof/>
                <w:color w:val="000000"/>
                <w:sz w:val="16"/>
                <w:szCs w:val="16"/>
              </w:rPr>
            </w:pPr>
            <w:r w:rsidRPr="00922C2A">
              <w:rPr>
                <w:b/>
                <w:noProof/>
                <w:color w:val="000000"/>
                <w:sz w:val="16"/>
              </w:rPr>
              <w:t>3</w:t>
            </w:r>
          </w:p>
        </w:tc>
        <w:tc>
          <w:tcPr>
            <w:tcW w:w="761" w:type="dxa"/>
            <w:tcBorders>
              <w:top w:val="nil"/>
              <w:left w:val="nil"/>
              <w:bottom w:val="single" w:sz="8" w:space="0" w:color="auto"/>
              <w:right w:val="single" w:sz="8" w:space="0" w:color="auto"/>
            </w:tcBorders>
            <w:shd w:val="clear" w:color="000000" w:fill="BFBFBF"/>
            <w:vAlign w:val="center"/>
            <w:hideMark/>
          </w:tcPr>
          <w:p w14:paraId="2979DD3D" w14:textId="77777777" w:rsidR="00922C2A" w:rsidRPr="00922C2A" w:rsidRDefault="00922C2A" w:rsidP="006F49C9">
            <w:pPr>
              <w:spacing w:before="0" w:after="0"/>
              <w:jc w:val="right"/>
              <w:rPr>
                <w:rFonts w:eastAsia="Times New Roman"/>
                <w:b/>
                <w:bCs/>
                <w:noProof/>
                <w:color w:val="000000"/>
                <w:sz w:val="16"/>
                <w:szCs w:val="16"/>
              </w:rPr>
            </w:pPr>
            <w:r w:rsidRPr="00922C2A">
              <w:rPr>
                <w:b/>
                <w:noProof/>
                <w:color w:val="000000"/>
                <w:sz w:val="16"/>
              </w:rPr>
              <w:t>3</w:t>
            </w:r>
          </w:p>
        </w:tc>
        <w:tc>
          <w:tcPr>
            <w:tcW w:w="917" w:type="dxa"/>
            <w:tcBorders>
              <w:top w:val="nil"/>
              <w:left w:val="nil"/>
              <w:bottom w:val="single" w:sz="8" w:space="0" w:color="auto"/>
              <w:right w:val="single" w:sz="8" w:space="0" w:color="auto"/>
            </w:tcBorders>
            <w:shd w:val="clear" w:color="000000" w:fill="808080"/>
            <w:vAlign w:val="center"/>
            <w:hideMark/>
          </w:tcPr>
          <w:p w14:paraId="4329273B" w14:textId="77777777" w:rsidR="00922C2A" w:rsidRPr="00922C2A" w:rsidRDefault="00922C2A" w:rsidP="006F49C9">
            <w:pPr>
              <w:spacing w:before="0" w:after="0"/>
              <w:jc w:val="right"/>
              <w:rPr>
                <w:rFonts w:eastAsia="Times New Roman"/>
                <w:b/>
                <w:bCs/>
                <w:noProof/>
                <w:color w:val="000000"/>
                <w:sz w:val="16"/>
                <w:szCs w:val="16"/>
              </w:rPr>
            </w:pPr>
            <w:r w:rsidRPr="00922C2A">
              <w:rPr>
                <w:b/>
                <w:noProof/>
                <w:color w:val="000000"/>
                <w:sz w:val="16"/>
              </w:rPr>
              <w:t> </w:t>
            </w:r>
          </w:p>
        </w:tc>
      </w:tr>
      <w:tr w:rsidR="00922C2A" w:rsidRPr="00922C2A" w14:paraId="459E8B3D" w14:textId="77777777" w:rsidTr="006F49C9">
        <w:trPr>
          <w:trHeight w:val="295"/>
        </w:trPr>
        <w:tc>
          <w:tcPr>
            <w:tcW w:w="2627" w:type="dxa"/>
            <w:tcBorders>
              <w:top w:val="nil"/>
              <w:left w:val="single" w:sz="8" w:space="0" w:color="auto"/>
              <w:bottom w:val="single" w:sz="8" w:space="0" w:color="auto"/>
              <w:right w:val="single" w:sz="8" w:space="0" w:color="auto"/>
            </w:tcBorders>
            <w:shd w:val="clear" w:color="auto" w:fill="auto"/>
            <w:vAlign w:val="center"/>
            <w:hideMark/>
          </w:tcPr>
          <w:p w14:paraId="5F08EA3B" w14:textId="77777777" w:rsidR="00922C2A" w:rsidRPr="00922C2A" w:rsidRDefault="00922C2A" w:rsidP="006F49C9">
            <w:pPr>
              <w:spacing w:before="0" w:after="0"/>
              <w:jc w:val="left"/>
              <w:rPr>
                <w:rFonts w:eastAsia="Times New Roman"/>
                <w:noProof/>
                <w:color w:val="000000"/>
                <w:sz w:val="20"/>
                <w:szCs w:val="20"/>
              </w:rPr>
            </w:pPr>
            <w:r w:rsidRPr="00922C2A">
              <w:rPr>
                <w:noProof/>
                <w:color w:val="000000"/>
                <w:sz w:val="20"/>
              </w:rPr>
              <w:t>Crédits couverts par le budget de l’UE</w:t>
            </w:r>
          </w:p>
        </w:tc>
        <w:tc>
          <w:tcPr>
            <w:tcW w:w="761" w:type="dxa"/>
            <w:tcBorders>
              <w:top w:val="nil"/>
              <w:left w:val="nil"/>
              <w:bottom w:val="single" w:sz="8" w:space="0" w:color="auto"/>
              <w:right w:val="single" w:sz="8" w:space="0" w:color="auto"/>
            </w:tcBorders>
            <w:shd w:val="clear" w:color="000000" w:fill="BFBFBF"/>
            <w:vAlign w:val="center"/>
            <w:hideMark/>
          </w:tcPr>
          <w:p w14:paraId="740EC8A0"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0,000</w:t>
            </w:r>
          </w:p>
        </w:tc>
        <w:tc>
          <w:tcPr>
            <w:tcW w:w="761" w:type="dxa"/>
            <w:tcBorders>
              <w:top w:val="nil"/>
              <w:left w:val="nil"/>
              <w:bottom w:val="single" w:sz="8" w:space="0" w:color="auto"/>
              <w:right w:val="single" w:sz="8" w:space="0" w:color="auto"/>
            </w:tcBorders>
            <w:shd w:val="clear" w:color="000000" w:fill="BFBFBF"/>
            <w:vAlign w:val="center"/>
            <w:hideMark/>
          </w:tcPr>
          <w:p w14:paraId="7633913E"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0,000</w:t>
            </w:r>
          </w:p>
        </w:tc>
        <w:tc>
          <w:tcPr>
            <w:tcW w:w="761" w:type="dxa"/>
            <w:tcBorders>
              <w:top w:val="nil"/>
              <w:left w:val="nil"/>
              <w:bottom w:val="single" w:sz="8" w:space="0" w:color="auto"/>
              <w:right w:val="single" w:sz="8" w:space="0" w:color="auto"/>
            </w:tcBorders>
            <w:shd w:val="clear" w:color="000000" w:fill="BFBFBF"/>
            <w:vAlign w:val="center"/>
            <w:hideMark/>
          </w:tcPr>
          <w:p w14:paraId="3357DFC0"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0,524</w:t>
            </w:r>
          </w:p>
        </w:tc>
        <w:tc>
          <w:tcPr>
            <w:tcW w:w="761" w:type="dxa"/>
            <w:tcBorders>
              <w:top w:val="nil"/>
              <w:left w:val="nil"/>
              <w:bottom w:val="single" w:sz="8" w:space="0" w:color="auto"/>
              <w:right w:val="single" w:sz="8" w:space="0" w:color="auto"/>
            </w:tcBorders>
            <w:shd w:val="clear" w:color="000000" w:fill="BFBFBF"/>
            <w:vAlign w:val="center"/>
            <w:hideMark/>
          </w:tcPr>
          <w:p w14:paraId="4D2F95B3"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0,628</w:t>
            </w:r>
          </w:p>
        </w:tc>
        <w:tc>
          <w:tcPr>
            <w:tcW w:w="917" w:type="dxa"/>
            <w:tcBorders>
              <w:top w:val="nil"/>
              <w:left w:val="nil"/>
              <w:bottom w:val="single" w:sz="8" w:space="0" w:color="auto"/>
              <w:right w:val="single" w:sz="8" w:space="0" w:color="auto"/>
            </w:tcBorders>
            <w:shd w:val="clear" w:color="000000" w:fill="BFBFBF"/>
            <w:vAlign w:val="center"/>
            <w:hideMark/>
          </w:tcPr>
          <w:p w14:paraId="358EE2C6"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1,152</w:t>
            </w:r>
          </w:p>
        </w:tc>
      </w:tr>
      <w:tr w:rsidR="00922C2A" w:rsidRPr="00922C2A" w14:paraId="260CF24B" w14:textId="77777777" w:rsidTr="006F49C9">
        <w:trPr>
          <w:trHeight w:val="295"/>
        </w:trPr>
        <w:tc>
          <w:tcPr>
            <w:tcW w:w="2627" w:type="dxa"/>
            <w:tcBorders>
              <w:top w:val="nil"/>
              <w:left w:val="single" w:sz="8" w:space="0" w:color="auto"/>
              <w:bottom w:val="single" w:sz="8" w:space="0" w:color="auto"/>
              <w:right w:val="single" w:sz="8" w:space="0" w:color="auto"/>
            </w:tcBorders>
            <w:shd w:val="clear" w:color="auto" w:fill="auto"/>
            <w:vAlign w:val="center"/>
            <w:hideMark/>
          </w:tcPr>
          <w:p w14:paraId="6E507DAC" w14:textId="77777777" w:rsidR="00922C2A" w:rsidRPr="00922C2A" w:rsidRDefault="00922C2A" w:rsidP="006F49C9">
            <w:pPr>
              <w:spacing w:before="0" w:after="0"/>
              <w:jc w:val="left"/>
              <w:rPr>
                <w:rFonts w:eastAsia="Times New Roman"/>
                <w:noProof/>
                <w:color w:val="000000"/>
                <w:sz w:val="20"/>
                <w:szCs w:val="20"/>
              </w:rPr>
            </w:pPr>
            <w:r w:rsidRPr="00922C2A">
              <w:rPr>
                <w:noProof/>
                <w:color w:val="000000"/>
                <w:sz w:val="20"/>
              </w:rPr>
              <w:t>Crédits couverts par des redevances</w:t>
            </w:r>
          </w:p>
        </w:tc>
        <w:tc>
          <w:tcPr>
            <w:tcW w:w="761" w:type="dxa"/>
            <w:tcBorders>
              <w:top w:val="nil"/>
              <w:left w:val="nil"/>
              <w:bottom w:val="single" w:sz="8" w:space="0" w:color="auto"/>
              <w:right w:val="single" w:sz="8" w:space="0" w:color="auto"/>
            </w:tcBorders>
            <w:shd w:val="clear" w:color="000000" w:fill="BFBFBF"/>
            <w:vAlign w:val="center"/>
            <w:hideMark/>
          </w:tcPr>
          <w:p w14:paraId="20F21983"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0,000</w:t>
            </w:r>
          </w:p>
        </w:tc>
        <w:tc>
          <w:tcPr>
            <w:tcW w:w="761" w:type="dxa"/>
            <w:tcBorders>
              <w:top w:val="nil"/>
              <w:left w:val="nil"/>
              <w:bottom w:val="single" w:sz="8" w:space="0" w:color="auto"/>
              <w:right w:val="single" w:sz="8" w:space="0" w:color="auto"/>
            </w:tcBorders>
            <w:shd w:val="clear" w:color="000000" w:fill="BFBFBF"/>
            <w:vAlign w:val="center"/>
            <w:hideMark/>
          </w:tcPr>
          <w:p w14:paraId="02C96AF8"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0,000</w:t>
            </w:r>
          </w:p>
        </w:tc>
        <w:tc>
          <w:tcPr>
            <w:tcW w:w="761" w:type="dxa"/>
            <w:tcBorders>
              <w:top w:val="nil"/>
              <w:left w:val="nil"/>
              <w:bottom w:val="single" w:sz="8" w:space="0" w:color="auto"/>
              <w:right w:val="single" w:sz="8" w:space="0" w:color="auto"/>
            </w:tcBorders>
            <w:shd w:val="clear" w:color="000000" w:fill="BFBFBF"/>
            <w:vAlign w:val="center"/>
            <w:hideMark/>
          </w:tcPr>
          <w:p w14:paraId="04195E4D"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0,000</w:t>
            </w:r>
          </w:p>
        </w:tc>
        <w:tc>
          <w:tcPr>
            <w:tcW w:w="761" w:type="dxa"/>
            <w:tcBorders>
              <w:top w:val="nil"/>
              <w:left w:val="nil"/>
              <w:bottom w:val="single" w:sz="8" w:space="0" w:color="auto"/>
              <w:right w:val="single" w:sz="8" w:space="0" w:color="auto"/>
            </w:tcBorders>
            <w:shd w:val="clear" w:color="000000" w:fill="BFBFBF"/>
            <w:vAlign w:val="center"/>
            <w:hideMark/>
          </w:tcPr>
          <w:p w14:paraId="5C4357E9"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0,000</w:t>
            </w:r>
          </w:p>
        </w:tc>
        <w:tc>
          <w:tcPr>
            <w:tcW w:w="917" w:type="dxa"/>
            <w:tcBorders>
              <w:top w:val="nil"/>
              <w:left w:val="nil"/>
              <w:bottom w:val="single" w:sz="8" w:space="0" w:color="auto"/>
              <w:right w:val="single" w:sz="8" w:space="0" w:color="auto"/>
            </w:tcBorders>
            <w:shd w:val="clear" w:color="000000" w:fill="BFBFBF"/>
            <w:vAlign w:val="center"/>
            <w:hideMark/>
          </w:tcPr>
          <w:p w14:paraId="1E906F5D"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0,000</w:t>
            </w:r>
          </w:p>
        </w:tc>
      </w:tr>
      <w:tr w:rsidR="00922C2A" w:rsidRPr="00922C2A" w14:paraId="4E8C912E" w14:textId="77777777" w:rsidTr="006F49C9">
        <w:trPr>
          <w:trHeight w:val="295"/>
        </w:trPr>
        <w:tc>
          <w:tcPr>
            <w:tcW w:w="2627" w:type="dxa"/>
            <w:tcBorders>
              <w:top w:val="nil"/>
              <w:left w:val="single" w:sz="8" w:space="0" w:color="auto"/>
              <w:bottom w:val="single" w:sz="8" w:space="0" w:color="auto"/>
              <w:right w:val="single" w:sz="8" w:space="0" w:color="auto"/>
            </w:tcBorders>
            <w:shd w:val="clear" w:color="auto" w:fill="auto"/>
            <w:vAlign w:val="center"/>
            <w:hideMark/>
          </w:tcPr>
          <w:p w14:paraId="59B7E0DD" w14:textId="77777777" w:rsidR="00922C2A" w:rsidRPr="00922C2A" w:rsidRDefault="00922C2A" w:rsidP="006F49C9">
            <w:pPr>
              <w:spacing w:before="0" w:after="0"/>
              <w:jc w:val="left"/>
              <w:rPr>
                <w:rFonts w:eastAsia="Times New Roman"/>
                <w:noProof/>
                <w:color w:val="000000"/>
                <w:sz w:val="20"/>
                <w:szCs w:val="20"/>
              </w:rPr>
            </w:pPr>
            <w:r w:rsidRPr="00922C2A">
              <w:rPr>
                <w:noProof/>
                <w:color w:val="000000"/>
                <w:sz w:val="20"/>
              </w:rPr>
              <w:t>Crédits cofinancés (le cas échéant)</w:t>
            </w:r>
          </w:p>
        </w:tc>
        <w:tc>
          <w:tcPr>
            <w:tcW w:w="761" w:type="dxa"/>
            <w:tcBorders>
              <w:top w:val="nil"/>
              <w:left w:val="nil"/>
              <w:bottom w:val="single" w:sz="8" w:space="0" w:color="auto"/>
              <w:right w:val="single" w:sz="8" w:space="0" w:color="auto"/>
            </w:tcBorders>
            <w:shd w:val="clear" w:color="000000" w:fill="BFBFBF"/>
            <w:vAlign w:val="center"/>
            <w:hideMark/>
          </w:tcPr>
          <w:p w14:paraId="7E3A7245"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0,000</w:t>
            </w:r>
          </w:p>
        </w:tc>
        <w:tc>
          <w:tcPr>
            <w:tcW w:w="761" w:type="dxa"/>
            <w:tcBorders>
              <w:top w:val="nil"/>
              <w:left w:val="nil"/>
              <w:bottom w:val="single" w:sz="8" w:space="0" w:color="auto"/>
              <w:right w:val="single" w:sz="8" w:space="0" w:color="auto"/>
            </w:tcBorders>
            <w:shd w:val="clear" w:color="000000" w:fill="BFBFBF"/>
            <w:vAlign w:val="center"/>
            <w:hideMark/>
          </w:tcPr>
          <w:p w14:paraId="233EC82A"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0,000</w:t>
            </w:r>
          </w:p>
        </w:tc>
        <w:tc>
          <w:tcPr>
            <w:tcW w:w="761" w:type="dxa"/>
            <w:tcBorders>
              <w:top w:val="nil"/>
              <w:left w:val="nil"/>
              <w:bottom w:val="single" w:sz="8" w:space="0" w:color="auto"/>
              <w:right w:val="single" w:sz="8" w:space="0" w:color="auto"/>
            </w:tcBorders>
            <w:shd w:val="clear" w:color="000000" w:fill="BFBFBF"/>
            <w:vAlign w:val="center"/>
            <w:hideMark/>
          </w:tcPr>
          <w:p w14:paraId="3A91B9EA"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0,000</w:t>
            </w:r>
          </w:p>
        </w:tc>
        <w:tc>
          <w:tcPr>
            <w:tcW w:w="761" w:type="dxa"/>
            <w:tcBorders>
              <w:top w:val="nil"/>
              <w:left w:val="nil"/>
              <w:bottom w:val="single" w:sz="8" w:space="0" w:color="auto"/>
              <w:right w:val="single" w:sz="8" w:space="0" w:color="auto"/>
            </w:tcBorders>
            <w:shd w:val="clear" w:color="000000" w:fill="BFBFBF"/>
            <w:vAlign w:val="center"/>
            <w:hideMark/>
          </w:tcPr>
          <w:p w14:paraId="03962ADE"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0,000</w:t>
            </w:r>
          </w:p>
        </w:tc>
        <w:tc>
          <w:tcPr>
            <w:tcW w:w="917" w:type="dxa"/>
            <w:tcBorders>
              <w:top w:val="nil"/>
              <w:left w:val="nil"/>
              <w:bottom w:val="single" w:sz="8" w:space="0" w:color="auto"/>
              <w:right w:val="single" w:sz="8" w:space="0" w:color="auto"/>
            </w:tcBorders>
            <w:shd w:val="clear" w:color="000000" w:fill="BFBFBF"/>
            <w:vAlign w:val="center"/>
            <w:hideMark/>
          </w:tcPr>
          <w:p w14:paraId="32F7267E"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0,000</w:t>
            </w:r>
          </w:p>
        </w:tc>
      </w:tr>
      <w:tr w:rsidR="00922C2A" w:rsidRPr="00922C2A" w14:paraId="324058E7" w14:textId="77777777" w:rsidTr="006F49C9">
        <w:trPr>
          <w:trHeight w:val="295"/>
        </w:trPr>
        <w:tc>
          <w:tcPr>
            <w:tcW w:w="2627" w:type="dxa"/>
            <w:tcBorders>
              <w:top w:val="nil"/>
              <w:left w:val="single" w:sz="8" w:space="0" w:color="auto"/>
              <w:bottom w:val="single" w:sz="8" w:space="0" w:color="auto"/>
              <w:right w:val="single" w:sz="8" w:space="0" w:color="auto"/>
            </w:tcBorders>
            <w:shd w:val="clear" w:color="000000" w:fill="BFBFBF"/>
            <w:vAlign w:val="center"/>
            <w:hideMark/>
          </w:tcPr>
          <w:p w14:paraId="01AA70A6" w14:textId="77777777" w:rsidR="00922C2A" w:rsidRPr="00922C2A" w:rsidRDefault="00922C2A" w:rsidP="006F49C9">
            <w:pPr>
              <w:spacing w:before="0" w:after="0"/>
              <w:jc w:val="left"/>
              <w:rPr>
                <w:rFonts w:eastAsia="Times New Roman"/>
                <w:b/>
                <w:bCs/>
                <w:noProof/>
                <w:color w:val="000000"/>
                <w:sz w:val="20"/>
                <w:szCs w:val="20"/>
              </w:rPr>
            </w:pPr>
            <w:r w:rsidRPr="00922C2A">
              <w:rPr>
                <w:b/>
                <w:noProof/>
                <w:color w:val="000000"/>
                <w:sz w:val="20"/>
              </w:rPr>
              <w:t>TOTAL des crédits</w:t>
            </w:r>
          </w:p>
        </w:tc>
        <w:tc>
          <w:tcPr>
            <w:tcW w:w="761" w:type="dxa"/>
            <w:tcBorders>
              <w:top w:val="nil"/>
              <w:left w:val="nil"/>
              <w:bottom w:val="single" w:sz="8" w:space="0" w:color="auto"/>
              <w:right w:val="single" w:sz="8" w:space="0" w:color="auto"/>
            </w:tcBorders>
            <w:shd w:val="clear" w:color="000000" w:fill="BFBFBF"/>
            <w:vAlign w:val="center"/>
            <w:hideMark/>
          </w:tcPr>
          <w:p w14:paraId="02B0491B"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0,000</w:t>
            </w:r>
          </w:p>
        </w:tc>
        <w:tc>
          <w:tcPr>
            <w:tcW w:w="761" w:type="dxa"/>
            <w:tcBorders>
              <w:top w:val="nil"/>
              <w:left w:val="nil"/>
              <w:bottom w:val="single" w:sz="8" w:space="0" w:color="auto"/>
              <w:right w:val="single" w:sz="8" w:space="0" w:color="auto"/>
            </w:tcBorders>
            <w:shd w:val="clear" w:color="000000" w:fill="BFBFBF"/>
            <w:vAlign w:val="center"/>
            <w:hideMark/>
          </w:tcPr>
          <w:p w14:paraId="3FF13826"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0,000</w:t>
            </w:r>
          </w:p>
        </w:tc>
        <w:tc>
          <w:tcPr>
            <w:tcW w:w="761" w:type="dxa"/>
            <w:tcBorders>
              <w:top w:val="nil"/>
              <w:left w:val="nil"/>
              <w:bottom w:val="single" w:sz="8" w:space="0" w:color="auto"/>
              <w:right w:val="single" w:sz="8" w:space="0" w:color="auto"/>
            </w:tcBorders>
            <w:shd w:val="clear" w:color="000000" w:fill="BFBFBF"/>
            <w:vAlign w:val="center"/>
            <w:hideMark/>
          </w:tcPr>
          <w:p w14:paraId="2403E224"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0,524</w:t>
            </w:r>
          </w:p>
        </w:tc>
        <w:tc>
          <w:tcPr>
            <w:tcW w:w="761" w:type="dxa"/>
            <w:tcBorders>
              <w:top w:val="nil"/>
              <w:left w:val="nil"/>
              <w:bottom w:val="single" w:sz="8" w:space="0" w:color="auto"/>
              <w:right w:val="single" w:sz="8" w:space="0" w:color="auto"/>
            </w:tcBorders>
            <w:shd w:val="clear" w:color="000000" w:fill="BFBFBF"/>
            <w:vAlign w:val="center"/>
            <w:hideMark/>
          </w:tcPr>
          <w:p w14:paraId="44075732"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0,628</w:t>
            </w:r>
          </w:p>
        </w:tc>
        <w:tc>
          <w:tcPr>
            <w:tcW w:w="917" w:type="dxa"/>
            <w:tcBorders>
              <w:top w:val="nil"/>
              <w:left w:val="nil"/>
              <w:bottom w:val="single" w:sz="8" w:space="0" w:color="auto"/>
              <w:right w:val="single" w:sz="8" w:space="0" w:color="auto"/>
            </w:tcBorders>
            <w:shd w:val="clear" w:color="000000" w:fill="BFBFBF"/>
            <w:vAlign w:val="center"/>
            <w:hideMark/>
          </w:tcPr>
          <w:p w14:paraId="68A8E404" w14:textId="77777777" w:rsidR="00922C2A" w:rsidRPr="00922C2A" w:rsidRDefault="00922C2A" w:rsidP="006F49C9">
            <w:pPr>
              <w:spacing w:before="0" w:after="0"/>
              <w:jc w:val="right"/>
              <w:rPr>
                <w:rFonts w:eastAsia="Times New Roman"/>
                <w:b/>
                <w:bCs/>
                <w:noProof/>
                <w:color w:val="000000"/>
                <w:sz w:val="20"/>
                <w:szCs w:val="20"/>
              </w:rPr>
            </w:pPr>
            <w:r w:rsidRPr="00922C2A">
              <w:rPr>
                <w:b/>
                <w:noProof/>
                <w:color w:val="000000"/>
                <w:sz w:val="20"/>
              </w:rPr>
              <w:t>1,152</w:t>
            </w:r>
          </w:p>
        </w:tc>
      </w:tr>
    </w:tbl>
    <w:p w14:paraId="699F5B86" w14:textId="77777777" w:rsidR="00922C2A" w:rsidRPr="00922C2A" w:rsidRDefault="00922C2A" w:rsidP="00922C2A">
      <w:pPr>
        <w:pStyle w:val="Text1"/>
        <w:ind w:left="0"/>
        <w:rPr>
          <w:noProof/>
        </w:rPr>
      </w:pPr>
    </w:p>
    <w:p w14:paraId="21871A12" w14:textId="77777777" w:rsidR="00922C2A" w:rsidRPr="00922C2A" w:rsidRDefault="00922C2A" w:rsidP="00922C2A">
      <w:pPr>
        <w:pStyle w:val="Text1"/>
        <w:rPr>
          <w:noProof/>
        </w:rPr>
      </w:pPr>
    </w:p>
    <w:tbl>
      <w:tblPr>
        <w:tblW w:w="7443" w:type="dxa"/>
        <w:tblInd w:w="118" w:type="dxa"/>
        <w:tblLook w:val="04A0" w:firstRow="1" w:lastRow="0" w:firstColumn="1" w:lastColumn="0" w:noHBand="0" w:noVBand="1"/>
      </w:tblPr>
      <w:tblGrid>
        <w:gridCol w:w="1232"/>
        <w:gridCol w:w="1070"/>
        <w:gridCol w:w="1069"/>
        <w:gridCol w:w="1358"/>
        <w:gridCol w:w="1358"/>
        <w:gridCol w:w="1356"/>
      </w:tblGrid>
      <w:tr w:rsidR="00922C2A" w:rsidRPr="00922C2A" w14:paraId="3728479F" w14:textId="77777777" w:rsidTr="006F49C9">
        <w:trPr>
          <w:trHeight w:val="340"/>
        </w:trPr>
        <w:tc>
          <w:tcPr>
            <w:tcW w:w="123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6FFD7B7" w14:textId="77777777" w:rsidR="00922C2A" w:rsidRPr="00922C2A" w:rsidRDefault="00922C2A" w:rsidP="006F49C9">
            <w:pPr>
              <w:spacing w:before="0" w:after="0"/>
              <w:rPr>
                <w:rFonts w:eastAsia="Times New Roman"/>
                <w:b/>
                <w:bCs/>
                <w:noProof/>
                <w:color w:val="444444"/>
                <w:sz w:val="20"/>
                <w:szCs w:val="20"/>
              </w:rPr>
            </w:pPr>
            <w:r w:rsidRPr="00922C2A">
              <w:rPr>
                <w:noProof/>
                <w:color w:val="000000"/>
                <w:sz w:val="16"/>
              </w:rPr>
              <w:t> </w:t>
            </w:r>
            <w:r w:rsidRPr="00922C2A">
              <w:rPr>
                <w:b/>
                <w:noProof/>
                <w:color w:val="444444"/>
                <w:sz w:val="20"/>
              </w:rPr>
              <w:t>EMA</w:t>
            </w:r>
          </w:p>
          <w:p w14:paraId="300363A5" w14:textId="77777777" w:rsidR="00922C2A" w:rsidRPr="00922C2A" w:rsidRDefault="00922C2A" w:rsidP="006F49C9">
            <w:pPr>
              <w:spacing w:before="0" w:after="0"/>
              <w:rPr>
                <w:rFonts w:eastAsia="Times New Roman"/>
                <w:noProof/>
                <w:color w:val="000000"/>
                <w:sz w:val="16"/>
                <w:szCs w:val="16"/>
                <w:lang w:eastAsia="en-IE"/>
              </w:rPr>
            </w:pPr>
          </w:p>
        </w:tc>
        <w:tc>
          <w:tcPr>
            <w:tcW w:w="1070" w:type="dxa"/>
            <w:tcBorders>
              <w:top w:val="single" w:sz="8" w:space="0" w:color="auto"/>
              <w:left w:val="nil"/>
              <w:bottom w:val="nil"/>
              <w:right w:val="single" w:sz="8" w:space="0" w:color="auto"/>
            </w:tcBorders>
            <w:shd w:val="clear" w:color="auto" w:fill="auto"/>
            <w:vAlign w:val="center"/>
            <w:hideMark/>
          </w:tcPr>
          <w:p w14:paraId="0D127475"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c>
          <w:tcPr>
            <w:tcW w:w="1069" w:type="dxa"/>
            <w:tcBorders>
              <w:top w:val="single" w:sz="8" w:space="0" w:color="auto"/>
              <w:left w:val="nil"/>
              <w:bottom w:val="nil"/>
              <w:right w:val="single" w:sz="8" w:space="0" w:color="auto"/>
            </w:tcBorders>
            <w:shd w:val="clear" w:color="auto" w:fill="auto"/>
            <w:vAlign w:val="center"/>
            <w:hideMark/>
          </w:tcPr>
          <w:p w14:paraId="180A52DF"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c>
          <w:tcPr>
            <w:tcW w:w="1358" w:type="dxa"/>
            <w:tcBorders>
              <w:top w:val="single" w:sz="8" w:space="0" w:color="auto"/>
              <w:left w:val="nil"/>
              <w:bottom w:val="nil"/>
              <w:right w:val="single" w:sz="8" w:space="0" w:color="auto"/>
            </w:tcBorders>
            <w:shd w:val="clear" w:color="auto" w:fill="auto"/>
            <w:vAlign w:val="center"/>
            <w:hideMark/>
          </w:tcPr>
          <w:p w14:paraId="5F19E87C"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c>
          <w:tcPr>
            <w:tcW w:w="1358" w:type="dxa"/>
            <w:tcBorders>
              <w:top w:val="single" w:sz="8" w:space="0" w:color="auto"/>
              <w:left w:val="nil"/>
              <w:bottom w:val="nil"/>
              <w:right w:val="single" w:sz="8" w:space="0" w:color="auto"/>
            </w:tcBorders>
            <w:shd w:val="clear" w:color="auto" w:fill="auto"/>
            <w:vAlign w:val="center"/>
            <w:hideMark/>
          </w:tcPr>
          <w:p w14:paraId="7FF8D514" w14:textId="77777777" w:rsidR="00922C2A" w:rsidRPr="00922C2A" w:rsidRDefault="00922C2A" w:rsidP="006F49C9">
            <w:pPr>
              <w:spacing w:before="0" w:after="0"/>
              <w:jc w:val="center"/>
              <w:rPr>
                <w:rFonts w:eastAsia="Times New Roman"/>
                <w:noProof/>
                <w:color w:val="000000"/>
                <w:sz w:val="20"/>
                <w:szCs w:val="20"/>
              </w:rPr>
            </w:pPr>
            <w:r w:rsidRPr="00922C2A">
              <w:rPr>
                <w:noProof/>
                <w:color w:val="000000"/>
                <w:sz w:val="20"/>
              </w:rPr>
              <w:t>Année</w:t>
            </w:r>
          </w:p>
        </w:tc>
        <w:tc>
          <w:tcPr>
            <w:tcW w:w="1356" w:type="dxa"/>
            <w:tcBorders>
              <w:top w:val="single" w:sz="8" w:space="0" w:color="auto"/>
              <w:left w:val="nil"/>
              <w:bottom w:val="nil"/>
              <w:right w:val="single" w:sz="8" w:space="0" w:color="auto"/>
            </w:tcBorders>
            <w:shd w:val="clear" w:color="auto" w:fill="auto"/>
            <w:vAlign w:val="center"/>
            <w:hideMark/>
          </w:tcPr>
          <w:p w14:paraId="08136006" w14:textId="77777777" w:rsidR="00922C2A" w:rsidRPr="00922C2A" w:rsidRDefault="00922C2A" w:rsidP="006F49C9">
            <w:pPr>
              <w:spacing w:before="0" w:after="0"/>
              <w:jc w:val="center"/>
              <w:rPr>
                <w:rFonts w:eastAsia="Times New Roman"/>
                <w:b/>
                <w:bCs/>
                <w:noProof/>
                <w:color w:val="000000"/>
                <w:sz w:val="20"/>
              </w:rPr>
            </w:pPr>
            <w:r w:rsidRPr="00922C2A">
              <w:rPr>
                <w:b/>
                <w:noProof/>
                <w:color w:val="000000"/>
                <w:sz w:val="20"/>
              </w:rPr>
              <w:t xml:space="preserve">Total </w:t>
            </w:r>
          </w:p>
          <w:p w14:paraId="6A576E1D" w14:textId="77777777" w:rsidR="00922C2A" w:rsidRPr="00922C2A" w:rsidRDefault="00922C2A" w:rsidP="006F49C9">
            <w:pPr>
              <w:spacing w:before="0" w:after="0"/>
              <w:jc w:val="center"/>
              <w:rPr>
                <w:rFonts w:eastAsia="Times New Roman"/>
                <w:noProof/>
                <w:color w:val="000000"/>
                <w:sz w:val="20"/>
              </w:rPr>
            </w:pPr>
            <w:r w:rsidRPr="00922C2A">
              <w:rPr>
                <w:b/>
                <w:noProof/>
                <w:color w:val="000000"/>
                <w:sz w:val="20"/>
              </w:rPr>
              <w:t>CFP 2021-2027</w:t>
            </w:r>
          </w:p>
        </w:tc>
      </w:tr>
      <w:tr w:rsidR="00922C2A" w:rsidRPr="00922C2A" w14:paraId="1939CA38" w14:textId="77777777" w:rsidTr="006F49C9">
        <w:trPr>
          <w:trHeight w:val="842"/>
        </w:trPr>
        <w:tc>
          <w:tcPr>
            <w:tcW w:w="1232" w:type="dxa"/>
            <w:vMerge/>
            <w:tcBorders>
              <w:top w:val="single" w:sz="8" w:space="0" w:color="auto"/>
              <w:left w:val="single" w:sz="8" w:space="0" w:color="auto"/>
              <w:bottom w:val="single" w:sz="8" w:space="0" w:color="000000"/>
              <w:right w:val="single" w:sz="8" w:space="0" w:color="auto"/>
            </w:tcBorders>
            <w:vAlign w:val="center"/>
            <w:hideMark/>
          </w:tcPr>
          <w:p w14:paraId="1F50669F" w14:textId="77777777" w:rsidR="00922C2A" w:rsidRPr="00922C2A" w:rsidRDefault="00922C2A" w:rsidP="006F49C9">
            <w:pPr>
              <w:spacing w:before="0" w:after="0"/>
              <w:jc w:val="left"/>
              <w:rPr>
                <w:rFonts w:eastAsia="Times New Roman"/>
                <w:noProof/>
                <w:color w:val="000000"/>
                <w:sz w:val="16"/>
                <w:szCs w:val="16"/>
                <w:lang w:eastAsia="en-IE"/>
              </w:rPr>
            </w:pPr>
          </w:p>
        </w:tc>
        <w:tc>
          <w:tcPr>
            <w:tcW w:w="1070" w:type="dxa"/>
            <w:tcBorders>
              <w:top w:val="nil"/>
              <w:left w:val="nil"/>
              <w:bottom w:val="single" w:sz="8" w:space="0" w:color="auto"/>
              <w:right w:val="single" w:sz="8" w:space="0" w:color="auto"/>
            </w:tcBorders>
            <w:shd w:val="clear" w:color="auto" w:fill="auto"/>
            <w:vAlign w:val="center"/>
            <w:hideMark/>
          </w:tcPr>
          <w:p w14:paraId="6A7D9CA7"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2024</w:t>
            </w:r>
          </w:p>
        </w:tc>
        <w:tc>
          <w:tcPr>
            <w:tcW w:w="1069" w:type="dxa"/>
            <w:tcBorders>
              <w:top w:val="nil"/>
              <w:left w:val="nil"/>
              <w:bottom w:val="single" w:sz="8" w:space="0" w:color="auto"/>
              <w:right w:val="single" w:sz="8" w:space="0" w:color="auto"/>
            </w:tcBorders>
            <w:shd w:val="clear" w:color="auto" w:fill="auto"/>
            <w:vAlign w:val="center"/>
            <w:hideMark/>
          </w:tcPr>
          <w:p w14:paraId="6FEFAA07"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2025</w:t>
            </w:r>
          </w:p>
        </w:tc>
        <w:tc>
          <w:tcPr>
            <w:tcW w:w="1358" w:type="dxa"/>
            <w:tcBorders>
              <w:top w:val="nil"/>
              <w:left w:val="nil"/>
              <w:bottom w:val="single" w:sz="8" w:space="0" w:color="auto"/>
              <w:right w:val="single" w:sz="8" w:space="0" w:color="auto"/>
            </w:tcBorders>
            <w:shd w:val="clear" w:color="auto" w:fill="auto"/>
            <w:vAlign w:val="center"/>
            <w:hideMark/>
          </w:tcPr>
          <w:p w14:paraId="585AB5F1"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2026</w:t>
            </w:r>
          </w:p>
        </w:tc>
        <w:tc>
          <w:tcPr>
            <w:tcW w:w="1358" w:type="dxa"/>
            <w:tcBorders>
              <w:top w:val="nil"/>
              <w:left w:val="nil"/>
              <w:bottom w:val="single" w:sz="8" w:space="0" w:color="auto"/>
              <w:right w:val="single" w:sz="8" w:space="0" w:color="auto"/>
            </w:tcBorders>
            <w:shd w:val="clear" w:color="auto" w:fill="auto"/>
            <w:vAlign w:val="center"/>
            <w:hideMark/>
          </w:tcPr>
          <w:p w14:paraId="2B02D1DE" w14:textId="77777777" w:rsidR="00922C2A" w:rsidRPr="00922C2A" w:rsidRDefault="00922C2A" w:rsidP="006F49C9">
            <w:pPr>
              <w:spacing w:before="0" w:after="0"/>
              <w:jc w:val="center"/>
              <w:rPr>
                <w:rFonts w:eastAsia="Times New Roman"/>
                <w:b/>
                <w:bCs/>
                <w:noProof/>
                <w:color w:val="000000"/>
                <w:sz w:val="20"/>
                <w:szCs w:val="20"/>
              </w:rPr>
            </w:pPr>
            <w:r w:rsidRPr="00922C2A">
              <w:rPr>
                <w:b/>
                <w:noProof/>
                <w:color w:val="000000"/>
                <w:sz w:val="20"/>
              </w:rPr>
              <w:t>2027</w:t>
            </w:r>
          </w:p>
        </w:tc>
        <w:tc>
          <w:tcPr>
            <w:tcW w:w="1356" w:type="dxa"/>
            <w:tcBorders>
              <w:top w:val="nil"/>
              <w:left w:val="nil"/>
              <w:bottom w:val="single" w:sz="8" w:space="0" w:color="auto"/>
              <w:right w:val="single" w:sz="8" w:space="0" w:color="auto"/>
            </w:tcBorders>
            <w:shd w:val="clear" w:color="auto" w:fill="auto"/>
            <w:vAlign w:val="center"/>
            <w:hideMark/>
          </w:tcPr>
          <w:p w14:paraId="2639FA08" w14:textId="77777777" w:rsidR="00922C2A" w:rsidRPr="00922C2A" w:rsidRDefault="00922C2A" w:rsidP="006F49C9">
            <w:pPr>
              <w:spacing w:before="0" w:after="0"/>
              <w:jc w:val="center"/>
              <w:rPr>
                <w:rFonts w:eastAsia="Times New Roman"/>
                <w:noProof/>
                <w:color w:val="000000"/>
                <w:sz w:val="20"/>
                <w:lang w:eastAsia="en-IE"/>
              </w:rPr>
            </w:pPr>
          </w:p>
        </w:tc>
      </w:tr>
      <w:tr w:rsidR="00922C2A" w:rsidRPr="00922C2A" w14:paraId="67254F24" w14:textId="77777777" w:rsidTr="006F49C9">
        <w:trPr>
          <w:trHeight w:val="340"/>
        </w:trPr>
        <w:tc>
          <w:tcPr>
            <w:tcW w:w="1232" w:type="dxa"/>
            <w:tcBorders>
              <w:top w:val="nil"/>
              <w:left w:val="nil"/>
              <w:bottom w:val="nil"/>
              <w:right w:val="nil"/>
            </w:tcBorders>
            <w:shd w:val="clear" w:color="auto" w:fill="auto"/>
            <w:noWrap/>
            <w:vAlign w:val="center"/>
            <w:hideMark/>
          </w:tcPr>
          <w:p w14:paraId="590F7A7E" w14:textId="77777777" w:rsidR="00922C2A" w:rsidRPr="00922C2A" w:rsidRDefault="00922C2A" w:rsidP="006F49C9">
            <w:pPr>
              <w:spacing w:before="0" w:after="0"/>
              <w:jc w:val="center"/>
              <w:rPr>
                <w:rFonts w:eastAsia="Times New Roman"/>
                <w:b/>
                <w:bCs/>
                <w:noProof/>
                <w:color w:val="000000"/>
                <w:sz w:val="20"/>
                <w:szCs w:val="20"/>
                <w:lang w:eastAsia="en-IE"/>
              </w:rPr>
            </w:pPr>
          </w:p>
        </w:tc>
        <w:tc>
          <w:tcPr>
            <w:tcW w:w="1070" w:type="dxa"/>
            <w:tcBorders>
              <w:top w:val="nil"/>
              <w:left w:val="nil"/>
              <w:bottom w:val="nil"/>
              <w:right w:val="nil"/>
            </w:tcBorders>
            <w:shd w:val="clear" w:color="auto" w:fill="auto"/>
            <w:noWrap/>
            <w:vAlign w:val="bottom"/>
            <w:hideMark/>
          </w:tcPr>
          <w:p w14:paraId="41DB1DCC" w14:textId="77777777" w:rsidR="00922C2A" w:rsidRPr="00922C2A" w:rsidRDefault="00922C2A" w:rsidP="006F49C9">
            <w:pPr>
              <w:spacing w:before="0" w:after="0"/>
              <w:rPr>
                <w:rFonts w:eastAsia="Times New Roman"/>
                <w:noProof/>
                <w:sz w:val="20"/>
                <w:szCs w:val="20"/>
                <w:lang w:eastAsia="en-IE"/>
              </w:rPr>
            </w:pPr>
          </w:p>
        </w:tc>
        <w:tc>
          <w:tcPr>
            <w:tcW w:w="1069" w:type="dxa"/>
            <w:tcBorders>
              <w:top w:val="nil"/>
              <w:left w:val="nil"/>
              <w:bottom w:val="nil"/>
              <w:right w:val="nil"/>
            </w:tcBorders>
            <w:shd w:val="clear" w:color="auto" w:fill="auto"/>
            <w:noWrap/>
            <w:vAlign w:val="bottom"/>
            <w:hideMark/>
          </w:tcPr>
          <w:p w14:paraId="0E12F5C7" w14:textId="77777777" w:rsidR="00922C2A" w:rsidRPr="00922C2A" w:rsidRDefault="00922C2A" w:rsidP="006F49C9">
            <w:pPr>
              <w:spacing w:before="0" w:after="0"/>
              <w:jc w:val="left"/>
              <w:rPr>
                <w:rFonts w:eastAsia="Times New Roman"/>
                <w:noProof/>
                <w:sz w:val="20"/>
                <w:szCs w:val="20"/>
                <w:lang w:eastAsia="en-IE"/>
              </w:rPr>
            </w:pPr>
          </w:p>
        </w:tc>
        <w:tc>
          <w:tcPr>
            <w:tcW w:w="1358" w:type="dxa"/>
            <w:tcBorders>
              <w:top w:val="nil"/>
              <w:left w:val="nil"/>
              <w:bottom w:val="nil"/>
              <w:right w:val="nil"/>
            </w:tcBorders>
            <w:shd w:val="clear" w:color="auto" w:fill="auto"/>
            <w:noWrap/>
            <w:vAlign w:val="bottom"/>
            <w:hideMark/>
          </w:tcPr>
          <w:p w14:paraId="086B7E88" w14:textId="77777777" w:rsidR="00922C2A" w:rsidRPr="00922C2A" w:rsidRDefault="00922C2A" w:rsidP="006F49C9">
            <w:pPr>
              <w:spacing w:before="0" w:after="0"/>
              <w:jc w:val="left"/>
              <w:rPr>
                <w:rFonts w:eastAsia="Times New Roman"/>
                <w:noProof/>
                <w:sz w:val="20"/>
                <w:szCs w:val="20"/>
                <w:lang w:eastAsia="en-IE"/>
              </w:rPr>
            </w:pPr>
          </w:p>
        </w:tc>
        <w:tc>
          <w:tcPr>
            <w:tcW w:w="1358" w:type="dxa"/>
            <w:tcBorders>
              <w:top w:val="nil"/>
              <w:left w:val="nil"/>
              <w:bottom w:val="nil"/>
              <w:right w:val="nil"/>
            </w:tcBorders>
            <w:shd w:val="clear" w:color="auto" w:fill="auto"/>
            <w:noWrap/>
            <w:vAlign w:val="bottom"/>
            <w:hideMark/>
          </w:tcPr>
          <w:p w14:paraId="1EE1D377" w14:textId="77777777" w:rsidR="00922C2A" w:rsidRPr="00922C2A" w:rsidRDefault="00922C2A" w:rsidP="006F49C9">
            <w:pPr>
              <w:spacing w:before="0" w:after="0"/>
              <w:jc w:val="left"/>
              <w:rPr>
                <w:rFonts w:eastAsia="Times New Roman"/>
                <w:noProof/>
                <w:sz w:val="20"/>
                <w:szCs w:val="20"/>
                <w:lang w:eastAsia="en-IE"/>
              </w:rPr>
            </w:pPr>
          </w:p>
        </w:tc>
        <w:tc>
          <w:tcPr>
            <w:tcW w:w="1356" w:type="dxa"/>
            <w:tcBorders>
              <w:top w:val="nil"/>
              <w:left w:val="nil"/>
              <w:bottom w:val="nil"/>
              <w:right w:val="nil"/>
            </w:tcBorders>
            <w:shd w:val="clear" w:color="auto" w:fill="auto"/>
            <w:noWrap/>
            <w:vAlign w:val="bottom"/>
            <w:hideMark/>
          </w:tcPr>
          <w:p w14:paraId="587A4E93" w14:textId="77777777" w:rsidR="00922C2A" w:rsidRPr="00922C2A" w:rsidRDefault="00922C2A" w:rsidP="006F49C9">
            <w:pPr>
              <w:spacing w:before="0" w:after="0"/>
              <w:jc w:val="left"/>
              <w:rPr>
                <w:rFonts w:eastAsia="Times New Roman"/>
                <w:noProof/>
                <w:sz w:val="20"/>
                <w:szCs w:val="20"/>
                <w:lang w:eastAsia="en-IE"/>
              </w:rPr>
            </w:pPr>
          </w:p>
        </w:tc>
      </w:tr>
      <w:tr w:rsidR="00922C2A" w:rsidRPr="00922C2A" w14:paraId="3E1F25BE" w14:textId="77777777" w:rsidTr="006F49C9">
        <w:trPr>
          <w:trHeight w:val="340"/>
        </w:trPr>
        <w:tc>
          <w:tcPr>
            <w:tcW w:w="1232" w:type="dxa"/>
            <w:tcBorders>
              <w:top w:val="nil"/>
              <w:left w:val="nil"/>
              <w:bottom w:val="nil"/>
              <w:right w:val="nil"/>
            </w:tcBorders>
            <w:shd w:val="clear" w:color="auto" w:fill="auto"/>
            <w:noWrap/>
            <w:vAlign w:val="center"/>
            <w:hideMark/>
          </w:tcPr>
          <w:p w14:paraId="1D5A0DF1" w14:textId="77777777" w:rsidR="00922C2A" w:rsidRPr="00922C2A" w:rsidRDefault="00922C2A" w:rsidP="006F49C9">
            <w:pPr>
              <w:spacing w:before="0" w:after="0"/>
              <w:jc w:val="left"/>
              <w:rPr>
                <w:rFonts w:eastAsia="Times New Roman"/>
                <w:noProof/>
                <w:sz w:val="20"/>
                <w:szCs w:val="20"/>
                <w:lang w:eastAsia="en-IE"/>
              </w:rPr>
            </w:pPr>
          </w:p>
        </w:tc>
        <w:tc>
          <w:tcPr>
            <w:tcW w:w="1070" w:type="dxa"/>
            <w:tcBorders>
              <w:top w:val="nil"/>
              <w:left w:val="nil"/>
              <w:bottom w:val="nil"/>
              <w:right w:val="nil"/>
            </w:tcBorders>
            <w:shd w:val="clear" w:color="auto" w:fill="auto"/>
            <w:noWrap/>
            <w:vAlign w:val="bottom"/>
            <w:hideMark/>
          </w:tcPr>
          <w:p w14:paraId="22D5A5AD" w14:textId="77777777" w:rsidR="00922C2A" w:rsidRPr="00922C2A" w:rsidRDefault="00922C2A" w:rsidP="006F49C9">
            <w:pPr>
              <w:spacing w:before="0" w:after="0"/>
              <w:rPr>
                <w:rFonts w:eastAsia="Times New Roman"/>
                <w:noProof/>
                <w:sz w:val="20"/>
                <w:szCs w:val="20"/>
                <w:lang w:eastAsia="en-IE"/>
              </w:rPr>
            </w:pPr>
          </w:p>
        </w:tc>
        <w:tc>
          <w:tcPr>
            <w:tcW w:w="1069" w:type="dxa"/>
            <w:tcBorders>
              <w:top w:val="nil"/>
              <w:left w:val="nil"/>
              <w:bottom w:val="nil"/>
              <w:right w:val="nil"/>
            </w:tcBorders>
            <w:shd w:val="clear" w:color="auto" w:fill="auto"/>
            <w:noWrap/>
            <w:vAlign w:val="bottom"/>
            <w:hideMark/>
          </w:tcPr>
          <w:p w14:paraId="7941B07E" w14:textId="77777777" w:rsidR="00922C2A" w:rsidRPr="00922C2A" w:rsidRDefault="00922C2A" w:rsidP="006F49C9">
            <w:pPr>
              <w:spacing w:before="0" w:after="0"/>
              <w:jc w:val="left"/>
              <w:rPr>
                <w:rFonts w:eastAsia="Times New Roman"/>
                <w:noProof/>
                <w:sz w:val="20"/>
                <w:szCs w:val="20"/>
                <w:lang w:eastAsia="en-IE"/>
              </w:rPr>
            </w:pPr>
          </w:p>
        </w:tc>
        <w:tc>
          <w:tcPr>
            <w:tcW w:w="1358" w:type="dxa"/>
            <w:tcBorders>
              <w:top w:val="nil"/>
              <w:left w:val="nil"/>
              <w:bottom w:val="nil"/>
              <w:right w:val="nil"/>
            </w:tcBorders>
            <w:shd w:val="clear" w:color="auto" w:fill="auto"/>
            <w:noWrap/>
            <w:vAlign w:val="bottom"/>
            <w:hideMark/>
          </w:tcPr>
          <w:p w14:paraId="681CB906" w14:textId="77777777" w:rsidR="00922C2A" w:rsidRPr="00922C2A" w:rsidRDefault="00922C2A" w:rsidP="006F49C9">
            <w:pPr>
              <w:spacing w:before="0" w:after="0"/>
              <w:jc w:val="left"/>
              <w:rPr>
                <w:rFonts w:eastAsia="Times New Roman"/>
                <w:noProof/>
                <w:sz w:val="20"/>
                <w:szCs w:val="20"/>
                <w:lang w:eastAsia="en-IE"/>
              </w:rPr>
            </w:pPr>
          </w:p>
        </w:tc>
        <w:tc>
          <w:tcPr>
            <w:tcW w:w="1358" w:type="dxa"/>
            <w:tcBorders>
              <w:top w:val="nil"/>
              <w:left w:val="nil"/>
              <w:bottom w:val="nil"/>
              <w:right w:val="nil"/>
            </w:tcBorders>
            <w:shd w:val="clear" w:color="auto" w:fill="auto"/>
            <w:noWrap/>
            <w:vAlign w:val="bottom"/>
            <w:hideMark/>
          </w:tcPr>
          <w:p w14:paraId="30F300B5" w14:textId="77777777" w:rsidR="00922C2A" w:rsidRPr="00922C2A" w:rsidRDefault="00922C2A" w:rsidP="006F49C9">
            <w:pPr>
              <w:spacing w:before="0" w:after="0"/>
              <w:jc w:val="left"/>
              <w:rPr>
                <w:rFonts w:eastAsia="Times New Roman"/>
                <w:noProof/>
                <w:sz w:val="20"/>
                <w:szCs w:val="20"/>
                <w:lang w:eastAsia="en-IE"/>
              </w:rPr>
            </w:pPr>
          </w:p>
        </w:tc>
        <w:tc>
          <w:tcPr>
            <w:tcW w:w="1356" w:type="dxa"/>
            <w:tcBorders>
              <w:top w:val="nil"/>
              <w:left w:val="nil"/>
              <w:bottom w:val="nil"/>
              <w:right w:val="nil"/>
            </w:tcBorders>
            <w:shd w:val="clear" w:color="auto" w:fill="auto"/>
            <w:noWrap/>
            <w:vAlign w:val="bottom"/>
            <w:hideMark/>
          </w:tcPr>
          <w:p w14:paraId="756EFE4F" w14:textId="77777777" w:rsidR="00922C2A" w:rsidRPr="00922C2A" w:rsidRDefault="00922C2A" w:rsidP="006F49C9">
            <w:pPr>
              <w:spacing w:before="0" w:after="0"/>
              <w:jc w:val="left"/>
              <w:rPr>
                <w:rFonts w:eastAsia="Times New Roman"/>
                <w:noProof/>
                <w:sz w:val="20"/>
                <w:szCs w:val="20"/>
                <w:lang w:eastAsia="en-IE"/>
              </w:rPr>
            </w:pPr>
          </w:p>
        </w:tc>
      </w:tr>
      <w:tr w:rsidR="00922C2A" w:rsidRPr="00922C2A" w14:paraId="04CA04AF" w14:textId="77777777" w:rsidTr="006F49C9">
        <w:trPr>
          <w:trHeight w:val="793"/>
        </w:trPr>
        <w:tc>
          <w:tcPr>
            <w:tcW w:w="1232"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4BF7CC67" w14:textId="77777777" w:rsidR="00922C2A" w:rsidRPr="00922C2A" w:rsidRDefault="00922C2A" w:rsidP="006F49C9">
            <w:pPr>
              <w:spacing w:before="0" w:after="0"/>
              <w:jc w:val="center"/>
              <w:rPr>
                <w:rFonts w:eastAsia="Times New Roman"/>
                <w:noProof/>
                <w:color w:val="000000"/>
                <w:sz w:val="18"/>
                <w:szCs w:val="18"/>
              </w:rPr>
            </w:pPr>
            <w:r w:rsidRPr="00922C2A">
              <w:rPr>
                <w:noProof/>
                <w:sz w:val="18"/>
              </w:rPr>
              <w:t>Agents temporaires (grades AD)</w:t>
            </w:r>
          </w:p>
        </w:tc>
        <w:tc>
          <w:tcPr>
            <w:tcW w:w="1070" w:type="dxa"/>
            <w:tcBorders>
              <w:top w:val="single" w:sz="8" w:space="0" w:color="auto"/>
              <w:left w:val="nil"/>
              <w:bottom w:val="single" w:sz="8" w:space="0" w:color="auto"/>
              <w:right w:val="single" w:sz="8" w:space="0" w:color="auto"/>
            </w:tcBorders>
            <w:shd w:val="clear" w:color="auto" w:fill="auto"/>
            <w:vAlign w:val="center"/>
            <w:hideMark/>
          </w:tcPr>
          <w:p w14:paraId="7C697836"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 </w:t>
            </w:r>
          </w:p>
        </w:tc>
        <w:tc>
          <w:tcPr>
            <w:tcW w:w="1069" w:type="dxa"/>
            <w:tcBorders>
              <w:top w:val="single" w:sz="8" w:space="0" w:color="auto"/>
              <w:left w:val="nil"/>
              <w:bottom w:val="single" w:sz="8" w:space="0" w:color="auto"/>
              <w:right w:val="single" w:sz="8" w:space="0" w:color="auto"/>
            </w:tcBorders>
            <w:shd w:val="clear" w:color="auto" w:fill="auto"/>
            <w:vAlign w:val="center"/>
            <w:hideMark/>
          </w:tcPr>
          <w:p w14:paraId="7535A5ED"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 </w:t>
            </w:r>
          </w:p>
        </w:tc>
        <w:tc>
          <w:tcPr>
            <w:tcW w:w="1358" w:type="dxa"/>
            <w:tcBorders>
              <w:top w:val="single" w:sz="8" w:space="0" w:color="auto"/>
              <w:left w:val="nil"/>
              <w:bottom w:val="single" w:sz="8" w:space="0" w:color="auto"/>
              <w:right w:val="single" w:sz="8" w:space="0" w:color="auto"/>
            </w:tcBorders>
            <w:shd w:val="clear" w:color="auto" w:fill="auto"/>
            <w:vAlign w:val="center"/>
            <w:hideMark/>
          </w:tcPr>
          <w:p w14:paraId="262B6E1C" w14:textId="77777777" w:rsidR="00922C2A" w:rsidRPr="00922C2A" w:rsidRDefault="00922C2A" w:rsidP="006F49C9">
            <w:pPr>
              <w:spacing w:before="0" w:after="0"/>
              <w:jc w:val="right"/>
              <w:rPr>
                <w:rFonts w:ascii="Calibri" w:eastAsia="Times New Roman" w:hAnsi="Calibri" w:cs="Calibri"/>
                <w:noProof/>
                <w:color w:val="000000"/>
                <w:sz w:val="22"/>
              </w:rPr>
            </w:pPr>
            <w:r w:rsidRPr="00922C2A">
              <w:rPr>
                <w:rFonts w:ascii="Calibri" w:hAnsi="Calibri"/>
                <w:noProof/>
                <w:color w:val="000000"/>
                <w:sz w:val="22"/>
              </w:rPr>
              <w:t>0,314</w:t>
            </w:r>
          </w:p>
        </w:tc>
        <w:tc>
          <w:tcPr>
            <w:tcW w:w="1358" w:type="dxa"/>
            <w:tcBorders>
              <w:top w:val="single" w:sz="8" w:space="0" w:color="auto"/>
              <w:left w:val="nil"/>
              <w:bottom w:val="single" w:sz="8" w:space="0" w:color="auto"/>
              <w:right w:val="single" w:sz="8" w:space="0" w:color="auto"/>
            </w:tcBorders>
            <w:shd w:val="clear" w:color="auto" w:fill="auto"/>
            <w:vAlign w:val="center"/>
            <w:hideMark/>
          </w:tcPr>
          <w:p w14:paraId="6B2BE922" w14:textId="77777777" w:rsidR="00922C2A" w:rsidRPr="00922C2A" w:rsidRDefault="00922C2A" w:rsidP="006F49C9">
            <w:pPr>
              <w:spacing w:before="0" w:after="0"/>
              <w:jc w:val="right"/>
              <w:rPr>
                <w:rFonts w:ascii="Calibri" w:eastAsia="Times New Roman" w:hAnsi="Calibri" w:cs="Calibri"/>
                <w:noProof/>
                <w:color w:val="000000"/>
                <w:sz w:val="22"/>
              </w:rPr>
            </w:pPr>
            <w:r w:rsidRPr="00922C2A">
              <w:rPr>
                <w:rFonts w:ascii="Calibri" w:hAnsi="Calibri"/>
                <w:noProof/>
                <w:color w:val="000000"/>
                <w:sz w:val="22"/>
              </w:rPr>
              <w:t>0,419</w:t>
            </w:r>
          </w:p>
        </w:tc>
        <w:tc>
          <w:tcPr>
            <w:tcW w:w="1356" w:type="dxa"/>
            <w:tcBorders>
              <w:top w:val="single" w:sz="8" w:space="0" w:color="auto"/>
              <w:left w:val="nil"/>
              <w:bottom w:val="single" w:sz="8" w:space="0" w:color="auto"/>
              <w:right w:val="single" w:sz="8" w:space="0" w:color="auto"/>
            </w:tcBorders>
            <w:shd w:val="clear" w:color="auto" w:fill="auto"/>
            <w:vAlign w:val="center"/>
            <w:hideMark/>
          </w:tcPr>
          <w:p w14:paraId="0E9BA9B4" w14:textId="77777777" w:rsidR="00922C2A" w:rsidRPr="00922C2A" w:rsidRDefault="00922C2A" w:rsidP="006F49C9">
            <w:pPr>
              <w:spacing w:before="0" w:after="0"/>
              <w:jc w:val="right"/>
              <w:rPr>
                <w:rFonts w:ascii="Calibri" w:eastAsia="Times New Roman" w:hAnsi="Calibri" w:cs="Calibri"/>
                <w:noProof/>
                <w:color w:val="000000"/>
                <w:sz w:val="22"/>
              </w:rPr>
            </w:pPr>
            <w:r w:rsidRPr="00922C2A">
              <w:rPr>
                <w:rFonts w:ascii="Calibri" w:hAnsi="Calibri"/>
                <w:noProof/>
                <w:color w:val="000000"/>
                <w:sz w:val="22"/>
              </w:rPr>
              <w:t>0,733</w:t>
            </w:r>
          </w:p>
        </w:tc>
      </w:tr>
      <w:tr w:rsidR="00922C2A" w:rsidRPr="00922C2A" w14:paraId="7C404439" w14:textId="77777777" w:rsidTr="006F49C9">
        <w:trPr>
          <w:trHeight w:val="1118"/>
        </w:trPr>
        <w:tc>
          <w:tcPr>
            <w:tcW w:w="1232" w:type="dxa"/>
            <w:tcBorders>
              <w:top w:val="nil"/>
              <w:left w:val="single" w:sz="8" w:space="0" w:color="auto"/>
              <w:bottom w:val="single" w:sz="8" w:space="0" w:color="auto"/>
              <w:right w:val="single" w:sz="8" w:space="0" w:color="auto"/>
            </w:tcBorders>
            <w:shd w:val="clear" w:color="000000" w:fill="BFBFBF"/>
            <w:vAlign w:val="center"/>
            <w:hideMark/>
          </w:tcPr>
          <w:p w14:paraId="55225A15" w14:textId="77777777" w:rsidR="00922C2A" w:rsidRPr="00922C2A" w:rsidRDefault="00922C2A" w:rsidP="006F49C9">
            <w:pPr>
              <w:spacing w:before="0" w:after="0"/>
              <w:rPr>
                <w:rFonts w:eastAsia="Times New Roman"/>
                <w:noProof/>
                <w:color w:val="000000"/>
                <w:sz w:val="20"/>
                <w:szCs w:val="20"/>
              </w:rPr>
            </w:pPr>
            <w:r w:rsidRPr="00922C2A">
              <w:rPr>
                <w:noProof/>
                <w:sz w:val="20"/>
              </w:rPr>
              <w:t>Agents temporaires (grades AST)</w:t>
            </w:r>
          </w:p>
        </w:tc>
        <w:tc>
          <w:tcPr>
            <w:tcW w:w="1070" w:type="dxa"/>
            <w:tcBorders>
              <w:top w:val="nil"/>
              <w:left w:val="nil"/>
              <w:bottom w:val="single" w:sz="8" w:space="0" w:color="auto"/>
              <w:right w:val="single" w:sz="8" w:space="0" w:color="auto"/>
            </w:tcBorders>
            <w:shd w:val="clear" w:color="auto" w:fill="auto"/>
            <w:vAlign w:val="center"/>
            <w:hideMark/>
          </w:tcPr>
          <w:p w14:paraId="21E6AD6D"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 </w:t>
            </w:r>
          </w:p>
        </w:tc>
        <w:tc>
          <w:tcPr>
            <w:tcW w:w="1069" w:type="dxa"/>
            <w:tcBorders>
              <w:top w:val="nil"/>
              <w:left w:val="nil"/>
              <w:bottom w:val="single" w:sz="8" w:space="0" w:color="auto"/>
              <w:right w:val="single" w:sz="8" w:space="0" w:color="auto"/>
            </w:tcBorders>
            <w:shd w:val="clear" w:color="auto" w:fill="auto"/>
            <w:vAlign w:val="center"/>
            <w:hideMark/>
          </w:tcPr>
          <w:p w14:paraId="2997E140"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 </w:t>
            </w:r>
          </w:p>
        </w:tc>
        <w:tc>
          <w:tcPr>
            <w:tcW w:w="1358" w:type="dxa"/>
            <w:tcBorders>
              <w:top w:val="nil"/>
              <w:left w:val="nil"/>
              <w:bottom w:val="single" w:sz="8" w:space="0" w:color="auto"/>
              <w:right w:val="single" w:sz="8" w:space="0" w:color="auto"/>
            </w:tcBorders>
            <w:shd w:val="clear" w:color="auto" w:fill="auto"/>
            <w:vAlign w:val="center"/>
            <w:hideMark/>
          </w:tcPr>
          <w:p w14:paraId="42A925FF" w14:textId="77777777" w:rsidR="00922C2A" w:rsidRPr="00922C2A" w:rsidRDefault="00922C2A" w:rsidP="006F49C9">
            <w:pPr>
              <w:spacing w:before="0" w:after="0"/>
              <w:jc w:val="right"/>
              <w:rPr>
                <w:rFonts w:ascii="Calibri" w:eastAsia="Times New Roman" w:hAnsi="Calibri" w:cs="Calibri"/>
                <w:noProof/>
                <w:color w:val="000000"/>
                <w:sz w:val="22"/>
              </w:rPr>
            </w:pPr>
            <w:r w:rsidRPr="00922C2A">
              <w:rPr>
                <w:rFonts w:ascii="Calibri" w:hAnsi="Calibri"/>
                <w:noProof/>
                <w:color w:val="000000"/>
                <w:sz w:val="22"/>
              </w:rPr>
              <w:t>0,209</w:t>
            </w:r>
          </w:p>
        </w:tc>
        <w:tc>
          <w:tcPr>
            <w:tcW w:w="1358" w:type="dxa"/>
            <w:tcBorders>
              <w:top w:val="nil"/>
              <w:left w:val="nil"/>
              <w:bottom w:val="single" w:sz="8" w:space="0" w:color="auto"/>
              <w:right w:val="single" w:sz="8" w:space="0" w:color="auto"/>
            </w:tcBorders>
            <w:shd w:val="clear" w:color="auto" w:fill="auto"/>
            <w:vAlign w:val="center"/>
            <w:hideMark/>
          </w:tcPr>
          <w:p w14:paraId="6E2387FE" w14:textId="77777777" w:rsidR="00922C2A" w:rsidRPr="00922C2A" w:rsidRDefault="00922C2A" w:rsidP="006F49C9">
            <w:pPr>
              <w:spacing w:before="0" w:after="0"/>
              <w:jc w:val="right"/>
              <w:rPr>
                <w:rFonts w:ascii="Calibri" w:eastAsia="Times New Roman" w:hAnsi="Calibri" w:cs="Calibri"/>
                <w:noProof/>
                <w:color w:val="000000"/>
                <w:sz w:val="22"/>
              </w:rPr>
            </w:pPr>
            <w:r w:rsidRPr="00922C2A">
              <w:rPr>
                <w:rFonts w:ascii="Calibri" w:hAnsi="Calibri"/>
                <w:noProof/>
                <w:color w:val="000000"/>
                <w:sz w:val="22"/>
              </w:rPr>
              <w:t>0,209</w:t>
            </w:r>
          </w:p>
        </w:tc>
        <w:tc>
          <w:tcPr>
            <w:tcW w:w="1356" w:type="dxa"/>
            <w:tcBorders>
              <w:top w:val="nil"/>
              <w:left w:val="nil"/>
              <w:bottom w:val="single" w:sz="8" w:space="0" w:color="auto"/>
              <w:right w:val="single" w:sz="8" w:space="0" w:color="auto"/>
            </w:tcBorders>
            <w:shd w:val="clear" w:color="auto" w:fill="auto"/>
            <w:vAlign w:val="center"/>
            <w:hideMark/>
          </w:tcPr>
          <w:p w14:paraId="64250BBD" w14:textId="77777777" w:rsidR="00922C2A" w:rsidRPr="00922C2A" w:rsidRDefault="00922C2A" w:rsidP="006F49C9">
            <w:pPr>
              <w:spacing w:before="0" w:after="0"/>
              <w:jc w:val="right"/>
              <w:rPr>
                <w:rFonts w:ascii="Calibri" w:eastAsia="Times New Roman" w:hAnsi="Calibri" w:cs="Calibri"/>
                <w:noProof/>
                <w:color w:val="000000"/>
                <w:sz w:val="22"/>
              </w:rPr>
            </w:pPr>
            <w:r w:rsidRPr="00922C2A">
              <w:rPr>
                <w:rFonts w:ascii="Calibri" w:hAnsi="Calibri"/>
                <w:noProof/>
                <w:color w:val="000000"/>
                <w:sz w:val="22"/>
              </w:rPr>
              <w:t>0,419</w:t>
            </w:r>
          </w:p>
        </w:tc>
      </w:tr>
      <w:tr w:rsidR="00922C2A" w:rsidRPr="00922C2A" w14:paraId="5CFD0EB3" w14:textId="77777777" w:rsidTr="006F49C9">
        <w:trPr>
          <w:trHeight w:val="567"/>
        </w:trPr>
        <w:tc>
          <w:tcPr>
            <w:tcW w:w="1232" w:type="dxa"/>
            <w:tcBorders>
              <w:top w:val="nil"/>
              <w:left w:val="single" w:sz="8" w:space="0" w:color="auto"/>
              <w:bottom w:val="single" w:sz="8" w:space="0" w:color="auto"/>
              <w:right w:val="single" w:sz="8" w:space="0" w:color="auto"/>
            </w:tcBorders>
            <w:shd w:val="clear" w:color="000000" w:fill="BFBFBF"/>
            <w:vAlign w:val="center"/>
            <w:hideMark/>
          </w:tcPr>
          <w:p w14:paraId="4886347E" w14:textId="77777777" w:rsidR="00922C2A" w:rsidRPr="00922C2A" w:rsidRDefault="00922C2A" w:rsidP="006F49C9">
            <w:pPr>
              <w:spacing w:before="0" w:after="0"/>
              <w:rPr>
                <w:rFonts w:eastAsia="Times New Roman"/>
                <w:noProof/>
                <w:color w:val="000000"/>
                <w:sz w:val="20"/>
                <w:szCs w:val="20"/>
              </w:rPr>
            </w:pPr>
            <w:r w:rsidRPr="00922C2A">
              <w:rPr>
                <w:noProof/>
                <w:sz w:val="20"/>
              </w:rPr>
              <w:t>Agents contractuels</w:t>
            </w:r>
          </w:p>
        </w:tc>
        <w:tc>
          <w:tcPr>
            <w:tcW w:w="1070" w:type="dxa"/>
            <w:tcBorders>
              <w:top w:val="nil"/>
              <w:left w:val="nil"/>
              <w:bottom w:val="single" w:sz="8" w:space="0" w:color="auto"/>
              <w:right w:val="single" w:sz="8" w:space="0" w:color="auto"/>
            </w:tcBorders>
            <w:shd w:val="clear" w:color="auto" w:fill="auto"/>
            <w:vAlign w:val="center"/>
            <w:hideMark/>
          </w:tcPr>
          <w:p w14:paraId="5F98B44B"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 </w:t>
            </w:r>
          </w:p>
        </w:tc>
        <w:tc>
          <w:tcPr>
            <w:tcW w:w="1069" w:type="dxa"/>
            <w:tcBorders>
              <w:top w:val="nil"/>
              <w:left w:val="nil"/>
              <w:bottom w:val="single" w:sz="8" w:space="0" w:color="auto"/>
              <w:right w:val="single" w:sz="8" w:space="0" w:color="auto"/>
            </w:tcBorders>
            <w:shd w:val="clear" w:color="auto" w:fill="auto"/>
            <w:vAlign w:val="center"/>
            <w:hideMark/>
          </w:tcPr>
          <w:p w14:paraId="00497804"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 </w:t>
            </w:r>
          </w:p>
        </w:tc>
        <w:tc>
          <w:tcPr>
            <w:tcW w:w="1358" w:type="dxa"/>
            <w:tcBorders>
              <w:top w:val="nil"/>
              <w:left w:val="nil"/>
              <w:bottom w:val="single" w:sz="8" w:space="0" w:color="auto"/>
              <w:right w:val="single" w:sz="8" w:space="0" w:color="auto"/>
            </w:tcBorders>
            <w:shd w:val="clear" w:color="auto" w:fill="auto"/>
            <w:vAlign w:val="center"/>
            <w:hideMark/>
          </w:tcPr>
          <w:p w14:paraId="1D8DF1F8" w14:textId="77777777" w:rsidR="00922C2A" w:rsidRPr="00922C2A" w:rsidRDefault="00922C2A" w:rsidP="006F49C9">
            <w:pPr>
              <w:spacing w:before="0" w:after="0"/>
              <w:jc w:val="right"/>
              <w:rPr>
                <w:rFonts w:eastAsia="Times New Roman"/>
                <w:noProof/>
                <w:color w:val="000000"/>
                <w:sz w:val="20"/>
                <w:szCs w:val="20"/>
              </w:rPr>
            </w:pPr>
            <w:r w:rsidRPr="00922C2A">
              <w:rPr>
                <w:rFonts w:ascii="Calibri" w:hAnsi="Calibri"/>
                <w:noProof/>
                <w:color w:val="000000"/>
                <w:sz w:val="22"/>
              </w:rPr>
              <w:t> </w:t>
            </w:r>
          </w:p>
        </w:tc>
        <w:tc>
          <w:tcPr>
            <w:tcW w:w="1358" w:type="dxa"/>
            <w:tcBorders>
              <w:top w:val="nil"/>
              <w:left w:val="nil"/>
              <w:bottom w:val="single" w:sz="8" w:space="0" w:color="auto"/>
              <w:right w:val="single" w:sz="8" w:space="0" w:color="auto"/>
            </w:tcBorders>
            <w:shd w:val="clear" w:color="auto" w:fill="auto"/>
            <w:vAlign w:val="center"/>
            <w:hideMark/>
          </w:tcPr>
          <w:p w14:paraId="698879A1" w14:textId="77777777" w:rsidR="00922C2A" w:rsidRPr="00922C2A" w:rsidRDefault="00922C2A" w:rsidP="006F49C9">
            <w:pPr>
              <w:spacing w:before="0" w:after="0"/>
              <w:jc w:val="right"/>
              <w:rPr>
                <w:rFonts w:eastAsia="Times New Roman"/>
                <w:noProof/>
                <w:color w:val="000000"/>
                <w:sz w:val="20"/>
                <w:szCs w:val="20"/>
              </w:rPr>
            </w:pPr>
            <w:r w:rsidRPr="00922C2A">
              <w:rPr>
                <w:rFonts w:ascii="Calibri" w:hAnsi="Calibri"/>
                <w:noProof/>
                <w:color w:val="000000"/>
                <w:sz w:val="22"/>
              </w:rPr>
              <w:t> </w:t>
            </w:r>
          </w:p>
        </w:tc>
        <w:tc>
          <w:tcPr>
            <w:tcW w:w="1356" w:type="dxa"/>
            <w:tcBorders>
              <w:top w:val="nil"/>
              <w:left w:val="nil"/>
              <w:bottom w:val="single" w:sz="8" w:space="0" w:color="auto"/>
              <w:right w:val="single" w:sz="8" w:space="0" w:color="auto"/>
            </w:tcBorders>
            <w:shd w:val="clear" w:color="auto" w:fill="auto"/>
            <w:vAlign w:val="center"/>
            <w:hideMark/>
          </w:tcPr>
          <w:p w14:paraId="33AF091B" w14:textId="77777777" w:rsidR="00922C2A" w:rsidRPr="00922C2A" w:rsidRDefault="00922C2A" w:rsidP="006F49C9">
            <w:pPr>
              <w:spacing w:before="0" w:after="0"/>
              <w:jc w:val="right"/>
              <w:rPr>
                <w:rFonts w:eastAsia="Times New Roman"/>
                <w:noProof/>
                <w:color w:val="000000"/>
                <w:sz w:val="20"/>
                <w:szCs w:val="20"/>
              </w:rPr>
            </w:pPr>
            <w:r w:rsidRPr="00922C2A">
              <w:rPr>
                <w:rFonts w:ascii="Calibri" w:hAnsi="Calibri"/>
                <w:noProof/>
                <w:color w:val="000000"/>
                <w:sz w:val="22"/>
              </w:rPr>
              <w:t>0,000</w:t>
            </w:r>
          </w:p>
        </w:tc>
      </w:tr>
      <w:tr w:rsidR="00922C2A" w:rsidRPr="00922C2A" w14:paraId="2609D294" w14:textId="77777777" w:rsidTr="006F49C9">
        <w:trPr>
          <w:trHeight w:val="793"/>
        </w:trPr>
        <w:tc>
          <w:tcPr>
            <w:tcW w:w="1232" w:type="dxa"/>
            <w:tcBorders>
              <w:top w:val="nil"/>
              <w:left w:val="single" w:sz="8" w:space="0" w:color="auto"/>
              <w:bottom w:val="single" w:sz="8" w:space="0" w:color="auto"/>
              <w:right w:val="single" w:sz="8" w:space="0" w:color="auto"/>
            </w:tcBorders>
            <w:shd w:val="clear" w:color="000000" w:fill="CCCCCC"/>
            <w:vAlign w:val="center"/>
            <w:hideMark/>
          </w:tcPr>
          <w:p w14:paraId="7329C436" w14:textId="77777777" w:rsidR="00922C2A" w:rsidRPr="00922C2A" w:rsidRDefault="00922C2A" w:rsidP="006F49C9">
            <w:pPr>
              <w:spacing w:before="0" w:after="0"/>
              <w:jc w:val="center"/>
              <w:rPr>
                <w:rFonts w:eastAsia="Times New Roman"/>
                <w:noProof/>
                <w:color w:val="000000"/>
                <w:sz w:val="18"/>
                <w:szCs w:val="18"/>
              </w:rPr>
            </w:pPr>
            <w:r w:rsidRPr="00922C2A">
              <w:rPr>
                <w:noProof/>
                <w:sz w:val="18"/>
              </w:rPr>
              <w:t>Experts nationaux détachés</w:t>
            </w:r>
          </w:p>
        </w:tc>
        <w:tc>
          <w:tcPr>
            <w:tcW w:w="1070" w:type="dxa"/>
            <w:tcBorders>
              <w:top w:val="nil"/>
              <w:left w:val="nil"/>
              <w:bottom w:val="single" w:sz="8" w:space="0" w:color="auto"/>
              <w:right w:val="single" w:sz="8" w:space="0" w:color="auto"/>
            </w:tcBorders>
            <w:shd w:val="clear" w:color="auto" w:fill="auto"/>
            <w:vAlign w:val="center"/>
            <w:hideMark/>
          </w:tcPr>
          <w:p w14:paraId="24594DFF"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 </w:t>
            </w:r>
          </w:p>
        </w:tc>
        <w:tc>
          <w:tcPr>
            <w:tcW w:w="1069" w:type="dxa"/>
            <w:tcBorders>
              <w:top w:val="nil"/>
              <w:left w:val="nil"/>
              <w:bottom w:val="single" w:sz="8" w:space="0" w:color="auto"/>
              <w:right w:val="single" w:sz="8" w:space="0" w:color="auto"/>
            </w:tcBorders>
            <w:shd w:val="clear" w:color="auto" w:fill="auto"/>
            <w:vAlign w:val="center"/>
            <w:hideMark/>
          </w:tcPr>
          <w:p w14:paraId="1111E537"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 </w:t>
            </w:r>
          </w:p>
        </w:tc>
        <w:tc>
          <w:tcPr>
            <w:tcW w:w="1358" w:type="dxa"/>
            <w:tcBorders>
              <w:top w:val="nil"/>
              <w:left w:val="nil"/>
              <w:bottom w:val="single" w:sz="8" w:space="0" w:color="auto"/>
              <w:right w:val="single" w:sz="8" w:space="0" w:color="auto"/>
            </w:tcBorders>
            <w:shd w:val="clear" w:color="auto" w:fill="auto"/>
            <w:vAlign w:val="center"/>
            <w:hideMark/>
          </w:tcPr>
          <w:p w14:paraId="76931D95" w14:textId="77777777" w:rsidR="00922C2A" w:rsidRPr="00922C2A" w:rsidRDefault="00922C2A" w:rsidP="006F49C9">
            <w:pPr>
              <w:spacing w:before="0" w:after="0"/>
              <w:jc w:val="right"/>
              <w:rPr>
                <w:rFonts w:eastAsia="Times New Roman"/>
                <w:noProof/>
                <w:color w:val="000000"/>
                <w:sz w:val="20"/>
                <w:szCs w:val="20"/>
              </w:rPr>
            </w:pPr>
            <w:r w:rsidRPr="00922C2A">
              <w:rPr>
                <w:rFonts w:ascii="Calibri" w:hAnsi="Calibri"/>
                <w:noProof/>
                <w:color w:val="000000"/>
                <w:sz w:val="22"/>
              </w:rPr>
              <w:t> </w:t>
            </w:r>
          </w:p>
        </w:tc>
        <w:tc>
          <w:tcPr>
            <w:tcW w:w="1358" w:type="dxa"/>
            <w:tcBorders>
              <w:top w:val="nil"/>
              <w:left w:val="nil"/>
              <w:bottom w:val="single" w:sz="8" w:space="0" w:color="auto"/>
              <w:right w:val="single" w:sz="8" w:space="0" w:color="auto"/>
            </w:tcBorders>
            <w:shd w:val="clear" w:color="auto" w:fill="auto"/>
            <w:vAlign w:val="center"/>
            <w:hideMark/>
          </w:tcPr>
          <w:p w14:paraId="04E2DC96" w14:textId="77777777" w:rsidR="00922C2A" w:rsidRPr="00922C2A" w:rsidRDefault="00922C2A" w:rsidP="006F49C9">
            <w:pPr>
              <w:spacing w:before="0" w:after="0"/>
              <w:jc w:val="right"/>
              <w:rPr>
                <w:rFonts w:eastAsia="Times New Roman"/>
                <w:noProof/>
                <w:color w:val="000000"/>
                <w:sz w:val="20"/>
                <w:szCs w:val="20"/>
              </w:rPr>
            </w:pPr>
            <w:r w:rsidRPr="00922C2A">
              <w:rPr>
                <w:rFonts w:ascii="Calibri" w:hAnsi="Calibri"/>
                <w:noProof/>
                <w:color w:val="000000"/>
                <w:sz w:val="22"/>
              </w:rPr>
              <w:t> </w:t>
            </w:r>
          </w:p>
        </w:tc>
        <w:tc>
          <w:tcPr>
            <w:tcW w:w="1356" w:type="dxa"/>
            <w:tcBorders>
              <w:top w:val="nil"/>
              <w:left w:val="nil"/>
              <w:bottom w:val="single" w:sz="8" w:space="0" w:color="auto"/>
              <w:right w:val="single" w:sz="8" w:space="0" w:color="auto"/>
            </w:tcBorders>
            <w:shd w:val="clear" w:color="auto" w:fill="auto"/>
            <w:vAlign w:val="center"/>
            <w:hideMark/>
          </w:tcPr>
          <w:p w14:paraId="0E3518EC" w14:textId="77777777" w:rsidR="00922C2A" w:rsidRPr="00922C2A" w:rsidRDefault="00922C2A" w:rsidP="006F49C9">
            <w:pPr>
              <w:spacing w:before="0" w:after="0"/>
              <w:jc w:val="right"/>
              <w:rPr>
                <w:rFonts w:eastAsia="Times New Roman"/>
                <w:noProof/>
                <w:color w:val="000000"/>
                <w:sz w:val="20"/>
                <w:szCs w:val="20"/>
              </w:rPr>
            </w:pPr>
            <w:r w:rsidRPr="00922C2A">
              <w:rPr>
                <w:rFonts w:ascii="Calibri" w:hAnsi="Calibri"/>
                <w:noProof/>
                <w:color w:val="000000"/>
                <w:sz w:val="22"/>
              </w:rPr>
              <w:t>0,000</w:t>
            </w:r>
          </w:p>
        </w:tc>
      </w:tr>
      <w:tr w:rsidR="00922C2A" w:rsidRPr="00922C2A" w14:paraId="68C9186D" w14:textId="77777777" w:rsidTr="006F49C9">
        <w:trPr>
          <w:trHeight w:val="340"/>
        </w:trPr>
        <w:tc>
          <w:tcPr>
            <w:tcW w:w="1232" w:type="dxa"/>
            <w:tcBorders>
              <w:top w:val="nil"/>
              <w:left w:val="single" w:sz="8" w:space="0" w:color="auto"/>
              <w:bottom w:val="single" w:sz="8" w:space="0" w:color="auto"/>
              <w:right w:val="single" w:sz="8" w:space="0" w:color="auto"/>
            </w:tcBorders>
            <w:shd w:val="clear" w:color="000000" w:fill="CCCCCC"/>
            <w:vAlign w:val="center"/>
            <w:hideMark/>
          </w:tcPr>
          <w:p w14:paraId="61E03E1F" w14:textId="77777777" w:rsidR="00922C2A" w:rsidRPr="00922C2A" w:rsidRDefault="00922C2A" w:rsidP="006F49C9">
            <w:pPr>
              <w:spacing w:before="0" w:after="0"/>
              <w:jc w:val="center"/>
              <w:rPr>
                <w:rFonts w:eastAsia="Times New Roman"/>
                <w:noProof/>
                <w:color w:val="000000"/>
                <w:sz w:val="18"/>
                <w:szCs w:val="18"/>
              </w:rPr>
            </w:pPr>
            <w:r w:rsidRPr="00922C2A">
              <w:rPr>
                <w:noProof/>
                <w:sz w:val="18"/>
              </w:rPr>
              <w:t>Total</w:t>
            </w:r>
          </w:p>
        </w:tc>
        <w:tc>
          <w:tcPr>
            <w:tcW w:w="1070" w:type="dxa"/>
            <w:tcBorders>
              <w:top w:val="nil"/>
              <w:left w:val="nil"/>
              <w:bottom w:val="single" w:sz="8" w:space="0" w:color="auto"/>
              <w:right w:val="single" w:sz="8" w:space="0" w:color="auto"/>
            </w:tcBorders>
            <w:shd w:val="clear" w:color="auto" w:fill="auto"/>
            <w:vAlign w:val="center"/>
            <w:hideMark/>
          </w:tcPr>
          <w:p w14:paraId="72BC1A9A"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 </w:t>
            </w:r>
          </w:p>
        </w:tc>
        <w:tc>
          <w:tcPr>
            <w:tcW w:w="1069" w:type="dxa"/>
            <w:tcBorders>
              <w:top w:val="nil"/>
              <w:left w:val="nil"/>
              <w:bottom w:val="single" w:sz="8" w:space="0" w:color="auto"/>
              <w:right w:val="single" w:sz="8" w:space="0" w:color="auto"/>
            </w:tcBorders>
            <w:shd w:val="clear" w:color="auto" w:fill="auto"/>
            <w:vAlign w:val="center"/>
            <w:hideMark/>
          </w:tcPr>
          <w:p w14:paraId="35558300" w14:textId="77777777" w:rsidR="00922C2A" w:rsidRPr="00922C2A" w:rsidRDefault="00922C2A" w:rsidP="006F49C9">
            <w:pPr>
              <w:spacing w:before="0" w:after="0"/>
              <w:jc w:val="right"/>
              <w:rPr>
                <w:rFonts w:eastAsia="Times New Roman"/>
                <w:noProof/>
                <w:color w:val="000000"/>
                <w:sz w:val="20"/>
                <w:szCs w:val="20"/>
              </w:rPr>
            </w:pPr>
            <w:r w:rsidRPr="00922C2A">
              <w:rPr>
                <w:noProof/>
                <w:color w:val="000000"/>
                <w:sz w:val="20"/>
              </w:rPr>
              <w:t> </w:t>
            </w:r>
          </w:p>
        </w:tc>
        <w:tc>
          <w:tcPr>
            <w:tcW w:w="1358" w:type="dxa"/>
            <w:tcBorders>
              <w:top w:val="nil"/>
              <w:left w:val="nil"/>
              <w:bottom w:val="single" w:sz="8" w:space="0" w:color="auto"/>
              <w:right w:val="single" w:sz="8" w:space="0" w:color="auto"/>
            </w:tcBorders>
            <w:shd w:val="clear" w:color="auto" w:fill="auto"/>
            <w:vAlign w:val="center"/>
            <w:hideMark/>
          </w:tcPr>
          <w:p w14:paraId="2C8F76FC" w14:textId="77777777" w:rsidR="00922C2A" w:rsidRPr="00922C2A" w:rsidRDefault="00922C2A" w:rsidP="006F49C9">
            <w:pPr>
              <w:spacing w:before="0" w:after="0"/>
              <w:jc w:val="right"/>
              <w:rPr>
                <w:rFonts w:eastAsia="Times New Roman"/>
                <w:noProof/>
                <w:color w:val="000000"/>
                <w:sz w:val="20"/>
                <w:szCs w:val="20"/>
              </w:rPr>
            </w:pPr>
            <w:r w:rsidRPr="00922C2A">
              <w:rPr>
                <w:rFonts w:ascii="Calibri" w:hAnsi="Calibri"/>
                <w:noProof/>
                <w:color w:val="000000"/>
                <w:sz w:val="22"/>
              </w:rPr>
              <w:t>0,524</w:t>
            </w:r>
          </w:p>
        </w:tc>
        <w:tc>
          <w:tcPr>
            <w:tcW w:w="1358" w:type="dxa"/>
            <w:tcBorders>
              <w:top w:val="nil"/>
              <w:left w:val="nil"/>
              <w:bottom w:val="single" w:sz="8" w:space="0" w:color="auto"/>
              <w:right w:val="single" w:sz="8" w:space="0" w:color="auto"/>
            </w:tcBorders>
            <w:shd w:val="clear" w:color="auto" w:fill="auto"/>
            <w:vAlign w:val="center"/>
            <w:hideMark/>
          </w:tcPr>
          <w:p w14:paraId="16D46F2D" w14:textId="77777777" w:rsidR="00922C2A" w:rsidRPr="00922C2A" w:rsidRDefault="00922C2A" w:rsidP="006F49C9">
            <w:pPr>
              <w:spacing w:before="0" w:after="0"/>
              <w:jc w:val="right"/>
              <w:rPr>
                <w:rFonts w:eastAsia="Times New Roman"/>
                <w:noProof/>
                <w:color w:val="000000"/>
                <w:sz w:val="20"/>
                <w:szCs w:val="20"/>
              </w:rPr>
            </w:pPr>
            <w:r w:rsidRPr="00922C2A">
              <w:rPr>
                <w:rFonts w:ascii="Calibri" w:hAnsi="Calibri"/>
                <w:noProof/>
                <w:color w:val="000000"/>
                <w:sz w:val="22"/>
              </w:rPr>
              <w:t>0,628</w:t>
            </w:r>
          </w:p>
        </w:tc>
        <w:tc>
          <w:tcPr>
            <w:tcW w:w="1356" w:type="dxa"/>
            <w:tcBorders>
              <w:top w:val="nil"/>
              <w:left w:val="nil"/>
              <w:bottom w:val="single" w:sz="8" w:space="0" w:color="auto"/>
              <w:right w:val="single" w:sz="8" w:space="0" w:color="auto"/>
            </w:tcBorders>
            <w:shd w:val="clear" w:color="auto" w:fill="auto"/>
            <w:vAlign w:val="center"/>
            <w:hideMark/>
          </w:tcPr>
          <w:p w14:paraId="6EB9CBB7" w14:textId="77777777" w:rsidR="00922C2A" w:rsidRPr="00922C2A" w:rsidRDefault="00922C2A" w:rsidP="006F49C9">
            <w:pPr>
              <w:spacing w:before="0" w:after="0"/>
              <w:jc w:val="right"/>
              <w:rPr>
                <w:rFonts w:eastAsia="Times New Roman"/>
                <w:noProof/>
                <w:color w:val="000000"/>
                <w:sz w:val="20"/>
                <w:szCs w:val="20"/>
              </w:rPr>
            </w:pPr>
            <w:r w:rsidRPr="00922C2A">
              <w:rPr>
                <w:rFonts w:ascii="Calibri" w:hAnsi="Calibri"/>
                <w:noProof/>
                <w:color w:val="000000"/>
                <w:sz w:val="22"/>
              </w:rPr>
              <w:t>1,152</w:t>
            </w:r>
          </w:p>
        </w:tc>
      </w:tr>
    </w:tbl>
    <w:p w14:paraId="05BAEBA3" w14:textId="77777777" w:rsidR="00922C2A" w:rsidRPr="00922C2A" w:rsidRDefault="00922C2A" w:rsidP="00922C2A">
      <w:pPr>
        <w:rPr>
          <w:noProof/>
          <w:sz w:val="20"/>
        </w:rPr>
      </w:pPr>
    </w:p>
    <w:p w14:paraId="6EEE7E1D" w14:textId="77777777" w:rsidR="00922C2A" w:rsidRPr="00922C2A" w:rsidRDefault="00922C2A" w:rsidP="00922C2A">
      <w:pPr>
        <w:rPr>
          <w:noProof/>
          <w:sz w:val="20"/>
        </w:rPr>
      </w:pPr>
    </w:p>
    <w:p w14:paraId="4E691DB0" w14:textId="77777777" w:rsidR="00922C2A" w:rsidRPr="00922C2A" w:rsidRDefault="00922C2A" w:rsidP="00922C2A">
      <w:pPr>
        <w:rPr>
          <w:noProof/>
          <w:sz w:val="20"/>
        </w:rPr>
      </w:pPr>
    </w:p>
    <w:p w14:paraId="31A4CC38" w14:textId="77777777" w:rsidR="00922C2A" w:rsidRPr="00922C2A" w:rsidRDefault="00922C2A" w:rsidP="00922C2A">
      <w:pPr>
        <w:rPr>
          <w:noProof/>
          <w:sz w:val="20"/>
        </w:rPr>
      </w:pPr>
      <w:r w:rsidRPr="00922C2A">
        <w:rPr>
          <w:noProof/>
          <w:sz w:val="20"/>
        </w:rPr>
        <w:t xml:space="preserve">Besoins en personnel (ETP): total des emplois financés par l’Union </w:t>
      </w:r>
    </w:p>
    <w:p w14:paraId="1A3B4DAC" w14:textId="77777777" w:rsidR="00922C2A" w:rsidRPr="00922C2A" w:rsidRDefault="00922C2A" w:rsidP="00922C2A">
      <w:pPr>
        <w:spacing w:line="200" w:lineRule="exact"/>
        <w:rPr>
          <w:noProof/>
          <w:sz w:val="16"/>
          <w:szCs w:val="16"/>
        </w:rPr>
      </w:pPr>
    </w:p>
    <w:p w14:paraId="701F8457" w14:textId="77777777" w:rsidR="00922C2A" w:rsidRPr="00922C2A" w:rsidRDefault="00922C2A" w:rsidP="00922C2A">
      <w:pPr>
        <w:spacing w:line="200" w:lineRule="exact"/>
        <w:rPr>
          <w:noProof/>
          <w:sz w:val="16"/>
          <w:szCs w:val="16"/>
        </w:rPr>
      </w:pPr>
    </w:p>
    <w:tbl>
      <w:tblPr>
        <w:tblW w:w="9367"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869"/>
        <w:gridCol w:w="1565"/>
        <w:gridCol w:w="2807"/>
        <w:gridCol w:w="2126"/>
      </w:tblGrid>
      <w:tr w:rsidR="00922C2A" w:rsidRPr="00922C2A" w14:paraId="7F5F4D71" w14:textId="77777777" w:rsidTr="006F49C9">
        <w:trPr>
          <w:trHeight w:val="757"/>
        </w:trPr>
        <w:tc>
          <w:tcPr>
            <w:tcW w:w="2869" w:type="dxa"/>
          </w:tcPr>
          <w:p w14:paraId="0424FB0A" w14:textId="77777777" w:rsidR="00922C2A" w:rsidRPr="00922C2A" w:rsidRDefault="00922C2A" w:rsidP="006F49C9">
            <w:pPr>
              <w:spacing w:before="60" w:after="60" w:line="200" w:lineRule="exact"/>
              <w:rPr>
                <w:noProof/>
                <w:sz w:val="16"/>
                <w:szCs w:val="16"/>
              </w:rPr>
            </w:pPr>
          </w:p>
        </w:tc>
        <w:tc>
          <w:tcPr>
            <w:tcW w:w="1565" w:type="dxa"/>
            <w:vAlign w:val="center"/>
          </w:tcPr>
          <w:p w14:paraId="19BF64CF" w14:textId="77777777" w:rsidR="00922C2A" w:rsidRPr="00922C2A" w:rsidRDefault="00922C2A" w:rsidP="006F49C9">
            <w:pPr>
              <w:spacing w:before="60" w:after="60" w:line="200" w:lineRule="exact"/>
              <w:jc w:val="center"/>
              <w:rPr>
                <w:noProof/>
                <w:sz w:val="16"/>
                <w:szCs w:val="16"/>
              </w:rPr>
            </w:pPr>
            <w:r w:rsidRPr="00922C2A">
              <w:rPr>
                <w:noProof/>
                <w:sz w:val="20"/>
              </w:rPr>
              <w:t>Année</w:t>
            </w:r>
            <w:r w:rsidRPr="00922C2A">
              <w:rPr>
                <w:noProof/>
                <w:sz w:val="22"/>
              </w:rPr>
              <w:cr/>
            </w:r>
            <w:r w:rsidRPr="00922C2A">
              <w:rPr>
                <w:noProof/>
                <w:sz w:val="22"/>
              </w:rPr>
              <w:br/>
            </w:r>
            <w:r w:rsidRPr="00922C2A">
              <w:rPr>
                <w:b/>
                <w:noProof/>
                <w:sz w:val="20"/>
              </w:rPr>
              <w:t>2026</w:t>
            </w:r>
          </w:p>
        </w:tc>
        <w:tc>
          <w:tcPr>
            <w:tcW w:w="2807" w:type="dxa"/>
            <w:vAlign w:val="center"/>
          </w:tcPr>
          <w:p w14:paraId="5E8B1930" w14:textId="77777777" w:rsidR="00922C2A" w:rsidRPr="00922C2A" w:rsidRDefault="00922C2A" w:rsidP="006F49C9">
            <w:pPr>
              <w:spacing w:before="60" w:after="60" w:line="200" w:lineRule="exact"/>
              <w:jc w:val="center"/>
              <w:rPr>
                <w:noProof/>
                <w:sz w:val="16"/>
                <w:szCs w:val="16"/>
              </w:rPr>
            </w:pPr>
            <w:r w:rsidRPr="00922C2A">
              <w:rPr>
                <w:noProof/>
                <w:sz w:val="20"/>
              </w:rPr>
              <w:t>Année</w:t>
            </w:r>
            <w:r w:rsidRPr="00922C2A">
              <w:rPr>
                <w:noProof/>
                <w:sz w:val="22"/>
              </w:rPr>
              <w:cr/>
            </w:r>
            <w:r w:rsidRPr="00922C2A">
              <w:rPr>
                <w:noProof/>
                <w:sz w:val="22"/>
              </w:rPr>
              <w:br/>
            </w:r>
            <w:r w:rsidRPr="00922C2A">
              <w:rPr>
                <w:b/>
                <w:noProof/>
                <w:sz w:val="20"/>
              </w:rPr>
              <w:t xml:space="preserve">2027 </w:t>
            </w:r>
          </w:p>
        </w:tc>
        <w:tc>
          <w:tcPr>
            <w:tcW w:w="2126" w:type="dxa"/>
            <w:vAlign w:val="center"/>
          </w:tcPr>
          <w:p w14:paraId="195224ED" w14:textId="77777777" w:rsidR="00922C2A" w:rsidRPr="00922C2A" w:rsidRDefault="00922C2A" w:rsidP="006F49C9">
            <w:pPr>
              <w:spacing w:before="60" w:after="60" w:line="200" w:lineRule="exact"/>
              <w:jc w:val="center"/>
              <w:rPr>
                <w:b/>
                <w:noProof/>
                <w:sz w:val="16"/>
                <w:szCs w:val="16"/>
              </w:rPr>
            </w:pPr>
            <w:r w:rsidRPr="00922C2A">
              <w:rPr>
                <w:b/>
                <w:noProof/>
                <w:sz w:val="16"/>
              </w:rPr>
              <w:t>TOTAL</w:t>
            </w:r>
          </w:p>
        </w:tc>
      </w:tr>
    </w:tbl>
    <w:p w14:paraId="062AF4D8" w14:textId="77777777" w:rsidR="00922C2A" w:rsidRPr="00922C2A" w:rsidRDefault="00922C2A" w:rsidP="00922C2A">
      <w:pPr>
        <w:spacing w:line="200" w:lineRule="exact"/>
        <w:rPr>
          <w:noProof/>
          <w:sz w:val="16"/>
          <w:szCs w:val="16"/>
        </w:rPr>
      </w:pPr>
    </w:p>
    <w:tbl>
      <w:tblPr>
        <w:tblW w:w="9367"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873"/>
        <w:gridCol w:w="1567"/>
        <w:gridCol w:w="2801"/>
        <w:gridCol w:w="2126"/>
      </w:tblGrid>
      <w:tr w:rsidR="00922C2A" w:rsidRPr="00922C2A" w14:paraId="7C8F74D4" w14:textId="77777777" w:rsidTr="006F49C9">
        <w:trPr>
          <w:trHeight w:val="687"/>
        </w:trPr>
        <w:tc>
          <w:tcPr>
            <w:tcW w:w="2873" w:type="dxa"/>
            <w:shd w:val="clear" w:color="auto" w:fill="D9D9D9" w:themeFill="background1" w:themeFillShade="D9"/>
            <w:vAlign w:val="center"/>
          </w:tcPr>
          <w:p w14:paraId="38FFC1A2" w14:textId="77777777" w:rsidR="00922C2A" w:rsidRPr="00922C2A" w:rsidRDefault="00922C2A" w:rsidP="006F49C9">
            <w:pPr>
              <w:spacing w:before="60" w:after="60"/>
              <w:jc w:val="center"/>
              <w:rPr>
                <w:noProof/>
              </w:rPr>
            </w:pPr>
            <w:r w:rsidRPr="00922C2A">
              <w:rPr>
                <w:noProof/>
                <w:sz w:val="18"/>
              </w:rPr>
              <w:t>Agents temporaires (grades AD)</w:t>
            </w:r>
          </w:p>
        </w:tc>
        <w:tc>
          <w:tcPr>
            <w:tcW w:w="1567" w:type="dxa"/>
            <w:tcBorders>
              <w:top w:val="single" w:sz="8" w:space="0" w:color="auto"/>
              <w:left w:val="nil"/>
              <w:bottom w:val="single" w:sz="4" w:space="0" w:color="auto"/>
              <w:right w:val="single" w:sz="4" w:space="0" w:color="auto"/>
            </w:tcBorders>
            <w:shd w:val="clear" w:color="auto" w:fill="auto"/>
            <w:vAlign w:val="bottom"/>
          </w:tcPr>
          <w:p w14:paraId="46B44269" w14:textId="77777777" w:rsidR="00922C2A" w:rsidRPr="00922C2A" w:rsidRDefault="00922C2A" w:rsidP="006F49C9">
            <w:pPr>
              <w:spacing w:before="60" w:after="60"/>
              <w:jc w:val="right"/>
              <w:rPr>
                <w:noProof/>
                <w:sz w:val="20"/>
                <w:szCs w:val="20"/>
              </w:rPr>
            </w:pPr>
            <w:r w:rsidRPr="00922C2A">
              <w:rPr>
                <w:rFonts w:ascii="Calibri" w:hAnsi="Calibri"/>
                <w:noProof/>
                <w:color w:val="000000"/>
                <w:sz w:val="22"/>
              </w:rPr>
              <w:t>2</w:t>
            </w:r>
            <w:r w:rsidRPr="00922C2A">
              <w:rPr>
                <w:rStyle w:val="FootnoteReference"/>
                <w:rFonts w:ascii="Calibri" w:hAnsi="Calibri" w:cs="Calibri"/>
                <w:noProof/>
                <w:color w:val="000000"/>
                <w:sz w:val="22"/>
                <w:szCs w:val="20"/>
              </w:rPr>
              <w:footnoteReference w:id="105"/>
            </w:r>
          </w:p>
        </w:tc>
        <w:tc>
          <w:tcPr>
            <w:tcW w:w="2801" w:type="dxa"/>
            <w:tcBorders>
              <w:top w:val="single" w:sz="8" w:space="0" w:color="auto"/>
              <w:left w:val="nil"/>
              <w:bottom w:val="single" w:sz="4" w:space="0" w:color="auto"/>
              <w:right w:val="single" w:sz="8" w:space="0" w:color="auto"/>
            </w:tcBorders>
            <w:shd w:val="clear" w:color="auto" w:fill="auto"/>
            <w:vAlign w:val="bottom"/>
          </w:tcPr>
          <w:p w14:paraId="0C6498D4" w14:textId="77777777" w:rsidR="00922C2A" w:rsidRPr="00922C2A" w:rsidRDefault="00922C2A" w:rsidP="006F49C9">
            <w:pPr>
              <w:spacing w:before="60" w:after="60"/>
              <w:jc w:val="right"/>
              <w:rPr>
                <w:noProof/>
                <w:sz w:val="20"/>
                <w:szCs w:val="20"/>
              </w:rPr>
            </w:pPr>
            <w:r w:rsidRPr="00922C2A">
              <w:rPr>
                <w:rFonts w:ascii="Calibri" w:hAnsi="Calibri"/>
                <w:noProof/>
                <w:color w:val="000000"/>
                <w:sz w:val="22"/>
              </w:rPr>
              <w:t>2</w:t>
            </w:r>
          </w:p>
        </w:tc>
        <w:tc>
          <w:tcPr>
            <w:tcW w:w="2126" w:type="dxa"/>
            <w:vAlign w:val="center"/>
          </w:tcPr>
          <w:p w14:paraId="0A47B8F6" w14:textId="77777777" w:rsidR="00922C2A" w:rsidRPr="00922C2A" w:rsidRDefault="00922C2A" w:rsidP="006F49C9">
            <w:pPr>
              <w:spacing w:before="60" w:after="60"/>
              <w:jc w:val="right"/>
              <w:rPr>
                <w:rFonts w:asciiTheme="minorHAnsi" w:hAnsiTheme="minorHAnsi" w:cstheme="minorHAnsi"/>
                <w:noProof/>
                <w:sz w:val="22"/>
              </w:rPr>
            </w:pPr>
            <w:r w:rsidRPr="00922C2A">
              <w:rPr>
                <w:rFonts w:asciiTheme="minorHAnsi" w:hAnsiTheme="minorHAnsi"/>
                <w:noProof/>
                <w:sz w:val="22"/>
              </w:rPr>
              <w:t>2</w:t>
            </w:r>
          </w:p>
        </w:tc>
      </w:tr>
      <w:tr w:rsidR="00922C2A" w:rsidRPr="00922C2A" w14:paraId="60711668" w14:textId="77777777" w:rsidTr="006F49C9">
        <w:trPr>
          <w:trHeight w:val="687"/>
        </w:trPr>
        <w:tc>
          <w:tcPr>
            <w:tcW w:w="2873" w:type="dxa"/>
            <w:shd w:val="clear" w:color="auto" w:fill="BFBFBF" w:themeFill="background1" w:themeFillShade="BF"/>
            <w:vAlign w:val="center"/>
          </w:tcPr>
          <w:p w14:paraId="2681E373" w14:textId="77777777" w:rsidR="00922C2A" w:rsidRPr="00922C2A" w:rsidRDefault="00922C2A" w:rsidP="006F49C9">
            <w:pPr>
              <w:spacing w:before="60" w:after="60"/>
              <w:ind w:left="72"/>
              <w:rPr>
                <w:noProof/>
              </w:rPr>
            </w:pPr>
            <w:r w:rsidRPr="00922C2A">
              <w:rPr>
                <w:noProof/>
                <w:sz w:val="20"/>
              </w:rPr>
              <w:t>Agents temporaires (grades AST)</w:t>
            </w:r>
          </w:p>
        </w:tc>
        <w:tc>
          <w:tcPr>
            <w:tcW w:w="1567" w:type="dxa"/>
            <w:tcBorders>
              <w:top w:val="nil"/>
              <w:left w:val="nil"/>
              <w:bottom w:val="single" w:sz="8" w:space="0" w:color="auto"/>
              <w:right w:val="single" w:sz="4" w:space="0" w:color="auto"/>
            </w:tcBorders>
            <w:shd w:val="clear" w:color="auto" w:fill="auto"/>
            <w:vAlign w:val="bottom"/>
          </w:tcPr>
          <w:p w14:paraId="5FFF851F" w14:textId="77777777" w:rsidR="00922C2A" w:rsidRPr="00922C2A" w:rsidRDefault="00922C2A" w:rsidP="006F49C9">
            <w:pPr>
              <w:spacing w:before="60" w:after="60"/>
              <w:jc w:val="right"/>
              <w:rPr>
                <w:noProof/>
                <w:sz w:val="20"/>
                <w:szCs w:val="20"/>
              </w:rPr>
            </w:pPr>
            <w:r w:rsidRPr="00922C2A">
              <w:rPr>
                <w:rFonts w:ascii="Calibri" w:hAnsi="Calibri"/>
                <w:noProof/>
                <w:color w:val="000000"/>
                <w:sz w:val="22"/>
              </w:rPr>
              <w:t>1</w:t>
            </w:r>
          </w:p>
        </w:tc>
        <w:tc>
          <w:tcPr>
            <w:tcW w:w="2801" w:type="dxa"/>
            <w:tcBorders>
              <w:top w:val="nil"/>
              <w:left w:val="nil"/>
              <w:bottom w:val="single" w:sz="8" w:space="0" w:color="auto"/>
              <w:right w:val="single" w:sz="8" w:space="0" w:color="auto"/>
            </w:tcBorders>
            <w:shd w:val="clear" w:color="auto" w:fill="auto"/>
            <w:vAlign w:val="bottom"/>
          </w:tcPr>
          <w:p w14:paraId="68A2E800" w14:textId="77777777" w:rsidR="00922C2A" w:rsidRPr="00922C2A" w:rsidRDefault="00922C2A" w:rsidP="006F49C9">
            <w:pPr>
              <w:spacing w:before="60" w:after="60"/>
              <w:jc w:val="right"/>
              <w:rPr>
                <w:noProof/>
                <w:sz w:val="20"/>
                <w:szCs w:val="20"/>
              </w:rPr>
            </w:pPr>
            <w:r w:rsidRPr="00922C2A">
              <w:rPr>
                <w:rFonts w:ascii="Calibri" w:hAnsi="Calibri"/>
                <w:noProof/>
                <w:color w:val="000000"/>
                <w:sz w:val="22"/>
              </w:rPr>
              <w:t>1</w:t>
            </w:r>
          </w:p>
        </w:tc>
        <w:tc>
          <w:tcPr>
            <w:tcW w:w="2126" w:type="dxa"/>
            <w:vAlign w:val="center"/>
          </w:tcPr>
          <w:p w14:paraId="4CAB3DDD" w14:textId="77777777" w:rsidR="00922C2A" w:rsidRPr="00922C2A" w:rsidRDefault="00922C2A" w:rsidP="006F49C9">
            <w:pPr>
              <w:spacing w:before="60" w:after="60"/>
              <w:jc w:val="right"/>
              <w:rPr>
                <w:rFonts w:asciiTheme="minorHAnsi" w:hAnsiTheme="minorHAnsi" w:cstheme="minorHAnsi"/>
                <w:noProof/>
                <w:sz w:val="22"/>
              </w:rPr>
            </w:pPr>
            <w:r w:rsidRPr="00922C2A">
              <w:rPr>
                <w:rFonts w:asciiTheme="minorHAnsi" w:hAnsiTheme="minorHAnsi"/>
                <w:noProof/>
                <w:sz w:val="22"/>
              </w:rPr>
              <w:t>1</w:t>
            </w:r>
          </w:p>
        </w:tc>
      </w:tr>
      <w:tr w:rsidR="00922C2A" w:rsidRPr="00922C2A" w14:paraId="499893CA" w14:textId="77777777" w:rsidTr="006F49C9">
        <w:trPr>
          <w:trHeight w:val="687"/>
        </w:trPr>
        <w:tc>
          <w:tcPr>
            <w:tcW w:w="2873" w:type="dxa"/>
            <w:shd w:val="clear" w:color="auto" w:fill="BFBFBF" w:themeFill="background1" w:themeFillShade="BF"/>
            <w:vAlign w:val="center"/>
          </w:tcPr>
          <w:p w14:paraId="6D758CCA" w14:textId="77777777" w:rsidR="00922C2A" w:rsidRPr="00922C2A" w:rsidRDefault="00922C2A" w:rsidP="006F49C9">
            <w:pPr>
              <w:spacing w:before="60" w:after="60"/>
              <w:ind w:left="72"/>
              <w:rPr>
                <w:noProof/>
              </w:rPr>
            </w:pPr>
            <w:r w:rsidRPr="00922C2A">
              <w:rPr>
                <w:noProof/>
                <w:sz w:val="20"/>
              </w:rPr>
              <w:t>Agents contractuels</w:t>
            </w:r>
          </w:p>
        </w:tc>
        <w:tc>
          <w:tcPr>
            <w:tcW w:w="1567" w:type="dxa"/>
            <w:shd w:val="clear" w:color="auto" w:fill="BFBFBF" w:themeFill="background1" w:themeFillShade="BF"/>
            <w:vAlign w:val="center"/>
          </w:tcPr>
          <w:p w14:paraId="51A708A2" w14:textId="77777777" w:rsidR="00922C2A" w:rsidRPr="00922C2A" w:rsidRDefault="00922C2A" w:rsidP="006F49C9">
            <w:pPr>
              <w:spacing w:before="60" w:after="60"/>
              <w:jc w:val="right"/>
              <w:rPr>
                <w:noProof/>
                <w:sz w:val="20"/>
              </w:rPr>
            </w:pPr>
          </w:p>
        </w:tc>
        <w:tc>
          <w:tcPr>
            <w:tcW w:w="2801" w:type="dxa"/>
            <w:shd w:val="clear" w:color="auto" w:fill="BFBFBF" w:themeFill="background1" w:themeFillShade="BF"/>
            <w:vAlign w:val="center"/>
          </w:tcPr>
          <w:p w14:paraId="10031462" w14:textId="77777777" w:rsidR="00922C2A" w:rsidRPr="00922C2A" w:rsidRDefault="00922C2A" w:rsidP="006F49C9">
            <w:pPr>
              <w:spacing w:before="60" w:after="60"/>
              <w:jc w:val="right"/>
              <w:rPr>
                <w:noProof/>
                <w:sz w:val="20"/>
              </w:rPr>
            </w:pPr>
          </w:p>
        </w:tc>
        <w:tc>
          <w:tcPr>
            <w:tcW w:w="2126" w:type="dxa"/>
            <w:shd w:val="clear" w:color="auto" w:fill="BFBFBF" w:themeFill="background1" w:themeFillShade="BF"/>
            <w:vAlign w:val="center"/>
          </w:tcPr>
          <w:p w14:paraId="6131ABCC" w14:textId="77777777" w:rsidR="00922C2A" w:rsidRPr="00922C2A" w:rsidRDefault="00922C2A" w:rsidP="006F49C9">
            <w:pPr>
              <w:spacing w:before="60" w:after="60"/>
              <w:jc w:val="right"/>
              <w:rPr>
                <w:noProof/>
                <w:sz w:val="20"/>
              </w:rPr>
            </w:pPr>
          </w:p>
        </w:tc>
      </w:tr>
      <w:tr w:rsidR="00922C2A" w:rsidRPr="00922C2A" w14:paraId="77352CB0" w14:textId="77777777" w:rsidTr="006F49C9">
        <w:trPr>
          <w:trHeight w:val="687"/>
        </w:trPr>
        <w:tc>
          <w:tcPr>
            <w:tcW w:w="2873" w:type="dxa"/>
            <w:shd w:val="clear" w:color="auto" w:fill="CCCCCC"/>
            <w:vAlign w:val="center"/>
          </w:tcPr>
          <w:p w14:paraId="7D6A8EAF" w14:textId="77777777" w:rsidR="00922C2A" w:rsidRPr="00922C2A" w:rsidRDefault="00922C2A" w:rsidP="006F49C9">
            <w:pPr>
              <w:spacing w:before="60" w:after="60"/>
              <w:jc w:val="center"/>
              <w:rPr>
                <w:noProof/>
              </w:rPr>
            </w:pPr>
            <w:r w:rsidRPr="00922C2A">
              <w:rPr>
                <w:noProof/>
                <w:sz w:val="18"/>
              </w:rPr>
              <w:t>Experts nationaux détachés</w:t>
            </w:r>
          </w:p>
        </w:tc>
        <w:tc>
          <w:tcPr>
            <w:tcW w:w="1567" w:type="dxa"/>
            <w:vAlign w:val="center"/>
          </w:tcPr>
          <w:p w14:paraId="7BF0DBC3" w14:textId="77777777" w:rsidR="00922C2A" w:rsidRPr="00922C2A" w:rsidRDefault="00922C2A" w:rsidP="006F49C9">
            <w:pPr>
              <w:spacing w:before="60" w:after="60"/>
              <w:jc w:val="right"/>
              <w:rPr>
                <w:noProof/>
                <w:sz w:val="20"/>
              </w:rPr>
            </w:pPr>
          </w:p>
        </w:tc>
        <w:tc>
          <w:tcPr>
            <w:tcW w:w="2801" w:type="dxa"/>
            <w:vAlign w:val="center"/>
          </w:tcPr>
          <w:p w14:paraId="622BC259" w14:textId="77777777" w:rsidR="00922C2A" w:rsidRPr="00922C2A" w:rsidRDefault="00922C2A" w:rsidP="006F49C9">
            <w:pPr>
              <w:spacing w:before="60" w:after="60"/>
              <w:jc w:val="right"/>
              <w:rPr>
                <w:noProof/>
                <w:sz w:val="20"/>
              </w:rPr>
            </w:pPr>
          </w:p>
        </w:tc>
        <w:tc>
          <w:tcPr>
            <w:tcW w:w="2126" w:type="dxa"/>
            <w:vAlign w:val="center"/>
          </w:tcPr>
          <w:p w14:paraId="43CBA992" w14:textId="77777777" w:rsidR="00922C2A" w:rsidRPr="00922C2A" w:rsidRDefault="00922C2A" w:rsidP="006F49C9">
            <w:pPr>
              <w:spacing w:before="60" w:after="60"/>
              <w:jc w:val="right"/>
              <w:rPr>
                <w:noProof/>
                <w:sz w:val="20"/>
              </w:rPr>
            </w:pPr>
          </w:p>
        </w:tc>
      </w:tr>
    </w:tbl>
    <w:p w14:paraId="4E00564B" w14:textId="77777777" w:rsidR="00922C2A" w:rsidRPr="00922C2A" w:rsidRDefault="00922C2A" w:rsidP="00922C2A">
      <w:pPr>
        <w:spacing w:line="200" w:lineRule="exact"/>
        <w:rPr>
          <w:noProof/>
          <w:sz w:val="16"/>
          <w:szCs w:val="16"/>
        </w:rPr>
      </w:pPr>
    </w:p>
    <w:tbl>
      <w:tblPr>
        <w:tblW w:w="9367" w:type="dxa"/>
        <w:tblInd w:w="-612" w:type="dxa"/>
        <w:tblLayout w:type="fixed"/>
        <w:tblLook w:val="01E0" w:firstRow="1" w:lastRow="1" w:firstColumn="1" w:lastColumn="1" w:noHBand="0" w:noVBand="0"/>
      </w:tblPr>
      <w:tblGrid>
        <w:gridCol w:w="2877"/>
        <w:gridCol w:w="1569"/>
        <w:gridCol w:w="2795"/>
        <w:gridCol w:w="2126"/>
      </w:tblGrid>
      <w:tr w:rsidR="00922C2A" w:rsidRPr="00922C2A" w14:paraId="134C2701" w14:textId="77777777" w:rsidTr="006F49C9">
        <w:trPr>
          <w:trHeight w:val="918"/>
        </w:trPr>
        <w:tc>
          <w:tcPr>
            <w:tcW w:w="2877" w:type="dxa"/>
            <w:tcBorders>
              <w:top w:val="single" w:sz="12" w:space="0" w:color="auto"/>
              <w:left w:val="single" w:sz="12" w:space="0" w:color="auto"/>
              <w:bottom w:val="single" w:sz="12" w:space="0" w:color="auto"/>
              <w:right w:val="single" w:sz="2" w:space="0" w:color="auto"/>
            </w:tcBorders>
            <w:vAlign w:val="center"/>
          </w:tcPr>
          <w:p w14:paraId="7DFB6CE9" w14:textId="77777777" w:rsidR="00922C2A" w:rsidRPr="00922C2A" w:rsidRDefault="00922C2A" w:rsidP="006F49C9">
            <w:pPr>
              <w:spacing w:before="60" w:after="60"/>
              <w:jc w:val="center"/>
              <w:rPr>
                <w:noProof/>
                <w:sz w:val="20"/>
              </w:rPr>
            </w:pPr>
            <w:r w:rsidRPr="00922C2A">
              <w:rPr>
                <w:b/>
                <w:noProof/>
                <w:sz w:val="20"/>
              </w:rPr>
              <w:t>TOTAL</w:t>
            </w:r>
          </w:p>
        </w:tc>
        <w:tc>
          <w:tcPr>
            <w:tcW w:w="1569" w:type="dxa"/>
            <w:tcBorders>
              <w:top w:val="single" w:sz="12" w:space="0" w:color="auto"/>
              <w:left w:val="single" w:sz="2" w:space="0" w:color="auto"/>
              <w:bottom w:val="single" w:sz="12" w:space="0" w:color="auto"/>
              <w:right w:val="single" w:sz="2" w:space="0" w:color="auto"/>
            </w:tcBorders>
            <w:vAlign w:val="center"/>
          </w:tcPr>
          <w:p w14:paraId="318E158A" w14:textId="77777777" w:rsidR="00922C2A" w:rsidRPr="00922C2A" w:rsidRDefault="00922C2A" w:rsidP="006F49C9">
            <w:pPr>
              <w:spacing w:before="60" w:after="60"/>
              <w:jc w:val="right"/>
              <w:rPr>
                <w:b/>
                <w:bCs/>
                <w:noProof/>
                <w:sz w:val="20"/>
                <w:szCs w:val="20"/>
              </w:rPr>
            </w:pPr>
            <w:r w:rsidRPr="00922C2A">
              <w:rPr>
                <w:b/>
                <w:noProof/>
                <w:sz w:val="20"/>
              </w:rPr>
              <w:t>3</w:t>
            </w:r>
          </w:p>
        </w:tc>
        <w:tc>
          <w:tcPr>
            <w:tcW w:w="2795" w:type="dxa"/>
            <w:tcBorders>
              <w:top w:val="single" w:sz="12" w:space="0" w:color="auto"/>
              <w:left w:val="single" w:sz="2" w:space="0" w:color="auto"/>
              <w:bottom w:val="single" w:sz="12" w:space="0" w:color="auto"/>
              <w:right w:val="single" w:sz="2" w:space="0" w:color="auto"/>
            </w:tcBorders>
            <w:vAlign w:val="center"/>
          </w:tcPr>
          <w:p w14:paraId="32DD2261" w14:textId="77777777" w:rsidR="00922C2A" w:rsidRPr="00922C2A" w:rsidRDefault="00922C2A" w:rsidP="006F49C9">
            <w:pPr>
              <w:spacing w:before="60" w:after="60"/>
              <w:jc w:val="right"/>
              <w:rPr>
                <w:b/>
                <w:bCs/>
                <w:noProof/>
                <w:sz w:val="20"/>
                <w:szCs w:val="20"/>
              </w:rPr>
            </w:pPr>
            <w:r w:rsidRPr="00922C2A">
              <w:rPr>
                <w:b/>
                <w:noProof/>
                <w:sz w:val="20"/>
              </w:rPr>
              <w:t>3</w:t>
            </w:r>
          </w:p>
        </w:tc>
        <w:tc>
          <w:tcPr>
            <w:tcW w:w="2126" w:type="dxa"/>
            <w:tcBorders>
              <w:top w:val="single" w:sz="12" w:space="0" w:color="auto"/>
              <w:left w:val="single" w:sz="2" w:space="0" w:color="auto"/>
              <w:bottom w:val="single" w:sz="12" w:space="0" w:color="auto"/>
              <w:right w:val="single" w:sz="2" w:space="0" w:color="auto"/>
            </w:tcBorders>
            <w:vAlign w:val="center"/>
          </w:tcPr>
          <w:p w14:paraId="687CB582" w14:textId="77777777" w:rsidR="00922C2A" w:rsidRPr="00922C2A" w:rsidRDefault="00922C2A" w:rsidP="006F49C9">
            <w:pPr>
              <w:spacing w:before="60" w:after="60"/>
              <w:jc w:val="right"/>
              <w:rPr>
                <w:b/>
                <w:bCs/>
                <w:noProof/>
                <w:sz w:val="20"/>
                <w:szCs w:val="20"/>
              </w:rPr>
            </w:pPr>
            <w:r w:rsidRPr="00922C2A">
              <w:rPr>
                <w:b/>
                <w:noProof/>
                <w:sz w:val="20"/>
              </w:rPr>
              <w:t>3</w:t>
            </w:r>
          </w:p>
        </w:tc>
      </w:tr>
    </w:tbl>
    <w:p w14:paraId="6B80FE9E" w14:textId="77777777" w:rsidR="00922C2A" w:rsidRPr="00922C2A" w:rsidRDefault="00922C2A" w:rsidP="00922C2A">
      <w:pPr>
        <w:pStyle w:val="Text1"/>
        <w:ind w:left="-426" w:right="-427"/>
        <w:rPr>
          <w:noProof/>
        </w:rPr>
      </w:pPr>
      <w:r w:rsidRPr="00922C2A">
        <w:rPr>
          <w:noProof/>
        </w:rPr>
        <w:t>Description des tâches à effectuer par:</w:t>
      </w:r>
    </w:p>
    <w:tbl>
      <w:tblPr>
        <w:tblW w:w="9187"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667"/>
        <w:gridCol w:w="6520"/>
      </w:tblGrid>
      <w:tr w:rsidR="00922C2A" w:rsidRPr="00922C2A" w14:paraId="3AF42AD7" w14:textId="77777777" w:rsidTr="006F49C9">
        <w:tc>
          <w:tcPr>
            <w:tcW w:w="2667" w:type="dxa"/>
          </w:tcPr>
          <w:p w14:paraId="4EB4E883" w14:textId="77777777" w:rsidR="00922C2A" w:rsidRPr="00922C2A" w:rsidRDefault="00922C2A" w:rsidP="006F49C9">
            <w:pPr>
              <w:rPr>
                <w:noProof/>
                <w:sz w:val="20"/>
              </w:rPr>
            </w:pPr>
            <w:r w:rsidRPr="00922C2A">
              <w:rPr>
                <w:noProof/>
                <w:sz w:val="20"/>
              </w:rPr>
              <w:t>Fonctionnaires et agents temporaires</w:t>
            </w:r>
          </w:p>
        </w:tc>
        <w:tc>
          <w:tcPr>
            <w:tcW w:w="6520" w:type="dxa"/>
          </w:tcPr>
          <w:p w14:paraId="0D48BFD6" w14:textId="77777777" w:rsidR="00922C2A" w:rsidRPr="00922C2A" w:rsidRDefault="00922C2A" w:rsidP="006F49C9">
            <w:pPr>
              <w:rPr>
                <w:noProof/>
                <w:sz w:val="20"/>
              </w:rPr>
            </w:pPr>
            <w:r w:rsidRPr="00922C2A">
              <w:rPr>
                <w:noProof/>
                <w:sz w:val="20"/>
              </w:rPr>
              <w:t>1 agent de grade AD pour fournir des avis scientifiques conformément à l’article 11 indiquant que l’EMA fournit des conseils spécifiques pour aider les promoteurs de projets qui développent des projets fondés sur des procédés de fabrication innovants, 1 agent de grade AD et 1 de grade AST pour faire face au volume accru d’analyse des vulnérabilités et fournir des données agrégées (AD)</w:t>
            </w:r>
          </w:p>
        </w:tc>
      </w:tr>
      <w:tr w:rsidR="00922C2A" w:rsidRPr="00922C2A" w14:paraId="75F4BBCA" w14:textId="77777777" w:rsidTr="006F49C9">
        <w:tc>
          <w:tcPr>
            <w:tcW w:w="2667" w:type="dxa"/>
          </w:tcPr>
          <w:p w14:paraId="441C597D" w14:textId="77777777" w:rsidR="00922C2A" w:rsidRPr="00922C2A" w:rsidRDefault="00922C2A" w:rsidP="006F49C9">
            <w:pPr>
              <w:spacing w:before="60" w:after="60"/>
              <w:rPr>
                <w:noProof/>
                <w:sz w:val="20"/>
              </w:rPr>
            </w:pPr>
            <w:r w:rsidRPr="00922C2A">
              <w:rPr>
                <w:noProof/>
                <w:sz w:val="20"/>
              </w:rPr>
              <w:t>Personnel externe</w:t>
            </w:r>
          </w:p>
        </w:tc>
        <w:tc>
          <w:tcPr>
            <w:tcW w:w="6520" w:type="dxa"/>
          </w:tcPr>
          <w:p w14:paraId="0EA1F305" w14:textId="77777777" w:rsidR="00922C2A" w:rsidRPr="00922C2A" w:rsidRDefault="00922C2A" w:rsidP="006F49C9">
            <w:pPr>
              <w:rPr>
                <w:noProof/>
                <w:sz w:val="20"/>
              </w:rPr>
            </w:pPr>
          </w:p>
        </w:tc>
      </w:tr>
    </w:tbl>
    <w:p w14:paraId="48D51E55" w14:textId="77777777" w:rsidR="00922C2A" w:rsidRPr="00922C2A" w:rsidRDefault="00922C2A" w:rsidP="00922C2A">
      <w:pPr>
        <w:pStyle w:val="Text1"/>
        <w:rPr>
          <w:noProof/>
        </w:rPr>
      </w:pPr>
    </w:p>
    <w:p w14:paraId="32F976BA" w14:textId="77777777" w:rsidR="00922C2A" w:rsidRPr="00922C2A" w:rsidRDefault="00922C2A" w:rsidP="00922C2A">
      <w:pPr>
        <w:pStyle w:val="Text1"/>
        <w:rPr>
          <w:noProof/>
        </w:rPr>
      </w:pPr>
    </w:p>
    <w:p w14:paraId="274C7ADD" w14:textId="77777777" w:rsidR="00922C2A" w:rsidRPr="00922C2A" w:rsidRDefault="00922C2A" w:rsidP="00922C2A">
      <w:pPr>
        <w:pStyle w:val="ManualHeading3"/>
        <w:rPr>
          <w:noProof/>
        </w:rPr>
      </w:pPr>
      <w:r w:rsidRPr="00922C2A">
        <w:rPr>
          <w:noProof/>
        </w:rPr>
        <w:t>3.2.5.</w:t>
      </w:r>
      <w:r w:rsidRPr="00922C2A">
        <w:rPr>
          <w:noProof/>
        </w:rPr>
        <w:tab/>
        <w:t>Vue d’ensemble de l’incidence estimée sur les investissements liés aux technologies numériques</w:t>
      </w:r>
    </w:p>
    <w:p w14:paraId="3C123A17" w14:textId="77777777" w:rsidR="00922C2A" w:rsidRPr="00922C2A" w:rsidRDefault="00922C2A" w:rsidP="00922C2A">
      <w:pPr>
        <w:pStyle w:val="Text1"/>
        <w:spacing w:line="259" w:lineRule="auto"/>
        <w:rPr>
          <w:noProof/>
        </w:rPr>
      </w:pPr>
      <w:r w:rsidRPr="00922C2A">
        <w:rPr>
          <w:noProof/>
        </w:rPr>
        <w:t xml:space="preserve">Obligatoire: il convient d’indiquer dans le tableau figurant ci-dessous la meilleure estimation des investissements liés aux technologies numériques découlant de la proposition/de l’initiative. </w:t>
      </w:r>
    </w:p>
    <w:p w14:paraId="224B5AFA" w14:textId="77777777" w:rsidR="00922C2A" w:rsidRPr="00922C2A" w:rsidRDefault="00922C2A" w:rsidP="00922C2A">
      <w:pPr>
        <w:pStyle w:val="Text1"/>
        <w:spacing w:line="259" w:lineRule="auto"/>
        <w:rPr>
          <w:noProof/>
        </w:rPr>
      </w:pPr>
      <w:r w:rsidRPr="00922C2A">
        <w:rPr>
          <w:noProof/>
        </w:rPr>
        <w:t xml:space="preserve">À titre exceptionnel, lorsque la mise en œuvre de la proposition/de l’initiative l’exige, les crédits de la rubrique 7 doivent être présentés sur la ligne spécifique. </w:t>
      </w:r>
    </w:p>
    <w:p w14:paraId="3FEDDB66" w14:textId="77777777" w:rsidR="00922C2A" w:rsidRPr="00922C2A" w:rsidRDefault="00922C2A" w:rsidP="00922C2A">
      <w:pPr>
        <w:pStyle w:val="Text1"/>
        <w:spacing w:line="259" w:lineRule="auto"/>
        <w:rPr>
          <w:noProof/>
        </w:rPr>
      </w:pPr>
      <w:r w:rsidRPr="00922C2A">
        <w:rPr>
          <w:noProof/>
        </w:rPr>
        <w:t>Les crédits des rubriques 1-6 doivent être présentés comme des «Dépenses pour les systèmes informatiques soutenant une politique consacrées aux programmes opérationnels». Ces dépenses correspondent au budget opérationnel à affecter à la réutilisation/à l’achat/au développement de plateformes et d’outils informatiques directement liés à la mise en œuvre de l’initiative et aux investissements qui y sont associés (par exemple, licences, études, stockage de données, etc.). Les informations figurant dans ce tableau doivent être cohérentes avec les données détaillées présentées à la section 4 «Dimensions numériques».</w:t>
      </w:r>
    </w:p>
    <w:tbl>
      <w:tblPr>
        <w:tblW w:w="0" w:type="auto"/>
        <w:tblInd w:w="1028" w:type="dxa"/>
        <w:tblLayout w:type="fixed"/>
        <w:tblLook w:val="04A0" w:firstRow="1" w:lastRow="0" w:firstColumn="1" w:lastColumn="0" w:noHBand="0" w:noVBand="1"/>
      </w:tblPr>
      <w:tblGrid>
        <w:gridCol w:w="3214"/>
        <w:gridCol w:w="835"/>
        <w:gridCol w:w="835"/>
        <w:gridCol w:w="835"/>
        <w:gridCol w:w="835"/>
        <w:gridCol w:w="981"/>
      </w:tblGrid>
      <w:tr w:rsidR="00922C2A" w:rsidRPr="00922C2A" w14:paraId="4CB29890" w14:textId="77777777" w:rsidTr="006F49C9">
        <w:trPr>
          <w:trHeight w:val="525"/>
        </w:trPr>
        <w:tc>
          <w:tcPr>
            <w:tcW w:w="3214" w:type="dxa"/>
            <w:vMerge w:val="restart"/>
            <w:tcBorders>
              <w:top w:val="single" w:sz="8" w:space="0" w:color="auto"/>
              <w:left w:val="single" w:sz="4" w:space="0" w:color="auto"/>
              <w:right w:val="single" w:sz="4" w:space="0" w:color="auto"/>
            </w:tcBorders>
            <w:tcMar>
              <w:left w:w="108" w:type="dxa"/>
              <w:right w:w="108" w:type="dxa"/>
            </w:tcMar>
            <w:vAlign w:val="center"/>
          </w:tcPr>
          <w:p w14:paraId="2306A2D6" w14:textId="77777777" w:rsidR="00922C2A" w:rsidRPr="00922C2A" w:rsidRDefault="00922C2A" w:rsidP="006F49C9">
            <w:pPr>
              <w:spacing w:before="0" w:after="0"/>
              <w:jc w:val="center"/>
              <w:rPr>
                <w:b/>
                <w:bCs/>
                <w:noProof/>
                <w:color w:val="000000" w:themeColor="text1"/>
                <w:sz w:val="18"/>
                <w:szCs w:val="18"/>
              </w:rPr>
            </w:pPr>
            <w:r w:rsidRPr="00922C2A">
              <w:rPr>
                <w:b/>
                <w:noProof/>
                <w:color w:val="000000" w:themeColor="text1"/>
                <w:sz w:val="18"/>
              </w:rPr>
              <w:t>TOTAL des crédits numériques et informatiques</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14:paraId="50A1A9DB" w14:textId="77777777" w:rsidR="00922C2A" w:rsidRPr="00922C2A" w:rsidRDefault="00922C2A" w:rsidP="006F49C9">
            <w:pPr>
              <w:spacing w:before="0" w:after="0"/>
              <w:jc w:val="center"/>
              <w:rPr>
                <w:noProof/>
                <w:color w:val="000000" w:themeColor="text1"/>
                <w:sz w:val="18"/>
                <w:szCs w:val="18"/>
              </w:rPr>
            </w:pPr>
            <w:r w:rsidRPr="00922C2A">
              <w:rPr>
                <w:noProof/>
                <w:color w:val="000000" w:themeColor="text1"/>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64FE26A6" w14:textId="77777777" w:rsidR="00922C2A" w:rsidRPr="00922C2A" w:rsidRDefault="00922C2A" w:rsidP="006F49C9">
            <w:pPr>
              <w:spacing w:before="0" w:after="0"/>
              <w:jc w:val="center"/>
              <w:rPr>
                <w:noProof/>
                <w:color w:val="000000" w:themeColor="text1"/>
                <w:sz w:val="18"/>
                <w:szCs w:val="18"/>
              </w:rPr>
            </w:pPr>
            <w:r w:rsidRPr="00922C2A">
              <w:rPr>
                <w:noProof/>
                <w:color w:val="000000" w:themeColor="text1"/>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051DA452" w14:textId="77777777" w:rsidR="00922C2A" w:rsidRPr="00922C2A" w:rsidRDefault="00922C2A" w:rsidP="006F49C9">
            <w:pPr>
              <w:spacing w:before="0" w:after="0"/>
              <w:jc w:val="center"/>
              <w:rPr>
                <w:noProof/>
                <w:color w:val="000000" w:themeColor="text1"/>
                <w:sz w:val="18"/>
                <w:szCs w:val="18"/>
              </w:rPr>
            </w:pPr>
            <w:r w:rsidRPr="00922C2A">
              <w:rPr>
                <w:noProof/>
                <w:color w:val="000000" w:themeColor="text1"/>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5D35947C" w14:textId="77777777" w:rsidR="00922C2A" w:rsidRPr="00922C2A" w:rsidRDefault="00922C2A" w:rsidP="006F49C9">
            <w:pPr>
              <w:spacing w:before="0" w:after="0"/>
              <w:jc w:val="center"/>
              <w:rPr>
                <w:noProof/>
                <w:color w:val="000000" w:themeColor="text1"/>
                <w:sz w:val="18"/>
                <w:szCs w:val="18"/>
              </w:rPr>
            </w:pPr>
            <w:r w:rsidRPr="00922C2A">
              <w:rPr>
                <w:noProof/>
                <w:color w:val="000000" w:themeColor="text1"/>
                <w:sz w:val="18"/>
              </w:rPr>
              <w:t>Année</w:t>
            </w:r>
          </w:p>
        </w:tc>
        <w:tc>
          <w:tcPr>
            <w:tcW w:w="981"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14:paraId="6B8E49D0" w14:textId="77777777" w:rsidR="00922C2A" w:rsidRPr="00922C2A" w:rsidRDefault="00922C2A" w:rsidP="006F49C9">
            <w:pPr>
              <w:spacing w:before="0" w:after="0"/>
              <w:jc w:val="center"/>
              <w:rPr>
                <w:b/>
                <w:bCs/>
                <w:noProof/>
                <w:color w:val="000000" w:themeColor="text1"/>
                <w:sz w:val="18"/>
                <w:szCs w:val="18"/>
              </w:rPr>
            </w:pPr>
            <w:r w:rsidRPr="00922C2A">
              <w:rPr>
                <w:b/>
                <w:noProof/>
                <w:color w:val="000000" w:themeColor="text1"/>
                <w:sz w:val="18"/>
              </w:rPr>
              <w:t>TOTAL CFP 2021-2027</w:t>
            </w:r>
          </w:p>
        </w:tc>
      </w:tr>
      <w:tr w:rsidR="00922C2A" w:rsidRPr="00922C2A" w14:paraId="679FAA0F" w14:textId="77777777" w:rsidTr="006F49C9">
        <w:trPr>
          <w:trHeight w:val="525"/>
        </w:trPr>
        <w:tc>
          <w:tcPr>
            <w:tcW w:w="3214" w:type="dxa"/>
            <w:vMerge/>
            <w:tcBorders>
              <w:top w:val="single" w:sz="8" w:space="0" w:color="auto"/>
              <w:left w:val="single" w:sz="4" w:space="0" w:color="auto"/>
              <w:right w:val="single" w:sz="4" w:space="0" w:color="auto"/>
            </w:tcBorders>
            <w:vAlign w:val="center"/>
          </w:tcPr>
          <w:p w14:paraId="7A93AAA5" w14:textId="77777777" w:rsidR="00922C2A" w:rsidRPr="00922C2A" w:rsidRDefault="00922C2A" w:rsidP="006F49C9">
            <w:pPr>
              <w:rPr>
                <w:noProof/>
              </w:rPr>
            </w:pPr>
          </w:p>
        </w:tc>
        <w:tc>
          <w:tcPr>
            <w:tcW w:w="835" w:type="dxa"/>
            <w:tcBorders>
              <w:top w:val="nil"/>
              <w:left w:val="single" w:sz="4" w:space="0" w:color="auto"/>
              <w:bottom w:val="single" w:sz="8" w:space="0" w:color="auto"/>
              <w:right w:val="single" w:sz="8" w:space="0" w:color="auto"/>
            </w:tcBorders>
            <w:tcMar>
              <w:left w:w="108" w:type="dxa"/>
              <w:right w:w="108" w:type="dxa"/>
            </w:tcMar>
            <w:vAlign w:val="center"/>
          </w:tcPr>
          <w:p w14:paraId="0E067015" w14:textId="77777777" w:rsidR="00922C2A" w:rsidRPr="00922C2A" w:rsidRDefault="00922C2A" w:rsidP="006F49C9">
            <w:pPr>
              <w:spacing w:before="0" w:after="0"/>
              <w:jc w:val="center"/>
              <w:rPr>
                <w:b/>
                <w:bCs/>
                <w:noProof/>
                <w:color w:val="000000" w:themeColor="text1"/>
                <w:sz w:val="18"/>
                <w:szCs w:val="18"/>
              </w:rPr>
            </w:pPr>
            <w:r w:rsidRPr="00922C2A">
              <w:rPr>
                <w:b/>
                <w:noProof/>
                <w:color w:val="000000" w:themeColor="text1"/>
                <w:sz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28069E16" w14:textId="77777777" w:rsidR="00922C2A" w:rsidRPr="00922C2A" w:rsidRDefault="00922C2A" w:rsidP="006F49C9">
            <w:pPr>
              <w:spacing w:before="0" w:after="0"/>
              <w:jc w:val="center"/>
              <w:rPr>
                <w:b/>
                <w:bCs/>
                <w:noProof/>
                <w:color w:val="000000" w:themeColor="text1"/>
                <w:sz w:val="18"/>
                <w:szCs w:val="18"/>
              </w:rPr>
            </w:pPr>
            <w:r w:rsidRPr="00922C2A">
              <w:rPr>
                <w:b/>
                <w:noProof/>
                <w:color w:val="000000" w:themeColor="text1"/>
                <w:sz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20EB7E45" w14:textId="77777777" w:rsidR="00922C2A" w:rsidRPr="00922C2A" w:rsidRDefault="00922C2A" w:rsidP="006F49C9">
            <w:pPr>
              <w:spacing w:before="0" w:after="0"/>
              <w:jc w:val="center"/>
              <w:rPr>
                <w:b/>
                <w:bCs/>
                <w:noProof/>
                <w:color w:val="000000" w:themeColor="text1"/>
                <w:sz w:val="18"/>
                <w:szCs w:val="18"/>
              </w:rPr>
            </w:pPr>
            <w:r w:rsidRPr="00922C2A">
              <w:rPr>
                <w:b/>
                <w:noProof/>
                <w:color w:val="000000" w:themeColor="text1"/>
                <w:sz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0557F376" w14:textId="77777777" w:rsidR="00922C2A" w:rsidRPr="00922C2A" w:rsidRDefault="00922C2A" w:rsidP="006F49C9">
            <w:pPr>
              <w:spacing w:before="0" w:after="0"/>
              <w:jc w:val="center"/>
              <w:rPr>
                <w:b/>
                <w:bCs/>
                <w:noProof/>
                <w:color w:val="000000" w:themeColor="text1"/>
                <w:sz w:val="18"/>
                <w:szCs w:val="18"/>
              </w:rPr>
            </w:pPr>
            <w:r w:rsidRPr="00922C2A">
              <w:rPr>
                <w:b/>
                <w:noProof/>
                <w:color w:val="000000" w:themeColor="text1"/>
                <w:sz w:val="18"/>
              </w:rPr>
              <w:t>2027</w:t>
            </w:r>
          </w:p>
        </w:tc>
        <w:tc>
          <w:tcPr>
            <w:tcW w:w="981" w:type="dxa"/>
            <w:vMerge/>
            <w:tcBorders>
              <w:bottom w:val="single" w:sz="4" w:space="0" w:color="auto"/>
              <w:right w:val="single" w:sz="4" w:space="0" w:color="auto"/>
            </w:tcBorders>
            <w:vAlign w:val="center"/>
          </w:tcPr>
          <w:p w14:paraId="1A23B9E8" w14:textId="77777777" w:rsidR="00922C2A" w:rsidRPr="00922C2A" w:rsidRDefault="00922C2A" w:rsidP="006F49C9">
            <w:pPr>
              <w:rPr>
                <w:noProof/>
              </w:rPr>
            </w:pPr>
          </w:p>
        </w:tc>
      </w:tr>
      <w:tr w:rsidR="00922C2A" w:rsidRPr="00922C2A" w14:paraId="41958721" w14:textId="77777777" w:rsidTr="006F49C9">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14:paraId="734BE4CD" w14:textId="77777777" w:rsidR="00922C2A" w:rsidRPr="00922C2A" w:rsidRDefault="00922C2A" w:rsidP="006F49C9">
            <w:pPr>
              <w:spacing w:before="0" w:after="0"/>
              <w:jc w:val="left"/>
              <w:rPr>
                <w:b/>
                <w:bCs/>
                <w:noProof/>
                <w:sz w:val="16"/>
                <w:szCs w:val="16"/>
              </w:rPr>
            </w:pPr>
            <w:r w:rsidRPr="00922C2A">
              <w:rPr>
                <w:b/>
                <w:noProof/>
                <w:sz w:val="16"/>
              </w:rPr>
              <w:t>RUBRIQUE 7</w:t>
            </w:r>
          </w:p>
        </w:tc>
      </w:tr>
      <w:tr w:rsidR="00922C2A" w:rsidRPr="00922C2A" w14:paraId="1237B23A" w14:textId="77777777" w:rsidTr="006F49C9">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6DE42B" w14:textId="77777777" w:rsidR="00922C2A" w:rsidRPr="00922C2A" w:rsidRDefault="00922C2A" w:rsidP="006F49C9">
            <w:pPr>
              <w:spacing w:before="0" w:after="0"/>
              <w:jc w:val="left"/>
              <w:rPr>
                <w:noProof/>
                <w:color w:val="000000" w:themeColor="text1"/>
                <w:sz w:val="16"/>
                <w:szCs w:val="16"/>
              </w:rPr>
            </w:pPr>
            <w:r w:rsidRPr="00922C2A">
              <w:rPr>
                <w:rFonts w:ascii="Arial Narrow" w:hAnsi="Arial Narrow"/>
                <w:noProof/>
                <w:color w:val="000000" w:themeColor="text1"/>
                <w:sz w:val="20"/>
              </w:rPr>
              <w:t>Dépenses informatiques (institutionnelles)</w:t>
            </w:r>
            <w:r w:rsidRPr="00922C2A">
              <w:rPr>
                <w:noProof/>
                <w:color w:val="000000" w:themeColor="text1"/>
                <w:sz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2D6FDAB" w14:textId="77777777" w:rsidR="00922C2A" w:rsidRPr="00922C2A" w:rsidRDefault="00922C2A" w:rsidP="006F49C9">
            <w:pPr>
              <w:spacing w:before="0" w:after="0"/>
              <w:jc w:val="right"/>
              <w:rPr>
                <w:noProof/>
                <w:color w:val="000000" w:themeColor="text1"/>
                <w:sz w:val="16"/>
                <w:szCs w:val="16"/>
              </w:rPr>
            </w:pPr>
            <w:r w:rsidRPr="00922C2A">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CCE5DDD" w14:textId="77777777" w:rsidR="00922C2A" w:rsidRPr="00922C2A" w:rsidRDefault="00922C2A" w:rsidP="006F49C9">
            <w:pPr>
              <w:spacing w:before="0" w:after="0"/>
              <w:jc w:val="right"/>
              <w:rPr>
                <w:noProof/>
                <w:color w:val="000000" w:themeColor="text1"/>
                <w:sz w:val="16"/>
                <w:szCs w:val="16"/>
              </w:rPr>
            </w:pPr>
            <w:r w:rsidRPr="00922C2A">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3F3D1D6" w14:textId="77777777" w:rsidR="00922C2A" w:rsidRPr="00922C2A" w:rsidRDefault="00922C2A" w:rsidP="006F49C9">
            <w:pPr>
              <w:spacing w:before="0" w:after="0"/>
              <w:jc w:val="right"/>
              <w:rPr>
                <w:noProof/>
                <w:color w:val="000000" w:themeColor="text1"/>
                <w:sz w:val="16"/>
                <w:szCs w:val="16"/>
              </w:rPr>
            </w:pPr>
            <w:r w:rsidRPr="00922C2A">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BC5BD9C" w14:textId="77777777" w:rsidR="00922C2A" w:rsidRPr="00922C2A" w:rsidRDefault="00922C2A" w:rsidP="006F49C9">
            <w:pPr>
              <w:spacing w:before="0" w:after="0"/>
              <w:jc w:val="right"/>
              <w:rPr>
                <w:noProof/>
                <w:color w:val="000000" w:themeColor="text1"/>
                <w:sz w:val="16"/>
                <w:szCs w:val="16"/>
              </w:rPr>
            </w:pPr>
            <w:r w:rsidRPr="00922C2A">
              <w:rPr>
                <w:noProof/>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C07CC5C" w14:textId="77777777" w:rsidR="00922C2A" w:rsidRPr="00922C2A" w:rsidRDefault="00922C2A" w:rsidP="006F49C9">
            <w:pPr>
              <w:spacing w:before="0" w:after="0"/>
              <w:jc w:val="right"/>
              <w:rPr>
                <w:b/>
                <w:bCs/>
                <w:noProof/>
                <w:color w:val="000000" w:themeColor="text1"/>
                <w:sz w:val="16"/>
                <w:szCs w:val="16"/>
              </w:rPr>
            </w:pPr>
            <w:r w:rsidRPr="00922C2A">
              <w:rPr>
                <w:b/>
                <w:noProof/>
                <w:color w:val="000000" w:themeColor="text1"/>
                <w:sz w:val="16"/>
              </w:rPr>
              <w:t>0.000</w:t>
            </w:r>
          </w:p>
        </w:tc>
      </w:tr>
      <w:tr w:rsidR="00922C2A" w:rsidRPr="00922C2A" w14:paraId="6B01D9A6" w14:textId="77777777" w:rsidTr="006F49C9">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7DBD1583" w14:textId="77777777" w:rsidR="00922C2A" w:rsidRPr="00922C2A" w:rsidRDefault="00922C2A" w:rsidP="006F49C9">
            <w:pPr>
              <w:spacing w:before="0" w:after="0"/>
              <w:jc w:val="center"/>
              <w:rPr>
                <w:b/>
                <w:bCs/>
                <w:noProof/>
                <w:color w:val="000000" w:themeColor="text1"/>
                <w:sz w:val="16"/>
                <w:szCs w:val="16"/>
              </w:rPr>
            </w:pPr>
            <w:r w:rsidRPr="00922C2A">
              <w:rPr>
                <w:b/>
                <w:noProof/>
                <w:color w:val="000000" w:themeColor="text1"/>
                <w:sz w:val="16"/>
              </w:rPr>
              <w:t>Sous-total RUBRIQUE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9EF3681" w14:textId="77777777" w:rsidR="00922C2A" w:rsidRPr="00922C2A" w:rsidRDefault="00922C2A" w:rsidP="006F49C9">
            <w:pPr>
              <w:spacing w:before="0" w:after="0"/>
              <w:jc w:val="right"/>
              <w:rPr>
                <w:b/>
                <w:bCs/>
                <w:noProof/>
                <w:color w:val="000000" w:themeColor="text1"/>
                <w:sz w:val="16"/>
                <w:szCs w:val="16"/>
              </w:rPr>
            </w:pPr>
            <w:r w:rsidRPr="00922C2A">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90ACCB4" w14:textId="77777777" w:rsidR="00922C2A" w:rsidRPr="00922C2A" w:rsidRDefault="00922C2A" w:rsidP="006F49C9">
            <w:pPr>
              <w:spacing w:before="0" w:after="0"/>
              <w:jc w:val="right"/>
              <w:rPr>
                <w:b/>
                <w:bCs/>
                <w:noProof/>
                <w:color w:val="000000" w:themeColor="text1"/>
                <w:sz w:val="16"/>
                <w:szCs w:val="16"/>
              </w:rPr>
            </w:pPr>
            <w:r w:rsidRPr="00922C2A">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E5BE710" w14:textId="77777777" w:rsidR="00922C2A" w:rsidRPr="00922C2A" w:rsidRDefault="00922C2A" w:rsidP="006F49C9">
            <w:pPr>
              <w:spacing w:before="0" w:after="0"/>
              <w:jc w:val="right"/>
              <w:rPr>
                <w:b/>
                <w:bCs/>
                <w:noProof/>
                <w:color w:val="000000" w:themeColor="text1"/>
                <w:sz w:val="16"/>
                <w:szCs w:val="16"/>
              </w:rPr>
            </w:pPr>
            <w:r w:rsidRPr="00922C2A">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6BC2A33" w14:textId="77777777" w:rsidR="00922C2A" w:rsidRPr="00922C2A" w:rsidRDefault="00922C2A" w:rsidP="006F49C9">
            <w:pPr>
              <w:spacing w:before="0" w:after="0"/>
              <w:jc w:val="right"/>
              <w:rPr>
                <w:b/>
                <w:bCs/>
                <w:noProof/>
                <w:color w:val="000000" w:themeColor="text1"/>
                <w:sz w:val="16"/>
                <w:szCs w:val="16"/>
              </w:rPr>
            </w:pPr>
            <w:r w:rsidRPr="00922C2A">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BABDB1D" w14:textId="77777777" w:rsidR="00922C2A" w:rsidRPr="00922C2A" w:rsidRDefault="00922C2A" w:rsidP="006F49C9">
            <w:pPr>
              <w:spacing w:before="0" w:after="0"/>
              <w:jc w:val="right"/>
              <w:rPr>
                <w:b/>
                <w:bCs/>
                <w:noProof/>
                <w:color w:val="000000" w:themeColor="text1"/>
                <w:sz w:val="16"/>
                <w:szCs w:val="16"/>
              </w:rPr>
            </w:pPr>
            <w:r w:rsidRPr="00922C2A">
              <w:rPr>
                <w:b/>
                <w:noProof/>
                <w:color w:val="000000" w:themeColor="text1"/>
                <w:sz w:val="16"/>
              </w:rPr>
              <w:t>0.000</w:t>
            </w:r>
          </w:p>
        </w:tc>
      </w:tr>
      <w:tr w:rsidR="00922C2A" w:rsidRPr="00922C2A" w14:paraId="5DB745F9" w14:textId="77777777" w:rsidTr="006F49C9">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07A7A5" w14:textId="77777777" w:rsidR="00922C2A" w:rsidRPr="00922C2A" w:rsidRDefault="00922C2A" w:rsidP="006F49C9">
            <w:pPr>
              <w:spacing w:before="0" w:after="0"/>
              <w:jc w:val="left"/>
              <w:rPr>
                <w:b/>
                <w:bCs/>
                <w:noProof/>
                <w:sz w:val="16"/>
                <w:szCs w:val="16"/>
              </w:rPr>
            </w:pPr>
            <w:r w:rsidRPr="00922C2A">
              <w:rPr>
                <w:b/>
                <w:noProof/>
                <w:sz w:val="16"/>
              </w:rPr>
              <w:t>Hors RUBRIQUE 7</w:t>
            </w:r>
          </w:p>
        </w:tc>
      </w:tr>
      <w:tr w:rsidR="00922C2A" w:rsidRPr="00922C2A" w14:paraId="2838E46F" w14:textId="77777777" w:rsidTr="006F49C9">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0443E9" w14:textId="77777777" w:rsidR="00922C2A" w:rsidRPr="00922C2A" w:rsidRDefault="00922C2A" w:rsidP="006F49C9">
            <w:pPr>
              <w:spacing w:before="0" w:after="0"/>
              <w:jc w:val="left"/>
              <w:rPr>
                <w:rFonts w:ascii="Arial Narrow" w:eastAsia="Arial Narrow" w:hAnsi="Arial Narrow" w:cs="Arial Narrow"/>
                <w:noProof/>
                <w:color w:val="000000" w:themeColor="text1"/>
                <w:sz w:val="20"/>
                <w:szCs w:val="20"/>
              </w:rPr>
            </w:pPr>
            <w:r w:rsidRPr="00922C2A">
              <w:rPr>
                <w:rFonts w:ascii="Arial Narrow" w:hAnsi="Arial Narrow"/>
                <w:noProof/>
                <w:color w:val="000000" w:themeColor="text1"/>
                <w:sz w:val="20"/>
              </w:rPr>
              <w:t>Dépenses pour les systèmes informatiques soutenant une politique consacrées aux programmes opérationnels</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DAE3569" w14:textId="77777777" w:rsidR="00922C2A" w:rsidRPr="00922C2A" w:rsidRDefault="00922C2A" w:rsidP="006F49C9">
            <w:pPr>
              <w:spacing w:before="0" w:after="0"/>
              <w:jc w:val="right"/>
              <w:rPr>
                <w:noProof/>
                <w:color w:val="000000" w:themeColor="text1"/>
                <w:sz w:val="16"/>
                <w:szCs w:val="16"/>
              </w:rPr>
            </w:pPr>
            <w:r w:rsidRPr="00922C2A">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F43C8F9" w14:textId="77777777" w:rsidR="00922C2A" w:rsidRPr="00922C2A" w:rsidRDefault="00922C2A" w:rsidP="006F49C9">
            <w:pPr>
              <w:spacing w:before="0" w:after="0"/>
              <w:jc w:val="right"/>
              <w:rPr>
                <w:noProof/>
                <w:color w:val="000000" w:themeColor="text1"/>
                <w:sz w:val="16"/>
                <w:szCs w:val="16"/>
              </w:rPr>
            </w:pPr>
            <w:r w:rsidRPr="00922C2A">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681CB67" w14:textId="77777777" w:rsidR="00922C2A" w:rsidRPr="00922C2A" w:rsidRDefault="00922C2A" w:rsidP="006F49C9">
            <w:pPr>
              <w:spacing w:before="0" w:after="0"/>
              <w:jc w:val="right"/>
              <w:rPr>
                <w:noProof/>
                <w:color w:val="000000" w:themeColor="text1"/>
                <w:sz w:val="16"/>
                <w:szCs w:val="16"/>
              </w:rPr>
            </w:pPr>
            <w:r w:rsidRPr="00922C2A">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C650B2E" w14:textId="77777777" w:rsidR="00922C2A" w:rsidRPr="00922C2A" w:rsidRDefault="00922C2A" w:rsidP="006F49C9">
            <w:pPr>
              <w:spacing w:before="0" w:after="0"/>
              <w:jc w:val="right"/>
              <w:rPr>
                <w:noProof/>
                <w:color w:val="000000" w:themeColor="text1"/>
                <w:sz w:val="16"/>
                <w:szCs w:val="16"/>
              </w:rPr>
            </w:pPr>
            <w:r w:rsidRPr="00922C2A">
              <w:rPr>
                <w:noProof/>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B6AB89A" w14:textId="77777777" w:rsidR="00922C2A" w:rsidRPr="00922C2A" w:rsidRDefault="00922C2A" w:rsidP="006F49C9">
            <w:pPr>
              <w:spacing w:before="0" w:after="0"/>
              <w:jc w:val="right"/>
              <w:rPr>
                <w:b/>
                <w:bCs/>
                <w:noProof/>
                <w:color w:val="000000" w:themeColor="text1"/>
                <w:sz w:val="16"/>
                <w:szCs w:val="16"/>
              </w:rPr>
            </w:pPr>
            <w:r w:rsidRPr="00922C2A">
              <w:rPr>
                <w:b/>
                <w:noProof/>
                <w:color w:val="000000" w:themeColor="text1"/>
                <w:sz w:val="16"/>
              </w:rPr>
              <w:t>0.000</w:t>
            </w:r>
          </w:p>
        </w:tc>
      </w:tr>
      <w:tr w:rsidR="00922C2A" w:rsidRPr="00922C2A" w14:paraId="4C66A1BF" w14:textId="77777777" w:rsidTr="006F49C9">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29A02CCC" w14:textId="77777777" w:rsidR="00922C2A" w:rsidRPr="00922C2A" w:rsidRDefault="00922C2A" w:rsidP="006F49C9">
            <w:pPr>
              <w:spacing w:before="0" w:after="0"/>
              <w:jc w:val="center"/>
              <w:rPr>
                <w:b/>
                <w:bCs/>
                <w:noProof/>
                <w:color w:val="000000" w:themeColor="text1"/>
                <w:sz w:val="16"/>
                <w:szCs w:val="16"/>
              </w:rPr>
            </w:pPr>
            <w:r w:rsidRPr="00922C2A">
              <w:rPr>
                <w:b/>
                <w:noProof/>
                <w:color w:val="000000" w:themeColor="text1"/>
                <w:sz w:val="16"/>
              </w:rPr>
              <w:t>Sous-total hors RUBRIQUE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0E369FA" w14:textId="77777777" w:rsidR="00922C2A" w:rsidRPr="00922C2A" w:rsidRDefault="00922C2A" w:rsidP="006F49C9">
            <w:pPr>
              <w:spacing w:before="0" w:after="0"/>
              <w:jc w:val="right"/>
              <w:rPr>
                <w:b/>
                <w:bCs/>
                <w:noProof/>
                <w:color w:val="000000" w:themeColor="text1"/>
                <w:sz w:val="16"/>
                <w:szCs w:val="16"/>
              </w:rPr>
            </w:pPr>
            <w:r w:rsidRPr="00922C2A">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F654375" w14:textId="77777777" w:rsidR="00922C2A" w:rsidRPr="00922C2A" w:rsidRDefault="00922C2A" w:rsidP="006F49C9">
            <w:pPr>
              <w:spacing w:before="0" w:after="0"/>
              <w:jc w:val="right"/>
              <w:rPr>
                <w:b/>
                <w:bCs/>
                <w:noProof/>
                <w:color w:val="000000" w:themeColor="text1"/>
                <w:sz w:val="16"/>
                <w:szCs w:val="16"/>
              </w:rPr>
            </w:pPr>
            <w:r w:rsidRPr="00922C2A">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AD9BCB7" w14:textId="77777777" w:rsidR="00922C2A" w:rsidRPr="00922C2A" w:rsidRDefault="00922C2A" w:rsidP="006F49C9">
            <w:pPr>
              <w:spacing w:before="0" w:after="0"/>
              <w:jc w:val="right"/>
              <w:rPr>
                <w:b/>
                <w:bCs/>
                <w:noProof/>
                <w:color w:val="000000" w:themeColor="text1"/>
                <w:sz w:val="16"/>
                <w:szCs w:val="16"/>
              </w:rPr>
            </w:pPr>
            <w:r w:rsidRPr="00922C2A">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E299C52" w14:textId="77777777" w:rsidR="00922C2A" w:rsidRPr="00922C2A" w:rsidRDefault="00922C2A" w:rsidP="006F49C9">
            <w:pPr>
              <w:spacing w:before="0" w:after="0"/>
              <w:jc w:val="right"/>
              <w:rPr>
                <w:b/>
                <w:bCs/>
                <w:noProof/>
                <w:color w:val="000000" w:themeColor="text1"/>
                <w:sz w:val="16"/>
                <w:szCs w:val="16"/>
              </w:rPr>
            </w:pPr>
            <w:r w:rsidRPr="00922C2A">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D5EE43C" w14:textId="77777777" w:rsidR="00922C2A" w:rsidRPr="00922C2A" w:rsidRDefault="00922C2A" w:rsidP="006F49C9">
            <w:pPr>
              <w:spacing w:before="0" w:after="0"/>
              <w:jc w:val="right"/>
              <w:rPr>
                <w:b/>
                <w:bCs/>
                <w:noProof/>
                <w:color w:val="000000" w:themeColor="text1"/>
                <w:sz w:val="16"/>
                <w:szCs w:val="16"/>
              </w:rPr>
            </w:pPr>
            <w:r w:rsidRPr="00922C2A">
              <w:rPr>
                <w:b/>
                <w:noProof/>
                <w:color w:val="000000" w:themeColor="text1"/>
                <w:sz w:val="16"/>
              </w:rPr>
              <w:t>0.000</w:t>
            </w:r>
          </w:p>
        </w:tc>
      </w:tr>
      <w:tr w:rsidR="00922C2A" w:rsidRPr="00922C2A" w14:paraId="00770D4A" w14:textId="77777777" w:rsidTr="006F49C9">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57EEF6" w14:textId="77777777" w:rsidR="00922C2A" w:rsidRPr="00922C2A" w:rsidRDefault="00922C2A" w:rsidP="006F49C9">
            <w:pPr>
              <w:spacing w:before="0" w:after="0"/>
              <w:jc w:val="center"/>
              <w:rPr>
                <w:noProof/>
                <w:color w:val="000000" w:themeColor="text1"/>
                <w:sz w:val="16"/>
                <w:szCs w:val="16"/>
              </w:rPr>
            </w:pPr>
            <w:r w:rsidRPr="00922C2A">
              <w:rPr>
                <w:noProof/>
                <w:color w:val="000000" w:themeColor="text1"/>
                <w:sz w:val="16"/>
              </w:rPr>
              <w:t xml:space="preserve"> </w:t>
            </w:r>
          </w:p>
        </w:tc>
      </w:tr>
      <w:tr w:rsidR="00922C2A" w:rsidRPr="00922C2A" w14:paraId="60C332E8" w14:textId="77777777" w:rsidTr="006F49C9">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14:paraId="72459304" w14:textId="77777777" w:rsidR="00922C2A" w:rsidRPr="00922C2A" w:rsidRDefault="00922C2A" w:rsidP="006F49C9">
            <w:pPr>
              <w:spacing w:before="0" w:after="0"/>
              <w:jc w:val="center"/>
              <w:rPr>
                <w:b/>
                <w:bCs/>
                <w:noProof/>
                <w:color w:val="000000" w:themeColor="text1"/>
                <w:sz w:val="16"/>
                <w:szCs w:val="16"/>
              </w:rPr>
            </w:pPr>
            <w:r w:rsidRPr="00922C2A">
              <w:rPr>
                <w:b/>
                <w:noProof/>
                <w:color w:val="000000" w:themeColor="text1"/>
                <w:sz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7225F710" w14:textId="77777777" w:rsidR="00922C2A" w:rsidRPr="00922C2A" w:rsidRDefault="00922C2A" w:rsidP="006F49C9">
            <w:pPr>
              <w:spacing w:before="0" w:after="0"/>
              <w:jc w:val="right"/>
              <w:rPr>
                <w:b/>
                <w:bCs/>
                <w:noProof/>
                <w:color w:val="000000" w:themeColor="text1"/>
                <w:sz w:val="16"/>
                <w:szCs w:val="16"/>
              </w:rPr>
            </w:pPr>
            <w:r w:rsidRPr="00922C2A">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35841ADF" w14:textId="77777777" w:rsidR="00922C2A" w:rsidRPr="00922C2A" w:rsidRDefault="00922C2A" w:rsidP="006F49C9">
            <w:pPr>
              <w:spacing w:before="0" w:after="0"/>
              <w:jc w:val="right"/>
              <w:rPr>
                <w:b/>
                <w:bCs/>
                <w:noProof/>
                <w:color w:val="000000" w:themeColor="text1"/>
                <w:sz w:val="16"/>
                <w:szCs w:val="16"/>
              </w:rPr>
            </w:pPr>
            <w:r w:rsidRPr="00922C2A">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2807B2CE" w14:textId="77777777" w:rsidR="00922C2A" w:rsidRPr="00922C2A" w:rsidRDefault="00922C2A" w:rsidP="006F49C9">
            <w:pPr>
              <w:spacing w:before="0" w:after="0"/>
              <w:jc w:val="right"/>
              <w:rPr>
                <w:b/>
                <w:bCs/>
                <w:noProof/>
                <w:color w:val="000000" w:themeColor="text1"/>
                <w:sz w:val="16"/>
                <w:szCs w:val="16"/>
              </w:rPr>
            </w:pPr>
            <w:r w:rsidRPr="00922C2A">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4A6361DA" w14:textId="77777777" w:rsidR="00922C2A" w:rsidRPr="00922C2A" w:rsidRDefault="00922C2A" w:rsidP="006F49C9">
            <w:pPr>
              <w:spacing w:before="0" w:after="0"/>
              <w:jc w:val="right"/>
              <w:rPr>
                <w:b/>
                <w:bCs/>
                <w:noProof/>
                <w:color w:val="000000" w:themeColor="text1"/>
                <w:sz w:val="16"/>
                <w:szCs w:val="16"/>
              </w:rPr>
            </w:pPr>
            <w:r w:rsidRPr="00922C2A">
              <w:rPr>
                <w:b/>
                <w:noProof/>
                <w:color w:val="000000" w:themeColor="text1"/>
                <w:sz w:val="16"/>
              </w:rPr>
              <w:t>0.000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61ADB9F1" w14:textId="77777777" w:rsidR="00922C2A" w:rsidRPr="00922C2A" w:rsidRDefault="00922C2A" w:rsidP="006F49C9">
            <w:pPr>
              <w:spacing w:before="0" w:after="0"/>
              <w:jc w:val="right"/>
              <w:rPr>
                <w:b/>
                <w:bCs/>
                <w:noProof/>
                <w:color w:val="000000" w:themeColor="text1"/>
                <w:sz w:val="16"/>
                <w:szCs w:val="16"/>
              </w:rPr>
            </w:pPr>
            <w:r w:rsidRPr="00922C2A">
              <w:rPr>
                <w:b/>
                <w:noProof/>
                <w:color w:val="000000" w:themeColor="text1"/>
                <w:sz w:val="16"/>
              </w:rPr>
              <w:t>0.000</w:t>
            </w:r>
          </w:p>
        </w:tc>
      </w:tr>
    </w:tbl>
    <w:p w14:paraId="3B84DEC0" w14:textId="77777777" w:rsidR="00922C2A" w:rsidRPr="00922C2A" w:rsidRDefault="00922C2A" w:rsidP="00922C2A">
      <w:pPr>
        <w:pStyle w:val="ManualHeading3"/>
        <w:rPr>
          <w:noProof/>
        </w:rPr>
      </w:pPr>
      <w:bookmarkStart w:id="181" w:name="_Toc514938056"/>
      <w:bookmarkStart w:id="182" w:name="_Toc520485055"/>
      <w:bookmarkStart w:id="183" w:name="_Toc160804599"/>
      <w:bookmarkStart w:id="184" w:name="_Toc167220298"/>
      <w:bookmarkStart w:id="185" w:name="_Toc177549032"/>
      <w:bookmarkEnd w:id="180"/>
      <w:r w:rsidRPr="00922C2A">
        <w:rPr>
          <w:noProof/>
        </w:rPr>
        <w:t>3.2.6.</w:t>
      </w:r>
      <w:r w:rsidRPr="00922C2A">
        <w:rPr>
          <w:noProof/>
        </w:rPr>
        <w:tab/>
        <w:t>Compatibilité avec le cadre financier pluriannuel actuel</w:t>
      </w:r>
      <w:bookmarkEnd w:id="181"/>
      <w:bookmarkEnd w:id="182"/>
      <w:bookmarkEnd w:id="183"/>
      <w:bookmarkEnd w:id="184"/>
      <w:bookmarkEnd w:id="185"/>
      <w:r w:rsidRPr="00922C2A">
        <w:rPr>
          <w:noProof/>
        </w:rPr>
        <w:t xml:space="preserve"> </w:t>
      </w:r>
    </w:p>
    <w:p w14:paraId="736237E0" w14:textId="77777777" w:rsidR="00922C2A" w:rsidRPr="00922C2A" w:rsidRDefault="00922C2A" w:rsidP="00922C2A">
      <w:pPr>
        <w:pStyle w:val="Text1"/>
        <w:rPr>
          <w:noProof/>
        </w:rPr>
      </w:pPr>
      <w:r w:rsidRPr="00922C2A">
        <w:rPr>
          <w:noProof/>
        </w:rPr>
        <w:t>La proposition/l’initiative:</w:t>
      </w:r>
    </w:p>
    <w:p w14:paraId="1A067B32" w14:textId="77777777" w:rsidR="00922C2A" w:rsidRPr="00922C2A" w:rsidRDefault="00922C2A" w:rsidP="00922C2A">
      <w:pPr>
        <w:pStyle w:val="ListDash1"/>
        <w:rPr>
          <w:noProof/>
        </w:rPr>
      </w:pPr>
      <w:r w:rsidRPr="00922C2A">
        <w:rPr>
          <w:rFonts w:ascii="Wingdings" w:hAnsi="Wingdings"/>
          <w:noProof/>
        </w:rPr>
        <w:t></w:t>
      </w:r>
      <w:r w:rsidRPr="00922C2A">
        <w:rPr>
          <w:noProof/>
        </w:rPr>
        <w:tab/>
        <w:t>peut être intégralement financée par voie de redéploiement au sein de la rubrique concernée du cadre financier pluriannuel (CFP).</w:t>
      </w:r>
    </w:p>
    <w:p w14:paraId="05B0F985"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r w:rsidRPr="00922C2A">
        <w:rPr>
          <w:noProof/>
        </w:rPr>
        <w:t>L’augmentation des crédits de la ligne budgétaire 06.100301 de l’EMA pour les années 2026 et 2027, de 1,4 million d’EUR, se fera par redéploiement interne au sein de la rubrique 2b, c’est-à-dire par une réduction équivalente de la ligne budgétaire «L’UE pour la santé» 06.0601 pour cette période. Les crédits gérés par la Commission seront redéployés dans le cadre de l’enveloppe financière existante du programme «L’UE pour la santé».</w:t>
      </w:r>
      <w:r w:rsidRPr="00922C2A">
        <w:rPr>
          <w:noProof/>
        </w:rPr>
        <w:tab/>
      </w:r>
    </w:p>
    <w:p w14:paraId="71611A50" w14:textId="77777777" w:rsidR="00922C2A" w:rsidRPr="00922C2A" w:rsidRDefault="00922C2A" w:rsidP="00922C2A">
      <w:pPr>
        <w:pStyle w:val="ListDash1"/>
        <w:rPr>
          <w:noProof/>
        </w:rPr>
      </w:pPr>
      <w:r w:rsidRPr="00922C2A">
        <w:rPr>
          <w:rFonts w:ascii="Wingdings" w:hAnsi="Wingdings"/>
          <w:noProof/>
        </w:rPr>
        <w:t></w:t>
      </w:r>
      <w:r w:rsidRPr="00922C2A">
        <w:rPr>
          <w:noProof/>
        </w:rPr>
        <w:tab/>
        <w:t xml:space="preserve">nécessite l’utilisation de la marge non allouée sous la rubrique correspondante du CFP et/ou le recours aux instruments spéciaux comme le prévoit le règlement CFP. </w:t>
      </w:r>
    </w:p>
    <w:p w14:paraId="353B5557" w14:textId="77777777" w:rsidR="00922C2A" w:rsidRPr="00922C2A" w:rsidRDefault="00922C2A" w:rsidP="00922C2A">
      <w:pPr>
        <w:pStyle w:val="ListDash1"/>
        <w:rPr>
          <w:noProof/>
        </w:rPr>
      </w:pPr>
      <w:r w:rsidRPr="00922C2A">
        <w:rPr>
          <w:rFonts w:ascii="Wingdings" w:hAnsi="Wingdings"/>
          <w:noProof/>
        </w:rPr>
        <w:t></w:t>
      </w:r>
      <w:r w:rsidRPr="00922C2A">
        <w:rPr>
          <w:rFonts w:ascii="Wingdings" w:hAnsi="Wingdings"/>
          <w:noProof/>
        </w:rPr>
        <w:t></w:t>
      </w:r>
      <w:r w:rsidRPr="00922C2A">
        <w:rPr>
          <w:noProof/>
        </w:rPr>
        <w:t>nécessite une révision du CFP.</w:t>
      </w:r>
    </w:p>
    <w:p w14:paraId="4045C232" w14:textId="77777777" w:rsidR="00922C2A" w:rsidRPr="00922C2A" w:rsidRDefault="00922C2A" w:rsidP="00922C2A">
      <w:pPr>
        <w:pStyle w:val="ManualHeading3"/>
        <w:rPr>
          <w:noProof/>
        </w:rPr>
      </w:pPr>
      <w:bookmarkStart w:id="186" w:name="_Toc514938058"/>
      <w:bookmarkStart w:id="187" w:name="_Toc520485056"/>
      <w:bookmarkStart w:id="188" w:name="_Toc160804600"/>
      <w:bookmarkStart w:id="189" w:name="_Toc167220299"/>
      <w:bookmarkStart w:id="190" w:name="_Toc177549033"/>
    </w:p>
    <w:p w14:paraId="4F37DEF7" w14:textId="77777777" w:rsidR="00922C2A" w:rsidRPr="00922C2A" w:rsidRDefault="00922C2A" w:rsidP="00922C2A">
      <w:pPr>
        <w:pStyle w:val="ManualHeading3"/>
        <w:rPr>
          <w:noProof/>
        </w:rPr>
      </w:pPr>
      <w:r w:rsidRPr="00922C2A">
        <w:rPr>
          <w:noProof/>
        </w:rPr>
        <w:t>3.2.7.</w:t>
      </w:r>
      <w:r w:rsidRPr="00922C2A">
        <w:rPr>
          <w:noProof/>
        </w:rPr>
        <w:tab/>
        <w:t>Participation de tiers au financement</w:t>
      </w:r>
      <w:bookmarkEnd w:id="186"/>
      <w:bookmarkEnd w:id="187"/>
      <w:bookmarkEnd w:id="188"/>
      <w:bookmarkEnd w:id="189"/>
      <w:bookmarkEnd w:id="190"/>
      <w:r w:rsidRPr="00922C2A">
        <w:rPr>
          <w:noProof/>
        </w:rPr>
        <w:t xml:space="preserve"> </w:t>
      </w:r>
    </w:p>
    <w:p w14:paraId="2D718BAA" w14:textId="77777777" w:rsidR="00922C2A" w:rsidRPr="00922C2A" w:rsidRDefault="00922C2A" w:rsidP="00922C2A">
      <w:pPr>
        <w:pStyle w:val="Text1"/>
        <w:rPr>
          <w:noProof/>
        </w:rPr>
      </w:pPr>
      <w:r w:rsidRPr="00922C2A">
        <w:rPr>
          <w:noProof/>
        </w:rPr>
        <w:t>La proposition/l’initiative:</w:t>
      </w:r>
    </w:p>
    <w:p w14:paraId="7807BBBE" w14:textId="77777777" w:rsidR="00922C2A" w:rsidRPr="00922C2A" w:rsidRDefault="00922C2A" w:rsidP="00922C2A">
      <w:pPr>
        <w:pStyle w:val="ListDash1"/>
        <w:rPr>
          <w:noProof/>
        </w:rPr>
      </w:pPr>
      <w:r w:rsidRPr="00922C2A">
        <w:rPr>
          <w:rFonts w:ascii="Wingdings" w:hAnsi="Wingdings"/>
          <w:noProof/>
        </w:rPr>
        <w:t></w:t>
      </w:r>
      <w:r w:rsidRPr="00922C2A">
        <w:rPr>
          <w:noProof/>
        </w:rPr>
        <w:tab/>
        <w:t>ne prévoit pas de cofinancement par des tierces parties</w:t>
      </w:r>
    </w:p>
    <w:p w14:paraId="5BBA50B2" w14:textId="77777777" w:rsidR="00922C2A" w:rsidRPr="00922C2A" w:rsidRDefault="00922C2A" w:rsidP="00922C2A">
      <w:pPr>
        <w:pStyle w:val="ListDash1"/>
        <w:rPr>
          <w:noProof/>
        </w:rPr>
      </w:pPr>
      <w:r w:rsidRPr="00922C2A">
        <w:rPr>
          <w:rFonts w:ascii="Wingdings" w:hAnsi="Wingdings"/>
          <w:noProof/>
        </w:rPr>
        <w:t></w:t>
      </w:r>
      <w:r w:rsidRPr="00922C2A">
        <w:rPr>
          <w:noProof/>
        </w:rPr>
        <w:tab/>
        <w:t>prévoit le cofinancement par des tierces parties estimé ci‑après:</w:t>
      </w:r>
    </w:p>
    <w:p w14:paraId="15B6B36E" w14:textId="77777777" w:rsidR="00922C2A" w:rsidRPr="00922C2A" w:rsidRDefault="00922C2A" w:rsidP="00922C2A">
      <w:pPr>
        <w:jc w:val="right"/>
        <w:rPr>
          <w:noProof/>
          <w:sz w:val="20"/>
        </w:rPr>
      </w:pPr>
      <w:r w:rsidRPr="00922C2A">
        <w:rPr>
          <w:noProof/>
          <w:sz w:val="20"/>
        </w:rPr>
        <w:t>Crédits en Mio EUR (à la 3</w:t>
      </w:r>
      <w:r w:rsidRPr="00922C2A">
        <w:rPr>
          <w:noProof/>
          <w:sz w:val="20"/>
          <w:vertAlign w:val="superscript"/>
        </w:rPr>
        <w:t>e</w:t>
      </w:r>
      <w:r w:rsidRPr="00922C2A">
        <w:rPr>
          <w:noProof/>
          <w:sz w:val="20"/>
        </w:rPr>
        <w:t> décimale)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7"/>
        <w:gridCol w:w="1217"/>
        <w:gridCol w:w="1217"/>
        <w:gridCol w:w="1217"/>
        <w:gridCol w:w="1217"/>
        <w:gridCol w:w="1462"/>
      </w:tblGrid>
      <w:tr w:rsidR="00922C2A" w:rsidRPr="00922C2A" w14:paraId="7FC85B10" w14:textId="77777777" w:rsidTr="006F49C9">
        <w:trPr>
          <w:cantSplit/>
        </w:trPr>
        <w:tc>
          <w:tcPr>
            <w:tcW w:w="1591" w:type="pct"/>
          </w:tcPr>
          <w:p w14:paraId="1D0E329E" w14:textId="77777777" w:rsidR="00922C2A" w:rsidRPr="00922C2A" w:rsidRDefault="00922C2A" w:rsidP="006F49C9">
            <w:pPr>
              <w:spacing w:before="60" w:after="60"/>
              <w:rPr>
                <w:noProof/>
                <w:sz w:val="20"/>
              </w:rPr>
            </w:pPr>
          </w:p>
        </w:tc>
        <w:tc>
          <w:tcPr>
            <w:tcW w:w="655" w:type="pct"/>
            <w:vAlign w:val="center"/>
          </w:tcPr>
          <w:p w14:paraId="44B89EF4" w14:textId="77777777" w:rsidR="00922C2A" w:rsidRPr="00922C2A" w:rsidRDefault="00922C2A" w:rsidP="006F49C9">
            <w:pPr>
              <w:jc w:val="center"/>
              <w:rPr>
                <w:noProof/>
                <w:sz w:val="20"/>
              </w:rPr>
            </w:pPr>
            <w:r w:rsidRPr="00922C2A">
              <w:rPr>
                <w:noProof/>
                <w:sz w:val="20"/>
              </w:rPr>
              <w:t>Année</w:t>
            </w:r>
            <w:r w:rsidRPr="00922C2A">
              <w:rPr>
                <w:noProof/>
                <w:sz w:val="22"/>
              </w:rPr>
              <w:cr/>
            </w:r>
            <w:r w:rsidRPr="00922C2A">
              <w:rPr>
                <w:noProof/>
                <w:sz w:val="22"/>
              </w:rPr>
              <w:br/>
            </w:r>
            <w:r w:rsidRPr="00922C2A">
              <w:rPr>
                <w:b/>
                <w:noProof/>
                <w:sz w:val="20"/>
              </w:rPr>
              <w:t>2024</w:t>
            </w:r>
          </w:p>
        </w:tc>
        <w:tc>
          <w:tcPr>
            <w:tcW w:w="655" w:type="pct"/>
            <w:vAlign w:val="center"/>
          </w:tcPr>
          <w:p w14:paraId="79B6E262" w14:textId="77777777" w:rsidR="00922C2A" w:rsidRPr="00922C2A" w:rsidRDefault="00922C2A" w:rsidP="006F49C9">
            <w:pPr>
              <w:jc w:val="center"/>
              <w:rPr>
                <w:noProof/>
                <w:sz w:val="20"/>
              </w:rPr>
            </w:pPr>
            <w:r w:rsidRPr="00922C2A">
              <w:rPr>
                <w:noProof/>
                <w:sz w:val="20"/>
              </w:rPr>
              <w:t>Année</w:t>
            </w:r>
            <w:r w:rsidRPr="00922C2A">
              <w:rPr>
                <w:noProof/>
                <w:sz w:val="22"/>
              </w:rPr>
              <w:cr/>
            </w:r>
            <w:r w:rsidRPr="00922C2A">
              <w:rPr>
                <w:noProof/>
                <w:sz w:val="22"/>
              </w:rPr>
              <w:br/>
            </w:r>
            <w:r w:rsidRPr="00922C2A">
              <w:rPr>
                <w:b/>
                <w:noProof/>
                <w:sz w:val="20"/>
              </w:rPr>
              <w:t>2025</w:t>
            </w:r>
          </w:p>
        </w:tc>
        <w:tc>
          <w:tcPr>
            <w:tcW w:w="655" w:type="pct"/>
            <w:vAlign w:val="center"/>
          </w:tcPr>
          <w:p w14:paraId="7817D172" w14:textId="77777777" w:rsidR="00922C2A" w:rsidRPr="00922C2A" w:rsidRDefault="00922C2A" w:rsidP="006F49C9">
            <w:pPr>
              <w:jc w:val="center"/>
              <w:rPr>
                <w:noProof/>
                <w:sz w:val="20"/>
              </w:rPr>
            </w:pPr>
            <w:r w:rsidRPr="00922C2A">
              <w:rPr>
                <w:noProof/>
                <w:sz w:val="20"/>
              </w:rPr>
              <w:t>Année</w:t>
            </w:r>
            <w:r w:rsidRPr="00922C2A">
              <w:rPr>
                <w:noProof/>
                <w:sz w:val="22"/>
              </w:rPr>
              <w:cr/>
            </w:r>
            <w:r w:rsidRPr="00922C2A">
              <w:rPr>
                <w:noProof/>
                <w:sz w:val="22"/>
              </w:rPr>
              <w:br/>
            </w:r>
            <w:r w:rsidRPr="00922C2A">
              <w:rPr>
                <w:b/>
                <w:noProof/>
                <w:sz w:val="20"/>
              </w:rPr>
              <w:t>2026</w:t>
            </w:r>
          </w:p>
        </w:tc>
        <w:tc>
          <w:tcPr>
            <w:tcW w:w="655" w:type="pct"/>
            <w:vAlign w:val="center"/>
          </w:tcPr>
          <w:p w14:paraId="44CAE864" w14:textId="77777777" w:rsidR="00922C2A" w:rsidRPr="00922C2A" w:rsidRDefault="00922C2A" w:rsidP="006F49C9">
            <w:pPr>
              <w:jc w:val="center"/>
              <w:rPr>
                <w:noProof/>
                <w:sz w:val="20"/>
              </w:rPr>
            </w:pPr>
            <w:r w:rsidRPr="00922C2A">
              <w:rPr>
                <w:noProof/>
                <w:sz w:val="20"/>
              </w:rPr>
              <w:t>Année</w:t>
            </w:r>
            <w:r w:rsidRPr="00922C2A">
              <w:rPr>
                <w:noProof/>
                <w:sz w:val="22"/>
              </w:rPr>
              <w:cr/>
            </w:r>
            <w:r w:rsidRPr="00922C2A">
              <w:rPr>
                <w:noProof/>
                <w:sz w:val="22"/>
              </w:rPr>
              <w:br/>
            </w:r>
            <w:r w:rsidRPr="00922C2A">
              <w:rPr>
                <w:b/>
                <w:noProof/>
                <w:sz w:val="20"/>
              </w:rPr>
              <w:t>2027</w:t>
            </w:r>
          </w:p>
        </w:tc>
        <w:tc>
          <w:tcPr>
            <w:tcW w:w="787" w:type="pct"/>
            <w:vAlign w:val="center"/>
          </w:tcPr>
          <w:p w14:paraId="37422669" w14:textId="77777777" w:rsidR="00922C2A" w:rsidRPr="00922C2A" w:rsidRDefault="00922C2A" w:rsidP="006F49C9">
            <w:pPr>
              <w:spacing w:before="60" w:after="60"/>
              <w:jc w:val="center"/>
              <w:rPr>
                <w:noProof/>
                <w:sz w:val="20"/>
              </w:rPr>
            </w:pPr>
            <w:r w:rsidRPr="00922C2A">
              <w:rPr>
                <w:noProof/>
                <w:sz w:val="20"/>
              </w:rPr>
              <w:t>Total</w:t>
            </w:r>
          </w:p>
        </w:tc>
      </w:tr>
      <w:tr w:rsidR="00922C2A" w:rsidRPr="00922C2A" w14:paraId="6A580622" w14:textId="77777777" w:rsidTr="006F49C9">
        <w:trPr>
          <w:cantSplit/>
        </w:trPr>
        <w:tc>
          <w:tcPr>
            <w:tcW w:w="1591" w:type="pct"/>
          </w:tcPr>
          <w:p w14:paraId="445A7B9C" w14:textId="77777777" w:rsidR="00922C2A" w:rsidRPr="00922C2A" w:rsidRDefault="00922C2A" w:rsidP="006F49C9">
            <w:pPr>
              <w:rPr>
                <w:noProof/>
              </w:rPr>
            </w:pPr>
            <w:r w:rsidRPr="00922C2A">
              <w:rPr>
                <w:noProof/>
                <w:sz w:val="20"/>
              </w:rPr>
              <w:t>Préciser l’organisme de cofinancement</w:t>
            </w:r>
            <w:r w:rsidRPr="00922C2A">
              <w:rPr>
                <w:i/>
                <w:noProof/>
                <w:sz w:val="20"/>
              </w:rPr>
              <w:t xml:space="preserve"> </w:t>
            </w:r>
          </w:p>
        </w:tc>
        <w:tc>
          <w:tcPr>
            <w:tcW w:w="655" w:type="pct"/>
            <w:vAlign w:val="center"/>
          </w:tcPr>
          <w:p w14:paraId="5E44E0D1" w14:textId="77777777" w:rsidR="00922C2A" w:rsidRPr="00922C2A" w:rsidRDefault="00922C2A" w:rsidP="006F49C9">
            <w:pPr>
              <w:spacing w:before="60" w:after="60"/>
              <w:jc w:val="center"/>
              <w:rPr>
                <w:noProof/>
                <w:sz w:val="20"/>
              </w:rPr>
            </w:pPr>
          </w:p>
        </w:tc>
        <w:tc>
          <w:tcPr>
            <w:tcW w:w="655" w:type="pct"/>
            <w:vAlign w:val="center"/>
          </w:tcPr>
          <w:p w14:paraId="1371A744" w14:textId="77777777" w:rsidR="00922C2A" w:rsidRPr="00922C2A" w:rsidRDefault="00922C2A" w:rsidP="006F49C9">
            <w:pPr>
              <w:spacing w:before="60" w:after="60"/>
              <w:jc w:val="center"/>
              <w:rPr>
                <w:noProof/>
                <w:sz w:val="20"/>
              </w:rPr>
            </w:pPr>
          </w:p>
        </w:tc>
        <w:tc>
          <w:tcPr>
            <w:tcW w:w="655" w:type="pct"/>
            <w:vAlign w:val="center"/>
          </w:tcPr>
          <w:p w14:paraId="0A2AA06A" w14:textId="77777777" w:rsidR="00922C2A" w:rsidRPr="00922C2A" w:rsidRDefault="00922C2A" w:rsidP="006F49C9">
            <w:pPr>
              <w:spacing w:before="60" w:after="60"/>
              <w:jc w:val="center"/>
              <w:rPr>
                <w:noProof/>
                <w:sz w:val="20"/>
              </w:rPr>
            </w:pPr>
          </w:p>
        </w:tc>
        <w:tc>
          <w:tcPr>
            <w:tcW w:w="655" w:type="pct"/>
            <w:vAlign w:val="center"/>
          </w:tcPr>
          <w:p w14:paraId="2058CBA4" w14:textId="77777777" w:rsidR="00922C2A" w:rsidRPr="00922C2A" w:rsidRDefault="00922C2A" w:rsidP="006F49C9">
            <w:pPr>
              <w:spacing w:before="60" w:after="60"/>
              <w:jc w:val="center"/>
              <w:rPr>
                <w:noProof/>
                <w:sz w:val="20"/>
              </w:rPr>
            </w:pPr>
          </w:p>
        </w:tc>
        <w:tc>
          <w:tcPr>
            <w:tcW w:w="787" w:type="pct"/>
            <w:vAlign w:val="center"/>
          </w:tcPr>
          <w:p w14:paraId="098910D9" w14:textId="77777777" w:rsidR="00922C2A" w:rsidRPr="00922C2A" w:rsidRDefault="00922C2A" w:rsidP="006F49C9">
            <w:pPr>
              <w:spacing w:before="60" w:after="60"/>
              <w:jc w:val="center"/>
              <w:rPr>
                <w:noProof/>
                <w:sz w:val="20"/>
              </w:rPr>
            </w:pPr>
          </w:p>
        </w:tc>
      </w:tr>
      <w:tr w:rsidR="00922C2A" w:rsidRPr="00922C2A" w14:paraId="0B72A61F" w14:textId="77777777" w:rsidTr="006F49C9">
        <w:trPr>
          <w:cantSplit/>
        </w:trPr>
        <w:tc>
          <w:tcPr>
            <w:tcW w:w="1591" w:type="pct"/>
          </w:tcPr>
          <w:p w14:paraId="4DF0341F" w14:textId="77777777" w:rsidR="00922C2A" w:rsidRPr="00922C2A" w:rsidRDefault="00922C2A" w:rsidP="006F49C9">
            <w:pPr>
              <w:spacing w:before="60" w:after="60"/>
              <w:jc w:val="left"/>
              <w:rPr>
                <w:noProof/>
                <w:sz w:val="20"/>
              </w:rPr>
            </w:pPr>
            <w:r w:rsidRPr="00922C2A">
              <w:rPr>
                <w:noProof/>
                <w:sz w:val="20"/>
              </w:rPr>
              <w:t xml:space="preserve">TOTAL crédits cofinancés </w:t>
            </w:r>
          </w:p>
        </w:tc>
        <w:tc>
          <w:tcPr>
            <w:tcW w:w="655" w:type="pct"/>
            <w:vAlign w:val="center"/>
          </w:tcPr>
          <w:p w14:paraId="130C6713" w14:textId="77777777" w:rsidR="00922C2A" w:rsidRPr="00922C2A" w:rsidRDefault="00922C2A" w:rsidP="006F49C9">
            <w:pPr>
              <w:spacing w:before="60" w:after="60"/>
              <w:jc w:val="center"/>
              <w:rPr>
                <w:noProof/>
                <w:sz w:val="20"/>
              </w:rPr>
            </w:pPr>
          </w:p>
        </w:tc>
        <w:tc>
          <w:tcPr>
            <w:tcW w:w="655" w:type="pct"/>
            <w:vAlign w:val="center"/>
          </w:tcPr>
          <w:p w14:paraId="5DDB0743" w14:textId="77777777" w:rsidR="00922C2A" w:rsidRPr="00922C2A" w:rsidRDefault="00922C2A" w:rsidP="006F49C9">
            <w:pPr>
              <w:spacing w:before="60" w:after="60"/>
              <w:jc w:val="center"/>
              <w:rPr>
                <w:noProof/>
                <w:sz w:val="20"/>
              </w:rPr>
            </w:pPr>
          </w:p>
        </w:tc>
        <w:tc>
          <w:tcPr>
            <w:tcW w:w="655" w:type="pct"/>
            <w:vAlign w:val="center"/>
          </w:tcPr>
          <w:p w14:paraId="36B27A7E" w14:textId="77777777" w:rsidR="00922C2A" w:rsidRPr="00922C2A" w:rsidRDefault="00922C2A" w:rsidP="006F49C9">
            <w:pPr>
              <w:spacing w:before="60" w:after="60"/>
              <w:jc w:val="center"/>
              <w:rPr>
                <w:noProof/>
                <w:sz w:val="20"/>
              </w:rPr>
            </w:pPr>
          </w:p>
        </w:tc>
        <w:tc>
          <w:tcPr>
            <w:tcW w:w="655" w:type="pct"/>
            <w:vAlign w:val="center"/>
          </w:tcPr>
          <w:p w14:paraId="781215DA" w14:textId="77777777" w:rsidR="00922C2A" w:rsidRPr="00922C2A" w:rsidRDefault="00922C2A" w:rsidP="006F49C9">
            <w:pPr>
              <w:spacing w:before="60" w:after="60"/>
              <w:jc w:val="center"/>
              <w:rPr>
                <w:noProof/>
                <w:sz w:val="20"/>
              </w:rPr>
            </w:pPr>
          </w:p>
        </w:tc>
        <w:tc>
          <w:tcPr>
            <w:tcW w:w="787" w:type="pct"/>
            <w:vAlign w:val="center"/>
          </w:tcPr>
          <w:p w14:paraId="68DD437B" w14:textId="77777777" w:rsidR="00922C2A" w:rsidRPr="00922C2A" w:rsidRDefault="00922C2A" w:rsidP="006F49C9">
            <w:pPr>
              <w:spacing w:before="60" w:after="60"/>
              <w:jc w:val="center"/>
              <w:rPr>
                <w:noProof/>
                <w:sz w:val="20"/>
              </w:rPr>
            </w:pPr>
          </w:p>
        </w:tc>
      </w:tr>
    </w:tbl>
    <w:p w14:paraId="485B9DF8" w14:textId="77777777" w:rsidR="00922C2A" w:rsidRPr="00922C2A" w:rsidRDefault="00922C2A" w:rsidP="00922C2A">
      <w:pPr>
        <w:outlineLvl w:val="1"/>
        <w:rPr>
          <w:noProof/>
          <w:szCs w:val="24"/>
        </w:rPr>
      </w:pPr>
      <w:r w:rsidRPr="00922C2A">
        <w:rPr>
          <w:noProof/>
        </w:rPr>
        <w:cr/>
      </w:r>
      <w:r w:rsidRPr="00922C2A">
        <w:rPr>
          <w:noProof/>
        </w:rPr>
        <w:br/>
      </w:r>
      <w:bookmarkStart w:id="191" w:name="_Toc514938059"/>
      <w:bookmarkStart w:id="192" w:name="_Toc520485057"/>
      <w:bookmarkStart w:id="193" w:name="_Toc160804602"/>
      <w:bookmarkStart w:id="194" w:name="_Toc167220300"/>
      <w:bookmarkStart w:id="195" w:name="_Toc177549034"/>
      <w:bookmarkStart w:id="196" w:name="_Hlk166860179"/>
      <w:r w:rsidRPr="00922C2A">
        <w:rPr>
          <w:noProof/>
        </w:rPr>
        <w:t>3.3.</w:t>
      </w:r>
      <w:r w:rsidRPr="00922C2A">
        <w:rPr>
          <w:noProof/>
        </w:rPr>
        <w:tab/>
        <w:t>Incidence estimée sur les recettes</w:t>
      </w:r>
      <w:bookmarkEnd w:id="191"/>
      <w:bookmarkEnd w:id="192"/>
      <w:bookmarkEnd w:id="193"/>
      <w:bookmarkEnd w:id="194"/>
      <w:bookmarkEnd w:id="195"/>
      <w:r w:rsidRPr="00922C2A">
        <w:rPr>
          <w:noProof/>
        </w:rPr>
        <w:t xml:space="preserve"> </w:t>
      </w:r>
    </w:p>
    <w:bookmarkEnd w:id="196"/>
    <w:p w14:paraId="7DC82176" w14:textId="77777777" w:rsidR="00922C2A" w:rsidRPr="00922C2A" w:rsidRDefault="00922C2A" w:rsidP="00922C2A">
      <w:pPr>
        <w:pStyle w:val="ListDash1"/>
        <w:rPr>
          <w:noProof/>
        </w:rPr>
      </w:pPr>
      <w:r w:rsidRPr="00922C2A">
        <w:rPr>
          <w:rFonts w:ascii="Wingdings" w:hAnsi="Wingdings"/>
          <w:noProof/>
        </w:rPr>
        <w:t></w:t>
      </w:r>
      <w:r w:rsidRPr="00922C2A">
        <w:rPr>
          <w:noProof/>
        </w:rPr>
        <w:tab/>
        <w:t>La proposition/l’initiative est sans incidence financière sur les recettes.</w:t>
      </w:r>
    </w:p>
    <w:p w14:paraId="01B89B11" w14:textId="77777777" w:rsidR="00922C2A" w:rsidRPr="00922C2A" w:rsidRDefault="00922C2A" w:rsidP="00922C2A">
      <w:pPr>
        <w:pStyle w:val="ListDash1"/>
        <w:rPr>
          <w:noProof/>
        </w:rPr>
      </w:pPr>
      <w:r w:rsidRPr="00922C2A">
        <w:rPr>
          <w:rFonts w:ascii="Wingdings" w:hAnsi="Wingdings"/>
          <w:noProof/>
        </w:rPr>
        <w:t></w:t>
      </w:r>
      <w:r w:rsidRPr="00922C2A">
        <w:rPr>
          <w:noProof/>
        </w:rPr>
        <w:tab/>
        <w:t>La proposition/l’initiative a une incidence financière décrite ci‑après:</w:t>
      </w:r>
    </w:p>
    <w:p w14:paraId="22217D92" w14:textId="77777777" w:rsidR="00922C2A" w:rsidRPr="00922C2A" w:rsidRDefault="00922C2A" w:rsidP="00922C2A">
      <w:pPr>
        <w:pStyle w:val="Tiret2"/>
        <w:numPr>
          <w:ilvl w:val="0"/>
          <w:numId w:val="19"/>
        </w:numPr>
        <w:rPr>
          <w:noProof/>
        </w:rPr>
      </w:pPr>
      <w:r w:rsidRPr="00922C2A">
        <w:rPr>
          <w:rFonts w:ascii="Wingdings" w:hAnsi="Wingdings"/>
          <w:noProof/>
        </w:rPr>
        <w:t></w:t>
      </w:r>
      <w:r w:rsidRPr="00922C2A">
        <w:rPr>
          <w:noProof/>
        </w:rPr>
        <w:tab/>
        <w:t xml:space="preserve">sur les ressources propres </w:t>
      </w:r>
    </w:p>
    <w:p w14:paraId="79DB0BD3" w14:textId="77777777" w:rsidR="00922C2A" w:rsidRPr="00922C2A" w:rsidRDefault="00922C2A" w:rsidP="00922C2A">
      <w:pPr>
        <w:pStyle w:val="Tiret2"/>
        <w:rPr>
          <w:noProof/>
        </w:rPr>
      </w:pPr>
      <w:r w:rsidRPr="00922C2A">
        <w:rPr>
          <w:rFonts w:ascii="Wingdings" w:hAnsi="Wingdings"/>
          <w:noProof/>
        </w:rPr>
        <w:t></w:t>
      </w:r>
      <w:r w:rsidRPr="00922C2A">
        <w:rPr>
          <w:noProof/>
        </w:rPr>
        <w:tab/>
        <w:t>sur les autres recettes</w:t>
      </w:r>
    </w:p>
    <w:p w14:paraId="6361A0ED" w14:textId="77777777" w:rsidR="00922C2A" w:rsidRPr="00922C2A" w:rsidRDefault="00922C2A" w:rsidP="00922C2A">
      <w:pPr>
        <w:pStyle w:val="Tiret2"/>
        <w:rPr>
          <w:noProof/>
        </w:rPr>
      </w:pPr>
      <w:r w:rsidRPr="00922C2A">
        <w:rPr>
          <w:rFonts w:ascii="Wingdings" w:hAnsi="Wingdings"/>
          <w:noProof/>
        </w:rPr>
        <w:t></w:t>
      </w:r>
      <w:r w:rsidRPr="00922C2A">
        <w:rPr>
          <w:rFonts w:ascii="Wingdings" w:hAnsi="Wingdings"/>
          <w:noProof/>
        </w:rPr>
        <w:tab/>
      </w:r>
      <w:r w:rsidRPr="00922C2A">
        <w:rPr>
          <w:noProof/>
        </w:rPr>
        <w:t>veuillez indiquer si les recettes sont affectées à des lignes de dépenses</w:t>
      </w:r>
    </w:p>
    <w:p w14:paraId="336786EE" w14:textId="77777777" w:rsidR="00922C2A" w:rsidRPr="00922C2A" w:rsidRDefault="00922C2A" w:rsidP="00922C2A">
      <w:pPr>
        <w:jc w:val="right"/>
        <w:rPr>
          <w:noProof/>
          <w:sz w:val="20"/>
        </w:rPr>
      </w:pPr>
      <w:r w:rsidRPr="00922C2A">
        <w:rPr>
          <w:noProof/>
          <w:sz w:val="20"/>
        </w:rPr>
        <w:t xml:space="preserve">     En Mio EUR (à la 3</w:t>
      </w:r>
      <w:r w:rsidRPr="00922C2A">
        <w:rPr>
          <w:noProof/>
          <w:sz w:val="20"/>
          <w:vertAlign w:val="superscript"/>
        </w:rPr>
        <w:t>e</w:t>
      </w:r>
      <w:r w:rsidRPr="00922C2A">
        <w:rPr>
          <w:noProof/>
          <w:sz w:val="20"/>
        </w:rPr>
        <w:t>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3"/>
        <w:gridCol w:w="1614"/>
        <w:gridCol w:w="1692"/>
        <w:gridCol w:w="1044"/>
        <w:gridCol w:w="1035"/>
        <w:gridCol w:w="1259"/>
      </w:tblGrid>
      <w:tr w:rsidR="00922C2A" w:rsidRPr="00922C2A" w14:paraId="0CE2A3EB" w14:textId="77777777" w:rsidTr="006F49C9">
        <w:trPr>
          <w:trHeight w:val="388"/>
        </w:trPr>
        <w:tc>
          <w:tcPr>
            <w:tcW w:w="1423" w:type="pct"/>
            <w:vMerge w:val="restart"/>
            <w:vAlign w:val="center"/>
          </w:tcPr>
          <w:p w14:paraId="25B02258" w14:textId="77777777" w:rsidR="00922C2A" w:rsidRPr="00922C2A" w:rsidRDefault="00922C2A" w:rsidP="006F49C9">
            <w:pPr>
              <w:spacing w:before="40" w:after="40"/>
              <w:rPr>
                <w:noProof/>
                <w:sz w:val="18"/>
              </w:rPr>
            </w:pPr>
            <w:r w:rsidRPr="00922C2A">
              <w:rPr>
                <w:noProof/>
                <w:sz w:val="18"/>
              </w:rPr>
              <w:t>Ligne budgétaire de recettes:</w:t>
            </w:r>
          </w:p>
        </w:tc>
        <w:tc>
          <w:tcPr>
            <w:tcW w:w="869" w:type="pct"/>
            <w:vMerge w:val="restart"/>
            <w:vAlign w:val="center"/>
          </w:tcPr>
          <w:p w14:paraId="71224130" w14:textId="77777777" w:rsidR="00922C2A" w:rsidRPr="00922C2A" w:rsidRDefault="00922C2A" w:rsidP="006F49C9">
            <w:pPr>
              <w:jc w:val="center"/>
              <w:rPr>
                <w:noProof/>
                <w:sz w:val="18"/>
              </w:rPr>
            </w:pPr>
            <w:r w:rsidRPr="00922C2A">
              <w:rPr>
                <w:noProof/>
                <w:sz w:val="18"/>
              </w:rPr>
              <w:t>Montants inscrits pour l’exercice en cours</w:t>
            </w:r>
          </w:p>
        </w:tc>
        <w:tc>
          <w:tcPr>
            <w:tcW w:w="2709" w:type="pct"/>
            <w:gridSpan w:val="4"/>
            <w:vAlign w:val="center"/>
          </w:tcPr>
          <w:p w14:paraId="4A2BC99F" w14:textId="77777777" w:rsidR="00922C2A" w:rsidRPr="00922C2A" w:rsidRDefault="00922C2A" w:rsidP="006F49C9">
            <w:pPr>
              <w:jc w:val="center"/>
              <w:rPr>
                <w:noProof/>
                <w:sz w:val="18"/>
              </w:rPr>
            </w:pPr>
            <w:r w:rsidRPr="00922C2A">
              <w:rPr>
                <w:noProof/>
                <w:sz w:val="18"/>
              </w:rPr>
              <w:t>Incidence de la proposition/de l’initiative</w:t>
            </w:r>
            <w:r w:rsidRPr="00922C2A">
              <w:rPr>
                <w:rStyle w:val="FootnoteReference"/>
                <w:noProof/>
                <w:sz w:val="18"/>
                <w:szCs w:val="18"/>
              </w:rPr>
              <w:footnoteReference w:id="106"/>
            </w:r>
          </w:p>
        </w:tc>
      </w:tr>
      <w:tr w:rsidR="00922C2A" w:rsidRPr="00922C2A" w14:paraId="6346CC7A" w14:textId="77777777" w:rsidTr="006F49C9">
        <w:trPr>
          <w:trHeight w:val="388"/>
        </w:trPr>
        <w:tc>
          <w:tcPr>
            <w:tcW w:w="1423" w:type="pct"/>
            <w:vMerge/>
          </w:tcPr>
          <w:p w14:paraId="6DB728F6" w14:textId="77777777" w:rsidR="00922C2A" w:rsidRPr="00922C2A" w:rsidRDefault="00922C2A" w:rsidP="006F49C9">
            <w:pPr>
              <w:spacing w:before="40" w:after="40"/>
              <w:rPr>
                <w:noProof/>
                <w:sz w:val="18"/>
              </w:rPr>
            </w:pPr>
          </w:p>
        </w:tc>
        <w:tc>
          <w:tcPr>
            <w:tcW w:w="869" w:type="pct"/>
            <w:vMerge/>
          </w:tcPr>
          <w:p w14:paraId="26AB6738" w14:textId="77777777" w:rsidR="00922C2A" w:rsidRPr="00922C2A" w:rsidRDefault="00922C2A" w:rsidP="006F49C9">
            <w:pPr>
              <w:spacing w:beforeLines="40" w:before="96" w:afterLines="40" w:after="96"/>
              <w:rPr>
                <w:i/>
                <w:noProof/>
                <w:sz w:val="18"/>
              </w:rPr>
            </w:pPr>
          </w:p>
        </w:tc>
        <w:tc>
          <w:tcPr>
            <w:tcW w:w="911" w:type="pct"/>
            <w:vAlign w:val="center"/>
          </w:tcPr>
          <w:p w14:paraId="18A3A0F2" w14:textId="77777777" w:rsidR="00922C2A" w:rsidRPr="00922C2A" w:rsidRDefault="00922C2A" w:rsidP="006F49C9">
            <w:pPr>
              <w:jc w:val="center"/>
              <w:rPr>
                <w:noProof/>
                <w:sz w:val="18"/>
              </w:rPr>
            </w:pPr>
            <w:r w:rsidRPr="00922C2A">
              <w:rPr>
                <w:noProof/>
                <w:sz w:val="18"/>
              </w:rPr>
              <w:t xml:space="preserve">Année </w:t>
            </w:r>
            <w:r w:rsidRPr="00922C2A">
              <w:rPr>
                <w:b/>
                <w:noProof/>
                <w:sz w:val="18"/>
              </w:rPr>
              <w:t>2024</w:t>
            </w:r>
          </w:p>
        </w:tc>
        <w:tc>
          <w:tcPr>
            <w:tcW w:w="562" w:type="pct"/>
            <w:vAlign w:val="center"/>
          </w:tcPr>
          <w:p w14:paraId="58620FF9" w14:textId="77777777" w:rsidR="00922C2A" w:rsidRPr="00922C2A" w:rsidRDefault="00922C2A" w:rsidP="006F49C9">
            <w:pPr>
              <w:jc w:val="center"/>
              <w:rPr>
                <w:noProof/>
                <w:sz w:val="18"/>
              </w:rPr>
            </w:pPr>
            <w:r w:rsidRPr="00922C2A">
              <w:rPr>
                <w:noProof/>
                <w:sz w:val="18"/>
              </w:rPr>
              <w:t xml:space="preserve">Année </w:t>
            </w:r>
            <w:r w:rsidRPr="00922C2A">
              <w:rPr>
                <w:b/>
                <w:noProof/>
                <w:sz w:val="18"/>
              </w:rPr>
              <w:t>2025</w:t>
            </w:r>
          </w:p>
        </w:tc>
        <w:tc>
          <w:tcPr>
            <w:tcW w:w="557" w:type="pct"/>
            <w:vAlign w:val="center"/>
          </w:tcPr>
          <w:p w14:paraId="450B95CE" w14:textId="77777777" w:rsidR="00922C2A" w:rsidRPr="00922C2A" w:rsidRDefault="00922C2A" w:rsidP="006F49C9">
            <w:pPr>
              <w:jc w:val="center"/>
              <w:rPr>
                <w:noProof/>
                <w:sz w:val="18"/>
              </w:rPr>
            </w:pPr>
            <w:r w:rsidRPr="00922C2A">
              <w:rPr>
                <w:noProof/>
                <w:sz w:val="18"/>
              </w:rPr>
              <w:t xml:space="preserve">Année </w:t>
            </w:r>
            <w:r w:rsidRPr="00922C2A">
              <w:rPr>
                <w:b/>
                <w:noProof/>
                <w:sz w:val="18"/>
              </w:rPr>
              <w:t>2026</w:t>
            </w:r>
          </w:p>
        </w:tc>
        <w:tc>
          <w:tcPr>
            <w:tcW w:w="679" w:type="pct"/>
            <w:vAlign w:val="center"/>
          </w:tcPr>
          <w:p w14:paraId="687ECB36" w14:textId="77777777" w:rsidR="00922C2A" w:rsidRPr="00922C2A" w:rsidRDefault="00922C2A" w:rsidP="006F49C9">
            <w:pPr>
              <w:jc w:val="center"/>
              <w:rPr>
                <w:noProof/>
                <w:sz w:val="18"/>
              </w:rPr>
            </w:pPr>
            <w:r w:rsidRPr="00922C2A">
              <w:rPr>
                <w:noProof/>
                <w:sz w:val="18"/>
              </w:rPr>
              <w:t xml:space="preserve">Année </w:t>
            </w:r>
            <w:r w:rsidRPr="00922C2A">
              <w:rPr>
                <w:b/>
                <w:noProof/>
                <w:sz w:val="18"/>
              </w:rPr>
              <w:t>2027</w:t>
            </w:r>
          </w:p>
        </w:tc>
      </w:tr>
      <w:tr w:rsidR="00922C2A" w:rsidRPr="00922C2A" w14:paraId="6F97633E" w14:textId="77777777" w:rsidTr="006F49C9">
        <w:trPr>
          <w:trHeight w:val="388"/>
        </w:trPr>
        <w:tc>
          <w:tcPr>
            <w:tcW w:w="1423" w:type="pct"/>
            <w:vAlign w:val="center"/>
          </w:tcPr>
          <w:p w14:paraId="2E1F59CF" w14:textId="77777777" w:rsidR="00922C2A" w:rsidRPr="00922C2A" w:rsidRDefault="00922C2A" w:rsidP="006F49C9">
            <w:pPr>
              <w:spacing w:before="40" w:after="40"/>
              <w:rPr>
                <w:noProof/>
                <w:sz w:val="18"/>
              </w:rPr>
            </w:pPr>
            <w:r w:rsidRPr="00922C2A">
              <w:rPr>
                <w:noProof/>
                <w:sz w:val="18"/>
              </w:rPr>
              <w:t>Article ………….</w:t>
            </w:r>
          </w:p>
        </w:tc>
        <w:tc>
          <w:tcPr>
            <w:tcW w:w="869" w:type="pct"/>
          </w:tcPr>
          <w:p w14:paraId="03C52CD9" w14:textId="77777777" w:rsidR="00922C2A" w:rsidRPr="00922C2A" w:rsidRDefault="00922C2A" w:rsidP="006F49C9">
            <w:pPr>
              <w:spacing w:beforeLines="40" w:before="96" w:afterLines="40" w:after="96"/>
              <w:jc w:val="center"/>
              <w:rPr>
                <w:i/>
                <w:noProof/>
                <w:sz w:val="18"/>
              </w:rPr>
            </w:pPr>
          </w:p>
        </w:tc>
        <w:tc>
          <w:tcPr>
            <w:tcW w:w="911" w:type="pct"/>
          </w:tcPr>
          <w:p w14:paraId="3E5641B8" w14:textId="77777777" w:rsidR="00922C2A" w:rsidRPr="00922C2A" w:rsidRDefault="00922C2A" w:rsidP="006F49C9">
            <w:pPr>
              <w:spacing w:beforeLines="40" w:before="96" w:afterLines="40" w:after="96"/>
              <w:jc w:val="center"/>
              <w:rPr>
                <w:noProof/>
                <w:sz w:val="18"/>
              </w:rPr>
            </w:pPr>
          </w:p>
        </w:tc>
        <w:tc>
          <w:tcPr>
            <w:tcW w:w="562" w:type="pct"/>
          </w:tcPr>
          <w:p w14:paraId="0E24153A" w14:textId="77777777" w:rsidR="00922C2A" w:rsidRPr="00922C2A" w:rsidRDefault="00922C2A" w:rsidP="006F49C9">
            <w:pPr>
              <w:spacing w:beforeLines="40" w:before="96" w:afterLines="40" w:after="96"/>
              <w:jc w:val="center"/>
              <w:rPr>
                <w:noProof/>
                <w:sz w:val="18"/>
              </w:rPr>
            </w:pPr>
          </w:p>
        </w:tc>
        <w:tc>
          <w:tcPr>
            <w:tcW w:w="557" w:type="pct"/>
          </w:tcPr>
          <w:p w14:paraId="194EFC55" w14:textId="77777777" w:rsidR="00922C2A" w:rsidRPr="00922C2A" w:rsidRDefault="00922C2A" w:rsidP="006F49C9">
            <w:pPr>
              <w:spacing w:beforeLines="40" w:before="96" w:afterLines="40" w:after="96"/>
              <w:jc w:val="center"/>
              <w:rPr>
                <w:noProof/>
                <w:sz w:val="18"/>
              </w:rPr>
            </w:pPr>
          </w:p>
        </w:tc>
        <w:tc>
          <w:tcPr>
            <w:tcW w:w="679" w:type="pct"/>
          </w:tcPr>
          <w:p w14:paraId="06330D71" w14:textId="77777777" w:rsidR="00922C2A" w:rsidRPr="00922C2A" w:rsidRDefault="00922C2A" w:rsidP="006F49C9">
            <w:pPr>
              <w:spacing w:beforeLines="40" w:before="96" w:afterLines="40" w:after="96"/>
              <w:jc w:val="center"/>
              <w:rPr>
                <w:noProof/>
                <w:sz w:val="18"/>
              </w:rPr>
            </w:pPr>
          </w:p>
        </w:tc>
      </w:tr>
    </w:tbl>
    <w:p w14:paraId="1DC72E66" w14:textId="77777777" w:rsidR="00922C2A" w:rsidRPr="00922C2A" w:rsidRDefault="00922C2A" w:rsidP="00922C2A">
      <w:pPr>
        <w:pStyle w:val="Text1"/>
        <w:rPr>
          <w:noProof/>
          <w:szCs w:val="24"/>
        </w:rPr>
      </w:pPr>
      <w:r w:rsidRPr="00922C2A">
        <w:rPr>
          <w:noProof/>
        </w:rPr>
        <w:t>Pour les recettes affectées, préciser la(les) ligne(s) budgétaire(s) de dépenses concernée(s).</w:t>
      </w:r>
    </w:p>
    <w:p w14:paraId="7D4BAFAE"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p>
    <w:p w14:paraId="5B9FA1FE" w14:textId="77777777" w:rsidR="00922C2A" w:rsidRPr="00922C2A" w:rsidRDefault="00922C2A" w:rsidP="00922C2A">
      <w:pPr>
        <w:pStyle w:val="Text1"/>
        <w:rPr>
          <w:noProof/>
          <w:szCs w:val="24"/>
        </w:rPr>
      </w:pPr>
      <w:r w:rsidRPr="00922C2A">
        <w:rPr>
          <w:noProof/>
        </w:rPr>
        <w:t>Autres remarques (relatives par exemple à la méthode/formule utilisée pour le calcul de l’incidence sur les recettes ou toute autre information).</w:t>
      </w:r>
    </w:p>
    <w:p w14:paraId="161669D0" w14:textId="77777777" w:rsidR="00922C2A" w:rsidRPr="00922C2A" w:rsidRDefault="00922C2A" w:rsidP="00922C2A">
      <w:pPr>
        <w:pStyle w:val="Text1"/>
        <w:pBdr>
          <w:top w:val="single" w:sz="4" w:space="1" w:color="auto"/>
          <w:left w:val="single" w:sz="4" w:space="4" w:color="auto"/>
          <w:bottom w:val="single" w:sz="4" w:space="1" w:color="auto"/>
          <w:right w:val="single" w:sz="4" w:space="4" w:color="auto"/>
        </w:pBdr>
        <w:rPr>
          <w:noProof/>
        </w:rPr>
      </w:pPr>
    </w:p>
    <w:p w14:paraId="74E6108C" w14:textId="77777777" w:rsidR="00922C2A" w:rsidRPr="00922C2A" w:rsidRDefault="00922C2A" w:rsidP="00922C2A">
      <w:pPr>
        <w:pStyle w:val="ManualHeading1"/>
        <w:rPr>
          <w:caps/>
          <w:noProof/>
        </w:rPr>
      </w:pPr>
      <w:bookmarkStart w:id="197" w:name="_Toc167220301"/>
      <w:bookmarkStart w:id="198" w:name="_Toc177549035"/>
      <w:r w:rsidRPr="00922C2A">
        <w:rPr>
          <w:noProof/>
        </w:rPr>
        <w:t>4.</w:t>
      </w:r>
      <w:r w:rsidRPr="00922C2A">
        <w:rPr>
          <w:noProof/>
        </w:rPr>
        <w:tab/>
      </w:r>
      <w:bookmarkStart w:id="199" w:name="_Hlk167692977"/>
      <w:r w:rsidRPr="00922C2A">
        <w:rPr>
          <w:caps/>
          <w:noProof/>
        </w:rPr>
        <w:t>Dimensions numériques</w:t>
      </w:r>
      <w:bookmarkEnd w:id="197"/>
      <w:bookmarkEnd w:id="198"/>
    </w:p>
    <w:p w14:paraId="3915CFB5" w14:textId="77777777" w:rsidR="00922C2A" w:rsidRPr="00922C2A" w:rsidRDefault="00922C2A" w:rsidP="00922C2A">
      <w:pPr>
        <w:pStyle w:val="ManualHeading2"/>
        <w:rPr>
          <w:noProof/>
        </w:rPr>
      </w:pPr>
      <w:bookmarkStart w:id="200" w:name="_Toc167220302"/>
      <w:bookmarkStart w:id="201" w:name="_Toc177549037"/>
      <w:r w:rsidRPr="00922C2A">
        <w:rPr>
          <w:noProof/>
        </w:rPr>
        <w:t>4.1.</w:t>
      </w:r>
      <w:r w:rsidRPr="00922C2A">
        <w:rPr>
          <w:noProof/>
        </w:rPr>
        <w:tab/>
        <w:t>Exigences pertinentes en matière numérique</w:t>
      </w:r>
      <w:bookmarkEnd w:id="200"/>
      <w:bookmarkEnd w:id="201"/>
    </w:p>
    <w:tbl>
      <w:tblPr>
        <w:tblStyle w:val="TableGrid"/>
        <w:tblW w:w="9072" w:type="dxa"/>
        <w:tblInd w:w="-5" w:type="dxa"/>
        <w:tblLayout w:type="fixed"/>
        <w:tblLook w:val="06A0" w:firstRow="1" w:lastRow="0" w:firstColumn="1" w:lastColumn="0" w:noHBand="1" w:noVBand="1"/>
      </w:tblPr>
      <w:tblGrid>
        <w:gridCol w:w="9072"/>
      </w:tblGrid>
      <w:tr w:rsidR="00922C2A" w:rsidRPr="00922C2A" w14:paraId="7C480F47" w14:textId="77777777" w:rsidTr="006F49C9">
        <w:trPr>
          <w:trHeight w:val="300"/>
        </w:trPr>
        <w:tc>
          <w:tcPr>
            <w:tcW w:w="9072" w:type="dxa"/>
          </w:tcPr>
          <w:tbl>
            <w:tblPr>
              <w:tblStyle w:val="TableGrid"/>
              <w:tblW w:w="12284" w:type="dxa"/>
              <w:tblLayout w:type="fixed"/>
              <w:tblLook w:val="04A0" w:firstRow="1" w:lastRow="0" w:firstColumn="1" w:lastColumn="0" w:noHBand="0" w:noVBand="1"/>
            </w:tblPr>
            <w:tblGrid>
              <w:gridCol w:w="1413"/>
              <w:gridCol w:w="2410"/>
              <w:gridCol w:w="1481"/>
              <w:gridCol w:w="1936"/>
              <w:gridCol w:w="5044"/>
            </w:tblGrid>
            <w:tr w:rsidR="00922C2A" w:rsidRPr="00922C2A" w14:paraId="0344671C" w14:textId="77777777" w:rsidTr="006F49C9">
              <w:tc>
                <w:tcPr>
                  <w:tcW w:w="1413" w:type="dxa"/>
                  <w:shd w:val="clear" w:color="auto" w:fill="auto"/>
                </w:tcPr>
                <w:p w14:paraId="14CE2E8B" w14:textId="77777777" w:rsidR="00922C2A" w:rsidRPr="00922C2A" w:rsidRDefault="00922C2A" w:rsidP="006F49C9">
                  <w:pPr>
                    <w:rPr>
                      <w:noProof/>
                    </w:rPr>
                  </w:pPr>
                  <w:r w:rsidRPr="00922C2A">
                    <w:rPr>
                      <w:b/>
                      <w:noProof/>
                      <w:sz w:val="18"/>
                    </w:rPr>
                    <w:t>Référence à l’exigence</w:t>
                  </w:r>
                </w:p>
              </w:tc>
              <w:tc>
                <w:tcPr>
                  <w:tcW w:w="2410" w:type="dxa"/>
                  <w:shd w:val="clear" w:color="auto" w:fill="auto"/>
                </w:tcPr>
                <w:p w14:paraId="44DC5187" w14:textId="77777777" w:rsidR="00922C2A" w:rsidRPr="00922C2A" w:rsidRDefault="00922C2A" w:rsidP="006F49C9">
                  <w:pPr>
                    <w:rPr>
                      <w:b/>
                      <w:bCs/>
                      <w:noProof/>
                      <w:sz w:val="18"/>
                      <w:szCs w:val="18"/>
                    </w:rPr>
                  </w:pPr>
                  <w:r w:rsidRPr="00922C2A">
                    <w:rPr>
                      <w:b/>
                      <w:noProof/>
                      <w:sz w:val="18"/>
                    </w:rPr>
                    <w:t xml:space="preserve">Description de l’exigence </w:t>
                  </w:r>
                </w:p>
                <w:p w14:paraId="53308960" w14:textId="77777777" w:rsidR="00922C2A" w:rsidRPr="00922C2A" w:rsidRDefault="00922C2A" w:rsidP="006F49C9">
                  <w:pPr>
                    <w:rPr>
                      <w:noProof/>
                    </w:rPr>
                  </w:pPr>
                </w:p>
              </w:tc>
              <w:tc>
                <w:tcPr>
                  <w:tcW w:w="1481" w:type="dxa"/>
                  <w:shd w:val="clear" w:color="auto" w:fill="auto"/>
                </w:tcPr>
                <w:p w14:paraId="0812FFD8" w14:textId="77777777" w:rsidR="00922C2A" w:rsidRPr="00922C2A" w:rsidRDefault="00922C2A" w:rsidP="006F49C9">
                  <w:pPr>
                    <w:rPr>
                      <w:noProof/>
                    </w:rPr>
                  </w:pPr>
                  <w:r w:rsidRPr="00922C2A">
                    <w:rPr>
                      <w:b/>
                      <w:noProof/>
                      <w:sz w:val="18"/>
                    </w:rPr>
                    <w:t>Catégories de parties intéressées concernées</w:t>
                  </w:r>
                </w:p>
              </w:tc>
              <w:tc>
                <w:tcPr>
                  <w:tcW w:w="1936" w:type="dxa"/>
                  <w:shd w:val="clear" w:color="auto" w:fill="auto"/>
                </w:tcPr>
                <w:p w14:paraId="5BEDBE62" w14:textId="77777777" w:rsidR="00922C2A" w:rsidRPr="00922C2A" w:rsidRDefault="00922C2A" w:rsidP="006F49C9">
                  <w:pPr>
                    <w:rPr>
                      <w:noProof/>
                    </w:rPr>
                  </w:pPr>
                  <w:r w:rsidRPr="00922C2A">
                    <w:rPr>
                      <w:b/>
                      <w:noProof/>
                      <w:sz w:val="18"/>
                    </w:rPr>
                    <w:t xml:space="preserve">Processus de haut niveau concernés par cette exigence </w:t>
                  </w:r>
                </w:p>
              </w:tc>
              <w:tc>
                <w:tcPr>
                  <w:tcW w:w="5044" w:type="dxa"/>
                  <w:shd w:val="clear" w:color="auto" w:fill="auto"/>
                </w:tcPr>
                <w:p w14:paraId="4AADA94A" w14:textId="77777777" w:rsidR="00922C2A" w:rsidRPr="00922C2A" w:rsidRDefault="00922C2A" w:rsidP="006F49C9">
                  <w:pPr>
                    <w:rPr>
                      <w:noProof/>
                    </w:rPr>
                  </w:pPr>
                  <w:r w:rsidRPr="00922C2A">
                    <w:rPr>
                      <w:b/>
                      <w:noProof/>
                      <w:sz w:val="18"/>
                    </w:rPr>
                    <w:t>Catégorie</w:t>
                  </w:r>
                </w:p>
              </w:tc>
            </w:tr>
            <w:tr w:rsidR="00922C2A" w:rsidRPr="00922C2A" w14:paraId="1D2BA598" w14:textId="77777777" w:rsidTr="006F49C9">
              <w:tc>
                <w:tcPr>
                  <w:tcW w:w="1413" w:type="dxa"/>
                  <w:shd w:val="clear" w:color="auto" w:fill="auto"/>
                </w:tcPr>
                <w:p w14:paraId="72344DDF" w14:textId="77777777" w:rsidR="00922C2A" w:rsidRPr="00922C2A" w:rsidRDefault="00922C2A" w:rsidP="006F49C9">
                  <w:pPr>
                    <w:jc w:val="left"/>
                    <w:rPr>
                      <w:noProof/>
                      <w:sz w:val="18"/>
                      <w:szCs w:val="18"/>
                    </w:rPr>
                  </w:pPr>
                  <w:r w:rsidRPr="00922C2A">
                    <w:rPr>
                      <w:noProof/>
                      <w:sz w:val="18"/>
                    </w:rPr>
                    <w:t>Article 6, paragraphe 1</w:t>
                  </w:r>
                </w:p>
              </w:tc>
              <w:tc>
                <w:tcPr>
                  <w:tcW w:w="2410" w:type="dxa"/>
                  <w:shd w:val="clear" w:color="auto" w:fill="auto"/>
                </w:tcPr>
                <w:p w14:paraId="5B9C66C3" w14:textId="77777777" w:rsidR="00922C2A" w:rsidRPr="00922C2A" w:rsidRDefault="00922C2A" w:rsidP="006F49C9">
                  <w:pPr>
                    <w:rPr>
                      <w:noProof/>
                      <w:sz w:val="18"/>
                      <w:szCs w:val="18"/>
                    </w:rPr>
                  </w:pPr>
                  <w:r w:rsidRPr="00922C2A">
                    <w:rPr>
                      <w:noProof/>
                      <w:sz w:val="18"/>
                    </w:rPr>
                    <w:t>Reconnaissance de projets stratégiques</w:t>
                  </w:r>
                </w:p>
              </w:tc>
              <w:tc>
                <w:tcPr>
                  <w:tcW w:w="1481" w:type="dxa"/>
                  <w:shd w:val="clear" w:color="auto" w:fill="auto"/>
                </w:tcPr>
                <w:p w14:paraId="1A1F3643" w14:textId="77777777" w:rsidR="00922C2A" w:rsidRPr="00922C2A" w:rsidRDefault="00922C2A" w:rsidP="006F49C9">
                  <w:pPr>
                    <w:rPr>
                      <w:noProof/>
                      <w:sz w:val="18"/>
                      <w:szCs w:val="14"/>
                    </w:rPr>
                  </w:pPr>
                  <w:r w:rsidRPr="00922C2A">
                    <w:rPr>
                      <w:noProof/>
                      <w:sz w:val="18"/>
                    </w:rPr>
                    <w:t>Promoteur du projet</w:t>
                  </w:r>
                </w:p>
                <w:p w14:paraId="3A715FA3" w14:textId="77777777" w:rsidR="00922C2A" w:rsidRPr="00922C2A" w:rsidRDefault="00922C2A" w:rsidP="006F49C9">
                  <w:pPr>
                    <w:rPr>
                      <w:noProof/>
                      <w:sz w:val="18"/>
                      <w:szCs w:val="18"/>
                    </w:rPr>
                  </w:pPr>
                  <w:r w:rsidRPr="00922C2A">
                    <w:rPr>
                      <w:noProof/>
                      <w:sz w:val="18"/>
                    </w:rPr>
                    <w:t>Autorité nationale</w:t>
                  </w:r>
                </w:p>
              </w:tc>
              <w:tc>
                <w:tcPr>
                  <w:tcW w:w="1936" w:type="dxa"/>
                  <w:shd w:val="clear" w:color="auto" w:fill="auto"/>
                </w:tcPr>
                <w:p w14:paraId="2A6ECC01" w14:textId="77777777" w:rsidR="00922C2A" w:rsidRPr="00922C2A" w:rsidRDefault="00922C2A" w:rsidP="006F49C9">
                  <w:pPr>
                    <w:rPr>
                      <w:noProof/>
                      <w:sz w:val="18"/>
                      <w:szCs w:val="18"/>
                    </w:rPr>
                  </w:pPr>
                  <w:r w:rsidRPr="00922C2A">
                    <w:rPr>
                      <w:noProof/>
                      <w:sz w:val="18"/>
                    </w:rPr>
                    <w:t>Demander la reconnaissance d’un projet stratégique</w:t>
                  </w:r>
                </w:p>
              </w:tc>
              <w:tc>
                <w:tcPr>
                  <w:tcW w:w="5044" w:type="dxa"/>
                  <w:shd w:val="clear" w:color="auto" w:fill="auto"/>
                </w:tcPr>
                <w:p w14:paraId="77950964" w14:textId="77777777" w:rsidR="00922C2A" w:rsidRPr="00922C2A" w:rsidRDefault="00922C2A" w:rsidP="006F49C9">
                  <w:pPr>
                    <w:rPr>
                      <w:noProof/>
                      <w:sz w:val="18"/>
                      <w:szCs w:val="14"/>
                    </w:rPr>
                  </w:pPr>
                  <w:r w:rsidRPr="00922C2A">
                    <w:rPr>
                      <w:noProof/>
                      <w:sz w:val="18"/>
                    </w:rPr>
                    <w:t>Données</w:t>
                  </w:r>
                </w:p>
                <w:p w14:paraId="2B964906" w14:textId="77777777" w:rsidR="00922C2A" w:rsidRPr="00922C2A" w:rsidRDefault="00922C2A" w:rsidP="006F49C9">
                  <w:pPr>
                    <w:rPr>
                      <w:noProof/>
                      <w:sz w:val="18"/>
                      <w:szCs w:val="14"/>
                    </w:rPr>
                  </w:pPr>
                  <w:r w:rsidRPr="00922C2A">
                    <w:rPr>
                      <w:noProof/>
                      <w:sz w:val="18"/>
                    </w:rPr>
                    <w:t xml:space="preserve">Services publics </w:t>
                  </w:r>
                </w:p>
                <w:p w14:paraId="3F7C4339" w14:textId="77777777" w:rsidR="00922C2A" w:rsidRPr="00922C2A" w:rsidRDefault="00922C2A" w:rsidP="006F49C9">
                  <w:pPr>
                    <w:rPr>
                      <w:noProof/>
                      <w:sz w:val="18"/>
                      <w:szCs w:val="18"/>
                    </w:rPr>
                  </w:pPr>
                  <w:r w:rsidRPr="00922C2A">
                    <w:rPr>
                      <w:noProof/>
                      <w:sz w:val="18"/>
                    </w:rPr>
                    <w:t>numériques</w:t>
                  </w:r>
                </w:p>
              </w:tc>
            </w:tr>
            <w:tr w:rsidR="00922C2A" w:rsidRPr="00922C2A" w14:paraId="7C0FFC47" w14:textId="77777777" w:rsidTr="006F49C9">
              <w:tc>
                <w:tcPr>
                  <w:tcW w:w="1413" w:type="dxa"/>
                  <w:shd w:val="clear" w:color="auto" w:fill="auto"/>
                </w:tcPr>
                <w:p w14:paraId="2E7C816D" w14:textId="77777777" w:rsidR="00922C2A" w:rsidRPr="00922C2A" w:rsidRDefault="00922C2A" w:rsidP="006F49C9">
                  <w:pPr>
                    <w:jc w:val="left"/>
                    <w:rPr>
                      <w:rFonts w:eastAsiaTheme="minorHAnsi"/>
                      <w:noProof/>
                    </w:rPr>
                  </w:pPr>
                  <w:r w:rsidRPr="00922C2A">
                    <w:rPr>
                      <w:noProof/>
                      <w:sz w:val="18"/>
                    </w:rPr>
                    <w:t>Article 6, paragraphe 2</w:t>
                  </w:r>
                </w:p>
              </w:tc>
              <w:tc>
                <w:tcPr>
                  <w:tcW w:w="2410" w:type="dxa"/>
                  <w:shd w:val="clear" w:color="auto" w:fill="auto"/>
                </w:tcPr>
                <w:p w14:paraId="797DF7D4" w14:textId="77777777" w:rsidR="00922C2A" w:rsidRPr="00922C2A" w:rsidRDefault="00922C2A" w:rsidP="006F49C9">
                  <w:pPr>
                    <w:rPr>
                      <w:noProof/>
                      <w:sz w:val="18"/>
                      <w:szCs w:val="18"/>
                    </w:rPr>
                  </w:pPr>
                  <w:r w:rsidRPr="00922C2A">
                    <w:rPr>
                      <w:noProof/>
                      <w:sz w:val="18"/>
                    </w:rPr>
                    <w:t xml:space="preserve">Les États membres communiquent à la Commission l’autorité désignée pour évaluer et confirmer les projets stratégiques </w:t>
                  </w:r>
                </w:p>
              </w:tc>
              <w:tc>
                <w:tcPr>
                  <w:tcW w:w="1481" w:type="dxa"/>
                  <w:shd w:val="clear" w:color="auto" w:fill="auto"/>
                </w:tcPr>
                <w:p w14:paraId="709979EC" w14:textId="77777777" w:rsidR="00922C2A" w:rsidRPr="00922C2A" w:rsidRDefault="00922C2A" w:rsidP="006F49C9">
                  <w:pPr>
                    <w:rPr>
                      <w:noProof/>
                    </w:rPr>
                  </w:pPr>
                  <w:r w:rsidRPr="00922C2A">
                    <w:rPr>
                      <w:noProof/>
                      <w:sz w:val="18"/>
                    </w:rPr>
                    <w:t>CE, États membres</w:t>
                  </w:r>
                </w:p>
              </w:tc>
              <w:tc>
                <w:tcPr>
                  <w:tcW w:w="1936" w:type="dxa"/>
                  <w:shd w:val="clear" w:color="auto" w:fill="auto"/>
                </w:tcPr>
                <w:p w14:paraId="4AE740F4" w14:textId="77777777" w:rsidR="00922C2A" w:rsidRPr="00922C2A" w:rsidRDefault="00922C2A" w:rsidP="006F49C9">
                  <w:pPr>
                    <w:rPr>
                      <w:noProof/>
                    </w:rPr>
                  </w:pPr>
                  <w:r w:rsidRPr="00922C2A">
                    <w:rPr>
                      <w:noProof/>
                      <w:sz w:val="18"/>
                    </w:rPr>
                    <w:t xml:space="preserve">Notification </w:t>
                  </w:r>
                </w:p>
              </w:tc>
              <w:tc>
                <w:tcPr>
                  <w:tcW w:w="5044" w:type="dxa"/>
                  <w:shd w:val="clear" w:color="auto" w:fill="auto"/>
                </w:tcPr>
                <w:p w14:paraId="24B3B1F9" w14:textId="77777777" w:rsidR="00922C2A" w:rsidRPr="00922C2A" w:rsidRDefault="00922C2A" w:rsidP="006F49C9">
                  <w:pPr>
                    <w:rPr>
                      <w:noProof/>
                      <w:sz w:val="18"/>
                      <w:szCs w:val="18"/>
                    </w:rPr>
                  </w:pPr>
                  <w:r w:rsidRPr="00922C2A">
                    <w:rPr>
                      <w:noProof/>
                      <w:sz w:val="18"/>
                    </w:rPr>
                    <w:t>Données</w:t>
                  </w:r>
                </w:p>
                <w:p w14:paraId="1CBF756D" w14:textId="77777777" w:rsidR="00922C2A" w:rsidRPr="00922C2A" w:rsidRDefault="00922C2A" w:rsidP="006F49C9">
                  <w:pPr>
                    <w:rPr>
                      <w:noProof/>
                      <w:sz w:val="18"/>
                      <w:szCs w:val="14"/>
                    </w:rPr>
                  </w:pPr>
                  <w:r w:rsidRPr="00922C2A">
                    <w:rPr>
                      <w:noProof/>
                      <w:sz w:val="18"/>
                    </w:rPr>
                    <w:t xml:space="preserve">Services publics </w:t>
                  </w:r>
                </w:p>
                <w:p w14:paraId="78089383" w14:textId="77777777" w:rsidR="00922C2A" w:rsidRPr="00922C2A" w:rsidRDefault="00922C2A" w:rsidP="006F49C9">
                  <w:pPr>
                    <w:rPr>
                      <w:noProof/>
                    </w:rPr>
                  </w:pPr>
                  <w:r w:rsidRPr="00922C2A">
                    <w:rPr>
                      <w:noProof/>
                      <w:sz w:val="18"/>
                    </w:rPr>
                    <w:t>numériques</w:t>
                  </w:r>
                </w:p>
              </w:tc>
            </w:tr>
            <w:tr w:rsidR="00922C2A" w:rsidRPr="00922C2A" w14:paraId="621751A5" w14:textId="77777777" w:rsidTr="006F49C9">
              <w:tc>
                <w:tcPr>
                  <w:tcW w:w="1413" w:type="dxa"/>
                  <w:shd w:val="clear" w:color="auto" w:fill="auto"/>
                </w:tcPr>
                <w:p w14:paraId="0C4E1B05" w14:textId="77777777" w:rsidR="00922C2A" w:rsidRPr="00922C2A" w:rsidRDefault="00922C2A" w:rsidP="006F49C9">
                  <w:pPr>
                    <w:jc w:val="left"/>
                    <w:rPr>
                      <w:noProof/>
                    </w:rPr>
                  </w:pPr>
                  <w:r w:rsidRPr="00922C2A">
                    <w:rPr>
                      <w:noProof/>
                      <w:sz w:val="18"/>
                    </w:rPr>
                    <w:t>Article 6, paragraphe 3</w:t>
                  </w:r>
                </w:p>
              </w:tc>
              <w:tc>
                <w:tcPr>
                  <w:tcW w:w="2410" w:type="dxa"/>
                  <w:shd w:val="clear" w:color="auto" w:fill="auto"/>
                </w:tcPr>
                <w:p w14:paraId="2B6F3F99" w14:textId="77777777" w:rsidR="00922C2A" w:rsidRPr="00922C2A" w:rsidRDefault="00922C2A" w:rsidP="006F49C9">
                  <w:pPr>
                    <w:rPr>
                      <w:noProof/>
                    </w:rPr>
                  </w:pPr>
                  <w:r w:rsidRPr="00922C2A">
                    <w:rPr>
                      <w:noProof/>
                      <w:sz w:val="18"/>
                    </w:rPr>
                    <w:t>La Commission publie en ligne la liste des autorités désignées des États membres</w:t>
                  </w:r>
                </w:p>
              </w:tc>
              <w:tc>
                <w:tcPr>
                  <w:tcW w:w="1481" w:type="dxa"/>
                  <w:shd w:val="clear" w:color="auto" w:fill="auto"/>
                </w:tcPr>
                <w:p w14:paraId="65E78D92" w14:textId="77777777" w:rsidR="00922C2A" w:rsidRPr="00922C2A" w:rsidRDefault="00922C2A" w:rsidP="006F49C9">
                  <w:pPr>
                    <w:rPr>
                      <w:noProof/>
                    </w:rPr>
                  </w:pPr>
                  <w:r w:rsidRPr="00922C2A">
                    <w:rPr>
                      <w:noProof/>
                      <w:sz w:val="18"/>
                    </w:rPr>
                    <w:t>CE, États membres</w:t>
                  </w:r>
                </w:p>
              </w:tc>
              <w:tc>
                <w:tcPr>
                  <w:tcW w:w="1936" w:type="dxa"/>
                  <w:shd w:val="clear" w:color="auto" w:fill="auto"/>
                </w:tcPr>
                <w:p w14:paraId="7F2F14B1" w14:textId="77777777" w:rsidR="00922C2A" w:rsidRPr="00922C2A" w:rsidRDefault="00922C2A" w:rsidP="006F49C9">
                  <w:pPr>
                    <w:rPr>
                      <w:noProof/>
                    </w:rPr>
                  </w:pPr>
                  <w:r w:rsidRPr="00922C2A">
                    <w:rPr>
                      <w:noProof/>
                      <w:sz w:val="18"/>
                    </w:rPr>
                    <w:t xml:space="preserve">Publication </w:t>
                  </w:r>
                </w:p>
              </w:tc>
              <w:tc>
                <w:tcPr>
                  <w:tcW w:w="5044" w:type="dxa"/>
                  <w:shd w:val="clear" w:color="auto" w:fill="auto"/>
                </w:tcPr>
                <w:p w14:paraId="4C39D7C4" w14:textId="77777777" w:rsidR="00922C2A" w:rsidRPr="00922C2A" w:rsidRDefault="00922C2A" w:rsidP="006F49C9">
                  <w:pPr>
                    <w:rPr>
                      <w:noProof/>
                    </w:rPr>
                  </w:pPr>
                  <w:r w:rsidRPr="00922C2A">
                    <w:rPr>
                      <w:noProof/>
                      <w:sz w:val="18"/>
                    </w:rPr>
                    <w:t>Données</w:t>
                  </w:r>
                </w:p>
              </w:tc>
            </w:tr>
            <w:tr w:rsidR="00922C2A" w:rsidRPr="00922C2A" w14:paraId="1A1AF406" w14:textId="77777777" w:rsidTr="006F49C9">
              <w:tc>
                <w:tcPr>
                  <w:tcW w:w="1413" w:type="dxa"/>
                  <w:shd w:val="clear" w:color="auto" w:fill="auto"/>
                </w:tcPr>
                <w:p w14:paraId="33A3FFCF" w14:textId="77777777" w:rsidR="00922C2A" w:rsidRPr="00922C2A" w:rsidRDefault="00922C2A" w:rsidP="006F49C9">
                  <w:pPr>
                    <w:jc w:val="left"/>
                    <w:rPr>
                      <w:noProof/>
                      <w:sz w:val="18"/>
                      <w:szCs w:val="18"/>
                    </w:rPr>
                  </w:pPr>
                  <w:r w:rsidRPr="00922C2A">
                    <w:rPr>
                      <w:noProof/>
                      <w:sz w:val="18"/>
                    </w:rPr>
                    <w:t>Article 12</w:t>
                  </w:r>
                </w:p>
              </w:tc>
              <w:tc>
                <w:tcPr>
                  <w:tcW w:w="2410" w:type="dxa"/>
                  <w:shd w:val="clear" w:color="auto" w:fill="auto"/>
                </w:tcPr>
                <w:p w14:paraId="35996C03" w14:textId="77777777" w:rsidR="00922C2A" w:rsidRPr="00922C2A" w:rsidRDefault="00922C2A" w:rsidP="006F49C9">
                  <w:pPr>
                    <w:rPr>
                      <w:noProof/>
                      <w:sz w:val="18"/>
                      <w:szCs w:val="18"/>
                    </w:rPr>
                  </w:pPr>
                  <w:r w:rsidRPr="00922C2A">
                    <w:rPr>
                      <w:noProof/>
                      <w:sz w:val="18"/>
                    </w:rPr>
                    <w:t>Combinaison d’évaluations environnementales requises en vertu de plusieurs bases juridiques au moyen de procédures conjointes ou coordonnées</w:t>
                  </w:r>
                </w:p>
              </w:tc>
              <w:tc>
                <w:tcPr>
                  <w:tcW w:w="1481" w:type="dxa"/>
                  <w:shd w:val="clear" w:color="auto" w:fill="auto"/>
                </w:tcPr>
                <w:p w14:paraId="59D17153" w14:textId="77777777" w:rsidR="00922C2A" w:rsidRPr="00922C2A" w:rsidRDefault="00922C2A" w:rsidP="006F49C9">
                  <w:pPr>
                    <w:rPr>
                      <w:noProof/>
                      <w:sz w:val="18"/>
                      <w:szCs w:val="14"/>
                    </w:rPr>
                  </w:pPr>
                  <w:r w:rsidRPr="00922C2A">
                    <w:rPr>
                      <w:noProof/>
                      <w:sz w:val="18"/>
                    </w:rPr>
                    <w:t>Promoteur du projet</w:t>
                  </w:r>
                </w:p>
                <w:p w14:paraId="52F56CDF" w14:textId="77777777" w:rsidR="00922C2A" w:rsidRPr="00922C2A" w:rsidRDefault="00922C2A" w:rsidP="006F49C9">
                  <w:pPr>
                    <w:rPr>
                      <w:noProof/>
                      <w:sz w:val="18"/>
                      <w:szCs w:val="18"/>
                    </w:rPr>
                  </w:pPr>
                  <w:r w:rsidRPr="00922C2A">
                    <w:rPr>
                      <w:noProof/>
                      <w:sz w:val="18"/>
                    </w:rPr>
                    <w:t>Autorité nationale</w:t>
                  </w:r>
                </w:p>
              </w:tc>
              <w:tc>
                <w:tcPr>
                  <w:tcW w:w="1936" w:type="dxa"/>
                  <w:shd w:val="clear" w:color="auto" w:fill="auto"/>
                </w:tcPr>
                <w:p w14:paraId="2C5E7A2F" w14:textId="77777777" w:rsidR="00922C2A" w:rsidRPr="00922C2A" w:rsidRDefault="00922C2A" w:rsidP="006F49C9">
                  <w:pPr>
                    <w:rPr>
                      <w:noProof/>
                      <w:sz w:val="18"/>
                      <w:szCs w:val="18"/>
                    </w:rPr>
                  </w:pPr>
                  <w:r w:rsidRPr="00922C2A">
                    <w:rPr>
                      <w:noProof/>
                      <w:sz w:val="18"/>
                    </w:rPr>
                    <w:t>Évaluation des projets stratégiques pour plus de bases juridiques</w:t>
                  </w:r>
                </w:p>
              </w:tc>
              <w:tc>
                <w:tcPr>
                  <w:tcW w:w="5044" w:type="dxa"/>
                  <w:shd w:val="clear" w:color="auto" w:fill="auto"/>
                </w:tcPr>
                <w:p w14:paraId="3F822861" w14:textId="77777777" w:rsidR="00922C2A" w:rsidRPr="00922C2A" w:rsidRDefault="00922C2A" w:rsidP="006F49C9">
                  <w:pPr>
                    <w:rPr>
                      <w:noProof/>
                      <w:sz w:val="18"/>
                      <w:szCs w:val="14"/>
                    </w:rPr>
                  </w:pPr>
                  <w:r w:rsidRPr="00922C2A">
                    <w:rPr>
                      <w:noProof/>
                      <w:sz w:val="18"/>
                    </w:rPr>
                    <w:t xml:space="preserve">Données </w:t>
                  </w:r>
                </w:p>
                <w:p w14:paraId="7F53D9C4" w14:textId="77777777" w:rsidR="00922C2A" w:rsidRPr="00922C2A" w:rsidRDefault="00922C2A" w:rsidP="006F49C9">
                  <w:pPr>
                    <w:rPr>
                      <w:noProof/>
                      <w:sz w:val="18"/>
                      <w:szCs w:val="14"/>
                    </w:rPr>
                  </w:pPr>
                  <w:r w:rsidRPr="00922C2A">
                    <w:rPr>
                      <w:noProof/>
                      <w:sz w:val="18"/>
                    </w:rPr>
                    <w:t>Solution numérique</w:t>
                  </w:r>
                </w:p>
                <w:p w14:paraId="4ED62DD0" w14:textId="77777777" w:rsidR="00922C2A" w:rsidRPr="00922C2A" w:rsidRDefault="00922C2A" w:rsidP="006F49C9">
                  <w:pPr>
                    <w:rPr>
                      <w:noProof/>
                      <w:sz w:val="18"/>
                      <w:szCs w:val="14"/>
                    </w:rPr>
                  </w:pPr>
                  <w:r w:rsidRPr="00922C2A">
                    <w:rPr>
                      <w:noProof/>
                      <w:sz w:val="18"/>
                    </w:rPr>
                    <w:t xml:space="preserve">Services publics </w:t>
                  </w:r>
                </w:p>
                <w:p w14:paraId="09A856EA" w14:textId="77777777" w:rsidR="00922C2A" w:rsidRPr="00922C2A" w:rsidRDefault="00922C2A" w:rsidP="006F49C9">
                  <w:pPr>
                    <w:rPr>
                      <w:noProof/>
                      <w:sz w:val="18"/>
                      <w:szCs w:val="18"/>
                    </w:rPr>
                  </w:pPr>
                  <w:r w:rsidRPr="00922C2A">
                    <w:rPr>
                      <w:noProof/>
                      <w:sz w:val="18"/>
                    </w:rPr>
                    <w:t>numériques</w:t>
                  </w:r>
                </w:p>
              </w:tc>
            </w:tr>
            <w:tr w:rsidR="00922C2A" w:rsidRPr="00922C2A" w14:paraId="147BFF44" w14:textId="77777777" w:rsidTr="006F49C9">
              <w:tc>
                <w:tcPr>
                  <w:tcW w:w="1413" w:type="dxa"/>
                  <w:shd w:val="clear" w:color="auto" w:fill="auto"/>
                </w:tcPr>
                <w:p w14:paraId="171059AE" w14:textId="77777777" w:rsidR="00922C2A" w:rsidRPr="00922C2A" w:rsidRDefault="00922C2A" w:rsidP="006F49C9">
                  <w:pPr>
                    <w:jc w:val="left"/>
                    <w:rPr>
                      <w:noProof/>
                      <w:sz w:val="18"/>
                      <w:szCs w:val="14"/>
                    </w:rPr>
                  </w:pPr>
                  <w:r w:rsidRPr="00922C2A">
                    <w:rPr>
                      <w:noProof/>
                      <w:sz w:val="18"/>
                    </w:rPr>
                    <w:t>Article 13</w:t>
                  </w:r>
                </w:p>
                <w:p w14:paraId="694D3755" w14:textId="77777777" w:rsidR="00922C2A" w:rsidRPr="00922C2A" w:rsidRDefault="00922C2A" w:rsidP="006F49C9">
                  <w:pPr>
                    <w:jc w:val="left"/>
                    <w:rPr>
                      <w:noProof/>
                      <w:sz w:val="18"/>
                      <w:szCs w:val="14"/>
                    </w:rPr>
                  </w:pPr>
                  <w:r w:rsidRPr="00922C2A">
                    <w:rPr>
                      <w:noProof/>
                      <w:sz w:val="18"/>
                    </w:rPr>
                    <w:t>Paragraphe 1</w:t>
                  </w:r>
                </w:p>
              </w:tc>
              <w:tc>
                <w:tcPr>
                  <w:tcW w:w="2410" w:type="dxa"/>
                  <w:shd w:val="clear" w:color="auto" w:fill="auto"/>
                </w:tcPr>
                <w:p w14:paraId="5250B0E3" w14:textId="77777777" w:rsidR="00922C2A" w:rsidRPr="00922C2A" w:rsidRDefault="00922C2A" w:rsidP="006F49C9">
                  <w:pPr>
                    <w:rPr>
                      <w:noProof/>
                      <w:sz w:val="18"/>
                      <w:szCs w:val="14"/>
                    </w:rPr>
                  </w:pPr>
                  <w:r w:rsidRPr="00922C2A">
                    <w:rPr>
                      <w:noProof/>
                      <w:sz w:val="18"/>
                    </w:rPr>
                    <w:t>Disponibilité des données pertinentes en matière d’aménagement du territoire</w:t>
                  </w:r>
                </w:p>
              </w:tc>
              <w:tc>
                <w:tcPr>
                  <w:tcW w:w="1481" w:type="dxa"/>
                  <w:shd w:val="clear" w:color="auto" w:fill="auto"/>
                </w:tcPr>
                <w:p w14:paraId="7C9EDBB6" w14:textId="77777777" w:rsidR="00922C2A" w:rsidRPr="00922C2A" w:rsidRDefault="00922C2A" w:rsidP="006F49C9">
                  <w:pPr>
                    <w:rPr>
                      <w:noProof/>
                      <w:sz w:val="18"/>
                      <w:szCs w:val="14"/>
                    </w:rPr>
                  </w:pPr>
                  <w:r w:rsidRPr="00922C2A">
                    <w:rPr>
                      <w:noProof/>
                      <w:sz w:val="18"/>
                    </w:rPr>
                    <w:t>États membres</w:t>
                  </w:r>
                </w:p>
              </w:tc>
              <w:tc>
                <w:tcPr>
                  <w:tcW w:w="1936" w:type="dxa"/>
                  <w:shd w:val="clear" w:color="auto" w:fill="auto"/>
                </w:tcPr>
                <w:p w14:paraId="755FE0DB" w14:textId="77777777" w:rsidR="00922C2A" w:rsidRPr="00922C2A" w:rsidRDefault="00922C2A" w:rsidP="006F49C9">
                  <w:pPr>
                    <w:rPr>
                      <w:noProof/>
                      <w:sz w:val="18"/>
                      <w:szCs w:val="14"/>
                    </w:rPr>
                  </w:pPr>
                  <w:r w:rsidRPr="00922C2A">
                    <w:rPr>
                      <w:noProof/>
                      <w:sz w:val="18"/>
                    </w:rPr>
                    <w:t>Mise à disposition de données d’aménagement du territoire</w:t>
                  </w:r>
                </w:p>
              </w:tc>
              <w:tc>
                <w:tcPr>
                  <w:tcW w:w="5044" w:type="dxa"/>
                  <w:shd w:val="clear" w:color="auto" w:fill="auto"/>
                </w:tcPr>
                <w:p w14:paraId="7A42289E" w14:textId="77777777" w:rsidR="00922C2A" w:rsidRPr="00922C2A" w:rsidRDefault="00922C2A" w:rsidP="006F49C9">
                  <w:pPr>
                    <w:rPr>
                      <w:noProof/>
                      <w:sz w:val="18"/>
                      <w:szCs w:val="14"/>
                    </w:rPr>
                  </w:pPr>
                  <w:r w:rsidRPr="00922C2A">
                    <w:rPr>
                      <w:noProof/>
                      <w:sz w:val="18"/>
                    </w:rPr>
                    <w:t>Données</w:t>
                  </w:r>
                </w:p>
                <w:p w14:paraId="571D275D" w14:textId="77777777" w:rsidR="00922C2A" w:rsidRPr="00922C2A" w:rsidRDefault="00922C2A" w:rsidP="006F49C9">
                  <w:pPr>
                    <w:rPr>
                      <w:noProof/>
                      <w:sz w:val="18"/>
                      <w:szCs w:val="14"/>
                    </w:rPr>
                  </w:pPr>
                  <w:r w:rsidRPr="00922C2A">
                    <w:rPr>
                      <w:noProof/>
                      <w:sz w:val="18"/>
                    </w:rPr>
                    <w:t>Solution numérique</w:t>
                  </w:r>
                </w:p>
              </w:tc>
            </w:tr>
            <w:tr w:rsidR="00922C2A" w:rsidRPr="00922C2A" w14:paraId="41C3F277" w14:textId="77777777" w:rsidTr="006F49C9">
              <w:tc>
                <w:tcPr>
                  <w:tcW w:w="1413" w:type="dxa"/>
                  <w:shd w:val="clear" w:color="auto" w:fill="auto"/>
                </w:tcPr>
                <w:p w14:paraId="73FC9D6E" w14:textId="77777777" w:rsidR="00922C2A" w:rsidRPr="00922C2A" w:rsidRDefault="00922C2A" w:rsidP="006F49C9">
                  <w:pPr>
                    <w:jc w:val="left"/>
                    <w:rPr>
                      <w:noProof/>
                      <w:sz w:val="18"/>
                      <w:szCs w:val="14"/>
                    </w:rPr>
                  </w:pPr>
                  <w:r w:rsidRPr="00922C2A">
                    <w:rPr>
                      <w:noProof/>
                      <w:sz w:val="18"/>
                    </w:rPr>
                    <w:t xml:space="preserve">Article 13 </w:t>
                  </w:r>
                </w:p>
                <w:p w14:paraId="3D307AF9" w14:textId="77777777" w:rsidR="00922C2A" w:rsidRPr="00922C2A" w:rsidRDefault="00922C2A" w:rsidP="006F49C9">
                  <w:pPr>
                    <w:jc w:val="left"/>
                    <w:rPr>
                      <w:noProof/>
                      <w:sz w:val="18"/>
                      <w:szCs w:val="14"/>
                    </w:rPr>
                  </w:pPr>
                  <w:r w:rsidRPr="00922C2A">
                    <w:rPr>
                      <w:noProof/>
                      <w:sz w:val="18"/>
                    </w:rPr>
                    <w:t>Paragraphe 2</w:t>
                  </w:r>
                </w:p>
              </w:tc>
              <w:tc>
                <w:tcPr>
                  <w:tcW w:w="2410" w:type="dxa"/>
                  <w:shd w:val="clear" w:color="auto" w:fill="auto"/>
                </w:tcPr>
                <w:p w14:paraId="07EA7F99" w14:textId="77777777" w:rsidR="00922C2A" w:rsidRPr="00922C2A" w:rsidRDefault="00922C2A" w:rsidP="006F49C9">
                  <w:pPr>
                    <w:rPr>
                      <w:noProof/>
                      <w:sz w:val="18"/>
                      <w:szCs w:val="14"/>
                    </w:rPr>
                  </w:pPr>
                  <w:r w:rsidRPr="00922C2A">
                    <w:rPr>
                      <w:noProof/>
                      <w:sz w:val="18"/>
                    </w:rPr>
                    <w:t>Combinaison des évaluations des plans</w:t>
                  </w:r>
                </w:p>
              </w:tc>
              <w:tc>
                <w:tcPr>
                  <w:tcW w:w="1481" w:type="dxa"/>
                  <w:shd w:val="clear" w:color="auto" w:fill="auto"/>
                </w:tcPr>
                <w:p w14:paraId="4A2DBB97" w14:textId="77777777" w:rsidR="00922C2A" w:rsidRPr="00922C2A" w:rsidRDefault="00922C2A" w:rsidP="006F49C9">
                  <w:pPr>
                    <w:rPr>
                      <w:noProof/>
                      <w:sz w:val="18"/>
                      <w:szCs w:val="14"/>
                    </w:rPr>
                  </w:pPr>
                  <w:r w:rsidRPr="00922C2A">
                    <w:rPr>
                      <w:noProof/>
                      <w:sz w:val="18"/>
                    </w:rPr>
                    <w:t>États membres</w:t>
                  </w:r>
                </w:p>
              </w:tc>
              <w:tc>
                <w:tcPr>
                  <w:tcW w:w="1936" w:type="dxa"/>
                  <w:shd w:val="clear" w:color="auto" w:fill="auto"/>
                </w:tcPr>
                <w:p w14:paraId="578273BC" w14:textId="77777777" w:rsidR="00922C2A" w:rsidRPr="00922C2A" w:rsidRDefault="00922C2A" w:rsidP="006F49C9">
                  <w:pPr>
                    <w:rPr>
                      <w:noProof/>
                      <w:sz w:val="18"/>
                      <w:szCs w:val="14"/>
                    </w:rPr>
                  </w:pPr>
                  <w:r w:rsidRPr="00922C2A">
                    <w:rPr>
                      <w:noProof/>
                      <w:sz w:val="18"/>
                    </w:rPr>
                    <w:t>Évaluation des plans pour plus de bases juridiques</w:t>
                  </w:r>
                </w:p>
              </w:tc>
              <w:tc>
                <w:tcPr>
                  <w:tcW w:w="5044" w:type="dxa"/>
                  <w:shd w:val="clear" w:color="auto" w:fill="auto"/>
                </w:tcPr>
                <w:p w14:paraId="429ED202" w14:textId="77777777" w:rsidR="00922C2A" w:rsidRPr="00922C2A" w:rsidRDefault="00922C2A" w:rsidP="006F49C9">
                  <w:pPr>
                    <w:rPr>
                      <w:noProof/>
                      <w:sz w:val="18"/>
                      <w:szCs w:val="14"/>
                    </w:rPr>
                  </w:pPr>
                  <w:r w:rsidRPr="00922C2A">
                    <w:rPr>
                      <w:noProof/>
                      <w:sz w:val="18"/>
                    </w:rPr>
                    <w:t>Données</w:t>
                  </w:r>
                </w:p>
                <w:p w14:paraId="61EB60FB" w14:textId="77777777" w:rsidR="00922C2A" w:rsidRPr="00922C2A" w:rsidRDefault="00922C2A" w:rsidP="006F49C9">
                  <w:pPr>
                    <w:rPr>
                      <w:noProof/>
                      <w:sz w:val="18"/>
                      <w:szCs w:val="14"/>
                    </w:rPr>
                  </w:pPr>
                  <w:r w:rsidRPr="00922C2A">
                    <w:rPr>
                      <w:noProof/>
                      <w:sz w:val="18"/>
                    </w:rPr>
                    <w:t xml:space="preserve">Services publics </w:t>
                  </w:r>
                </w:p>
                <w:p w14:paraId="1DF45740" w14:textId="77777777" w:rsidR="00922C2A" w:rsidRPr="00922C2A" w:rsidRDefault="00922C2A" w:rsidP="006F49C9">
                  <w:pPr>
                    <w:rPr>
                      <w:noProof/>
                      <w:sz w:val="18"/>
                      <w:szCs w:val="14"/>
                    </w:rPr>
                  </w:pPr>
                  <w:r w:rsidRPr="00922C2A">
                    <w:rPr>
                      <w:noProof/>
                      <w:sz w:val="18"/>
                    </w:rPr>
                    <w:t>numériques</w:t>
                  </w:r>
                </w:p>
              </w:tc>
            </w:tr>
            <w:tr w:rsidR="00922C2A" w:rsidRPr="00922C2A" w14:paraId="7844B57C" w14:textId="77777777" w:rsidTr="006F49C9">
              <w:tc>
                <w:tcPr>
                  <w:tcW w:w="1413" w:type="dxa"/>
                  <w:shd w:val="clear" w:color="auto" w:fill="auto"/>
                </w:tcPr>
                <w:p w14:paraId="15398C42" w14:textId="77777777" w:rsidR="00922C2A" w:rsidRPr="00922C2A" w:rsidRDefault="00922C2A" w:rsidP="006F49C9">
                  <w:pPr>
                    <w:jc w:val="left"/>
                    <w:rPr>
                      <w:noProof/>
                      <w:sz w:val="18"/>
                      <w:szCs w:val="14"/>
                    </w:rPr>
                  </w:pPr>
                  <w:r w:rsidRPr="00922C2A">
                    <w:rPr>
                      <w:noProof/>
                      <w:sz w:val="18"/>
                    </w:rPr>
                    <w:t>Article 16</w:t>
                  </w:r>
                </w:p>
              </w:tc>
              <w:tc>
                <w:tcPr>
                  <w:tcW w:w="2410" w:type="dxa"/>
                  <w:shd w:val="clear" w:color="auto" w:fill="auto"/>
                </w:tcPr>
                <w:p w14:paraId="5BC68F53" w14:textId="77777777" w:rsidR="00922C2A" w:rsidRPr="00922C2A" w:rsidRDefault="00922C2A" w:rsidP="006F49C9">
                  <w:pPr>
                    <w:rPr>
                      <w:noProof/>
                      <w:sz w:val="18"/>
                      <w:szCs w:val="14"/>
                    </w:rPr>
                  </w:pPr>
                  <w:r w:rsidRPr="00922C2A">
                    <w:rPr>
                      <w:noProof/>
                      <w:sz w:val="18"/>
                    </w:rPr>
                    <w:t>Demande d’évaluation pour remédier à la vulnérabilité</w:t>
                  </w:r>
                </w:p>
                <w:p w14:paraId="6B754AB3" w14:textId="77777777" w:rsidR="00922C2A" w:rsidRPr="00922C2A" w:rsidRDefault="00922C2A" w:rsidP="006F49C9">
                  <w:pPr>
                    <w:rPr>
                      <w:noProof/>
                      <w:sz w:val="18"/>
                      <w:szCs w:val="14"/>
                    </w:rPr>
                  </w:pPr>
                  <w:r w:rsidRPr="00922C2A">
                    <w:rPr>
                      <w:noProof/>
                      <w:sz w:val="18"/>
                    </w:rPr>
                    <w:t xml:space="preserve">Fournir des informations sur l’existence de projets stratégiques visant à remédier à une vulnérabilité existante </w:t>
                  </w:r>
                </w:p>
              </w:tc>
              <w:tc>
                <w:tcPr>
                  <w:tcW w:w="1481" w:type="dxa"/>
                  <w:shd w:val="clear" w:color="auto" w:fill="auto"/>
                </w:tcPr>
                <w:p w14:paraId="0DBFB648" w14:textId="77777777" w:rsidR="00922C2A" w:rsidRPr="00922C2A" w:rsidRDefault="00922C2A" w:rsidP="006F49C9">
                  <w:pPr>
                    <w:rPr>
                      <w:noProof/>
                      <w:sz w:val="18"/>
                      <w:szCs w:val="14"/>
                    </w:rPr>
                  </w:pPr>
                  <w:r w:rsidRPr="00922C2A">
                    <w:rPr>
                      <w:noProof/>
                      <w:sz w:val="18"/>
                    </w:rPr>
                    <w:t>Promoteur du projet</w:t>
                  </w:r>
                </w:p>
                <w:p w14:paraId="0EC0A860" w14:textId="77777777" w:rsidR="00922C2A" w:rsidRPr="00922C2A" w:rsidRDefault="00922C2A" w:rsidP="006F49C9">
                  <w:pPr>
                    <w:rPr>
                      <w:noProof/>
                      <w:sz w:val="18"/>
                      <w:szCs w:val="14"/>
                    </w:rPr>
                  </w:pPr>
                  <w:r w:rsidRPr="00922C2A">
                    <w:rPr>
                      <w:noProof/>
                      <w:sz w:val="18"/>
                    </w:rPr>
                    <w:t>Autorité désignée</w:t>
                  </w:r>
                </w:p>
                <w:p w14:paraId="1008118B" w14:textId="77777777" w:rsidR="00922C2A" w:rsidRPr="00922C2A" w:rsidRDefault="00922C2A" w:rsidP="006F49C9">
                  <w:pPr>
                    <w:rPr>
                      <w:noProof/>
                      <w:sz w:val="18"/>
                      <w:szCs w:val="14"/>
                    </w:rPr>
                  </w:pPr>
                  <w:r w:rsidRPr="00922C2A">
                    <w:rPr>
                      <w:noProof/>
                      <w:sz w:val="18"/>
                    </w:rPr>
                    <w:t>Commission</w:t>
                  </w:r>
                </w:p>
              </w:tc>
              <w:tc>
                <w:tcPr>
                  <w:tcW w:w="1936" w:type="dxa"/>
                  <w:shd w:val="clear" w:color="auto" w:fill="auto"/>
                </w:tcPr>
                <w:p w14:paraId="2095AA7C" w14:textId="77777777" w:rsidR="00922C2A" w:rsidRPr="00922C2A" w:rsidRDefault="00922C2A" w:rsidP="006F49C9">
                  <w:pPr>
                    <w:rPr>
                      <w:noProof/>
                      <w:sz w:val="18"/>
                      <w:szCs w:val="14"/>
                    </w:rPr>
                  </w:pPr>
                  <w:r w:rsidRPr="00922C2A">
                    <w:rPr>
                      <w:noProof/>
                      <w:sz w:val="18"/>
                    </w:rPr>
                    <w:t>Demande d’évaluation</w:t>
                  </w:r>
                </w:p>
                <w:p w14:paraId="28BA183C" w14:textId="77777777" w:rsidR="00922C2A" w:rsidRPr="00922C2A" w:rsidRDefault="00922C2A" w:rsidP="006F49C9">
                  <w:pPr>
                    <w:rPr>
                      <w:noProof/>
                      <w:sz w:val="18"/>
                      <w:szCs w:val="14"/>
                    </w:rPr>
                  </w:pPr>
                </w:p>
                <w:p w14:paraId="064090B0" w14:textId="77777777" w:rsidR="00922C2A" w:rsidRPr="00922C2A" w:rsidRDefault="00922C2A" w:rsidP="006F49C9">
                  <w:pPr>
                    <w:rPr>
                      <w:noProof/>
                      <w:sz w:val="18"/>
                      <w:szCs w:val="14"/>
                    </w:rPr>
                  </w:pPr>
                  <w:r w:rsidRPr="00922C2A">
                    <w:rPr>
                      <w:noProof/>
                      <w:sz w:val="18"/>
                    </w:rPr>
                    <w:t>Informer sur les vulnérabilités traitées</w:t>
                  </w:r>
                </w:p>
              </w:tc>
              <w:tc>
                <w:tcPr>
                  <w:tcW w:w="5044" w:type="dxa"/>
                  <w:shd w:val="clear" w:color="auto" w:fill="auto"/>
                </w:tcPr>
                <w:p w14:paraId="75FB7013" w14:textId="77777777" w:rsidR="00922C2A" w:rsidRPr="00922C2A" w:rsidRDefault="00922C2A" w:rsidP="006F49C9">
                  <w:pPr>
                    <w:rPr>
                      <w:noProof/>
                      <w:sz w:val="18"/>
                      <w:szCs w:val="14"/>
                    </w:rPr>
                  </w:pPr>
                  <w:r w:rsidRPr="00922C2A">
                    <w:rPr>
                      <w:noProof/>
                      <w:sz w:val="18"/>
                    </w:rPr>
                    <w:t>Données</w:t>
                  </w:r>
                </w:p>
                <w:p w14:paraId="4A077553" w14:textId="77777777" w:rsidR="00922C2A" w:rsidRPr="00922C2A" w:rsidRDefault="00922C2A" w:rsidP="006F49C9">
                  <w:pPr>
                    <w:rPr>
                      <w:noProof/>
                      <w:sz w:val="18"/>
                      <w:szCs w:val="14"/>
                    </w:rPr>
                  </w:pPr>
                  <w:r w:rsidRPr="00922C2A">
                    <w:rPr>
                      <w:noProof/>
                      <w:sz w:val="18"/>
                    </w:rPr>
                    <w:t>Solution numérique</w:t>
                  </w:r>
                </w:p>
                <w:p w14:paraId="1B2CC4B3" w14:textId="77777777" w:rsidR="00922C2A" w:rsidRPr="00922C2A" w:rsidRDefault="00922C2A" w:rsidP="006F49C9">
                  <w:pPr>
                    <w:rPr>
                      <w:noProof/>
                      <w:sz w:val="18"/>
                      <w:szCs w:val="14"/>
                    </w:rPr>
                  </w:pPr>
                  <w:r w:rsidRPr="00922C2A">
                    <w:rPr>
                      <w:noProof/>
                      <w:sz w:val="18"/>
                    </w:rPr>
                    <w:t xml:space="preserve">Services publics </w:t>
                  </w:r>
                </w:p>
                <w:p w14:paraId="1F82CED0" w14:textId="77777777" w:rsidR="00922C2A" w:rsidRPr="00922C2A" w:rsidRDefault="00922C2A" w:rsidP="006F49C9">
                  <w:pPr>
                    <w:rPr>
                      <w:noProof/>
                      <w:sz w:val="18"/>
                      <w:szCs w:val="14"/>
                    </w:rPr>
                  </w:pPr>
                  <w:r w:rsidRPr="00922C2A">
                    <w:rPr>
                      <w:noProof/>
                      <w:sz w:val="18"/>
                    </w:rPr>
                    <w:t>numériques</w:t>
                  </w:r>
                </w:p>
              </w:tc>
            </w:tr>
            <w:tr w:rsidR="00922C2A" w:rsidRPr="00922C2A" w14:paraId="53700222" w14:textId="77777777" w:rsidTr="006F49C9">
              <w:tc>
                <w:tcPr>
                  <w:tcW w:w="1413" w:type="dxa"/>
                  <w:shd w:val="clear" w:color="auto" w:fill="auto"/>
                </w:tcPr>
                <w:p w14:paraId="7EF35186" w14:textId="77777777" w:rsidR="00922C2A" w:rsidRPr="00922C2A" w:rsidRDefault="00922C2A" w:rsidP="006F49C9">
                  <w:pPr>
                    <w:jc w:val="left"/>
                    <w:rPr>
                      <w:noProof/>
                      <w:sz w:val="18"/>
                      <w:szCs w:val="14"/>
                    </w:rPr>
                  </w:pPr>
                  <w:r w:rsidRPr="00922C2A">
                    <w:rPr>
                      <w:noProof/>
                      <w:sz w:val="18"/>
                    </w:rPr>
                    <w:t>Chapitre IV</w:t>
                  </w:r>
                </w:p>
              </w:tc>
              <w:tc>
                <w:tcPr>
                  <w:tcW w:w="2410" w:type="dxa"/>
                  <w:shd w:val="clear" w:color="auto" w:fill="auto"/>
                </w:tcPr>
                <w:p w14:paraId="578B8F11" w14:textId="77777777" w:rsidR="00922C2A" w:rsidRPr="00922C2A" w:rsidRDefault="00922C2A" w:rsidP="006F49C9">
                  <w:pPr>
                    <w:rPr>
                      <w:noProof/>
                      <w:sz w:val="18"/>
                      <w:szCs w:val="14"/>
                    </w:rPr>
                  </w:pPr>
                  <w:r w:rsidRPr="00922C2A">
                    <w:rPr>
                      <w:noProof/>
                      <w:sz w:val="18"/>
                    </w:rPr>
                    <w:t>Règles de passation de marchés publics pour les médicaments critiques</w:t>
                  </w:r>
                </w:p>
              </w:tc>
              <w:tc>
                <w:tcPr>
                  <w:tcW w:w="1481" w:type="dxa"/>
                  <w:shd w:val="clear" w:color="auto" w:fill="auto"/>
                </w:tcPr>
                <w:p w14:paraId="1FFC7617" w14:textId="77777777" w:rsidR="00922C2A" w:rsidRPr="00922C2A" w:rsidRDefault="00922C2A" w:rsidP="006F49C9">
                  <w:pPr>
                    <w:rPr>
                      <w:noProof/>
                      <w:sz w:val="18"/>
                      <w:szCs w:val="14"/>
                    </w:rPr>
                  </w:pPr>
                  <w:r w:rsidRPr="00922C2A">
                    <w:rPr>
                      <w:noProof/>
                      <w:sz w:val="18"/>
                    </w:rPr>
                    <w:t>États membres</w:t>
                  </w:r>
                </w:p>
                <w:p w14:paraId="334B0DF3" w14:textId="77777777" w:rsidR="00922C2A" w:rsidRPr="00922C2A" w:rsidRDefault="00922C2A" w:rsidP="006F49C9">
                  <w:pPr>
                    <w:rPr>
                      <w:noProof/>
                      <w:sz w:val="18"/>
                      <w:szCs w:val="14"/>
                    </w:rPr>
                  </w:pPr>
                  <w:r w:rsidRPr="00922C2A">
                    <w:rPr>
                      <w:noProof/>
                      <w:sz w:val="18"/>
                    </w:rPr>
                    <w:t>Administrations publiques, opérateur économique</w:t>
                  </w:r>
                </w:p>
              </w:tc>
              <w:tc>
                <w:tcPr>
                  <w:tcW w:w="1936" w:type="dxa"/>
                  <w:shd w:val="clear" w:color="auto" w:fill="auto"/>
                </w:tcPr>
                <w:p w14:paraId="6162E297" w14:textId="77777777" w:rsidR="00922C2A" w:rsidRPr="00922C2A" w:rsidRDefault="00922C2A" w:rsidP="006F49C9">
                  <w:pPr>
                    <w:rPr>
                      <w:noProof/>
                      <w:sz w:val="18"/>
                      <w:szCs w:val="14"/>
                    </w:rPr>
                  </w:pPr>
                  <w:r w:rsidRPr="00922C2A">
                    <w:rPr>
                      <w:noProof/>
                      <w:sz w:val="18"/>
                    </w:rPr>
                    <w:t>Lancement de la passation de marchés</w:t>
                  </w:r>
                </w:p>
              </w:tc>
              <w:tc>
                <w:tcPr>
                  <w:tcW w:w="5044" w:type="dxa"/>
                  <w:shd w:val="clear" w:color="auto" w:fill="auto"/>
                </w:tcPr>
                <w:p w14:paraId="299BA75A" w14:textId="77777777" w:rsidR="00922C2A" w:rsidRPr="00922C2A" w:rsidRDefault="00922C2A" w:rsidP="006F49C9">
                  <w:pPr>
                    <w:rPr>
                      <w:noProof/>
                      <w:sz w:val="18"/>
                      <w:szCs w:val="14"/>
                    </w:rPr>
                  </w:pPr>
                  <w:r w:rsidRPr="00922C2A">
                    <w:rPr>
                      <w:noProof/>
                      <w:sz w:val="18"/>
                    </w:rPr>
                    <w:t>Données</w:t>
                  </w:r>
                </w:p>
              </w:tc>
            </w:tr>
            <w:tr w:rsidR="00922C2A" w:rsidRPr="00922C2A" w14:paraId="4B5261D6" w14:textId="77777777" w:rsidTr="006F49C9">
              <w:tc>
                <w:tcPr>
                  <w:tcW w:w="1413" w:type="dxa"/>
                  <w:shd w:val="clear" w:color="auto" w:fill="auto"/>
                </w:tcPr>
                <w:p w14:paraId="0B0EB569" w14:textId="77777777" w:rsidR="00922C2A" w:rsidRPr="00922C2A" w:rsidRDefault="00922C2A" w:rsidP="006F49C9">
                  <w:pPr>
                    <w:jc w:val="left"/>
                    <w:rPr>
                      <w:noProof/>
                      <w:sz w:val="18"/>
                      <w:szCs w:val="14"/>
                    </w:rPr>
                  </w:pPr>
                  <w:r w:rsidRPr="00922C2A">
                    <w:rPr>
                      <w:noProof/>
                      <w:sz w:val="18"/>
                    </w:rPr>
                    <w:t>Article 19</w:t>
                  </w:r>
                </w:p>
              </w:tc>
              <w:tc>
                <w:tcPr>
                  <w:tcW w:w="2410" w:type="dxa"/>
                  <w:shd w:val="clear" w:color="auto" w:fill="auto"/>
                </w:tcPr>
                <w:p w14:paraId="4E523591" w14:textId="77777777" w:rsidR="00922C2A" w:rsidRPr="00922C2A" w:rsidRDefault="00922C2A" w:rsidP="006F49C9">
                  <w:pPr>
                    <w:rPr>
                      <w:noProof/>
                      <w:sz w:val="18"/>
                      <w:szCs w:val="14"/>
                    </w:rPr>
                  </w:pPr>
                  <w:r w:rsidRPr="00922C2A">
                    <w:rPr>
                      <w:noProof/>
                      <w:sz w:val="18"/>
                    </w:rPr>
                    <w:t>Notification des programmes nationaux</w:t>
                  </w:r>
                </w:p>
              </w:tc>
              <w:tc>
                <w:tcPr>
                  <w:tcW w:w="1481" w:type="dxa"/>
                  <w:shd w:val="clear" w:color="auto" w:fill="auto"/>
                </w:tcPr>
                <w:p w14:paraId="42DDCCE6" w14:textId="77777777" w:rsidR="00922C2A" w:rsidRPr="00922C2A" w:rsidRDefault="00922C2A" w:rsidP="006F49C9">
                  <w:pPr>
                    <w:rPr>
                      <w:noProof/>
                      <w:sz w:val="18"/>
                      <w:szCs w:val="14"/>
                    </w:rPr>
                  </w:pPr>
                  <w:r w:rsidRPr="00922C2A">
                    <w:rPr>
                      <w:noProof/>
                      <w:sz w:val="18"/>
                    </w:rPr>
                    <w:t xml:space="preserve">États membres </w:t>
                  </w:r>
                </w:p>
                <w:p w14:paraId="520A697F" w14:textId="77777777" w:rsidR="00922C2A" w:rsidRPr="00922C2A" w:rsidRDefault="00922C2A" w:rsidP="006F49C9">
                  <w:pPr>
                    <w:rPr>
                      <w:noProof/>
                      <w:sz w:val="18"/>
                      <w:szCs w:val="14"/>
                    </w:rPr>
                  </w:pPr>
                  <w:r w:rsidRPr="00922C2A">
                    <w:rPr>
                      <w:noProof/>
                      <w:sz w:val="18"/>
                    </w:rPr>
                    <w:t>Commission</w:t>
                  </w:r>
                </w:p>
                <w:p w14:paraId="747E1416" w14:textId="77777777" w:rsidR="00922C2A" w:rsidRPr="00922C2A" w:rsidRDefault="00922C2A" w:rsidP="006F49C9">
                  <w:pPr>
                    <w:rPr>
                      <w:noProof/>
                      <w:sz w:val="18"/>
                      <w:szCs w:val="14"/>
                    </w:rPr>
                  </w:pPr>
                  <w:r w:rsidRPr="00922C2A">
                    <w:rPr>
                      <w:noProof/>
                      <w:sz w:val="18"/>
                    </w:rPr>
                    <w:t>Groupe pour les médicaments critiques</w:t>
                  </w:r>
                </w:p>
              </w:tc>
              <w:tc>
                <w:tcPr>
                  <w:tcW w:w="1936" w:type="dxa"/>
                  <w:shd w:val="clear" w:color="auto" w:fill="auto"/>
                </w:tcPr>
                <w:p w14:paraId="23D57FDD" w14:textId="77777777" w:rsidR="00922C2A" w:rsidRPr="00922C2A" w:rsidRDefault="00922C2A" w:rsidP="006F49C9">
                  <w:pPr>
                    <w:rPr>
                      <w:noProof/>
                      <w:sz w:val="18"/>
                      <w:szCs w:val="14"/>
                    </w:rPr>
                  </w:pPr>
                  <w:r w:rsidRPr="00922C2A">
                    <w:rPr>
                      <w:noProof/>
                      <w:sz w:val="18"/>
                    </w:rPr>
                    <w:t>Notification des programmes nationaux</w:t>
                  </w:r>
                </w:p>
              </w:tc>
              <w:tc>
                <w:tcPr>
                  <w:tcW w:w="5044" w:type="dxa"/>
                  <w:shd w:val="clear" w:color="auto" w:fill="auto"/>
                </w:tcPr>
                <w:p w14:paraId="5096FC1A" w14:textId="77777777" w:rsidR="00922C2A" w:rsidRPr="00922C2A" w:rsidRDefault="00922C2A" w:rsidP="006F49C9">
                  <w:pPr>
                    <w:rPr>
                      <w:noProof/>
                      <w:sz w:val="18"/>
                      <w:szCs w:val="14"/>
                    </w:rPr>
                  </w:pPr>
                  <w:r w:rsidRPr="00922C2A">
                    <w:rPr>
                      <w:noProof/>
                      <w:sz w:val="18"/>
                    </w:rPr>
                    <w:t>Données</w:t>
                  </w:r>
                </w:p>
              </w:tc>
            </w:tr>
          </w:tbl>
          <w:p w14:paraId="32803A44" w14:textId="77777777" w:rsidR="00922C2A" w:rsidRPr="00922C2A" w:rsidRDefault="00922C2A" w:rsidP="006F49C9">
            <w:pPr>
              <w:rPr>
                <w:noProof/>
                <w:color w:val="0000FF"/>
              </w:rPr>
            </w:pPr>
          </w:p>
        </w:tc>
      </w:tr>
    </w:tbl>
    <w:p w14:paraId="737F090E" w14:textId="77777777" w:rsidR="00922C2A" w:rsidRPr="00922C2A" w:rsidRDefault="00922C2A" w:rsidP="00922C2A">
      <w:pPr>
        <w:pStyle w:val="ManualHeading2"/>
        <w:rPr>
          <w:noProof/>
        </w:rPr>
      </w:pPr>
      <w:bookmarkStart w:id="202" w:name="_Toc167220303"/>
      <w:bookmarkStart w:id="203" w:name="_Toc177549038"/>
      <w:r w:rsidRPr="00922C2A">
        <w:rPr>
          <w:noProof/>
        </w:rPr>
        <w:t>4.2.</w:t>
      </w:r>
      <w:r w:rsidRPr="00922C2A">
        <w:rPr>
          <w:noProof/>
        </w:rPr>
        <w:tab/>
        <w:t>Données</w:t>
      </w:r>
      <w:bookmarkEnd w:id="202"/>
      <w:bookmarkEnd w:id="203"/>
    </w:p>
    <w:tbl>
      <w:tblPr>
        <w:tblStyle w:val="TableGrid"/>
        <w:tblW w:w="0" w:type="auto"/>
        <w:tblLook w:val="04A0" w:firstRow="1" w:lastRow="0" w:firstColumn="1" w:lastColumn="0" w:noHBand="0" w:noVBand="1"/>
      </w:tblPr>
      <w:tblGrid>
        <w:gridCol w:w="9287"/>
      </w:tblGrid>
      <w:tr w:rsidR="00922C2A" w:rsidRPr="00922C2A" w14:paraId="36341AA1" w14:textId="77777777" w:rsidTr="006F49C9">
        <w:tc>
          <w:tcPr>
            <w:tcW w:w="9063" w:type="dxa"/>
          </w:tcPr>
          <w:tbl>
            <w:tblPr>
              <w:tblStyle w:val="TableGrid"/>
              <w:tblW w:w="0" w:type="auto"/>
              <w:tblLook w:val="04A0" w:firstRow="1" w:lastRow="0" w:firstColumn="1" w:lastColumn="0" w:noHBand="0" w:noVBand="1"/>
            </w:tblPr>
            <w:tblGrid>
              <w:gridCol w:w="2944"/>
              <w:gridCol w:w="2944"/>
              <w:gridCol w:w="2944"/>
            </w:tblGrid>
            <w:tr w:rsidR="00922C2A" w:rsidRPr="00922C2A" w14:paraId="756FCD36" w14:textId="77777777" w:rsidTr="006F49C9">
              <w:tc>
                <w:tcPr>
                  <w:tcW w:w="2944" w:type="dxa"/>
                  <w:shd w:val="clear" w:color="auto" w:fill="auto"/>
                </w:tcPr>
                <w:p w14:paraId="6B8B5E70" w14:textId="77777777" w:rsidR="00922C2A" w:rsidRPr="00922C2A" w:rsidRDefault="00922C2A" w:rsidP="006F49C9">
                  <w:pPr>
                    <w:rPr>
                      <w:b/>
                      <w:bCs/>
                      <w:noProof/>
                      <w:sz w:val="20"/>
                      <w:szCs w:val="16"/>
                    </w:rPr>
                  </w:pPr>
                  <w:r w:rsidRPr="00922C2A">
                    <w:rPr>
                      <w:b/>
                      <w:noProof/>
                      <w:sz w:val="20"/>
                    </w:rPr>
                    <w:t xml:space="preserve">Type de données </w:t>
                  </w:r>
                </w:p>
              </w:tc>
              <w:tc>
                <w:tcPr>
                  <w:tcW w:w="2944" w:type="dxa"/>
                  <w:shd w:val="clear" w:color="auto" w:fill="auto"/>
                </w:tcPr>
                <w:p w14:paraId="5CB2CE5F" w14:textId="77777777" w:rsidR="00922C2A" w:rsidRPr="00922C2A" w:rsidRDefault="00922C2A" w:rsidP="006F49C9">
                  <w:pPr>
                    <w:rPr>
                      <w:b/>
                      <w:bCs/>
                      <w:noProof/>
                      <w:sz w:val="20"/>
                      <w:szCs w:val="16"/>
                    </w:rPr>
                  </w:pPr>
                  <w:r w:rsidRPr="00922C2A">
                    <w:rPr>
                      <w:b/>
                      <w:noProof/>
                      <w:sz w:val="20"/>
                    </w:rPr>
                    <w:t>Exigences de référence</w:t>
                  </w:r>
                </w:p>
              </w:tc>
              <w:tc>
                <w:tcPr>
                  <w:tcW w:w="2944" w:type="dxa"/>
                  <w:shd w:val="clear" w:color="auto" w:fill="auto"/>
                </w:tcPr>
                <w:p w14:paraId="52A3EAB4" w14:textId="77777777" w:rsidR="00922C2A" w:rsidRPr="00922C2A" w:rsidRDefault="00922C2A" w:rsidP="006F49C9">
                  <w:pPr>
                    <w:rPr>
                      <w:b/>
                      <w:bCs/>
                      <w:noProof/>
                      <w:sz w:val="20"/>
                      <w:szCs w:val="16"/>
                    </w:rPr>
                  </w:pPr>
                  <w:r w:rsidRPr="00922C2A">
                    <w:rPr>
                      <w:b/>
                      <w:noProof/>
                      <w:sz w:val="20"/>
                    </w:rPr>
                    <w:t xml:space="preserve">Norme et/ou spécification </w:t>
                  </w:r>
                </w:p>
              </w:tc>
            </w:tr>
            <w:tr w:rsidR="00922C2A" w:rsidRPr="00922C2A" w14:paraId="75588645" w14:textId="77777777" w:rsidTr="006F49C9">
              <w:tc>
                <w:tcPr>
                  <w:tcW w:w="2944" w:type="dxa"/>
                  <w:shd w:val="clear" w:color="auto" w:fill="auto"/>
                </w:tcPr>
                <w:p w14:paraId="5D2077F1" w14:textId="77777777" w:rsidR="00922C2A" w:rsidRPr="00922C2A" w:rsidRDefault="00922C2A" w:rsidP="006F49C9">
                  <w:pPr>
                    <w:rPr>
                      <w:noProof/>
                    </w:rPr>
                  </w:pPr>
                  <w:r w:rsidRPr="00922C2A">
                    <w:rPr>
                      <w:noProof/>
                      <w:sz w:val="20"/>
                    </w:rPr>
                    <w:t>Liste des autorités des États membres désignées pour évaluer et confirmer les projets stratégiques</w:t>
                  </w:r>
                </w:p>
              </w:tc>
              <w:tc>
                <w:tcPr>
                  <w:tcW w:w="2944" w:type="dxa"/>
                  <w:shd w:val="clear" w:color="auto" w:fill="auto"/>
                </w:tcPr>
                <w:p w14:paraId="41A644F9" w14:textId="77777777" w:rsidR="00922C2A" w:rsidRPr="00922C2A" w:rsidRDefault="00922C2A" w:rsidP="006F49C9">
                  <w:pPr>
                    <w:rPr>
                      <w:noProof/>
                    </w:rPr>
                  </w:pPr>
                  <w:r w:rsidRPr="00922C2A">
                    <w:rPr>
                      <w:noProof/>
                      <w:sz w:val="20"/>
                    </w:rPr>
                    <w:t>Article 6</w:t>
                  </w:r>
                </w:p>
              </w:tc>
              <w:tc>
                <w:tcPr>
                  <w:tcW w:w="2944" w:type="dxa"/>
                  <w:shd w:val="clear" w:color="auto" w:fill="auto"/>
                </w:tcPr>
                <w:p w14:paraId="22B0D7EE" w14:textId="77777777" w:rsidR="00922C2A" w:rsidRPr="00922C2A" w:rsidRDefault="00922C2A" w:rsidP="006F49C9">
                  <w:pPr>
                    <w:rPr>
                      <w:noProof/>
                      <w:sz w:val="20"/>
                      <w:szCs w:val="16"/>
                    </w:rPr>
                  </w:pPr>
                  <w:r w:rsidRPr="00922C2A">
                    <w:rPr>
                      <w:noProof/>
                      <w:sz w:val="20"/>
                    </w:rPr>
                    <w:t>Liste standard des États membres</w:t>
                  </w:r>
                </w:p>
              </w:tc>
            </w:tr>
            <w:tr w:rsidR="00922C2A" w:rsidRPr="00922C2A" w14:paraId="380D5A51" w14:textId="77777777" w:rsidTr="006F49C9">
              <w:tc>
                <w:tcPr>
                  <w:tcW w:w="2944" w:type="dxa"/>
                  <w:shd w:val="clear" w:color="auto" w:fill="auto"/>
                </w:tcPr>
                <w:p w14:paraId="602409D6" w14:textId="77777777" w:rsidR="00922C2A" w:rsidRPr="00922C2A" w:rsidRDefault="00922C2A" w:rsidP="006F49C9">
                  <w:pPr>
                    <w:rPr>
                      <w:noProof/>
                    </w:rPr>
                  </w:pPr>
                  <w:r w:rsidRPr="00922C2A">
                    <w:rPr>
                      <w:noProof/>
                      <w:sz w:val="20"/>
                    </w:rPr>
                    <w:t>Projet stratégique</w:t>
                  </w:r>
                </w:p>
              </w:tc>
              <w:tc>
                <w:tcPr>
                  <w:tcW w:w="2944" w:type="dxa"/>
                  <w:shd w:val="clear" w:color="auto" w:fill="auto"/>
                </w:tcPr>
                <w:p w14:paraId="619A51D9" w14:textId="77777777" w:rsidR="00922C2A" w:rsidRPr="00922C2A" w:rsidRDefault="00922C2A" w:rsidP="006F49C9">
                  <w:pPr>
                    <w:rPr>
                      <w:noProof/>
                    </w:rPr>
                  </w:pPr>
                  <w:r w:rsidRPr="00922C2A">
                    <w:rPr>
                      <w:noProof/>
                      <w:sz w:val="20"/>
                    </w:rPr>
                    <w:t>Article 6</w:t>
                  </w:r>
                </w:p>
              </w:tc>
              <w:tc>
                <w:tcPr>
                  <w:tcW w:w="2944" w:type="dxa"/>
                  <w:shd w:val="clear" w:color="auto" w:fill="auto"/>
                </w:tcPr>
                <w:p w14:paraId="7842DC60" w14:textId="77777777" w:rsidR="00922C2A" w:rsidRPr="00922C2A" w:rsidRDefault="00922C2A" w:rsidP="006F49C9">
                  <w:pPr>
                    <w:rPr>
                      <w:bCs/>
                      <w:noProof/>
                    </w:rPr>
                  </w:pPr>
                  <w:r w:rsidRPr="00922C2A">
                    <w:rPr>
                      <w:noProof/>
                      <w:sz w:val="20"/>
                    </w:rPr>
                    <w:t>Non défini</w:t>
                  </w:r>
                </w:p>
              </w:tc>
            </w:tr>
            <w:tr w:rsidR="00922C2A" w:rsidRPr="00922C2A" w14:paraId="700D6B93" w14:textId="77777777" w:rsidTr="006F49C9">
              <w:tc>
                <w:tcPr>
                  <w:tcW w:w="2944" w:type="dxa"/>
                  <w:shd w:val="clear" w:color="auto" w:fill="auto"/>
                </w:tcPr>
                <w:p w14:paraId="734EB09C" w14:textId="77777777" w:rsidR="00922C2A" w:rsidRPr="00922C2A" w:rsidRDefault="00922C2A" w:rsidP="006F49C9">
                  <w:pPr>
                    <w:rPr>
                      <w:noProof/>
                      <w:sz w:val="20"/>
                      <w:szCs w:val="16"/>
                    </w:rPr>
                  </w:pPr>
                  <w:r w:rsidRPr="00922C2A">
                    <w:rPr>
                      <w:noProof/>
                      <w:sz w:val="20"/>
                    </w:rPr>
                    <w:t>Statut de la plus haute importance nationale pour les projets stratégiques</w:t>
                  </w:r>
                </w:p>
              </w:tc>
              <w:tc>
                <w:tcPr>
                  <w:tcW w:w="2944" w:type="dxa"/>
                  <w:shd w:val="clear" w:color="auto" w:fill="auto"/>
                </w:tcPr>
                <w:p w14:paraId="2CDA530C" w14:textId="77777777" w:rsidR="00922C2A" w:rsidRPr="00922C2A" w:rsidRDefault="00922C2A" w:rsidP="006F49C9">
                  <w:pPr>
                    <w:rPr>
                      <w:noProof/>
                      <w:sz w:val="20"/>
                      <w:szCs w:val="16"/>
                    </w:rPr>
                  </w:pPr>
                  <w:r w:rsidRPr="00922C2A">
                    <w:rPr>
                      <w:noProof/>
                      <w:sz w:val="20"/>
                    </w:rPr>
                    <w:t>Article 9</w:t>
                  </w:r>
                </w:p>
              </w:tc>
              <w:tc>
                <w:tcPr>
                  <w:tcW w:w="2944" w:type="dxa"/>
                  <w:shd w:val="clear" w:color="auto" w:fill="auto"/>
                </w:tcPr>
                <w:p w14:paraId="4EB0CF4C" w14:textId="77777777" w:rsidR="00922C2A" w:rsidRPr="00922C2A" w:rsidRDefault="00922C2A" w:rsidP="006F49C9">
                  <w:pPr>
                    <w:rPr>
                      <w:bCs/>
                      <w:noProof/>
                      <w:sz w:val="20"/>
                      <w:szCs w:val="16"/>
                    </w:rPr>
                  </w:pPr>
                  <w:r w:rsidRPr="00922C2A">
                    <w:rPr>
                      <w:noProof/>
                      <w:sz w:val="20"/>
                    </w:rPr>
                    <w:t>Non défini</w:t>
                  </w:r>
                </w:p>
              </w:tc>
            </w:tr>
            <w:tr w:rsidR="00922C2A" w:rsidRPr="00922C2A" w14:paraId="52DB1C7D" w14:textId="77777777" w:rsidTr="006F49C9">
              <w:tc>
                <w:tcPr>
                  <w:tcW w:w="2944" w:type="dxa"/>
                  <w:shd w:val="clear" w:color="auto" w:fill="auto"/>
                </w:tcPr>
                <w:p w14:paraId="4DE4E5DB" w14:textId="77777777" w:rsidR="00922C2A" w:rsidRPr="00922C2A" w:rsidRDefault="00922C2A" w:rsidP="006F49C9">
                  <w:pPr>
                    <w:rPr>
                      <w:noProof/>
                      <w:sz w:val="20"/>
                      <w:szCs w:val="16"/>
                    </w:rPr>
                  </w:pPr>
                  <w:r w:rsidRPr="00922C2A">
                    <w:rPr>
                      <w:noProof/>
                      <w:sz w:val="20"/>
                    </w:rPr>
                    <w:t>Évaluation environnementale combinée</w:t>
                  </w:r>
                </w:p>
              </w:tc>
              <w:tc>
                <w:tcPr>
                  <w:tcW w:w="2944" w:type="dxa"/>
                  <w:shd w:val="clear" w:color="auto" w:fill="auto"/>
                </w:tcPr>
                <w:p w14:paraId="6152DB59" w14:textId="77777777" w:rsidR="00922C2A" w:rsidRPr="00922C2A" w:rsidRDefault="00922C2A" w:rsidP="006F49C9">
                  <w:pPr>
                    <w:rPr>
                      <w:noProof/>
                      <w:sz w:val="20"/>
                      <w:szCs w:val="16"/>
                    </w:rPr>
                  </w:pPr>
                  <w:r w:rsidRPr="00922C2A">
                    <w:rPr>
                      <w:noProof/>
                      <w:sz w:val="20"/>
                    </w:rPr>
                    <w:t>Article 12</w:t>
                  </w:r>
                </w:p>
              </w:tc>
              <w:tc>
                <w:tcPr>
                  <w:tcW w:w="2944" w:type="dxa"/>
                  <w:shd w:val="clear" w:color="auto" w:fill="auto"/>
                </w:tcPr>
                <w:p w14:paraId="42B5C88A" w14:textId="77777777" w:rsidR="00922C2A" w:rsidRPr="00922C2A" w:rsidRDefault="00922C2A" w:rsidP="006F49C9">
                  <w:pPr>
                    <w:rPr>
                      <w:bCs/>
                      <w:noProof/>
                      <w:sz w:val="20"/>
                      <w:szCs w:val="16"/>
                    </w:rPr>
                  </w:pPr>
                  <w:r w:rsidRPr="00922C2A">
                    <w:rPr>
                      <w:noProof/>
                      <w:sz w:val="20"/>
                    </w:rPr>
                    <w:t>Défini sous d’autres bases juridiques</w:t>
                  </w:r>
                </w:p>
              </w:tc>
            </w:tr>
            <w:tr w:rsidR="00922C2A" w:rsidRPr="00922C2A" w14:paraId="55E446D9" w14:textId="77777777" w:rsidTr="006F49C9">
              <w:tc>
                <w:tcPr>
                  <w:tcW w:w="2944" w:type="dxa"/>
                  <w:shd w:val="clear" w:color="auto" w:fill="auto"/>
                </w:tcPr>
                <w:p w14:paraId="3AE0D6C1" w14:textId="77777777" w:rsidR="00922C2A" w:rsidRPr="00922C2A" w:rsidRDefault="00922C2A" w:rsidP="006F49C9">
                  <w:pPr>
                    <w:rPr>
                      <w:noProof/>
                      <w:sz w:val="20"/>
                      <w:szCs w:val="16"/>
                    </w:rPr>
                  </w:pPr>
                  <w:r w:rsidRPr="00922C2A">
                    <w:rPr>
                      <w:noProof/>
                      <w:sz w:val="20"/>
                    </w:rPr>
                    <w:t>Données d’aménagement du territoire</w:t>
                  </w:r>
                </w:p>
              </w:tc>
              <w:tc>
                <w:tcPr>
                  <w:tcW w:w="2944" w:type="dxa"/>
                  <w:shd w:val="clear" w:color="auto" w:fill="auto"/>
                </w:tcPr>
                <w:p w14:paraId="5E9B80CE" w14:textId="77777777" w:rsidR="00922C2A" w:rsidRPr="00922C2A" w:rsidRDefault="00922C2A" w:rsidP="006F49C9">
                  <w:pPr>
                    <w:jc w:val="left"/>
                    <w:rPr>
                      <w:noProof/>
                      <w:sz w:val="20"/>
                      <w:szCs w:val="16"/>
                    </w:rPr>
                  </w:pPr>
                  <w:r w:rsidRPr="00922C2A">
                    <w:rPr>
                      <w:noProof/>
                      <w:sz w:val="20"/>
                    </w:rPr>
                    <w:t>Article 13</w:t>
                  </w:r>
                </w:p>
                <w:p w14:paraId="0EA93EBF" w14:textId="77777777" w:rsidR="00922C2A" w:rsidRPr="00922C2A" w:rsidRDefault="00922C2A" w:rsidP="006F49C9">
                  <w:pPr>
                    <w:rPr>
                      <w:noProof/>
                      <w:sz w:val="20"/>
                      <w:szCs w:val="16"/>
                    </w:rPr>
                  </w:pPr>
                  <w:r w:rsidRPr="00922C2A">
                    <w:rPr>
                      <w:noProof/>
                      <w:sz w:val="20"/>
                    </w:rPr>
                    <w:t>Paragraphe 1</w:t>
                  </w:r>
                </w:p>
              </w:tc>
              <w:tc>
                <w:tcPr>
                  <w:tcW w:w="2944" w:type="dxa"/>
                  <w:shd w:val="clear" w:color="auto" w:fill="auto"/>
                </w:tcPr>
                <w:p w14:paraId="0DD8EC0C" w14:textId="77777777" w:rsidR="00922C2A" w:rsidRPr="00922C2A" w:rsidRDefault="00922C2A" w:rsidP="006F49C9">
                  <w:pPr>
                    <w:rPr>
                      <w:bCs/>
                      <w:noProof/>
                      <w:sz w:val="20"/>
                      <w:szCs w:val="16"/>
                    </w:rPr>
                  </w:pPr>
                  <w:r w:rsidRPr="00922C2A">
                    <w:rPr>
                      <w:noProof/>
                      <w:sz w:val="20"/>
                    </w:rPr>
                    <w:t>Non défini</w:t>
                  </w:r>
                </w:p>
              </w:tc>
            </w:tr>
            <w:tr w:rsidR="00922C2A" w:rsidRPr="00922C2A" w14:paraId="11C7CD3E" w14:textId="77777777" w:rsidTr="006F49C9">
              <w:tc>
                <w:tcPr>
                  <w:tcW w:w="2944" w:type="dxa"/>
                  <w:shd w:val="clear" w:color="auto" w:fill="auto"/>
                </w:tcPr>
                <w:p w14:paraId="317EDF68" w14:textId="77777777" w:rsidR="00922C2A" w:rsidRPr="00922C2A" w:rsidRDefault="00922C2A" w:rsidP="006F49C9">
                  <w:pPr>
                    <w:rPr>
                      <w:noProof/>
                      <w:sz w:val="20"/>
                      <w:szCs w:val="16"/>
                    </w:rPr>
                  </w:pPr>
                  <w:r w:rsidRPr="00922C2A">
                    <w:rPr>
                      <w:noProof/>
                      <w:sz w:val="20"/>
                    </w:rPr>
                    <w:t>Évaluations urbanistiques combinées</w:t>
                  </w:r>
                </w:p>
              </w:tc>
              <w:tc>
                <w:tcPr>
                  <w:tcW w:w="2944" w:type="dxa"/>
                  <w:shd w:val="clear" w:color="auto" w:fill="auto"/>
                </w:tcPr>
                <w:p w14:paraId="6B4D53D3" w14:textId="77777777" w:rsidR="00922C2A" w:rsidRPr="00922C2A" w:rsidRDefault="00922C2A" w:rsidP="006F49C9">
                  <w:pPr>
                    <w:jc w:val="left"/>
                    <w:rPr>
                      <w:noProof/>
                      <w:sz w:val="20"/>
                      <w:szCs w:val="16"/>
                    </w:rPr>
                  </w:pPr>
                  <w:r w:rsidRPr="00922C2A">
                    <w:rPr>
                      <w:noProof/>
                      <w:sz w:val="20"/>
                    </w:rPr>
                    <w:t>Article 13</w:t>
                  </w:r>
                </w:p>
                <w:p w14:paraId="1095A497" w14:textId="77777777" w:rsidR="00922C2A" w:rsidRPr="00922C2A" w:rsidRDefault="00922C2A" w:rsidP="006F49C9">
                  <w:pPr>
                    <w:jc w:val="left"/>
                    <w:rPr>
                      <w:noProof/>
                      <w:sz w:val="20"/>
                      <w:szCs w:val="16"/>
                    </w:rPr>
                  </w:pPr>
                  <w:r w:rsidRPr="00922C2A">
                    <w:rPr>
                      <w:noProof/>
                      <w:sz w:val="20"/>
                    </w:rPr>
                    <w:t>Paragraphe 2</w:t>
                  </w:r>
                </w:p>
              </w:tc>
              <w:tc>
                <w:tcPr>
                  <w:tcW w:w="2944" w:type="dxa"/>
                  <w:shd w:val="clear" w:color="auto" w:fill="auto"/>
                </w:tcPr>
                <w:p w14:paraId="57D7EDBA" w14:textId="77777777" w:rsidR="00922C2A" w:rsidRPr="00922C2A" w:rsidRDefault="00922C2A" w:rsidP="006F49C9">
                  <w:pPr>
                    <w:rPr>
                      <w:bCs/>
                      <w:noProof/>
                      <w:sz w:val="20"/>
                      <w:szCs w:val="16"/>
                    </w:rPr>
                  </w:pPr>
                  <w:r w:rsidRPr="00922C2A">
                    <w:rPr>
                      <w:noProof/>
                      <w:sz w:val="20"/>
                    </w:rPr>
                    <w:t>Non défini</w:t>
                  </w:r>
                </w:p>
              </w:tc>
            </w:tr>
            <w:tr w:rsidR="00922C2A" w:rsidRPr="00922C2A" w14:paraId="1A6548F6" w14:textId="77777777" w:rsidTr="006F49C9">
              <w:tc>
                <w:tcPr>
                  <w:tcW w:w="2944" w:type="dxa"/>
                  <w:shd w:val="clear" w:color="auto" w:fill="auto"/>
                </w:tcPr>
                <w:p w14:paraId="391980BE" w14:textId="77777777" w:rsidR="00922C2A" w:rsidRPr="00922C2A" w:rsidRDefault="00922C2A" w:rsidP="006F49C9">
                  <w:pPr>
                    <w:rPr>
                      <w:noProof/>
                      <w:sz w:val="20"/>
                      <w:szCs w:val="16"/>
                    </w:rPr>
                  </w:pPr>
                  <w:r w:rsidRPr="00922C2A">
                    <w:rPr>
                      <w:noProof/>
                      <w:sz w:val="20"/>
                    </w:rPr>
                    <w:t>Évaluation de la capacité des projets stratégiques à remédier à une vulnérabilité de la chaîne d’approvisionnement</w:t>
                  </w:r>
                </w:p>
              </w:tc>
              <w:tc>
                <w:tcPr>
                  <w:tcW w:w="2944" w:type="dxa"/>
                  <w:shd w:val="clear" w:color="auto" w:fill="auto"/>
                </w:tcPr>
                <w:p w14:paraId="226CBBDD" w14:textId="77777777" w:rsidR="00922C2A" w:rsidRPr="00922C2A" w:rsidRDefault="00922C2A" w:rsidP="006F49C9">
                  <w:pPr>
                    <w:jc w:val="left"/>
                    <w:rPr>
                      <w:noProof/>
                      <w:sz w:val="20"/>
                      <w:szCs w:val="16"/>
                    </w:rPr>
                  </w:pPr>
                  <w:r w:rsidRPr="00922C2A">
                    <w:rPr>
                      <w:noProof/>
                      <w:sz w:val="20"/>
                    </w:rPr>
                    <w:t>Article 16</w:t>
                  </w:r>
                </w:p>
              </w:tc>
              <w:tc>
                <w:tcPr>
                  <w:tcW w:w="2944" w:type="dxa"/>
                  <w:shd w:val="clear" w:color="auto" w:fill="auto"/>
                </w:tcPr>
                <w:p w14:paraId="406FC1A9" w14:textId="77777777" w:rsidR="00922C2A" w:rsidRPr="00922C2A" w:rsidRDefault="00922C2A" w:rsidP="006F49C9">
                  <w:pPr>
                    <w:rPr>
                      <w:bCs/>
                      <w:noProof/>
                      <w:sz w:val="20"/>
                      <w:szCs w:val="16"/>
                    </w:rPr>
                  </w:pPr>
                  <w:r w:rsidRPr="00922C2A">
                    <w:rPr>
                      <w:noProof/>
                      <w:sz w:val="20"/>
                    </w:rPr>
                    <w:t>Non défini</w:t>
                  </w:r>
                </w:p>
              </w:tc>
            </w:tr>
            <w:tr w:rsidR="00922C2A" w:rsidRPr="00922C2A" w14:paraId="02B5C06A" w14:textId="77777777" w:rsidTr="006F49C9">
              <w:tc>
                <w:tcPr>
                  <w:tcW w:w="2944" w:type="dxa"/>
                  <w:shd w:val="clear" w:color="auto" w:fill="auto"/>
                </w:tcPr>
                <w:p w14:paraId="3AACD3AB" w14:textId="77777777" w:rsidR="00922C2A" w:rsidRPr="00922C2A" w:rsidRDefault="00922C2A" w:rsidP="006F49C9">
                  <w:pPr>
                    <w:rPr>
                      <w:noProof/>
                      <w:sz w:val="20"/>
                      <w:szCs w:val="16"/>
                    </w:rPr>
                  </w:pPr>
                  <w:r w:rsidRPr="00922C2A">
                    <w:rPr>
                      <w:noProof/>
                      <w:sz w:val="20"/>
                    </w:rPr>
                    <w:t>Programmes nationaux</w:t>
                  </w:r>
                </w:p>
              </w:tc>
              <w:tc>
                <w:tcPr>
                  <w:tcW w:w="2944" w:type="dxa"/>
                  <w:shd w:val="clear" w:color="auto" w:fill="auto"/>
                </w:tcPr>
                <w:p w14:paraId="134119D8" w14:textId="77777777" w:rsidR="00922C2A" w:rsidRPr="00922C2A" w:rsidRDefault="00922C2A" w:rsidP="006F49C9">
                  <w:pPr>
                    <w:jc w:val="left"/>
                    <w:rPr>
                      <w:noProof/>
                      <w:sz w:val="20"/>
                      <w:szCs w:val="16"/>
                    </w:rPr>
                  </w:pPr>
                  <w:r w:rsidRPr="00922C2A">
                    <w:rPr>
                      <w:noProof/>
                      <w:sz w:val="20"/>
                    </w:rPr>
                    <w:t>Article 19</w:t>
                  </w:r>
                </w:p>
              </w:tc>
              <w:tc>
                <w:tcPr>
                  <w:tcW w:w="2944" w:type="dxa"/>
                  <w:shd w:val="clear" w:color="auto" w:fill="auto"/>
                </w:tcPr>
                <w:p w14:paraId="43893B53" w14:textId="77777777" w:rsidR="00922C2A" w:rsidRPr="00922C2A" w:rsidRDefault="00922C2A" w:rsidP="006F49C9">
                  <w:pPr>
                    <w:rPr>
                      <w:bCs/>
                      <w:noProof/>
                      <w:sz w:val="20"/>
                      <w:szCs w:val="16"/>
                    </w:rPr>
                  </w:pPr>
                  <w:r w:rsidRPr="00922C2A">
                    <w:rPr>
                      <w:noProof/>
                      <w:sz w:val="20"/>
                    </w:rPr>
                    <w:t>Non défini</w:t>
                  </w:r>
                </w:p>
              </w:tc>
            </w:tr>
          </w:tbl>
          <w:p w14:paraId="11A34D25" w14:textId="77777777" w:rsidR="00922C2A" w:rsidRPr="00922C2A" w:rsidRDefault="00922C2A" w:rsidP="006F49C9">
            <w:pPr>
              <w:rPr>
                <w:noProof/>
              </w:rPr>
            </w:pPr>
          </w:p>
          <w:p w14:paraId="40D3457B" w14:textId="77777777" w:rsidR="00922C2A" w:rsidRPr="00922C2A" w:rsidRDefault="00922C2A" w:rsidP="006F49C9">
            <w:pPr>
              <w:rPr>
                <w:noProof/>
              </w:rPr>
            </w:pPr>
            <w:r w:rsidRPr="00922C2A">
              <w:rPr>
                <w:noProof/>
              </w:rPr>
              <w:t>La liste des autorités des États membres désignées pour évaluer et confirmer les projets stratégiques sera publiée sur le site web ec.europa.eu, où elle est facilement accessible dans un format standardisé.</w:t>
            </w:r>
          </w:p>
          <w:p w14:paraId="041D63A4" w14:textId="77777777" w:rsidR="00922C2A" w:rsidRPr="00922C2A" w:rsidRDefault="00922C2A" w:rsidP="006F49C9">
            <w:pPr>
              <w:rPr>
                <w:noProof/>
              </w:rPr>
            </w:pPr>
            <w:r w:rsidRPr="00922C2A">
              <w:rPr>
                <w:noProof/>
              </w:rPr>
              <w:t xml:space="preserve">Le règlement suit le principe «une fois pour toutes» en évitant la duplication des dispositions relatives à la collecte de données pour le recensement des médicaments critiques et l’évaluation des vulnérabilités dans leurs chaînes d’approvisionnement, en réutilisant les données collectées dans le cadre de la révision de la législation pharmaceutique générale. </w:t>
            </w:r>
          </w:p>
          <w:p w14:paraId="768449E4" w14:textId="77777777" w:rsidR="00922C2A" w:rsidRPr="00922C2A" w:rsidRDefault="00922C2A" w:rsidP="006F49C9">
            <w:pPr>
              <w:rPr>
                <w:noProof/>
              </w:rPr>
            </w:pPr>
            <w:r w:rsidRPr="00922C2A">
              <w:rPr>
                <w:noProof/>
              </w:rPr>
              <w:t>Les données relatives aux évaluations sont régies par la base juridique pertinente qui déclenche les évaluations.</w:t>
            </w:r>
          </w:p>
          <w:p w14:paraId="4C139C53" w14:textId="77777777" w:rsidR="00922C2A" w:rsidRPr="00922C2A" w:rsidRDefault="00922C2A" w:rsidP="006F49C9">
            <w:pPr>
              <w:rPr>
                <w:noProof/>
              </w:rPr>
            </w:pPr>
            <w:r w:rsidRPr="00922C2A">
              <w:rPr>
                <w:noProof/>
              </w:rPr>
              <w:t xml:space="preserve">Flux de données </w:t>
            </w:r>
          </w:p>
          <w:p w14:paraId="2760F698" w14:textId="77777777" w:rsidR="00922C2A" w:rsidRPr="00922C2A" w:rsidRDefault="00922C2A" w:rsidP="006F49C9">
            <w:pPr>
              <w:rPr>
                <w:noProof/>
                <w:color w:val="0000FF"/>
              </w:rPr>
            </w:pPr>
            <w:r w:rsidRPr="00922C2A">
              <w:rPr>
                <w:noProof/>
                <w:color w:val="0000FF"/>
                <w:lang w:val="en-GB" w:eastAsia="en-GB"/>
              </w:rPr>
              <w:drawing>
                <wp:inline distT="0" distB="0" distL="0" distR="0" wp14:anchorId="1C7475A4" wp14:editId="3AD1DD42">
                  <wp:extent cx="3851449" cy="1433779"/>
                  <wp:effectExtent l="0" t="0" r="0" b="0"/>
                  <wp:docPr id="1764079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861080" cy="1437364"/>
                          </a:xfrm>
                          <a:prstGeom prst="rect">
                            <a:avLst/>
                          </a:prstGeom>
                          <a:noFill/>
                          <a:ln>
                            <a:noFill/>
                          </a:ln>
                        </pic:spPr>
                      </pic:pic>
                    </a:graphicData>
                  </a:graphic>
                </wp:inline>
              </w:drawing>
            </w:r>
          </w:p>
          <w:tbl>
            <w:tblPr>
              <w:tblStyle w:val="TableGrid"/>
              <w:tblW w:w="9242" w:type="dxa"/>
              <w:tblLook w:val="04A0" w:firstRow="1" w:lastRow="0" w:firstColumn="1" w:lastColumn="0" w:noHBand="0" w:noVBand="1"/>
            </w:tblPr>
            <w:tblGrid>
              <w:gridCol w:w="1525"/>
              <w:gridCol w:w="1965"/>
              <w:gridCol w:w="1200"/>
              <w:gridCol w:w="1362"/>
              <w:gridCol w:w="1791"/>
              <w:gridCol w:w="1399"/>
            </w:tblGrid>
            <w:tr w:rsidR="00922C2A" w:rsidRPr="00922C2A" w14:paraId="064B24B5" w14:textId="77777777" w:rsidTr="006F49C9">
              <w:trPr>
                <w:trHeight w:val="300"/>
              </w:trPr>
              <w:tc>
                <w:tcPr>
                  <w:tcW w:w="1526" w:type="dxa"/>
                  <w:tcBorders>
                    <w:top w:val="single" w:sz="4" w:space="0" w:color="auto"/>
                    <w:left w:val="single" w:sz="4" w:space="0" w:color="auto"/>
                    <w:bottom w:val="single" w:sz="4" w:space="0" w:color="auto"/>
                    <w:right w:val="single" w:sz="4" w:space="0" w:color="auto"/>
                  </w:tcBorders>
                  <w:hideMark/>
                </w:tcPr>
                <w:p w14:paraId="4DE0E1E9" w14:textId="77777777" w:rsidR="00922C2A" w:rsidRPr="00922C2A" w:rsidRDefault="00922C2A" w:rsidP="006F49C9">
                  <w:pPr>
                    <w:jc w:val="left"/>
                    <w:rPr>
                      <w:b/>
                      <w:bCs/>
                      <w:noProof/>
                      <w:sz w:val="18"/>
                      <w:szCs w:val="14"/>
                    </w:rPr>
                  </w:pPr>
                  <w:r w:rsidRPr="00922C2A">
                    <w:rPr>
                      <w:b/>
                      <w:noProof/>
                      <w:sz w:val="18"/>
                    </w:rPr>
                    <w:t>Type de données</w:t>
                  </w:r>
                </w:p>
              </w:tc>
              <w:tc>
                <w:tcPr>
                  <w:tcW w:w="2029" w:type="dxa"/>
                  <w:tcBorders>
                    <w:top w:val="single" w:sz="4" w:space="0" w:color="auto"/>
                    <w:left w:val="single" w:sz="4" w:space="0" w:color="auto"/>
                    <w:bottom w:val="single" w:sz="4" w:space="0" w:color="auto"/>
                    <w:right w:val="single" w:sz="4" w:space="0" w:color="auto"/>
                  </w:tcBorders>
                  <w:hideMark/>
                </w:tcPr>
                <w:p w14:paraId="4747866E" w14:textId="77777777" w:rsidR="00922C2A" w:rsidRPr="00922C2A" w:rsidRDefault="00922C2A" w:rsidP="006F49C9">
                  <w:pPr>
                    <w:jc w:val="left"/>
                    <w:rPr>
                      <w:b/>
                      <w:bCs/>
                      <w:noProof/>
                      <w:sz w:val="18"/>
                      <w:szCs w:val="14"/>
                    </w:rPr>
                  </w:pPr>
                  <w:r w:rsidRPr="00922C2A">
                    <w:rPr>
                      <w:b/>
                      <w:noProof/>
                      <w:sz w:val="18"/>
                    </w:rPr>
                    <w:t>Référence(s) à la ou aux exigences</w:t>
                  </w:r>
                </w:p>
              </w:tc>
              <w:tc>
                <w:tcPr>
                  <w:tcW w:w="1207" w:type="dxa"/>
                  <w:tcBorders>
                    <w:top w:val="single" w:sz="4" w:space="0" w:color="auto"/>
                    <w:left w:val="single" w:sz="4" w:space="0" w:color="auto"/>
                    <w:bottom w:val="single" w:sz="4" w:space="0" w:color="auto"/>
                    <w:right w:val="single" w:sz="4" w:space="0" w:color="auto"/>
                  </w:tcBorders>
                  <w:hideMark/>
                </w:tcPr>
                <w:p w14:paraId="1DFCFB30" w14:textId="77777777" w:rsidR="00922C2A" w:rsidRPr="00922C2A" w:rsidRDefault="00922C2A" w:rsidP="006F49C9">
                  <w:pPr>
                    <w:jc w:val="left"/>
                    <w:rPr>
                      <w:b/>
                      <w:bCs/>
                      <w:noProof/>
                      <w:sz w:val="18"/>
                      <w:szCs w:val="14"/>
                    </w:rPr>
                  </w:pPr>
                  <w:r w:rsidRPr="00922C2A">
                    <w:rPr>
                      <w:b/>
                      <w:noProof/>
                      <w:sz w:val="18"/>
                    </w:rPr>
                    <w:t>Acteur qui fournit les données</w:t>
                  </w:r>
                </w:p>
              </w:tc>
              <w:tc>
                <w:tcPr>
                  <w:tcW w:w="1381" w:type="dxa"/>
                  <w:tcBorders>
                    <w:top w:val="single" w:sz="4" w:space="0" w:color="auto"/>
                    <w:left w:val="single" w:sz="4" w:space="0" w:color="auto"/>
                    <w:bottom w:val="single" w:sz="4" w:space="0" w:color="auto"/>
                    <w:right w:val="single" w:sz="4" w:space="0" w:color="auto"/>
                  </w:tcBorders>
                  <w:hideMark/>
                </w:tcPr>
                <w:p w14:paraId="0D3D1005" w14:textId="77777777" w:rsidR="00922C2A" w:rsidRPr="00922C2A" w:rsidRDefault="00922C2A" w:rsidP="006F49C9">
                  <w:pPr>
                    <w:jc w:val="left"/>
                    <w:rPr>
                      <w:b/>
                      <w:bCs/>
                      <w:noProof/>
                      <w:sz w:val="18"/>
                      <w:szCs w:val="14"/>
                    </w:rPr>
                  </w:pPr>
                  <w:r w:rsidRPr="00922C2A">
                    <w:rPr>
                      <w:b/>
                      <w:noProof/>
                      <w:sz w:val="18"/>
                    </w:rPr>
                    <w:t>Acteur qui reçoit les données</w:t>
                  </w:r>
                </w:p>
              </w:tc>
              <w:tc>
                <w:tcPr>
                  <w:tcW w:w="1670" w:type="dxa"/>
                  <w:tcBorders>
                    <w:top w:val="single" w:sz="4" w:space="0" w:color="auto"/>
                    <w:left w:val="single" w:sz="4" w:space="0" w:color="auto"/>
                    <w:bottom w:val="single" w:sz="4" w:space="0" w:color="auto"/>
                    <w:right w:val="single" w:sz="4" w:space="0" w:color="auto"/>
                  </w:tcBorders>
                  <w:hideMark/>
                </w:tcPr>
                <w:p w14:paraId="7A9C5067" w14:textId="77777777" w:rsidR="00922C2A" w:rsidRPr="00922C2A" w:rsidRDefault="00922C2A" w:rsidP="006F49C9">
                  <w:pPr>
                    <w:jc w:val="left"/>
                    <w:rPr>
                      <w:b/>
                      <w:bCs/>
                      <w:noProof/>
                      <w:sz w:val="18"/>
                      <w:szCs w:val="14"/>
                    </w:rPr>
                  </w:pPr>
                  <w:r w:rsidRPr="00922C2A">
                    <w:rPr>
                      <w:b/>
                      <w:noProof/>
                      <w:sz w:val="18"/>
                    </w:rPr>
                    <w:t>Élément déclencheur de l’échange de données</w:t>
                  </w:r>
                </w:p>
              </w:tc>
              <w:tc>
                <w:tcPr>
                  <w:tcW w:w="1429" w:type="dxa"/>
                  <w:tcBorders>
                    <w:top w:val="single" w:sz="4" w:space="0" w:color="auto"/>
                    <w:left w:val="single" w:sz="4" w:space="0" w:color="auto"/>
                    <w:bottom w:val="single" w:sz="4" w:space="0" w:color="auto"/>
                    <w:right w:val="single" w:sz="4" w:space="0" w:color="auto"/>
                  </w:tcBorders>
                  <w:hideMark/>
                </w:tcPr>
                <w:p w14:paraId="59C56F49" w14:textId="77777777" w:rsidR="00922C2A" w:rsidRPr="00922C2A" w:rsidRDefault="00922C2A" w:rsidP="006F49C9">
                  <w:pPr>
                    <w:jc w:val="left"/>
                    <w:rPr>
                      <w:b/>
                      <w:bCs/>
                      <w:noProof/>
                      <w:sz w:val="18"/>
                      <w:szCs w:val="14"/>
                    </w:rPr>
                  </w:pPr>
                  <w:r w:rsidRPr="00922C2A">
                    <w:rPr>
                      <w:b/>
                      <w:noProof/>
                      <w:sz w:val="18"/>
                    </w:rPr>
                    <w:t>Fréquence (le cas échéant)</w:t>
                  </w:r>
                </w:p>
              </w:tc>
            </w:tr>
            <w:tr w:rsidR="00922C2A" w:rsidRPr="00922C2A" w14:paraId="32292C6B" w14:textId="77777777" w:rsidTr="006F49C9">
              <w:trPr>
                <w:trHeight w:val="300"/>
              </w:trPr>
              <w:tc>
                <w:tcPr>
                  <w:tcW w:w="1526" w:type="dxa"/>
                  <w:tcBorders>
                    <w:top w:val="single" w:sz="4" w:space="0" w:color="auto"/>
                    <w:left w:val="single" w:sz="4" w:space="0" w:color="auto"/>
                    <w:bottom w:val="single" w:sz="4" w:space="0" w:color="auto"/>
                    <w:right w:val="single" w:sz="4" w:space="0" w:color="auto"/>
                  </w:tcBorders>
                  <w:shd w:val="clear" w:color="auto" w:fill="auto"/>
                </w:tcPr>
                <w:p w14:paraId="0BCBD76C" w14:textId="77777777" w:rsidR="00922C2A" w:rsidRPr="00922C2A" w:rsidRDefault="00922C2A" w:rsidP="006F49C9">
                  <w:pPr>
                    <w:jc w:val="left"/>
                    <w:rPr>
                      <w:noProof/>
                      <w:sz w:val="18"/>
                      <w:szCs w:val="14"/>
                    </w:rPr>
                  </w:pPr>
                  <w:r w:rsidRPr="00922C2A">
                    <w:rPr>
                      <w:noProof/>
                      <w:sz w:val="18"/>
                    </w:rPr>
                    <w:t>Liste des autorités des États membres désignées pour évaluer et confirmer les projets stratégiques</w:t>
                  </w:r>
                </w:p>
              </w:tc>
              <w:tc>
                <w:tcPr>
                  <w:tcW w:w="2029" w:type="dxa"/>
                  <w:tcBorders>
                    <w:top w:val="single" w:sz="4" w:space="0" w:color="auto"/>
                    <w:left w:val="single" w:sz="4" w:space="0" w:color="auto"/>
                    <w:bottom w:val="single" w:sz="4" w:space="0" w:color="auto"/>
                    <w:right w:val="single" w:sz="4" w:space="0" w:color="auto"/>
                  </w:tcBorders>
                  <w:shd w:val="clear" w:color="auto" w:fill="auto"/>
                </w:tcPr>
                <w:p w14:paraId="26140F65" w14:textId="77777777" w:rsidR="00922C2A" w:rsidRPr="00922C2A" w:rsidRDefault="00922C2A" w:rsidP="006F49C9">
                  <w:pPr>
                    <w:jc w:val="left"/>
                    <w:rPr>
                      <w:noProof/>
                      <w:sz w:val="18"/>
                      <w:szCs w:val="14"/>
                    </w:rPr>
                  </w:pPr>
                  <w:r w:rsidRPr="00922C2A">
                    <w:rPr>
                      <w:noProof/>
                      <w:sz w:val="18"/>
                    </w:rPr>
                    <w:t>Article 6</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6A9F6244" w14:textId="77777777" w:rsidR="00922C2A" w:rsidRPr="00922C2A" w:rsidRDefault="00922C2A" w:rsidP="006F49C9">
                  <w:pPr>
                    <w:jc w:val="left"/>
                    <w:rPr>
                      <w:noProof/>
                      <w:sz w:val="18"/>
                      <w:szCs w:val="14"/>
                    </w:rPr>
                  </w:pPr>
                  <w:r w:rsidRPr="00922C2A">
                    <w:rPr>
                      <w:noProof/>
                      <w:sz w:val="18"/>
                    </w:rPr>
                    <w:t>États membres</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7F89BCF7" w14:textId="77777777" w:rsidR="00922C2A" w:rsidRPr="00922C2A" w:rsidRDefault="00922C2A" w:rsidP="006F49C9">
                  <w:pPr>
                    <w:jc w:val="left"/>
                    <w:rPr>
                      <w:noProof/>
                      <w:sz w:val="18"/>
                      <w:szCs w:val="14"/>
                    </w:rPr>
                  </w:pPr>
                  <w:r w:rsidRPr="00922C2A">
                    <w:rPr>
                      <w:noProof/>
                      <w:sz w:val="18"/>
                    </w:rPr>
                    <w:t>Commission</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62235002" w14:textId="77777777" w:rsidR="00922C2A" w:rsidRPr="00922C2A" w:rsidRDefault="00922C2A" w:rsidP="006F49C9">
                  <w:pPr>
                    <w:jc w:val="left"/>
                    <w:rPr>
                      <w:noProof/>
                      <w:sz w:val="18"/>
                      <w:szCs w:val="14"/>
                    </w:rPr>
                  </w:pPr>
                  <w:r w:rsidRPr="00922C2A">
                    <w:rPr>
                      <w:noProof/>
                      <w:sz w:val="18"/>
                    </w:rPr>
                    <w:t>Non défini</w:t>
                  </w: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7FC1355D" w14:textId="77777777" w:rsidR="00922C2A" w:rsidRPr="00922C2A" w:rsidRDefault="00922C2A" w:rsidP="006F49C9">
                  <w:pPr>
                    <w:jc w:val="left"/>
                    <w:rPr>
                      <w:noProof/>
                      <w:sz w:val="18"/>
                      <w:szCs w:val="14"/>
                    </w:rPr>
                  </w:pPr>
                  <w:r w:rsidRPr="00922C2A">
                    <w:rPr>
                      <w:noProof/>
                      <w:sz w:val="18"/>
                    </w:rPr>
                    <w:t>s.o.</w:t>
                  </w:r>
                </w:p>
              </w:tc>
            </w:tr>
            <w:tr w:rsidR="00922C2A" w:rsidRPr="00922C2A" w14:paraId="51A11FC4" w14:textId="77777777" w:rsidTr="006F49C9">
              <w:trPr>
                <w:trHeight w:val="300"/>
              </w:trPr>
              <w:tc>
                <w:tcPr>
                  <w:tcW w:w="1526" w:type="dxa"/>
                  <w:tcBorders>
                    <w:top w:val="single" w:sz="4" w:space="0" w:color="auto"/>
                    <w:left w:val="single" w:sz="4" w:space="0" w:color="auto"/>
                    <w:bottom w:val="single" w:sz="4" w:space="0" w:color="auto"/>
                    <w:right w:val="single" w:sz="4" w:space="0" w:color="auto"/>
                  </w:tcBorders>
                  <w:shd w:val="clear" w:color="auto" w:fill="auto"/>
                </w:tcPr>
                <w:p w14:paraId="7099D39E" w14:textId="77777777" w:rsidR="00922C2A" w:rsidRPr="00922C2A" w:rsidRDefault="00922C2A" w:rsidP="006F49C9">
                  <w:pPr>
                    <w:jc w:val="left"/>
                    <w:rPr>
                      <w:noProof/>
                      <w:sz w:val="18"/>
                      <w:szCs w:val="14"/>
                    </w:rPr>
                  </w:pPr>
                  <w:r w:rsidRPr="00922C2A">
                    <w:rPr>
                      <w:noProof/>
                      <w:sz w:val="18"/>
                    </w:rPr>
                    <w:t>Projet</w:t>
                  </w:r>
                </w:p>
              </w:tc>
              <w:tc>
                <w:tcPr>
                  <w:tcW w:w="2029" w:type="dxa"/>
                  <w:tcBorders>
                    <w:top w:val="single" w:sz="4" w:space="0" w:color="auto"/>
                    <w:left w:val="single" w:sz="4" w:space="0" w:color="auto"/>
                    <w:bottom w:val="single" w:sz="4" w:space="0" w:color="auto"/>
                    <w:right w:val="single" w:sz="4" w:space="0" w:color="auto"/>
                  </w:tcBorders>
                  <w:shd w:val="clear" w:color="auto" w:fill="auto"/>
                </w:tcPr>
                <w:p w14:paraId="585850EE" w14:textId="77777777" w:rsidR="00922C2A" w:rsidRPr="00922C2A" w:rsidRDefault="00922C2A" w:rsidP="006F49C9">
                  <w:pPr>
                    <w:jc w:val="left"/>
                    <w:rPr>
                      <w:noProof/>
                      <w:sz w:val="18"/>
                      <w:szCs w:val="14"/>
                    </w:rPr>
                  </w:pPr>
                  <w:r w:rsidRPr="00922C2A">
                    <w:rPr>
                      <w:noProof/>
                      <w:sz w:val="18"/>
                    </w:rPr>
                    <w:t>Article 6</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4F25901A" w14:textId="77777777" w:rsidR="00922C2A" w:rsidRPr="00922C2A" w:rsidRDefault="00922C2A" w:rsidP="006F49C9">
                  <w:pPr>
                    <w:jc w:val="left"/>
                    <w:rPr>
                      <w:noProof/>
                      <w:sz w:val="18"/>
                      <w:szCs w:val="14"/>
                    </w:rPr>
                  </w:pPr>
                  <w:r w:rsidRPr="00922C2A">
                    <w:rPr>
                      <w:noProof/>
                      <w:sz w:val="18"/>
                    </w:rPr>
                    <w:t>Promoteur du projet</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6F1626E2" w14:textId="77777777" w:rsidR="00922C2A" w:rsidRPr="00922C2A" w:rsidRDefault="00922C2A" w:rsidP="006F49C9">
                  <w:pPr>
                    <w:jc w:val="left"/>
                    <w:rPr>
                      <w:noProof/>
                      <w:sz w:val="18"/>
                      <w:szCs w:val="14"/>
                    </w:rPr>
                  </w:pPr>
                  <w:r w:rsidRPr="00922C2A">
                    <w:rPr>
                      <w:noProof/>
                      <w:sz w:val="18"/>
                    </w:rPr>
                    <w:t>Autorité désignée</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3FDEAC74" w14:textId="77777777" w:rsidR="00922C2A" w:rsidRPr="00922C2A" w:rsidRDefault="00922C2A" w:rsidP="006F49C9">
                  <w:pPr>
                    <w:jc w:val="left"/>
                    <w:rPr>
                      <w:noProof/>
                      <w:sz w:val="18"/>
                      <w:szCs w:val="14"/>
                    </w:rPr>
                  </w:pPr>
                  <w:r w:rsidRPr="00922C2A">
                    <w:rPr>
                      <w:noProof/>
                      <w:sz w:val="18"/>
                    </w:rPr>
                    <w:t>À l’initiative du promoteur du projet</w:t>
                  </w: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5C8ABDD3" w14:textId="77777777" w:rsidR="00922C2A" w:rsidRPr="00922C2A" w:rsidRDefault="00922C2A" w:rsidP="006F49C9">
                  <w:pPr>
                    <w:jc w:val="left"/>
                    <w:rPr>
                      <w:noProof/>
                      <w:sz w:val="18"/>
                      <w:szCs w:val="14"/>
                    </w:rPr>
                  </w:pPr>
                </w:p>
              </w:tc>
            </w:tr>
            <w:tr w:rsidR="00922C2A" w:rsidRPr="00922C2A" w14:paraId="776195B6" w14:textId="77777777" w:rsidTr="006F49C9">
              <w:trPr>
                <w:trHeight w:val="300"/>
              </w:trPr>
              <w:tc>
                <w:tcPr>
                  <w:tcW w:w="1526" w:type="dxa"/>
                  <w:tcBorders>
                    <w:top w:val="single" w:sz="4" w:space="0" w:color="auto"/>
                    <w:left w:val="single" w:sz="4" w:space="0" w:color="auto"/>
                    <w:bottom w:val="single" w:sz="4" w:space="0" w:color="auto"/>
                    <w:right w:val="single" w:sz="4" w:space="0" w:color="auto"/>
                  </w:tcBorders>
                  <w:shd w:val="clear" w:color="auto" w:fill="auto"/>
                </w:tcPr>
                <w:p w14:paraId="2D4C936C" w14:textId="77777777" w:rsidR="00922C2A" w:rsidRPr="00922C2A" w:rsidRDefault="00922C2A" w:rsidP="006F49C9">
                  <w:pPr>
                    <w:jc w:val="left"/>
                    <w:rPr>
                      <w:noProof/>
                      <w:sz w:val="18"/>
                      <w:szCs w:val="14"/>
                    </w:rPr>
                  </w:pPr>
                  <w:r w:rsidRPr="00922C2A">
                    <w:rPr>
                      <w:noProof/>
                      <w:sz w:val="18"/>
                    </w:rPr>
                    <w:t>Projet stratégique</w:t>
                  </w:r>
                </w:p>
              </w:tc>
              <w:tc>
                <w:tcPr>
                  <w:tcW w:w="2029" w:type="dxa"/>
                  <w:tcBorders>
                    <w:top w:val="single" w:sz="4" w:space="0" w:color="auto"/>
                    <w:left w:val="single" w:sz="4" w:space="0" w:color="auto"/>
                    <w:bottom w:val="single" w:sz="4" w:space="0" w:color="auto"/>
                    <w:right w:val="single" w:sz="4" w:space="0" w:color="auto"/>
                  </w:tcBorders>
                  <w:shd w:val="clear" w:color="auto" w:fill="auto"/>
                </w:tcPr>
                <w:p w14:paraId="6DC05B51" w14:textId="77777777" w:rsidR="00922C2A" w:rsidRPr="00922C2A" w:rsidRDefault="00922C2A" w:rsidP="006F49C9">
                  <w:pPr>
                    <w:jc w:val="left"/>
                    <w:rPr>
                      <w:noProof/>
                      <w:sz w:val="18"/>
                      <w:szCs w:val="14"/>
                    </w:rPr>
                  </w:pPr>
                  <w:r w:rsidRPr="00922C2A">
                    <w:rPr>
                      <w:noProof/>
                      <w:sz w:val="18"/>
                    </w:rPr>
                    <w:t>Article 6</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077C1E67" w14:textId="77777777" w:rsidR="00922C2A" w:rsidRPr="00922C2A" w:rsidRDefault="00922C2A" w:rsidP="006F49C9">
                  <w:pPr>
                    <w:jc w:val="left"/>
                    <w:rPr>
                      <w:noProof/>
                      <w:sz w:val="18"/>
                      <w:szCs w:val="14"/>
                    </w:rPr>
                  </w:pPr>
                  <w:r w:rsidRPr="00922C2A">
                    <w:rPr>
                      <w:noProof/>
                      <w:sz w:val="18"/>
                    </w:rPr>
                    <w:t>Autorité désignée</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3FA6FF27" w14:textId="77777777" w:rsidR="00922C2A" w:rsidRPr="00922C2A" w:rsidRDefault="00922C2A" w:rsidP="006F49C9">
                  <w:pPr>
                    <w:jc w:val="left"/>
                    <w:rPr>
                      <w:noProof/>
                      <w:sz w:val="18"/>
                      <w:szCs w:val="14"/>
                    </w:rPr>
                  </w:pPr>
                  <w:r w:rsidRPr="00922C2A">
                    <w:rPr>
                      <w:noProof/>
                      <w:sz w:val="18"/>
                    </w:rPr>
                    <w:t>Promoteur du projet</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04975BAE" w14:textId="77777777" w:rsidR="00922C2A" w:rsidRPr="00922C2A" w:rsidRDefault="00922C2A" w:rsidP="006F49C9">
                  <w:pPr>
                    <w:jc w:val="left"/>
                    <w:rPr>
                      <w:noProof/>
                      <w:sz w:val="18"/>
                      <w:szCs w:val="14"/>
                    </w:rPr>
                  </w:pPr>
                  <w:r w:rsidRPr="00922C2A">
                    <w:rPr>
                      <w:noProof/>
                      <w:sz w:val="18"/>
                    </w:rPr>
                    <w:t>À la demande du promoteur du projet</w:t>
                  </w: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3DA4D3E4" w14:textId="77777777" w:rsidR="00922C2A" w:rsidRPr="00922C2A" w:rsidRDefault="00922C2A" w:rsidP="006F49C9">
                  <w:pPr>
                    <w:jc w:val="left"/>
                    <w:rPr>
                      <w:noProof/>
                      <w:sz w:val="18"/>
                      <w:szCs w:val="14"/>
                    </w:rPr>
                  </w:pPr>
                  <w:r w:rsidRPr="00922C2A">
                    <w:rPr>
                      <w:noProof/>
                      <w:sz w:val="18"/>
                    </w:rPr>
                    <w:t>Aucun délai n’a été fixé</w:t>
                  </w:r>
                </w:p>
              </w:tc>
            </w:tr>
            <w:tr w:rsidR="00922C2A" w:rsidRPr="00922C2A" w14:paraId="6783373D" w14:textId="77777777" w:rsidTr="006F49C9">
              <w:trPr>
                <w:trHeight w:val="300"/>
              </w:trPr>
              <w:tc>
                <w:tcPr>
                  <w:tcW w:w="1526" w:type="dxa"/>
                  <w:tcBorders>
                    <w:top w:val="single" w:sz="4" w:space="0" w:color="auto"/>
                    <w:left w:val="single" w:sz="4" w:space="0" w:color="auto"/>
                    <w:bottom w:val="single" w:sz="4" w:space="0" w:color="auto"/>
                    <w:right w:val="single" w:sz="4" w:space="0" w:color="auto"/>
                  </w:tcBorders>
                  <w:shd w:val="clear" w:color="auto" w:fill="auto"/>
                </w:tcPr>
                <w:p w14:paraId="75B956AF" w14:textId="77777777" w:rsidR="00922C2A" w:rsidRPr="00922C2A" w:rsidRDefault="00922C2A" w:rsidP="006F49C9">
                  <w:pPr>
                    <w:jc w:val="left"/>
                    <w:rPr>
                      <w:noProof/>
                      <w:sz w:val="18"/>
                      <w:szCs w:val="14"/>
                    </w:rPr>
                  </w:pPr>
                  <w:r w:rsidRPr="00922C2A">
                    <w:rPr>
                      <w:noProof/>
                      <w:sz w:val="18"/>
                    </w:rPr>
                    <w:t>Statut de la plus haute importance nationale pour les projets stratégiques</w:t>
                  </w:r>
                </w:p>
              </w:tc>
              <w:tc>
                <w:tcPr>
                  <w:tcW w:w="2029" w:type="dxa"/>
                  <w:tcBorders>
                    <w:top w:val="single" w:sz="4" w:space="0" w:color="auto"/>
                    <w:left w:val="single" w:sz="4" w:space="0" w:color="auto"/>
                    <w:bottom w:val="single" w:sz="4" w:space="0" w:color="auto"/>
                    <w:right w:val="single" w:sz="4" w:space="0" w:color="auto"/>
                  </w:tcBorders>
                  <w:shd w:val="clear" w:color="auto" w:fill="auto"/>
                </w:tcPr>
                <w:p w14:paraId="623F633F" w14:textId="77777777" w:rsidR="00922C2A" w:rsidRPr="00922C2A" w:rsidRDefault="00922C2A" w:rsidP="006F49C9">
                  <w:pPr>
                    <w:jc w:val="left"/>
                    <w:rPr>
                      <w:noProof/>
                      <w:sz w:val="18"/>
                      <w:szCs w:val="14"/>
                    </w:rPr>
                  </w:pPr>
                  <w:r w:rsidRPr="00922C2A">
                    <w:rPr>
                      <w:noProof/>
                      <w:sz w:val="18"/>
                    </w:rPr>
                    <w:t>Article 9</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34CF427A" w14:textId="77777777" w:rsidR="00922C2A" w:rsidRPr="00922C2A" w:rsidRDefault="00922C2A" w:rsidP="006F49C9">
                  <w:pPr>
                    <w:jc w:val="left"/>
                    <w:rPr>
                      <w:noProof/>
                      <w:sz w:val="18"/>
                      <w:szCs w:val="14"/>
                    </w:rPr>
                  </w:pPr>
                  <w:r w:rsidRPr="00922C2A">
                    <w:rPr>
                      <w:noProof/>
                      <w:sz w:val="18"/>
                    </w:rPr>
                    <w:t>Autorités nationales</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0E360CF4" w14:textId="77777777" w:rsidR="00922C2A" w:rsidRPr="00922C2A" w:rsidRDefault="00922C2A" w:rsidP="006F49C9">
                  <w:pPr>
                    <w:jc w:val="left"/>
                    <w:rPr>
                      <w:noProof/>
                      <w:sz w:val="18"/>
                      <w:szCs w:val="14"/>
                    </w:rPr>
                  </w:pPr>
                  <w:r w:rsidRPr="00922C2A">
                    <w:rPr>
                      <w:noProof/>
                      <w:sz w:val="18"/>
                    </w:rPr>
                    <w:t>Promoteur du projet stratégique</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4A9B9CD2" w14:textId="77777777" w:rsidR="00922C2A" w:rsidRPr="00922C2A" w:rsidRDefault="00922C2A" w:rsidP="006F49C9">
                  <w:pPr>
                    <w:jc w:val="left"/>
                    <w:rPr>
                      <w:noProof/>
                      <w:sz w:val="18"/>
                      <w:szCs w:val="14"/>
                    </w:rPr>
                  </w:pPr>
                  <w:r w:rsidRPr="00922C2A">
                    <w:rPr>
                      <w:noProof/>
                      <w:sz w:val="18"/>
                    </w:rPr>
                    <w:t>Aucun délai n’a été fixé</w:t>
                  </w: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4EDBF643" w14:textId="77777777" w:rsidR="00922C2A" w:rsidRPr="00922C2A" w:rsidRDefault="00922C2A" w:rsidP="006F49C9">
                  <w:pPr>
                    <w:jc w:val="left"/>
                    <w:rPr>
                      <w:noProof/>
                      <w:sz w:val="18"/>
                      <w:szCs w:val="14"/>
                    </w:rPr>
                  </w:pPr>
                </w:p>
              </w:tc>
            </w:tr>
            <w:tr w:rsidR="00922C2A" w:rsidRPr="00922C2A" w14:paraId="7F302E7A" w14:textId="77777777" w:rsidTr="006F49C9">
              <w:trPr>
                <w:trHeight w:val="300"/>
              </w:trPr>
              <w:tc>
                <w:tcPr>
                  <w:tcW w:w="1526" w:type="dxa"/>
                  <w:tcBorders>
                    <w:top w:val="single" w:sz="4" w:space="0" w:color="auto"/>
                    <w:left w:val="single" w:sz="4" w:space="0" w:color="auto"/>
                    <w:bottom w:val="single" w:sz="4" w:space="0" w:color="auto"/>
                    <w:right w:val="single" w:sz="4" w:space="0" w:color="auto"/>
                  </w:tcBorders>
                  <w:shd w:val="clear" w:color="auto" w:fill="auto"/>
                </w:tcPr>
                <w:p w14:paraId="2FEB0344" w14:textId="77777777" w:rsidR="00922C2A" w:rsidRPr="00922C2A" w:rsidRDefault="00922C2A" w:rsidP="006F49C9">
                  <w:pPr>
                    <w:jc w:val="left"/>
                    <w:rPr>
                      <w:noProof/>
                      <w:sz w:val="18"/>
                      <w:szCs w:val="14"/>
                    </w:rPr>
                  </w:pPr>
                  <w:r w:rsidRPr="00922C2A">
                    <w:rPr>
                      <w:noProof/>
                      <w:sz w:val="18"/>
                    </w:rPr>
                    <w:t>Évaluation environnementale combinée</w:t>
                  </w:r>
                </w:p>
              </w:tc>
              <w:tc>
                <w:tcPr>
                  <w:tcW w:w="2029" w:type="dxa"/>
                  <w:tcBorders>
                    <w:top w:val="single" w:sz="4" w:space="0" w:color="auto"/>
                    <w:left w:val="single" w:sz="4" w:space="0" w:color="auto"/>
                    <w:bottom w:val="single" w:sz="4" w:space="0" w:color="auto"/>
                    <w:right w:val="single" w:sz="4" w:space="0" w:color="auto"/>
                  </w:tcBorders>
                  <w:shd w:val="clear" w:color="auto" w:fill="auto"/>
                </w:tcPr>
                <w:p w14:paraId="65E914F4" w14:textId="77777777" w:rsidR="00922C2A" w:rsidRPr="00922C2A" w:rsidRDefault="00922C2A" w:rsidP="006F49C9">
                  <w:pPr>
                    <w:jc w:val="left"/>
                    <w:rPr>
                      <w:noProof/>
                      <w:sz w:val="18"/>
                      <w:szCs w:val="14"/>
                    </w:rPr>
                  </w:pPr>
                  <w:r w:rsidRPr="00922C2A">
                    <w:rPr>
                      <w:noProof/>
                      <w:sz w:val="18"/>
                    </w:rPr>
                    <w:t>Article 12</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39D5B8E5" w14:textId="77777777" w:rsidR="00922C2A" w:rsidRPr="00922C2A" w:rsidRDefault="00922C2A" w:rsidP="006F49C9">
                  <w:pPr>
                    <w:jc w:val="left"/>
                    <w:rPr>
                      <w:noProof/>
                      <w:sz w:val="18"/>
                      <w:szCs w:val="14"/>
                    </w:rPr>
                  </w:pPr>
                  <w:r w:rsidRPr="00922C2A">
                    <w:rPr>
                      <w:noProof/>
                      <w:sz w:val="18"/>
                    </w:rPr>
                    <w:t>Autorité compétente</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57230461" w14:textId="77777777" w:rsidR="00922C2A" w:rsidRPr="00922C2A" w:rsidRDefault="00922C2A" w:rsidP="006F49C9">
                  <w:pPr>
                    <w:jc w:val="left"/>
                    <w:rPr>
                      <w:noProof/>
                      <w:sz w:val="18"/>
                      <w:szCs w:val="14"/>
                    </w:rPr>
                  </w:pPr>
                  <w:r w:rsidRPr="00922C2A">
                    <w:rPr>
                      <w:noProof/>
                      <w:sz w:val="18"/>
                    </w:rPr>
                    <w:t>Promoteur du projet stratégique</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756BD93F" w14:textId="77777777" w:rsidR="00922C2A" w:rsidRPr="00922C2A" w:rsidRDefault="00922C2A" w:rsidP="006F49C9">
                  <w:pPr>
                    <w:jc w:val="left"/>
                    <w:rPr>
                      <w:noProof/>
                      <w:sz w:val="18"/>
                      <w:szCs w:val="14"/>
                    </w:rPr>
                  </w:pPr>
                  <w:r w:rsidRPr="00922C2A">
                    <w:rPr>
                      <w:noProof/>
                      <w:sz w:val="18"/>
                    </w:rPr>
                    <w:t>Dans les 45 jours suivant la réception de toutes les informations nécessaires et sous réserve des exceptions</w:t>
                  </w: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457A4830" w14:textId="77777777" w:rsidR="00922C2A" w:rsidRPr="00922C2A" w:rsidRDefault="00922C2A" w:rsidP="006F49C9">
                  <w:pPr>
                    <w:jc w:val="left"/>
                    <w:rPr>
                      <w:noProof/>
                      <w:sz w:val="18"/>
                      <w:szCs w:val="14"/>
                    </w:rPr>
                  </w:pPr>
                </w:p>
              </w:tc>
            </w:tr>
            <w:tr w:rsidR="00922C2A" w:rsidRPr="00922C2A" w14:paraId="7EB96D54" w14:textId="77777777" w:rsidTr="006F49C9">
              <w:trPr>
                <w:trHeight w:val="300"/>
              </w:trPr>
              <w:tc>
                <w:tcPr>
                  <w:tcW w:w="1526" w:type="dxa"/>
                  <w:tcBorders>
                    <w:top w:val="single" w:sz="4" w:space="0" w:color="auto"/>
                    <w:left w:val="single" w:sz="4" w:space="0" w:color="auto"/>
                    <w:bottom w:val="single" w:sz="4" w:space="0" w:color="auto"/>
                    <w:right w:val="single" w:sz="4" w:space="0" w:color="auto"/>
                  </w:tcBorders>
                  <w:shd w:val="clear" w:color="auto" w:fill="auto"/>
                </w:tcPr>
                <w:p w14:paraId="767404BD" w14:textId="77777777" w:rsidR="00922C2A" w:rsidRPr="00922C2A" w:rsidRDefault="00922C2A" w:rsidP="006F49C9">
                  <w:pPr>
                    <w:jc w:val="left"/>
                    <w:rPr>
                      <w:noProof/>
                      <w:sz w:val="18"/>
                      <w:szCs w:val="14"/>
                    </w:rPr>
                  </w:pPr>
                  <w:r w:rsidRPr="00922C2A">
                    <w:rPr>
                      <w:noProof/>
                      <w:sz w:val="18"/>
                    </w:rPr>
                    <w:t>Données d’aménagement du territoire</w:t>
                  </w:r>
                </w:p>
              </w:tc>
              <w:tc>
                <w:tcPr>
                  <w:tcW w:w="2029" w:type="dxa"/>
                  <w:tcBorders>
                    <w:top w:val="single" w:sz="4" w:space="0" w:color="auto"/>
                    <w:left w:val="single" w:sz="4" w:space="0" w:color="auto"/>
                    <w:bottom w:val="single" w:sz="4" w:space="0" w:color="auto"/>
                    <w:right w:val="single" w:sz="4" w:space="0" w:color="auto"/>
                  </w:tcBorders>
                  <w:shd w:val="clear" w:color="auto" w:fill="auto"/>
                </w:tcPr>
                <w:p w14:paraId="5BE6C1C4" w14:textId="77777777" w:rsidR="00922C2A" w:rsidRPr="00922C2A" w:rsidRDefault="00922C2A" w:rsidP="006F49C9">
                  <w:pPr>
                    <w:jc w:val="left"/>
                    <w:rPr>
                      <w:noProof/>
                      <w:sz w:val="18"/>
                      <w:szCs w:val="14"/>
                    </w:rPr>
                  </w:pPr>
                  <w:r w:rsidRPr="00922C2A">
                    <w:rPr>
                      <w:noProof/>
                      <w:sz w:val="18"/>
                    </w:rPr>
                    <w:t>Article 13, paragraphe 1</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3EA466D4" w14:textId="77777777" w:rsidR="00922C2A" w:rsidRPr="00922C2A" w:rsidRDefault="00922C2A" w:rsidP="006F49C9">
                  <w:pPr>
                    <w:jc w:val="left"/>
                    <w:rPr>
                      <w:noProof/>
                      <w:sz w:val="18"/>
                      <w:szCs w:val="14"/>
                    </w:rPr>
                  </w:pPr>
                  <w:r w:rsidRPr="00922C2A">
                    <w:rPr>
                      <w:noProof/>
                      <w:sz w:val="18"/>
                    </w:rPr>
                    <w:t>États membres</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440998B3" w14:textId="77777777" w:rsidR="00922C2A" w:rsidRPr="00922C2A" w:rsidRDefault="00922C2A" w:rsidP="006F49C9">
                  <w:pPr>
                    <w:jc w:val="left"/>
                    <w:rPr>
                      <w:noProof/>
                      <w:sz w:val="18"/>
                      <w:szCs w:val="14"/>
                    </w:rPr>
                  </w:pPr>
                  <w:r w:rsidRPr="00922C2A">
                    <w:rPr>
                      <w:noProof/>
                      <w:sz w:val="18"/>
                    </w:rPr>
                    <w:t>Grand public</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3F33E205" w14:textId="77777777" w:rsidR="00922C2A" w:rsidRPr="00922C2A" w:rsidRDefault="00922C2A" w:rsidP="006F49C9">
                  <w:pPr>
                    <w:jc w:val="left"/>
                    <w:rPr>
                      <w:noProof/>
                      <w:sz w:val="18"/>
                      <w:szCs w:val="14"/>
                    </w:rPr>
                  </w:pP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4472AF3C" w14:textId="77777777" w:rsidR="00922C2A" w:rsidRPr="00922C2A" w:rsidRDefault="00922C2A" w:rsidP="006F49C9">
                  <w:pPr>
                    <w:jc w:val="left"/>
                    <w:rPr>
                      <w:noProof/>
                      <w:sz w:val="18"/>
                      <w:szCs w:val="14"/>
                    </w:rPr>
                  </w:pPr>
                </w:p>
              </w:tc>
            </w:tr>
            <w:tr w:rsidR="00922C2A" w:rsidRPr="00922C2A" w14:paraId="0927B14E" w14:textId="77777777" w:rsidTr="006F49C9">
              <w:trPr>
                <w:trHeight w:val="300"/>
              </w:trPr>
              <w:tc>
                <w:tcPr>
                  <w:tcW w:w="1526" w:type="dxa"/>
                  <w:tcBorders>
                    <w:top w:val="single" w:sz="4" w:space="0" w:color="auto"/>
                    <w:left w:val="single" w:sz="4" w:space="0" w:color="auto"/>
                    <w:bottom w:val="single" w:sz="4" w:space="0" w:color="auto"/>
                    <w:right w:val="single" w:sz="4" w:space="0" w:color="auto"/>
                  </w:tcBorders>
                  <w:shd w:val="clear" w:color="auto" w:fill="auto"/>
                </w:tcPr>
                <w:p w14:paraId="2AA43C3C" w14:textId="77777777" w:rsidR="00922C2A" w:rsidRPr="00922C2A" w:rsidRDefault="00922C2A" w:rsidP="006F49C9">
                  <w:pPr>
                    <w:jc w:val="left"/>
                    <w:rPr>
                      <w:noProof/>
                      <w:sz w:val="18"/>
                      <w:szCs w:val="14"/>
                    </w:rPr>
                  </w:pPr>
                  <w:r w:rsidRPr="00922C2A">
                    <w:rPr>
                      <w:noProof/>
                      <w:sz w:val="20"/>
                    </w:rPr>
                    <w:t>Évaluations urbanistiques combinées</w:t>
                  </w:r>
                </w:p>
              </w:tc>
              <w:tc>
                <w:tcPr>
                  <w:tcW w:w="2029" w:type="dxa"/>
                  <w:tcBorders>
                    <w:top w:val="single" w:sz="4" w:space="0" w:color="auto"/>
                    <w:left w:val="single" w:sz="4" w:space="0" w:color="auto"/>
                    <w:bottom w:val="single" w:sz="4" w:space="0" w:color="auto"/>
                    <w:right w:val="single" w:sz="4" w:space="0" w:color="auto"/>
                  </w:tcBorders>
                  <w:shd w:val="clear" w:color="auto" w:fill="auto"/>
                </w:tcPr>
                <w:p w14:paraId="79A78211" w14:textId="77777777" w:rsidR="00922C2A" w:rsidRPr="00922C2A" w:rsidRDefault="00922C2A" w:rsidP="006F49C9">
                  <w:pPr>
                    <w:jc w:val="left"/>
                    <w:rPr>
                      <w:noProof/>
                      <w:sz w:val="18"/>
                      <w:szCs w:val="14"/>
                    </w:rPr>
                  </w:pPr>
                  <w:r w:rsidRPr="00922C2A">
                    <w:rPr>
                      <w:noProof/>
                      <w:sz w:val="18"/>
                    </w:rPr>
                    <w:t>Article 13, paragraphe 2</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2A35AFD4" w14:textId="77777777" w:rsidR="00922C2A" w:rsidRPr="00922C2A" w:rsidRDefault="00922C2A" w:rsidP="006F49C9">
                  <w:pPr>
                    <w:jc w:val="left"/>
                    <w:rPr>
                      <w:noProof/>
                      <w:sz w:val="18"/>
                      <w:szCs w:val="14"/>
                    </w:rPr>
                  </w:pPr>
                  <w:r w:rsidRPr="00922C2A">
                    <w:rPr>
                      <w:noProof/>
                      <w:sz w:val="18"/>
                    </w:rPr>
                    <w:t>Autorités compétentes des États membres</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68A70FFC" w14:textId="77777777" w:rsidR="00922C2A" w:rsidRPr="00922C2A" w:rsidRDefault="00922C2A" w:rsidP="006F49C9">
                  <w:pPr>
                    <w:jc w:val="left"/>
                    <w:rPr>
                      <w:noProof/>
                      <w:sz w:val="18"/>
                      <w:szCs w:val="14"/>
                    </w:rPr>
                  </w:pPr>
                  <w:r w:rsidRPr="00922C2A">
                    <w:rPr>
                      <w:noProof/>
                      <w:sz w:val="18"/>
                    </w:rPr>
                    <w:t>Promoteur du projet stratégique</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6C1D2AAF" w14:textId="77777777" w:rsidR="00922C2A" w:rsidRPr="00922C2A" w:rsidRDefault="00922C2A" w:rsidP="006F49C9">
                  <w:pPr>
                    <w:jc w:val="left"/>
                    <w:rPr>
                      <w:noProof/>
                      <w:sz w:val="18"/>
                      <w:szCs w:val="14"/>
                    </w:rPr>
                  </w:pPr>
                  <w:r w:rsidRPr="00922C2A">
                    <w:rPr>
                      <w:noProof/>
                      <w:sz w:val="18"/>
                    </w:rPr>
                    <w:t>Aucun délai n’a été fixé</w:t>
                  </w: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35FB6A3F" w14:textId="77777777" w:rsidR="00922C2A" w:rsidRPr="00922C2A" w:rsidRDefault="00922C2A" w:rsidP="006F49C9">
                  <w:pPr>
                    <w:jc w:val="left"/>
                    <w:rPr>
                      <w:noProof/>
                      <w:sz w:val="18"/>
                      <w:szCs w:val="14"/>
                    </w:rPr>
                  </w:pPr>
                </w:p>
              </w:tc>
            </w:tr>
            <w:tr w:rsidR="00922C2A" w:rsidRPr="00922C2A" w14:paraId="38F824E2" w14:textId="77777777" w:rsidTr="006F49C9">
              <w:trPr>
                <w:trHeight w:val="300"/>
              </w:trPr>
              <w:tc>
                <w:tcPr>
                  <w:tcW w:w="1526" w:type="dxa"/>
                  <w:tcBorders>
                    <w:top w:val="single" w:sz="4" w:space="0" w:color="auto"/>
                    <w:left w:val="single" w:sz="4" w:space="0" w:color="auto"/>
                    <w:bottom w:val="single" w:sz="4" w:space="0" w:color="auto"/>
                    <w:right w:val="single" w:sz="4" w:space="0" w:color="auto"/>
                  </w:tcBorders>
                  <w:shd w:val="clear" w:color="auto" w:fill="auto"/>
                </w:tcPr>
                <w:p w14:paraId="52C9BC93" w14:textId="77777777" w:rsidR="00922C2A" w:rsidRPr="00922C2A" w:rsidRDefault="00922C2A" w:rsidP="006F49C9">
                  <w:pPr>
                    <w:jc w:val="left"/>
                    <w:rPr>
                      <w:noProof/>
                      <w:sz w:val="20"/>
                      <w:szCs w:val="16"/>
                    </w:rPr>
                  </w:pPr>
                  <w:r w:rsidRPr="00922C2A">
                    <w:rPr>
                      <w:noProof/>
                      <w:sz w:val="20"/>
                    </w:rPr>
                    <w:t>Demande d’évaluation de la capacité des projets stratégiques à remédier à la vulnérabilité</w:t>
                  </w:r>
                </w:p>
              </w:tc>
              <w:tc>
                <w:tcPr>
                  <w:tcW w:w="2029" w:type="dxa"/>
                  <w:tcBorders>
                    <w:top w:val="single" w:sz="4" w:space="0" w:color="auto"/>
                    <w:left w:val="single" w:sz="4" w:space="0" w:color="auto"/>
                    <w:bottom w:val="single" w:sz="4" w:space="0" w:color="auto"/>
                    <w:right w:val="single" w:sz="4" w:space="0" w:color="auto"/>
                  </w:tcBorders>
                  <w:shd w:val="clear" w:color="auto" w:fill="auto"/>
                </w:tcPr>
                <w:p w14:paraId="205438EF" w14:textId="77777777" w:rsidR="00922C2A" w:rsidRPr="00922C2A" w:rsidRDefault="00922C2A" w:rsidP="006F49C9">
                  <w:pPr>
                    <w:jc w:val="left"/>
                    <w:rPr>
                      <w:noProof/>
                      <w:sz w:val="18"/>
                      <w:szCs w:val="14"/>
                    </w:rPr>
                  </w:pPr>
                  <w:r w:rsidRPr="00922C2A">
                    <w:rPr>
                      <w:noProof/>
                      <w:sz w:val="18"/>
                    </w:rPr>
                    <w:t>Article 16, paragraphe 2</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5A18E105" w14:textId="77777777" w:rsidR="00922C2A" w:rsidRPr="00922C2A" w:rsidRDefault="00922C2A" w:rsidP="006F49C9">
                  <w:pPr>
                    <w:jc w:val="left"/>
                    <w:rPr>
                      <w:noProof/>
                      <w:sz w:val="18"/>
                      <w:szCs w:val="14"/>
                    </w:rPr>
                  </w:pPr>
                  <w:r w:rsidRPr="00922C2A">
                    <w:rPr>
                      <w:noProof/>
                      <w:sz w:val="18"/>
                    </w:rPr>
                    <w:t>Promoteur du projet stratégique</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077D5F80" w14:textId="77777777" w:rsidR="00922C2A" w:rsidRPr="00922C2A" w:rsidRDefault="00922C2A" w:rsidP="006F49C9">
                  <w:pPr>
                    <w:jc w:val="left"/>
                    <w:rPr>
                      <w:noProof/>
                      <w:sz w:val="18"/>
                      <w:szCs w:val="14"/>
                    </w:rPr>
                  </w:pPr>
                  <w:r w:rsidRPr="00922C2A">
                    <w:rPr>
                      <w:noProof/>
                      <w:sz w:val="18"/>
                    </w:rPr>
                    <w:t>Autorité désignée</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6FC56D71" w14:textId="77777777" w:rsidR="00922C2A" w:rsidRPr="00922C2A" w:rsidRDefault="00922C2A" w:rsidP="006F49C9">
                  <w:pPr>
                    <w:jc w:val="left"/>
                    <w:rPr>
                      <w:noProof/>
                      <w:sz w:val="18"/>
                      <w:szCs w:val="14"/>
                    </w:rPr>
                  </w:pPr>
                  <w:r w:rsidRPr="00922C2A">
                    <w:rPr>
                      <w:noProof/>
                      <w:sz w:val="18"/>
                    </w:rPr>
                    <w:t>À l’initiative du promoteur du projet</w:t>
                  </w: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04046DE2" w14:textId="77777777" w:rsidR="00922C2A" w:rsidRPr="00922C2A" w:rsidRDefault="00922C2A" w:rsidP="006F49C9">
                  <w:pPr>
                    <w:jc w:val="left"/>
                    <w:rPr>
                      <w:noProof/>
                      <w:sz w:val="18"/>
                      <w:szCs w:val="14"/>
                    </w:rPr>
                  </w:pPr>
                </w:p>
              </w:tc>
            </w:tr>
            <w:tr w:rsidR="00922C2A" w:rsidRPr="00922C2A" w14:paraId="50C80CDB" w14:textId="77777777" w:rsidTr="006F49C9">
              <w:trPr>
                <w:trHeight w:val="300"/>
              </w:trPr>
              <w:tc>
                <w:tcPr>
                  <w:tcW w:w="1526" w:type="dxa"/>
                  <w:tcBorders>
                    <w:top w:val="single" w:sz="4" w:space="0" w:color="auto"/>
                    <w:left w:val="single" w:sz="4" w:space="0" w:color="auto"/>
                    <w:bottom w:val="single" w:sz="4" w:space="0" w:color="auto"/>
                    <w:right w:val="single" w:sz="4" w:space="0" w:color="auto"/>
                  </w:tcBorders>
                  <w:shd w:val="clear" w:color="auto" w:fill="auto"/>
                </w:tcPr>
                <w:p w14:paraId="22ABCB45" w14:textId="77777777" w:rsidR="00922C2A" w:rsidRPr="00922C2A" w:rsidRDefault="00922C2A" w:rsidP="006F49C9">
                  <w:pPr>
                    <w:jc w:val="left"/>
                    <w:rPr>
                      <w:noProof/>
                      <w:sz w:val="20"/>
                      <w:szCs w:val="16"/>
                    </w:rPr>
                  </w:pPr>
                  <w:r w:rsidRPr="00922C2A">
                    <w:rPr>
                      <w:noProof/>
                      <w:sz w:val="20"/>
                    </w:rPr>
                    <w:t>Évaluation de la capacité des projets stratégiques à remédier à la vulnérabilité</w:t>
                  </w:r>
                </w:p>
              </w:tc>
              <w:tc>
                <w:tcPr>
                  <w:tcW w:w="2029" w:type="dxa"/>
                  <w:tcBorders>
                    <w:top w:val="single" w:sz="4" w:space="0" w:color="auto"/>
                    <w:left w:val="single" w:sz="4" w:space="0" w:color="auto"/>
                    <w:bottom w:val="single" w:sz="4" w:space="0" w:color="auto"/>
                    <w:right w:val="single" w:sz="4" w:space="0" w:color="auto"/>
                  </w:tcBorders>
                  <w:shd w:val="clear" w:color="auto" w:fill="auto"/>
                </w:tcPr>
                <w:p w14:paraId="33A1CF63" w14:textId="77777777" w:rsidR="00922C2A" w:rsidRPr="00922C2A" w:rsidRDefault="00922C2A" w:rsidP="006F49C9">
                  <w:pPr>
                    <w:jc w:val="left"/>
                    <w:rPr>
                      <w:noProof/>
                      <w:sz w:val="18"/>
                      <w:szCs w:val="14"/>
                    </w:rPr>
                  </w:pPr>
                  <w:r w:rsidRPr="00922C2A">
                    <w:rPr>
                      <w:noProof/>
                      <w:sz w:val="18"/>
                    </w:rPr>
                    <w:t>Article 16, paragraphe 2</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619DE114" w14:textId="77777777" w:rsidR="00922C2A" w:rsidRPr="00922C2A" w:rsidRDefault="00922C2A" w:rsidP="006F49C9">
                  <w:pPr>
                    <w:jc w:val="left"/>
                    <w:rPr>
                      <w:noProof/>
                      <w:sz w:val="18"/>
                      <w:szCs w:val="14"/>
                    </w:rPr>
                  </w:pPr>
                  <w:r w:rsidRPr="00922C2A">
                    <w:rPr>
                      <w:noProof/>
                      <w:sz w:val="18"/>
                    </w:rPr>
                    <w:t>Autorité désignée</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00D0AD7D" w14:textId="77777777" w:rsidR="00922C2A" w:rsidRPr="00922C2A" w:rsidRDefault="00922C2A" w:rsidP="006F49C9">
                  <w:pPr>
                    <w:jc w:val="left"/>
                    <w:rPr>
                      <w:noProof/>
                      <w:sz w:val="18"/>
                      <w:szCs w:val="14"/>
                    </w:rPr>
                  </w:pPr>
                  <w:r w:rsidRPr="00922C2A">
                    <w:rPr>
                      <w:noProof/>
                      <w:sz w:val="18"/>
                    </w:rPr>
                    <w:t>Promoteur du projet stratégique</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609C3321" w14:textId="77777777" w:rsidR="00922C2A" w:rsidRPr="00922C2A" w:rsidRDefault="00922C2A" w:rsidP="006F49C9">
                  <w:pPr>
                    <w:jc w:val="left"/>
                    <w:rPr>
                      <w:noProof/>
                      <w:sz w:val="18"/>
                      <w:szCs w:val="14"/>
                    </w:rPr>
                  </w:pPr>
                  <w:r w:rsidRPr="00922C2A">
                    <w:rPr>
                      <w:noProof/>
                      <w:sz w:val="18"/>
                    </w:rPr>
                    <w:t xml:space="preserve">Dans les 15 jours ouvrables </w:t>
                  </w: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636264F6" w14:textId="77777777" w:rsidR="00922C2A" w:rsidRPr="00922C2A" w:rsidRDefault="00922C2A" w:rsidP="006F49C9">
                  <w:pPr>
                    <w:jc w:val="left"/>
                    <w:rPr>
                      <w:noProof/>
                      <w:sz w:val="18"/>
                      <w:szCs w:val="14"/>
                    </w:rPr>
                  </w:pPr>
                </w:p>
              </w:tc>
            </w:tr>
            <w:tr w:rsidR="00922C2A" w:rsidRPr="00922C2A" w14:paraId="6DB7484E" w14:textId="77777777" w:rsidTr="006F49C9">
              <w:trPr>
                <w:trHeight w:val="300"/>
              </w:trPr>
              <w:tc>
                <w:tcPr>
                  <w:tcW w:w="1526" w:type="dxa"/>
                  <w:tcBorders>
                    <w:top w:val="single" w:sz="4" w:space="0" w:color="auto"/>
                    <w:left w:val="single" w:sz="4" w:space="0" w:color="auto"/>
                    <w:bottom w:val="single" w:sz="4" w:space="0" w:color="auto"/>
                    <w:right w:val="single" w:sz="4" w:space="0" w:color="auto"/>
                  </w:tcBorders>
                  <w:shd w:val="clear" w:color="auto" w:fill="auto"/>
                </w:tcPr>
                <w:p w14:paraId="25A1FF15" w14:textId="77777777" w:rsidR="00922C2A" w:rsidRPr="00922C2A" w:rsidRDefault="00922C2A" w:rsidP="006F49C9">
                  <w:pPr>
                    <w:jc w:val="left"/>
                    <w:rPr>
                      <w:noProof/>
                      <w:sz w:val="20"/>
                      <w:szCs w:val="16"/>
                    </w:rPr>
                  </w:pPr>
                  <w:r w:rsidRPr="00922C2A">
                    <w:rPr>
                      <w:noProof/>
                      <w:sz w:val="20"/>
                    </w:rPr>
                    <w:t>Évaluation de la capacité des projets stratégiques à remédier à la vulnérabilité</w:t>
                  </w:r>
                </w:p>
              </w:tc>
              <w:tc>
                <w:tcPr>
                  <w:tcW w:w="2029" w:type="dxa"/>
                  <w:tcBorders>
                    <w:top w:val="single" w:sz="4" w:space="0" w:color="auto"/>
                    <w:left w:val="single" w:sz="4" w:space="0" w:color="auto"/>
                    <w:bottom w:val="single" w:sz="4" w:space="0" w:color="auto"/>
                    <w:right w:val="single" w:sz="4" w:space="0" w:color="auto"/>
                  </w:tcBorders>
                  <w:shd w:val="clear" w:color="auto" w:fill="auto"/>
                </w:tcPr>
                <w:p w14:paraId="52C39415" w14:textId="77777777" w:rsidR="00922C2A" w:rsidRPr="00922C2A" w:rsidRDefault="00922C2A" w:rsidP="006F49C9">
                  <w:pPr>
                    <w:jc w:val="left"/>
                    <w:rPr>
                      <w:noProof/>
                      <w:sz w:val="18"/>
                      <w:szCs w:val="14"/>
                    </w:rPr>
                  </w:pPr>
                  <w:r w:rsidRPr="00922C2A">
                    <w:rPr>
                      <w:noProof/>
                      <w:sz w:val="18"/>
                    </w:rPr>
                    <w:t>Article 16, paragraphe 2</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3414C019" w14:textId="77777777" w:rsidR="00922C2A" w:rsidRPr="00922C2A" w:rsidRDefault="00922C2A" w:rsidP="006F49C9">
                  <w:pPr>
                    <w:jc w:val="left"/>
                    <w:rPr>
                      <w:noProof/>
                      <w:sz w:val="18"/>
                      <w:szCs w:val="14"/>
                    </w:rPr>
                  </w:pPr>
                  <w:r w:rsidRPr="00922C2A">
                    <w:rPr>
                      <w:noProof/>
                      <w:sz w:val="18"/>
                    </w:rPr>
                    <w:t>Autorité désignée</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1B1A4A16" w14:textId="77777777" w:rsidR="00922C2A" w:rsidRPr="00922C2A" w:rsidRDefault="00922C2A" w:rsidP="006F49C9">
                  <w:pPr>
                    <w:jc w:val="left"/>
                    <w:rPr>
                      <w:noProof/>
                      <w:sz w:val="18"/>
                      <w:szCs w:val="14"/>
                    </w:rPr>
                  </w:pPr>
                  <w:r w:rsidRPr="00922C2A">
                    <w:rPr>
                      <w:noProof/>
                      <w:sz w:val="18"/>
                    </w:rPr>
                    <w:t>Commission</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5A990103" w14:textId="77777777" w:rsidR="00922C2A" w:rsidRPr="00922C2A" w:rsidRDefault="00922C2A" w:rsidP="006F49C9">
                  <w:pPr>
                    <w:jc w:val="left"/>
                    <w:rPr>
                      <w:noProof/>
                      <w:sz w:val="18"/>
                      <w:szCs w:val="14"/>
                    </w:rPr>
                  </w:pPr>
                  <w:r w:rsidRPr="00922C2A">
                    <w:rPr>
                      <w:noProof/>
                      <w:sz w:val="18"/>
                    </w:rPr>
                    <w:t>Si le projet stratégique remédie à une vulnérabilité existante dans la chaîne d’approvisionnement.</w:t>
                  </w:r>
                </w:p>
                <w:p w14:paraId="3AC8B3D2" w14:textId="77777777" w:rsidR="00922C2A" w:rsidRPr="00922C2A" w:rsidRDefault="00922C2A" w:rsidP="006F49C9">
                  <w:pPr>
                    <w:jc w:val="left"/>
                    <w:rPr>
                      <w:noProof/>
                      <w:sz w:val="18"/>
                      <w:szCs w:val="14"/>
                    </w:rPr>
                  </w:pPr>
                  <w:r w:rsidRPr="00922C2A">
                    <w:rPr>
                      <w:noProof/>
                      <w:sz w:val="18"/>
                    </w:rPr>
                    <w:t>Aucun délai n’a été fixé</w:t>
                  </w: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40A75010" w14:textId="77777777" w:rsidR="00922C2A" w:rsidRPr="00922C2A" w:rsidRDefault="00922C2A" w:rsidP="006F49C9">
                  <w:pPr>
                    <w:jc w:val="left"/>
                    <w:rPr>
                      <w:noProof/>
                      <w:sz w:val="18"/>
                      <w:szCs w:val="14"/>
                    </w:rPr>
                  </w:pPr>
                </w:p>
              </w:tc>
            </w:tr>
            <w:tr w:rsidR="00922C2A" w:rsidRPr="00922C2A" w14:paraId="420E0CA4" w14:textId="77777777" w:rsidTr="006F49C9">
              <w:trPr>
                <w:trHeight w:val="300"/>
              </w:trPr>
              <w:tc>
                <w:tcPr>
                  <w:tcW w:w="1526" w:type="dxa"/>
                  <w:tcBorders>
                    <w:top w:val="single" w:sz="4" w:space="0" w:color="auto"/>
                    <w:left w:val="single" w:sz="4" w:space="0" w:color="auto"/>
                    <w:bottom w:val="single" w:sz="4" w:space="0" w:color="auto"/>
                    <w:right w:val="single" w:sz="4" w:space="0" w:color="auto"/>
                  </w:tcBorders>
                  <w:shd w:val="clear" w:color="auto" w:fill="auto"/>
                </w:tcPr>
                <w:p w14:paraId="2B5DD804" w14:textId="77777777" w:rsidR="00922C2A" w:rsidRPr="00922C2A" w:rsidRDefault="00922C2A" w:rsidP="006F49C9">
                  <w:pPr>
                    <w:jc w:val="left"/>
                    <w:rPr>
                      <w:noProof/>
                      <w:sz w:val="20"/>
                      <w:szCs w:val="16"/>
                    </w:rPr>
                  </w:pPr>
                  <w:r w:rsidRPr="00922C2A">
                    <w:rPr>
                      <w:noProof/>
                      <w:sz w:val="20"/>
                    </w:rPr>
                    <w:t>Programmes nationaux</w:t>
                  </w:r>
                </w:p>
              </w:tc>
              <w:tc>
                <w:tcPr>
                  <w:tcW w:w="2029" w:type="dxa"/>
                  <w:tcBorders>
                    <w:top w:val="single" w:sz="4" w:space="0" w:color="auto"/>
                    <w:left w:val="single" w:sz="4" w:space="0" w:color="auto"/>
                    <w:bottom w:val="single" w:sz="4" w:space="0" w:color="auto"/>
                    <w:right w:val="single" w:sz="4" w:space="0" w:color="auto"/>
                  </w:tcBorders>
                  <w:shd w:val="clear" w:color="auto" w:fill="auto"/>
                </w:tcPr>
                <w:p w14:paraId="4A34D8B6" w14:textId="77777777" w:rsidR="00922C2A" w:rsidRPr="00922C2A" w:rsidRDefault="00922C2A" w:rsidP="006F49C9">
                  <w:pPr>
                    <w:jc w:val="left"/>
                    <w:rPr>
                      <w:noProof/>
                      <w:sz w:val="18"/>
                      <w:szCs w:val="14"/>
                    </w:rPr>
                  </w:pPr>
                  <w:r w:rsidRPr="00922C2A">
                    <w:rPr>
                      <w:noProof/>
                      <w:sz w:val="18"/>
                    </w:rPr>
                    <w:t>Article 19, paragraphe 2</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686A8DFD" w14:textId="77777777" w:rsidR="00922C2A" w:rsidRPr="00922C2A" w:rsidRDefault="00922C2A" w:rsidP="006F49C9">
                  <w:pPr>
                    <w:jc w:val="left"/>
                    <w:rPr>
                      <w:noProof/>
                      <w:sz w:val="18"/>
                      <w:szCs w:val="14"/>
                    </w:rPr>
                  </w:pPr>
                  <w:r w:rsidRPr="00922C2A">
                    <w:rPr>
                      <w:noProof/>
                      <w:sz w:val="18"/>
                    </w:rPr>
                    <w:t>États membres</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5AD614E0" w14:textId="77777777" w:rsidR="00922C2A" w:rsidRPr="00922C2A" w:rsidRDefault="00922C2A" w:rsidP="006F49C9">
                  <w:pPr>
                    <w:jc w:val="left"/>
                    <w:rPr>
                      <w:noProof/>
                      <w:sz w:val="18"/>
                      <w:szCs w:val="14"/>
                    </w:rPr>
                  </w:pPr>
                  <w:r w:rsidRPr="00922C2A">
                    <w:rPr>
                      <w:noProof/>
                      <w:sz w:val="18"/>
                    </w:rPr>
                    <w:t>Commission</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61EBB9C7" w14:textId="77777777" w:rsidR="00922C2A" w:rsidRPr="00922C2A" w:rsidRDefault="00922C2A" w:rsidP="006F49C9">
                  <w:pPr>
                    <w:jc w:val="left"/>
                    <w:rPr>
                      <w:noProof/>
                      <w:sz w:val="18"/>
                      <w:szCs w:val="14"/>
                    </w:rPr>
                  </w:pPr>
                  <w:r w:rsidRPr="00922C2A">
                    <w:rPr>
                      <w:noProof/>
                      <w:sz w:val="18"/>
                    </w:rPr>
                    <w:t>Dans les 6 mois suivant l’entrée en vigueur du règlement</w:t>
                  </w: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2B42F06B" w14:textId="77777777" w:rsidR="00922C2A" w:rsidRPr="00922C2A" w:rsidRDefault="00922C2A" w:rsidP="006F49C9">
                  <w:pPr>
                    <w:jc w:val="left"/>
                    <w:rPr>
                      <w:noProof/>
                      <w:color w:val="FF0000"/>
                      <w:sz w:val="18"/>
                      <w:szCs w:val="14"/>
                    </w:rPr>
                  </w:pPr>
                </w:p>
              </w:tc>
            </w:tr>
          </w:tbl>
          <w:p w14:paraId="3007CC44" w14:textId="77777777" w:rsidR="00922C2A" w:rsidRPr="00922C2A" w:rsidRDefault="00922C2A" w:rsidP="006F49C9">
            <w:pPr>
              <w:rPr>
                <w:noProof/>
                <w:color w:val="0000FF"/>
              </w:rPr>
            </w:pPr>
          </w:p>
        </w:tc>
      </w:tr>
    </w:tbl>
    <w:p w14:paraId="07EE68BC" w14:textId="77777777" w:rsidR="00922C2A" w:rsidRPr="00922C2A" w:rsidRDefault="00922C2A" w:rsidP="00922C2A">
      <w:pPr>
        <w:pStyle w:val="ManualHeading2"/>
        <w:rPr>
          <w:noProof/>
        </w:rPr>
      </w:pPr>
      <w:bookmarkStart w:id="204" w:name="_Toc167220305"/>
      <w:bookmarkStart w:id="205" w:name="_Toc177549039"/>
      <w:r w:rsidRPr="00922C2A">
        <w:rPr>
          <w:noProof/>
        </w:rPr>
        <w:t>4.3.</w:t>
      </w:r>
      <w:r w:rsidRPr="00922C2A">
        <w:rPr>
          <w:noProof/>
        </w:rPr>
        <w:tab/>
        <w:t>Solutions numériques</w:t>
      </w:r>
      <w:bookmarkEnd w:id="204"/>
      <w:bookmarkEnd w:id="205"/>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922C2A" w:rsidRPr="00922C2A" w14:paraId="5D63EF82" w14:textId="77777777" w:rsidTr="006F49C9">
        <w:tc>
          <w:tcPr>
            <w:tcW w:w="9067" w:type="dxa"/>
          </w:tcPr>
          <w:p w14:paraId="6034AA65" w14:textId="77777777" w:rsidR="00922C2A" w:rsidRPr="00922C2A" w:rsidRDefault="00922C2A" w:rsidP="006F49C9">
            <w:pPr>
              <w:rPr>
                <w:noProof/>
              </w:rPr>
            </w:pPr>
            <w:r w:rsidRPr="00922C2A">
              <w:rPr>
                <w:noProof/>
              </w:rPr>
              <w:t xml:space="preserve">Aucune nouvelle solution numérique n’est prévue. </w:t>
            </w:r>
          </w:p>
          <w:p w14:paraId="5F79C413" w14:textId="77777777" w:rsidR="00922C2A" w:rsidRPr="00922C2A" w:rsidRDefault="00922C2A" w:rsidP="006F49C9">
            <w:pPr>
              <w:rPr>
                <w:noProof/>
              </w:rPr>
            </w:pPr>
          </w:p>
        </w:tc>
      </w:tr>
    </w:tbl>
    <w:p w14:paraId="5DE82990" w14:textId="77777777" w:rsidR="00922C2A" w:rsidRPr="00922C2A" w:rsidRDefault="00922C2A" w:rsidP="00922C2A">
      <w:pPr>
        <w:pStyle w:val="ManualHeading2"/>
        <w:rPr>
          <w:rStyle w:val="Emphasis"/>
          <w:b w:val="0"/>
          <w:bCs/>
          <w:i w:val="0"/>
          <w:iCs w:val="0"/>
          <w:noProof/>
        </w:rPr>
      </w:pPr>
      <w:bookmarkStart w:id="206" w:name="_Toc167220304"/>
      <w:bookmarkStart w:id="207" w:name="_Toc177549040"/>
      <w:r w:rsidRPr="00922C2A">
        <w:rPr>
          <w:rStyle w:val="Emphasis"/>
          <w:noProof/>
        </w:rPr>
        <w:t>4.4.</w:t>
      </w:r>
      <w:r w:rsidRPr="00922C2A">
        <w:rPr>
          <w:noProof/>
        </w:rPr>
        <w:tab/>
      </w:r>
      <w:r w:rsidRPr="00922C2A">
        <w:rPr>
          <w:rStyle w:val="Emphasis"/>
          <w:noProof/>
        </w:rPr>
        <w:t>Évaluation de l’interopérabilité</w:t>
      </w:r>
      <w:bookmarkEnd w:id="206"/>
      <w:bookmarkEnd w:id="207"/>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922C2A" w:rsidRPr="00922C2A" w14:paraId="477AB366" w14:textId="77777777" w:rsidTr="006F49C9">
        <w:trPr>
          <w:trHeight w:val="300"/>
        </w:trPr>
        <w:tc>
          <w:tcPr>
            <w:tcW w:w="9067" w:type="dxa"/>
          </w:tcPr>
          <w:tbl>
            <w:tblPr>
              <w:tblStyle w:val="TableGrid"/>
              <w:tblW w:w="0" w:type="auto"/>
              <w:tblLayout w:type="fixed"/>
              <w:tblLook w:val="04A0" w:firstRow="1" w:lastRow="0" w:firstColumn="1" w:lastColumn="0" w:noHBand="0" w:noVBand="1"/>
            </w:tblPr>
            <w:tblGrid>
              <w:gridCol w:w="1413"/>
              <w:gridCol w:w="2410"/>
              <w:gridCol w:w="1481"/>
              <w:gridCol w:w="3490"/>
            </w:tblGrid>
            <w:tr w:rsidR="00922C2A" w:rsidRPr="00922C2A" w14:paraId="7280C4FE" w14:textId="77777777" w:rsidTr="006F49C9">
              <w:tc>
                <w:tcPr>
                  <w:tcW w:w="1413" w:type="dxa"/>
                  <w:shd w:val="clear" w:color="auto" w:fill="DBE5F1" w:themeFill="accent1" w:themeFillTint="33"/>
                </w:tcPr>
                <w:p w14:paraId="2E8F6343" w14:textId="77777777" w:rsidR="00922C2A" w:rsidRPr="00922C2A" w:rsidRDefault="00922C2A" w:rsidP="006F49C9">
                  <w:pPr>
                    <w:framePr w:hSpace="141" w:wrap="around" w:vAnchor="text" w:hAnchor="margin" w:y="36"/>
                    <w:rPr>
                      <w:noProof/>
                    </w:rPr>
                  </w:pPr>
                  <w:r w:rsidRPr="00922C2A">
                    <w:rPr>
                      <w:noProof/>
                    </w:rPr>
                    <w:t>Référence à la disposition légale</w:t>
                  </w:r>
                </w:p>
              </w:tc>
              <w:tc>
                <w:tcPr>
                  <w:tcW w:w="2410" w:type="dxa"/>
                  <w:shd w:val="clear" w:color="auto" w:fill="DBE5F1" w:themeFill="accent1" w:themeFillTint="33"/>
                </w:tcPr>
                <w:p w14:paraId="4DDFD509" w14:textId="77777777" w:rsidR="00922C2A" w:rsidRPr="00922C2A" w:rsidRDefault="00922C2A" w:rsidP="006F49C9">
                  <w:pPr>
                    <w:framePr w:hSpace="141" w:wrap="around" w:vAnchor="text" w:hAnchor="margin" w:y="36"/>
                    <w:rPr>
                      <w:noProof/>
                    </w:rPr>
                  </w:pPr>
                  <w:r w:rsidRPr="00922C2A">
                    <w:rPr>
                      <w:noProof/>
                    </w:rPr>
                    <w:t>Description de l’exigence</w:t>
                  </w:r>
                </w:p>
                <w:p w14:paraId="1EFC8FFD" w14:textId="77777777" w:rsidR="00922C2A" w:rsidRPr="00922C2A" w:rsidRDefault="00922C2A" w:rsidP="006F49C9">
                  <w:pPr>
                    <w:framePr w:hSpace="141" w:wrap="around" w:vAnchor="text" w:hAnchor="margin" w:y="36"/>
                    <w:rPr>
                      <w:noProof/>
                    </w:rPr>
                  </w:pPr>
                </w:p>
              </w:tc>
              <w:tc>
                <w:tcPr>
                  <w:tcW w:w="1481" w:type="dxa"/>
                  <w:shd w:val="clear" w:color="auto" w:fill="DBE5F1" w:themeFill="accent1" w:themeFillTint="33"/>
                </w:tcPr>
                <w:p w14:paraId="5A2CAEF5" w14:textId="77777777" w:rsidR="00922C2A" w:rsidRPr="00922C2A" w:rsidRDefault="00922C2A" w:rsidP="006F49C9">
                  <w:pPr>
                    <w:framePr w:hSpace="141" w:wrap="around" w:vAnchor="text" w:hAnchor="margin" w:y="36"/>
                    <w:rPr>
                      <w:noProof/>
                    </w:rPr>
                  </w:pPr>
                  <w:r w:rsidRPr="00922C2A">
                    <w:rPr>
                      <w:noProof/>
                    </w:rPr>
                    <w:t>Interaction par-delà les frontières des États membres, entre les entités de l’UE ou entre les entités de l’UE et les organismes du secteur public</w:t>
                  </w:r>
                </w:p>
              </w:tc>
              <w:tc>
                <w:tcPr>
                  <w:tcW w:w="3490" w:type="dxa"/>
                  <w:shd w:val="clear" w:color="auto" w:fill="DBE5F1" w:themeFill="accent1" w:themeFillTint="33"/>
                </w:tcPr>
                <w:p w14:paraId="7F40C2DE" w14:textId="77777777" w:rsidR="00922C2A" w:rsidRPr="00922C2A" w:rsidRDefault="00922C2A" w:rsidP="006F49C9">
                  <w:pPr>
                    <w:framePr w:hSpace="141" w:wrap="around" w:vAnchor="text" w:hAnchor="margin" w:y="36"/>
                    <w:rPr>
                      <w:noProof/>
                    </w:rPr>
                  </w:pPr>
                  <w:r w:rsidRPr="00922C2A">
                    <w:rPr>
                      <w:noProof/>
                    </w:rPr>
                    <w:t xml:space="preserve">Effet sur l’«interopérabilité transfrontière» </w:t>
                  </w:r>
                </w:p>
              </w:tc>
            </w:tr>
            <w:tr w:rsidR="00922C2A" w:rsidRPr="00922C2A" w14:paraId="1EE5820C" w14:textId="77777777" w:rsidTr="006F49C9">
              <w:trPr>
                <w:trHeight w:val="2358"/>
              </w:trPr>
              <w:tc>
                <w:tcPr>
                  <w:tcW w:w="1413" w:type="dxa"/>
                </w:tcPr>
                <w:p w14:paraId="51123856" w14:textId="77777777" w:rsidR="00922C2A" w:rsidRPr="00922C2A" w:rsidRDefault="00922C2A" w:rsidP="006F49C9">
                  <w:pPr>
                    <w:framePr w:hSpace="141" w:wrap="around" w:vAnchor="text" w:hAnchor="margin" w:y="36"/>
                    <w:jc w:val="left"/>
                    <w:rPr>
                      <w:noProof/>
                    </w:rPr>
                  </w:pPr>
                  <w:r w:rsidRPr="00922C2A">
                    <w:rPr>
                      <w:noProof/>
                    </w:rPr>
                    <w:t>Article 6, paragraphe 2</w:t>
                  </w:r>
                </w:p>
              </w:tc>
              <w:tc>
                <w:tcPr>
                  <w:tcW w:w="2410" w:type="dxa"/>
                </w:tcPr>
                <w:p w14:paraId="43082305" w14:textId="77777777" w:rsidR="00922C2A" w:rsidRPr="00922C2A" w:rsidRDefault="00922C2A" w:rsidP="006F49C9">
                  <w:pPr>
                    <w:framePr w:hSpace="141" w:wrap="around" w:vAnchor="text" w:hAnchor="margin" w:y="36"/>
                    <w:rPr>
                      <w:noProof/>
                    </w:rPr>
                  </w:pPr>
                  <w:r w:rsidRPr="00922C2A">
                    <w:rPr>
                      <w:noProof/>
                    </w:rPr>
                    <w:t xml:space="preserve">Les États membres communiquent à la Commission l’autorité désignée pour évaluer et confirmer les projets stratégiques </w:t>
                  </w:r>
                </w:p>
              </w:tc>
              <w:tc>
                <w:tcPr>
                  <w:tcW w:w="4971" w:type="dxa"/>
                  <w:gridSpan w:val="2"/>
                  <w:vMerge w:val="restart"/>
                </w:tcPr>
                <w:p w14:paraId="2A34403F" w14:textId="77777777" w:rsidR="00922C2A" w:rsidRPr="00922C2A" w:rsidRDefault="00922C2A" w:rsidP="006F49C9">
                  <w:pPr>
                    <w:framePr w:hSpace="141" w:wrap="around" w:vAnchor="text" w:hAnchor="margin" w:y="36"/>
                    <w:jc w:val="center"/>
                    <w:rPr>
                      <w:noProof/>
                    </w:rPr>
                  </w:pPr>
                </w:p>
                <w:p w14:paraId="31918B07" w14:textId="77777777" w:rsidR="00922C2A" w:rsidRPr="00922C2A" w:rsidRDefault="00922C2A" w:rsidP="006F49C9">
                  <w:pPr>
                    <w:framePr w:hSpace="141" w:wrap="around" w:vAnchor="text" w:hAnchor="margin" w:y="36"/>
                    <w:jc w:val="center"/>
                    <w:rPr>
                      <w:noProof/>
                    </w:rPr>
                  </w:pPr>
                </w:p>
                <w:p w14:paraId="378F52BA" w14:textId="77777777" w:rsidR="00922C2A" w:rsidRPr="00922C2A" w:rsidRDefault="00922C2A" w:rsidP="006F49C9">
                  <w:pPr>
                    <w:framePr w:hSpace="141" w:wrap="around" w:vAnchor="text" w:hAnchor="margin" w:y="36"/>
                    <w:jc w:val="center"/>
                    <w:rPr>
                      <w:noProof/>
                    </w:rPr>
                  </w:pPr>
                  <w:r w:rsidRPr="00922C2A">
                    <w:rPr>
                      <w:noProof/>
                    </w:rPr>
                    <w:t>Absence d’interaction, une simple notification et/ou publication</w:t>
                  </w:r>
                </w:p>
                <w:p w14:paraId="1065727B" w14:textId="77777777" w:rsidR="00922C2A" w:rsidRPr="00922C2A" w:rsidRDefault="00922C2A" w:rsidP="006F49C9">
                  <w:pPr>
                    <w:framePr w:hSpace="141" w:wrap="around" w:vAnchor="text" w:hAnchor="margin" w:y="36"/>
                    <w:rPr>
                      <w:noProof/>
                    </w:rPr>
                  </w:pPr>
                </w:p>
              </w:tc>
            </w:tr>
            <w:tr w:rsidR="00922C2A" w:rsidRPr="00922C2A" w14:paraId="27EEA85C" w14:textId="77777777" w:rsidTr="006F49C9">
              <w:tc>
                <w:tcPr>
                  <w:tcW w:w="1413" w:type="dxa"/>
                </w:tcPr>
                <w:p w14:paraId="65BAC406" w14:textId="77777777" w:rsidR="00922C2A" w:rsidRPr="00922C2A" w:rsidRDefault="00922C2A" w:rsidP="006F49C9">
                  <w:pPr>
                    <w:framePr w:hSpace="141" w:wrap="around" w:vAnchor="text" w:hAnchor="margin" w:y="36"/>
                    <w:jc w:val="left"/>
                    <w:rPr>
                      <w:noProof/>
                    </w:rPr>
                  </w:pPr>
                  <w:r w:rsidRPr="00922C2A">
                    <w:rPr>
                      <w:noProof/>
                    </w:rPr>
                    <w:t>Article 6, paragraphe 3</w:t>
                  </w:r>
                </w:p>
              </w:tc>
              <w:tc>
                <w:tcPr>
                  <w:tcW w:w="2410" w:type="dxa"/>
                </w:tcPr>
                <w:p w14:paraId="48FF06D3" w14:textId="77777777" w:rsidR="00922C2A" w:rsidRPr="00922C2A" w:rsidRDefault="00922C2A" w:rsidP="006F49C9">
                  <w:pPr>
                    <w:framePr w:hSpace="141" w:wrap="around" w:vAnchor="text" w:hAnchor="margin" w:y="36"/>
                    <w:rPr>
                      <w:noProof/>
                    </w:rPr>
                  </w:pPr>
                  <w:r w:rsidRPr="00922C2A">
                    <w:rPr>
                      <w:noProof/>
                    </w:rPr>
                    <w:t>La Commission publie en ligne la liste des autorités désignées des États membres</w:t>
                  </w:r>
                </w:p>
              </w:tc>
              <w:tc>
                <w:tcPr>
                  <w:tcW w:w="4971" w:type="dxa"/>
                  <w:gridSpan w:val="2"/>
                  <w:vMerge/>
                </w:tcPr>
                <w:p w14:paraId="7AB5B506" w14:textId="77777777" w:rsidR="00922C2A" w:rsidRPr="00922C2A" w:rsidRDefault="00922C2A" w:rsidP="006F49C9">
                  <w:pPr>
                    <w:framePr w:hSpace="141" w:wrap="around" w:vAnchor="text" w:hAnchor="margin" w:y="36"/>
                    <w:rPr>
                      <w:noProof/>
                    </w:rPr>
                  </w:pPr>
                </w:p>
              </w:tc>
            </w:tr>
          </w:tbl>
          <w:p w14:paraId="09BD8A99" w14:textId="77777777" w:rsidR="00922C2A" w:rsidRPr="00922C2A" w:rsidRDefault="00922C2A" w:rsidP="006F49C9">
            <w:pPr>
              <w:rPr>
                <w:i/>
                <w:iCs/>
                <w:noProof/>
                <w:color w:val="215868" w:themeColor="accent5" w:themeShade="80"/>
              </w:rPr>
            </w:pPr>
          </w:p>
        </w:tc>
      </w:tr>
    </w:tbl>
    <w:p w14:paraId="49412326" w14:textId="77777777" w:rsidR="00922C2A" w:rsidRPr="00922C2A" w:rsidRDefault="00922C2A" w:rsidP="00922C2A">
      <w:pPr>
        <w:pStyle w:val="ManualHeading2"/>
        <w:rPr>
          <w:noProof/>
        </w:rPr>
      </w:pPr>
      <w:bookmarkStart w:id="208" w:name="_Toc167220306"/>
      <w:bookmarkStart w:id="209" w:name="_Toc177549041"/>
      <w:r w:rsidRPr="00922C2A">
        <w:rPr>
          <w:noProof/>
        </w:rPr>
        <w:t>4.5.</w:t>
      </w:r>
      <w:r w:rsidRPr="00922C2A">
        <w:rPr>
          <w:noProof/>
        </w:rPr>
        <w:tab/>
        <w:t>Mesures de soutien de la mise en œuvre numérique</w:t>
      </w:r>
      <w:bookmarkEnd w:id="208"/>
      <w:bookmarkEnd w:id="209"/>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922C2A" w:rsidRPr="00922C2A" w14:paraId="6C064883" w14:textId="77777777" w:rsidTr="006F49C9">
        <w:tc>
          <w:tcPr>
            <w:tcW w:w="9067" w:type="dxa"/>
          </w:tcPr>
          <w:p w14:paraId="62EE5380" w14:textId="77777777" w:rsidR="00922C2A" w:rsidRPr="00922C2A" w:rsidRDefault="00922C2A" w:rsidP="006F49C9">
            <w:pPr>
              <w:rPr>
                <w:noProof/>
                <w:color w:val="0000FF"/>
              </w:rPr>
            </w:pPr>
            <w:r w:rsidRPr="00922C2A">
              <w:rPr>
                <w:noProof/>
              </w:rPr>
              <w:t xml:space="preserve"> </w:t>
            </w:r>
          </w:p>
        </w:tc>
      </w:tr>
      <w:bookmarkEnd w:id="199"/>
    </w:tbl>
    <w:p w14:paraId="4818C2D3" w14:textId="77777777" w:rsidR="00922C2A" w:rsidRPr="00922C2A" w:rsidRDefault="00922C2A" w:rsidP="00922C2A">
      <w:pPr>
        <w:rPr>
          <w:noProof/>
        </w:rPr>
      </w:pPr>
    </w:p>
    <w:sectPr w:rsidR="00922C2A" w:rsidRPr="00922C2A" w:rsidSect="00492C75">
      <w:headerReference w:type="default" r:id="rId23"/>
      <w:footerReference w:type="default" r:id="rId24"/>
      <w:footnotePr>
        <w:numRestart w:val="eachSect"/>
      </w:footnotePr>
      <w:pgSz w:w="11907" w:h="16840" w:code="9"/>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9FBF7D" w14:textId="77777777" w:rsidR="009143BC" w:rsidRDefault="009143BC" w:rsidP="004C5377">
      <w:pPr>
        <w:spacing w:before="0" w:after="0"/>
      </w:pPr>
      <w:r>
        <w:separator/>
      </w:r>
    </w:p>
  </w:endnote>
  <w:endnote w:type="continuationSeparator" w:id="0">
    <w:p w14:paraId="3FEC779C" w14:textId="77777777" w:rsidR="009143BC" w:rsidRDefault="009143BC" w:rsidP="004C5377">
      <w:pPr>
        <w:spacing w:before="0" w:after="0"/>
      </w:pPr>
      <w:r>
        <w:continuationSeparator/>
      </w:r>
    </w:p>
  </w:endnote>
  <w:endnote w:type="continuationNotice" w:id="1">
    <w:p w14:paraId="66DFA373" w14:textId="77777777" w:rsidR="009143BC" w:rsidRDefault="009143B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EUAlbertina">
    <w:altName w:val="Cambria"/>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19F23" w14:textId="24FF906C" w:rsidR="00492C75" w:rsidRPr="00492C75" w:rsidRDefault="00492C75" w:rsidP="00492C75">
    <w:pPr>
      <w:pStyle w:val="Footer"/>
      <w:rPr>
        <w:rFonts w:ascii="Arial" w:hAnsi="Arial" w:cs="Arial"/>
        <w:b/>
        <w:sz w:val="48"/>
      </w:rPr>
    </w:pPr>
    <w:r w:rsidRPr="00492C75">
      <w:rPr>
        <w:rFonts w:ascii="Arial" w:hAnsi="Arial" w:cs="Arial"/>
        <w:b/>
        <w:sz w:val="48"/>
      </w:rPr>
      <w:t>FR</w:t>
    </w:r>
    <w:r w:rsidRPr="00492C75">
      <w:rPr>
        <w:rFonts w:ascii="Arial" w:hAnsi="Arial" w:cs="Arial"/>
        <w:b/>
        <w:sz w:val="48"/>
      </w:rPr>
      <w:tab/>
    </w:r>
    <w:r w:rsidRPr="00492C75">
      <w:rPr>
        <w:rFonts w:ascii="Arial" w:hAnsi="Arial" w:cs="Arial"/>
        <w:b/>
        <w:sz w:val="48"/>
      </w:rPr>
      <w:tab/>
    </w:r>
    <w:r w:rsidRPr="00492C75">
      <w:tab/>
    </w:r>
    <w:r w:rsidRPr="00492C7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98F51" w14:textId="7066574F" w:rsidR="00492C75" w:rsidRPr="00492C75" w:rsidRDefault="00492C75" w:rsidP="00492C75">
    <w:pPr>
      <w:pStyle w:val="Footer"/>
      <w:rPr>
        <w:rFonts w:ascii="Arial" w:hAnsi="Arial" w:cs="Arial"/>
        <w:b/>
        <w:sz w:val="48"/>
      </w:rPr>
    </w:pPr>
    <w:r w:rsidRPr="00492C75">
      <w:rPr>
        <w:rFonts w:ascii="Arial" w:hAnsi="Arial" w:cs="Arial"/>
        <w:b/>
        <w:sz w:val="48"/>
      </w:rPr>
      <w:t>FR</w:t>
    </w:r>
    <w:r w:rsidRPr="00492C75">
      <w:rPr>
        <w:rFonts w:ascii="Arial" w:hAnsi="Arial" w:cs="Arial"/>
        <w:b/>
        <w:sz w:val="48"/>
      </w:rPr>
      <w:tab/>
    </w:r>
    <w:r w:rsidRPr="00492C75">
      <w:rPr>
        <w:rFonts w:ascii="Arial" w:hAnsi="Arial" w:cs="Arial"/>
        <w:b/>
        <w:sz w:val="48"/>
      </w:rPr>
      <w:tab/>
    </w:r>
    <w:r w:rsidRPr="00492C75">
      <w:tab/>
    </w:r>
    <w:r w:rsidRPr="00492C7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1533E" w14:textId="77777777" w:rsidR="00492C75" w:rsidRDefault="00492C7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ED31E" w14:textId="08D22565" w:rsidR="00492C75" w:rsidRPr="00492C75" w:rsidRDefault="00492C75" w:rsidP="00492C75">
    <w:pPr>
      <w:pStyle w:val="Footer"/>
      <w:rPr>
        <w:rFonts w:ascii="Arial" w:hAnsi="Arial" w:cs="Arial"/>
        <w:b/>
        <w:sz w:val="48"/>
      </w:rPr>
    </w:pPr>
    <w:r w:rsidRPr="00492C75">
      <w:rPr>
        <w:rFonts w:ascii="Arial" w:hAnsi="Arial" w:cs="Arial"/>
        <w:b/>
        <w:sz w:val="48"/>
      </w:rPr>
      <w:t>FR</w:t>
    </w:r>
    <w:r w:rsidRPr="00492C75">
      <w:rPr>
        <w:rFonts w:ascii="Arial" w:hAnsi="Arial" w:cs="Arial"/>
        <w:b/>
        <w:sz w:val="48"/>
      </w:rPr>
      <w:tab/>
    </w:r>
    <w:r>
      <w:fldChar w:fldCharType="begin"/>
    </w:r>
    <w:r>
      <w:instrText xml:space="preserve"> PAGE  \* MERGEFORMAT </w:instrText>
    </w:r>
    <w:r>
      <w:fldChar w:fldCharType="separate"/>
    </w:r>
    <w:r w:rsidR="00F8407C">
      <w:rPr>
        <w:noProof/>
      </w:rPr>
      <w:t>48</w:t>
    </w:r>
    <w:r>
      <w:fldChar w:fldCharType="end"/>
    </w:r>
    <w:r>
      <w:tab/>
    </w:r>
    <w:r w:rsidRPr="00492C75">
      <w:tab/>
    </w:r>
    <w:r w:rsidRPr="00492C75">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B7FA8" w14:textId="77777777" w:rsidR="00492C75" w:rsidRDefault="00492C75" w:rsidP="00492C7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07033" w14:textId="27C601C0" w:rsidR="00492C75" w:rsidRPr="00492C75" w:rsidRDefault="00492C75" w:rsidP="00492C75">
    <w:pPr>
      <w:pStyle w:val="FooterLandscape"/>
      <w:rPr>
        <w:rFonts w:ascii="Arial" w:hAnsi="Arial" w:cs="Arial"/>
        <w:b/>
        <w:sz w:val="48"/>
      </w:rPr>
    </w:pPr>
    <w:r w:rsidRPr="00492C75">
      <w:rPr>
        <w:rFonts w:ascii="Arial" w:hAnsi="Arial" w:cs="Arial"/>
        <w:b/>
        <w:sz w:val="48"/>
      </w:rPr>
      <w:t>FR</w:t>
    </w:r>
    <w:r w:rsidRPr="00492C75">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492C75">
      <w:tab/>
    </w:r>
    <w:r w:rsidRPr="00492C75">
      <w:rPr>
        <w:rFonts w:ascii="Arial" w:hAnsi="Arial" w:cs="Arial"/>
        <w:b/>
        <w:sz w:val="48"/>
      </w:rPr>
      <w:t>FR</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36F1E" w14:textId="5EF58B57" w:rsidR="00492C75" w:rsidRPr="00492C75" w:rsidRDefault="00492C75" w:rsidP="00492C75">
    <w:pPr>
      <w:pStyle w:val="Footer"/>
      <w:rPr>
        <w:rFonts w:ascii="Arial" w:hAnsi="Arial" w:cs="Arial"/>
        <w:b/>
        <w:sz w:val="48"/>
      </w:rPr>
    </w:pPr>
    <w:r w:rsidRPr="00492C75">
      <w:rPr>
        <w:rFonts w:ascii="Arial" w:hAnsi="Arial" w:cs="Arial"/>
        <w:b/>
        <w:sz w:val="48"/>
      </w:rPr>
      <w:t>FR</w:t>
    </w:r>
    <w:r w:rsidRPr="00492C75">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492C75">
      <w:tab/>
    </w:r>
    <w:r w:rsidRPr="00492C75">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B8489D" w14:textId="77777777" w:rsidR="009143BC" w:rsidRDefault="009143BC" w:rsidP="004C5377">
      <w:pPr>
        <w:spacing w:before="0" w:after="0"/>
      </w:pPr>
      <w:r>
        <w:separator/>
      </w:r>
    </w:p>
  </w:footnote>
  <w:footnote w:type="continuationSeparator" w:id="0">
    <w:p w14:paraId="3980AAEB" w14:textId="77777777" w:rsidR="009143BC" w:rsidRDefault="009143BC" w:rsidP="004C5377">
      <w:pPr>
        <w:spacing w:before="0" w:after="0"/>
      </w:pPr>
      <w:r>
        <w:continuationSeparator/>
      </w:r>
    </w:p>
  </w:footnote>
  <w:footnote w:type="continuationNotice" w:id="1">
    <w:p w14:paraId="16EC180D" w14:textId="77777777" w:rsidR="009143BC" w:rsidRDefault="009143BC">
      <w:pPr>
        <w:spacing w:before="0" w:after="0"/>
      </w:pPr>
    </w:p>
  </w:footnote>
  <w:footnote w:id="2">
    <w:p w14:paraId="20220E29" w14:textId="77777777" w:rsidR="00922C2A" w:rsidRPr="00543556" w:rsidRDefault="00922C2A" w:rsidP="00922C2A">
      <w:pPr>
        <w:pStyle w:val="FootnoteText"/>
        <w:rPr>
          <w:lang w:val="fr-BE"/>
        </w:rPr>
      </w:pPr>
      <w:r>
        <w:rPr>
          <w:rStyle w:val="FootnoteReference"/>
        </w:rPr>
        <w:footnoteRef/>
      </w:r>
      <w:r w:rsidRPr="00543556">
        <w:rPr>
          <w:lang w:val="fr-BE"/>
        </w:rPr>
        <w:tab/>
      </w:r>
      <w:hyperlink r:id="rId1" w:history="1">
        <w:r w:rsidRPr="00543556">
          <w:rPr>
            <w:rStyle w:val="Hyperlink"/>
            <w:lang w:val="fr-BE"/>
          </w:rPr>
          <w:t>Rapport d’analyse d’impact et résumé exécutif accompagnant la réforme de la législation pharmaceutique générale, annexe </w:t>
        </w:r>
        <w:r w:rsidRPr="00EF751B">
          <w:rPr>
            <w:rStyle w:val="Hyperlink"/>
            <w:lang w:val="fr-BE"/>
          </w:rPr>
          <w:t>5</w:t>
        </w:r>
        <w:r w:rsidRPr="00543556">
          <w:rPr>
            <w:rStyle w:val="Hyperlink"/>
            <w:lang w:val="fr-BE"/>
          </w:rPr>
          <w:t xml:space="preserve">, </w:t>
        </w:r>
        <w:r w:rsidRPr="00EF751B">
          <w:rPr>
            <w:rStyle w:val="Hyperlink"/>
            <w:lang w:val="fr-BE"/>
          </w:rPr>
          <w:t>2023</w:t>
        </w:r>
        <w:r w:rsidRPr="00543556">
          <w:rPr>
            <w:rStyle w:val="Hyperlink"/>
            <w:lang w:val="fr-BE"/>
          </w:rPr>
          <w:t>.</w:t>
        </w:r>
      </w:hyperlink>
    </w:p>
  </w:footnote>
  <w:footnote w:id="3">
    <w:p w14:paraId="558604EC" w14:textId="77777777" w:rsidR="00922C2A" w:rsidRPr="00E0194A" w:rsidRDefault="00922C2A" w:rsidP="00922C2A">
      <w:pPr>
        <w:pStyle w:val="FootnoteText"/>
        <w:rPr>
          <w:lang w:val="en-US"/>
        </w:rPr>
      </w:pPr>
      <w:r>
        <w:rPr>
          <w:rStyle w:val="FootnoteReference"/>
        </w:rPr>
        <w:footnoteRef/>
      </w:r>
      <w:r w:rsidRPr="00E0194A">
        <w:rPr>
          <w:lang w:val="en-US"/>
        </w:rPr>
        <w:tab/>
      </w:r>
      <w:hyperlink r:id="rId2" w:history="1">
        <w:r w:rsidRPr="00E0194A">
          <w:rPr>
            <w:rStyle w:val="Hyperlink"/>
            <w:lang w:val="en-US"/>
          </w:rPr>
          <w:t>Livre blanc d’IQVIA.</w:t>
        </w:r>
      </w:hyperlink>
      <w:hyperlink r:id="rId3" w:history="1">
        <w:r w:rsidRPr="00E0194A">
          <w:rPr>
            <w:rStyle w:val="Hyperlink"/>
            <w:lang w:val="en-US"/>
          </w:rPr>
          <w:t xml:space="preserve"> Beneath the Surface:</w:t>
        </w:r>
      </w:hyperlink>
      <w:hyperlink r:id="rId4" w:history="1">
        <w:r w:rsidRPr="00E0194A">
          <w:rPr>
            <w:rStyle w:val="Hyperlink"/>
            <w:lang w:val="en-US"/>
          </w:rPr>
          <w:t xml:space="preserve"> Unravelling the True Value of Generic Medicines, avril 2024</w:t>
        </w:r>
      </w:hyperlink>
      <w:r w:rsidRPr="00E0194A">
        <w:rPr>
          <w:lang w:val="en-US"/>
        </w:rPr>
        <w:t>.</w:t>
      </w:r>
    </w:p>
  </w:footnote>
  <w:footnote w:id="4">
    <w:p w14:paraId="1177BD42" w14:textId="77777777" w:rsidR="00922C2A" w:rsidRPr="00543556" w:rsidRDefault="00922C2A" w:rsidP="00922C2A">
      <w:pPr>
        <w:pStyle w:val="FootnoteText"/>
        <w:rPr>
          <w:lang w:val="fr-BE"/>
        </w:rPr>
      </w:pPr>
      <w:r>
        <w:rPr>
          <w:rStyle w:val="FootnoteReference"/>
        </w:rPr>
        <w:footnoteRef/>
      </w:r>
      <w:r w:rsidRPr="00543556">
        <w:rPr>
          <w:lang w:val="fr-BE"/>
        </w:rPr>
        <w:tab/>
      </w:r>
      <w:hyperlink r:id="rId5" w:history="1">
        <w:r w:rsidRPr="00543556">
          <w:rPr>
            <w:rStyle w:val="Hyperlink"/>
            <w:lang w:val="fr-BE"/>
          </w:rPr>
          <w:t>Generic and hybrid medicines |</w:t>
        </w:r>
      </w:hyperlink>
      <w:hyperlink r:id="rId6" w:history="1">
        <w:r w:rsidRPr="00543556">
          <w:rPr>
            <w:rStyle w:val="Hyperlink"/>
            <w:lang w:val="fr-BE"/>
          </w:rPr>
          <w:t>Agence européenne des médicaments (EMA)</w:t>
        </w:r>
      </w:hyperlink>
      <w:r w:rsidRPr="00543556">
        <w:rPr>
          <w:lang w:val="fr-BE"/>
        </w:rPr>
        <w:t>.</w:t>
      </w:r>
    </w:p>
  </w:footnote>
  <w:footnote w:id="5">
    <w:p w14:paraId="39A4598E" w14:textId="77777777" w:rsidR="00922C2A" w:rsidRPr="00543556" w:rsidRDefault="00922C2A" w:rsidP="00922C2A">
      <w:pPr>
        <w:pStyle w:val="FootnoteText"/>
        <w:rPr>
          <w:lang w:val="fr-BE"/>
        </w:rPr>
      </w:pPr>
      <w:r>
        <w:rPr>
          <w:rStyle w:val="FootnoteReference"/>
        </w:rPr>
        <w:footnoteRef/>
      </w:r>
      <w:r w:rsidRPr="00543556">
        <w:rPr>
          <w:lang w:val="fr-BE"/>
        </w:rPr>
        <w:tab/>
      </w:r>
      <w:hyperlink r:id="rId7" w:history="1">
        <w:r w:rsidRPr="00543556">
          <w:rPr>
            <w:rStyle w:val="Hyperlink"/>
            <w:lang w:val="fr-BE"/>
          </w:rPr>
          <w:t>Protection par brevet dans l’UE — Commission européenne</w:t>
        </w:r>
      </w:hyperlink>
      <w:r w:rsidRPr="00543556">
        <w:rPr>
          <w:lang w:val="fr-BE"/>
        </w:rPr>
        <w:t>.</w:t>
      </w:r>
    </w:p>
  </w:footnote>
  <w:footnote w:id="6">
    <w:p w14:paraId="710C687C" w14:textId="77777777" w:rsidR="00922C2A" w:rsidRPr="00543556" w:rsidRDefault="00922C2A" w:rsidP="00922C2A">
      <w:pPr>
        <w:pStyle w:val="FootnoteText"/>
        <w:rPr>
          <w:lang w:val="fr-BE"/>
        </w:rPr>
      </w:pPr>
      <w:r>
        <w:rPr>
          <w:rStyle w:val="FootnoteReference"/>
        </w:rPr>
        <w:footnoteRef/>
      </w:r>
      <w:r w:rsidRPr="00543556">
        <w:rPr>
          <w:lang w:val="fr-BE"/>
        </w:rPr>
        <w:tab/>
      </w:r>
      <w:hyperlink r:id="rId8" w:anchor="work-package-5" w:history="1">
        <w:r w:rsidRPr="00543556">
          <w:rPr>
            <w:rStyle w:val="Hyperlink"/>
            <w:lang w:val="fr-BE"/>
          </w:rPr>
          <w:t>Rapport d’analyse sur les causes profondes CHESSMEN (</w:t>
        </w:r>
        <w:r w:rsidRPr="00EF751B">
          <w:rPr>
            <w:rStyle w:val="Hyperlink"/>
            <w:lang w:val="fr-BE"/>
          </w:rPr>
          <w:t>2024</w:t>
        </w:r>
        <w:r w:rsidRPr="00543556">
          <w:rPr>
            <w:rStyle w:val="Hyperlink"/>
            <w:lang w:val="fr-BE"/>
          </w:rPr>
          <w:t>).</w:t>
        </w:r>
      </w:hyperlink>
      <w:r w:rsidRPr="00543556">
        <w:rPr>
          <w:lang w:val="fr-BE"/>
        </w:rPr>
        <w:t xml:space="preserve"> </w:t>
      </w:r>
    </w:p>
  </w:footnote>
  <w:footnote w:id="7">
    <w:p w14:paraId="04115D54" w14:textId="77777777" w:rsidR="00922C2A" w:rsidRPr="00543556" w:rsidRDefault="00922C2A" w:rsidP="00922C2A">
      <w:pPr>
        <w:pStyle w:val="FootnoteText"/>
        <w:rPr>
          <w:lang w:val="fr-BE"/>
        </w:rPr>
      </w:pPr>
      <w:r>
        <w:rPr>
          <w:rStyle w:val="FootnoteReference"/>
        </w:rPr>
        <w:footnoteRef/>
      </w:r>
      <w:r w:rsidRPr="00543556">
        <w:rPr>
          <w:lang w:val="fr-BE"/>
        </w:rPr>
        <w:tab/>
        <w:t xml:space="preserve">Voir, par exemple, </w:t>
      </w:r>
      <w:r w:rsidRPr="00543556">
        <w:rPr>
          <w:rStyle w:val="Hyperlink"/>
          <w:lang w:val="fr-BE"/>
        </w:rPr>
        <w:t xml:space="preserve">la </w:t>
      </w:r>
      <w:hyperlink r:id="rId9" w:history="1">
        <w:r w:rsidRPr="00543556">
          <w:rPr>
            <w:rStyle w:val="Hyperlink"/>
            <w:lang w:val="fr-BE"/>
          </w:rPr>
          <w:t xml:space="preserve">résolution du Parlement européen du </w:t>
        </w:r>
        <w:r w:rsidRPr="00EF751B">
          <w:rPr>
            <w:rStyle w:val="Hyperlink"/>
            <w:lang w:val="fr-BE"/>
          </w:rPr>
          <w:t>2</w:t>
        </w:r>
        <w:r w:rsidRPr="00543556">
          <w:rPr>
            <w:rStyle w:val="Hyperlink"/>
            <w:lang w:val="fr-BE"/>
          </w:rPr>
          <w:t xml:space="preserve"> mars </w:t>
        </w:r>
        <w:r w:rsidRPr="00EF751B">
          <w:rPr>
            <w:rStyle w:val="Hyperlink"/>
            <w:lang w:val="fr-BE"/>
          </w:rPr>
          <w:t>2017</w:t>
        </w:r>
        <w:r w:rsidRPr="00543556">
          <w:rPr>
            <w:rStyle w:val="Hyperlink"/>
            <w:lang w:val="fr-BE"/>
          </w:rPr>
          <w:t xml:space="preserve"> sur les options de l’Union européenne pour améliorer l’accès aux médicaments</w:t>
        </w:r>
      </w:hyperlink>
      <w:r w:rsidRPr="00543556">
        <w:rPr>
          <w:lang w:val="fr-BE"/>
        </w:rPr>
        <w:t xml:space="preserve"> et les </w:t>
      </w:r>
      <w:hyperlink r:id="rId10" w:history="1">
        <w:r w:rsidRPr="00543556">
          <w:rPr>
            <w:rStyle w:val="Hyperlink"/>
            <w:lang w:val="fr-BE"/>
          </w:rPr>
          <w:t>conclusions du Conseil EPSCO (</w:t>
        </w:r>
        <w:r w:rsidRPr="00EF751B">
          <w:rPr>
            <w:rStyle w:val="Hyperlink"/>
            <w:lang w:val="fr-BE"/>
          </w:rPr>
          <w:t>2021</w:t>
        </w:r>
        <w:r w:rsidRPr="00543556">
          <w:rPr>
            <w:rStyle w:val="Hyperlink"/>
            <w:lang w:val="fr-BE"/>
          </w:rPr>
          <w:t xml:space="preserve">/C </w:t>
        </w:r>
        <w:r w:rsidRPr="00EF751B">
          <w:rPr>
            <w:rStyle w:val="Hyperlink"/>
            <w:lang w:val="fr-BE"/>
          </w:rPr>
          <w:t>269</w:t>
        </w:r>
        <w:r w:rsidRPr="00543556">
          <w:rPr>
            <w:rStyle w:val="Hyperlink"/>
            <w:lang w:val="fr-BE"/>
          </w:rPr>
          <w:t xml:space="preserve"> I/</w:t>
        </w:r>
        <w:r w:rsidRPr="00EF751B">
          <w:rPr>
            <w:rStyle w:val="Hyperlink"/>
            <w:lang w:val="fr-BE"/>
          </w:rPr>
          <w:t>02</w:t>
        </w:r>
        <w:r w:rsidRPr="00543556">
          <w:rPr>
            <w:rStyle w:val="Hyperlink"/>
            <w:lang w:val="fr-BE"/>
          </w:rPr>
          <w:t>)</w:t>
        </w:r>
      </w:hyperlink>
      <w:r w:rsidRPr="00543556">
        <w:rPr>
          <w:lang w:val="fr-BE"/>
        </w:rPr>
        <w:t>.</w:t>
      </w:r>
    </w:p>
  </w:footnote>
  <w:footnote w:id="8">
    <w:p w14:paraId="293611CB" w14:textId="77777777" w:rsidR="00922C2A" w:rsidRPr="00543556" w:rsidRDefault="00922C2A" w:rsidP="00922C2A">
      <w:pPr>
        <w:pStyle w:val="FootnoteText"/>
        <w:rPr>
          <w:lang w:val="fr-BE"/>
        </w:rPr>
      </w:pPr>
      <w:r>
        <w:rPr>
          <w:rStyle w:val="FootnoteReference"/>
        </w:rPr>
        <w:footnoteRef/>
      </w:r>
      <w:r w:rsidRPr="00543556">
        <w:rPr>
          <w:lang w:val="fr-BE"/>
        </w:rPr>
        <w:tab/>
      </w:r>
      <w:hyperlink r:id="rId11" w:history="1">
        <w:r w:rsidRPr="00543556">
          <w:rPr>
            <w:rStyle w:val="Hyperlink"/>
            <w:lang w:val="fr-BE"/>
          </w:rPr>
          <w:t>Une stratégie pharmaceutique pour l’Europe — Commission européenne (europa.eu)</w:t>
        </w:r>
      </w:hyperlink>
      <w:r w:rsidRPr="00543556">
        <w:rPr>
          <w:lang w:val="fr-BE"/>
        </w:rPr>
        <w:t>.</w:t>
      </w:r>
    </w:p>
  </w:footnote>
  <w:footnote w:id="9">
    <w:p w14:paraId="1A556E04" w14:textId="77777777" w:rsidR="00922C2A" w:rsidRPr="00543556" w:rsidRDefault="00922C2A" w:rsidP="00922C2A">
      <w:pPr>
        <w:pStyle w:val="FootnoteText"/>
        <w:rPr>
          <w:rStyle w:val="Hyperlink"/>
          <w:lang w:val="fr-BE"/>
        </w:rPr>
      </w:pPr>
      <w:r>
        <w:rPr>
          <w:rStyle w:val="FootnoteReference"/>
        </w:rPr>
        <w:footnoteRef/>
      </w:r>
      <w:r w:rsidRPr="00543556">
        <w:rPr>
          <w:lang w:val="fr-BE"/>
        </w:rPr>
        <w:tab/>
      </w:r>
      <w:hyperlink r:id="rId12" w:history="1">
        <w:r w:rsidRPr="00543556">
          <w:rPr>
            <w:rStyle w:val="Hyperlink"/>
            <w:lang w:val="fr-BE"/>
          </w:rPr>
          <w:t>Dialogue structuré sur la sécurité de l’approvisionnement en médicaments — Commission européenne (europa.eu)</w:t>
        </w:r>
      </w:hyperlink>
      <w:r w:rsidRPr="00543556">
        <w:rPr>
          <w:lang w:val="fr-BE"/>
        </w:rPr>
        <w:t>.</w:t>
      </w:r>
    </w:p>
  </w:footnote>
  <w:footnote w:id="10">
    <w:p w14:paraId="5A6A5E0D" w14:textId="77777777" w:rsidR="00922C2A" w:rsidRPr="00E0194A" w:rsidRDefault="00922C2A" w:rsidP="00922C2A">
      <w:pPr>
        <w:pStyle w:val="FootnoteText"/>
        <w:rPr>
          <w:rStyle w:val="Hyperlink"/>
          <w:lang w:val="en-US"/>
        </w:rPr>
      </w:pPr>
      <w:r>
        <w:rPr>
          <w:rStyle w:val="FootnoteReference"/>
        </w:rPr>
        <w:footnoteRef/>
      </w:r>
      <w:r w:rsidRPr="00E0194A">
        <w:rPr>
          <w:rStyle w:val="FootnoteReference"/>
          <w:lang w:val="en-US"/>
        </w:rPr>
        <w:tab/>
      </w:r>
      <w:hyperlink r:id="rId13" w:history="1">
        <w:r w:rsidRPr="00E0194A">
          <w:rPr>
            <w:rStyle w:val="Hyperlink"/>
            <w:lang w:val="en-US"/>
          </w:rPr>
          <w:t>mp_vulnerabilities_global-supply_swd_en.pdf (europa.eu)</w:t>
        </w:r>
      </w:hyperlink>
      <w:r w:rsidRPr="00E0194A">
        <w:rPr>
          <w:lang w:val="en-US"/>
        </w:rPr>
        <w:t>.</w:t>
      </w:r>
    </w:p>
  </w:footnote>
  <w:footnote w:id="11">
    <w:p w14:paraId="3DA70751" w14:textId="77777777" w:rsidR="00922C2A" w:rsidRPr="00543556" w:rsidRDefault="00922C2A" w:rsidP="00922C2A">
      <w:pPr>
        <w:pStyle w:val="FootnoteText"/>
        <w:rPr>
          <w:lang w:val="fr-BE"/>
        </w:rPr>
      </w:pPr>
      <w:r>
        <w:rPr>
          <w:rStyle w:val="FootnoteReference"/>
        </w:rPr>
        <w:footnoteRef/>
      </w:r>
      <w:r w:rsidRPr="00543556">
        <w:rPr>
          <w:lang w:val="fr-BE"/>
        </w:rPr>
        <w:tab/>
      </w:r>
      <w:hyperlink r:id="rId14" w:history="1">
        <w:r w:rsidRPr="00543556">
          <w:rPr>
            <w:rStyle w:val="Hyperlink"/>
            <w:lang w:val="fr-BE"/>
          </w:rPr>
          <w:t>Réforme de la législation pharmaceutique générale de l’UE (europa.eu)</w:t>
        </w:r>
      </w:hyperlink>
      <w:r w:rsidRPr="00543556">
        <w:rPr>
          <w:rStyle w:val="Hyperlink"/>
          <w:lang w:val="fr-BE"/>
        </w:rPr>
        <w:t>:</w:t>
      </w:r>
      <w:r w:rsidRPr="00543556">
        <w:rPr>
          <w:lang w:val="fr-BE"/>
        </w:rPr>
        <w:t xml:space="preserve"> les propositions comprennent des actions visant à remédier aux pénuries systémiques et à améliorer la sécurité de l’approvisionnement en médicaments critiques à tout moment en introduisant des obligations plus strictes en matière d’approvisionnement, mais aussi une notification plus précoce et un rôle plus important pour l’EMA dans la coordination avec les États membres. Des actions sont également proposées pour renforcer les chaînes d’approvisionnement en médicaments critiques en mettant en place un système européen d’alerte pour les pénuries et des plans de prévention des pénuries pour tous les médicaments.</w:t>
      </w:r>
    </w:p>
  </w:footnote>
  <w:footnote w:id="12">
    <w:p w14:paraId="4BD08C29" w14:textId="77777777" w:rsidR="00922C2A" w:rsidRPr="00543556" w:rsidRDefault="00922C2A" w:rsidP="00922C2A">
      <w:pPr>
        <w:pStyle w:val="FootnoteText"/>
        <w:rPr>
          <w:lang w:val="fr-BE"/>
        </w:rPr>
      </w:pPr>
      <w:r>
        <w:rPr>
          <w:rStyle w:val="FootnoteReference"/>
        </w:rPr>
        <w:footnoteRef/>
      </w:r>
      <w:r w:rsidRPr="00543556">
        <w:rPr>
          <w:lang w:val="fr-BE"/>
        </w:rPr>
        <w:tab/>
      </w:r>
      <w:hyperlink r:id="rId15" w:history="1">
        <w:r w:rsidRPr="00543556">
          <w:rPr>
            <w:rStyle w:val="Hyperlink"/>
            <w:lang w:val="fr-BE"/>
          </w:rPr>
          <w:t xml:space="preserve">Règlement (UE) </w:t>
        </w:r>
        <w:r w:rsidRPr="00EF751B">
          <w:rPr>
            <w:rStyle w:val="Hyperlink"/>
            <w:lang w:val="fr-BE"/>
          </w:rPr>
          <w:t>2022</w:t>
        </w:r>
        <w:r w:rsidRPr="00543556">
          <w:rPr>
            <w:rStyle w:val="Hyperlink"/>
            <w:lang w:val="fr-BE"/>
          </w:rPr>
          <w:t>/</w:t>
        </w:r>
        <w:r w:rsidRPr="00EF751B">
          <w:rPr>
            <w:rStyle w:val="Hyperlink"/>
            <w:lang w:val="fr-BE"/>
          </w:rPr>
          <w:t>123</w:t>
        </w:r>
        <w:r w:rsidRPr="00543556">
          <w:rPr>
            <w:rStyle w:val="Hyperlink"/>
            <w:lang w:val="fr-BE"/>
          </w:rPr>
          <w:t xml:space="preserve"> du Parlement européen et du Conseil du </w:t>
        </w:r>
        <w:r w:rsidRPr="00EF751B">
          <w:rPr>
            <w:rStyle w:val="Hyperlink"/>
            <w:lang w:val="fr-BE"/>
          </w:rPr>
          <w:t>25</w:t>
        </w:r>
        <w:r w:rsidRPr="00543556">
          <w:rPr>
            <w:rStyle w:val="Hyperlink"/>
            <w:lang w:val="fr-BE"/>
          </w:rPr>
          <w:t xml:space="preserve"> janvier </w:t>
        </w:r>
        <w:r w:rsidRPr="00EF751B">
          <w:rPr>
            <w:rStyle w:val="Hyperlink"/>
            <w:lang w:val="fr-BE"/>
          </w:rPr>
          <w:t>2022</w:t>
        </w:r>
        <w:r w:rsidRPr="00543556">
          <w:rPr>
            <w:rStyle w:val="Hyperlink"/>
            <w:lang w:val="fr-BE"/>
          </w:rPr>
          <w:t xml:space="preserve"> relatif à un rôle renforcé de l’Agence européenne des médicaments dans la préparation aux crises et la gestion de celles-ci en ce qui concerne les médicaments et les dispositifs médicaux</w:t>
        </w:r>
      </w:hyperlink>
      <w:r w:rsidRPr="00543556">
        <w:rPr>
          <w:lang w:val="fr-BE"/>
        </w:rPr>
        <w:t>.</w:t>
      </w:r>
    </w:p>
  </w:footnote>
  <w:footnote w:id="13">
    <w:p w14:paraId="1A9DE3A7" w14:textId="77777777" w:rsidR="00922C2A" w:rsidRPr="00543556" w:rsidRDefault="00922C2A" w:rsidP="00922C2A">
      <w:pPr>
        <w:pStyle w:val="FootnoteText"/>
        <w:rPr>
          <w:lang w:val="fr-BE"/>
        </w:rPr>
      </w:pPr>
      <w:r>
        <w:rPr>
          <w:rStyle w:val="FootnoteReference"/>
        </w:rPr>
        <w:footnoteRef/>
      </w:r>
      <w:r w:rsidRPr="00543556">
        <w:rPr>
          <w:lang w:val="fr-BE"/>
        </w:rPr>
        <w:tab/>
      </w:r>
      <w:hyperlink r:id="rId16" w:history="1">
        <w:r w:rsidRPr="00543556">
          <w:rPr>
            <w:rStyle w:val="Hyperlink"/>
            <w:lang w:val="fr-BE"/>
          </w:rPr>
          <w:t>Communication «Remédier aux pénuries de médicaments dans l’UE»</w:t>
        </w:r>
      </w:hyperlink>
      <w:r w:rsidRPr="00543556">
        <w:rPr>
          <w:lang w:val="fr-BE"/>
        </w:rPr>
        <w:t>.</w:t>
      </w:r>
    </w:p>
  </w:footnote>
  <w:footnote w:id="14">
    <w:p w14:paraId="36334094" w14:textId="77777777" w:rsidR="00922C2A" w:rsidRPr="00543556" w:rsidRDefault="00922C2A" w:rsidP="00922C2A">
      <w:pPr>
        <w:pStyle w:val="FootnoteText"/>
        <w:rPr>
          <w:lang w:val="fr-BE"/>
        </w:rPr>
      </w:pPr>
      <w:r>
        <w:rPr>
          <w:rStyle w:val="FootnoteReference"/>
        </w:rPr>
        <w:footnoteRef/>
      </w:r>
      <w:r w:rsidRPr="00543556">
        <w:rPr>
          <w:lang w:val="fr-BE"/>
        </w:rPr>
        <w:tab/>
      </w:r>
      <w:hyperlink r:id="rId17" w:history="1">
        <w:r w:rsidRPr="00543556">
          <w:rPr>
            <w:rStyle w:val="Hyperlink"/>
            <w:lang w:val="fr-BE"/>
          </w:rPr>
          <w:t>Liste européenne des médicaments critiques |</w:t>
        </w:r>
      </w:hyperlink>
      <w:hyperlink r:id="rId18" w:history="1">
        <w:r w:rsidRPr="00543556">
          <w:rPr>
            <w:rStyle w:val="Hyperlink"/>
            <w:lang w:val="fr-BE"/>
          </w:rPr>
          <w:t xml:space="preserve"> Agence européenne des médicaments (EMA)</w:t>
        </w:r>
      </w:hyperlink>
      <w:r w:rsidRPr="00543556">
        <w:rPr>
          <w:lang w:val="fr-BE"/>
        </w:rPr>
        <w:t>.</w:t>
      </w:r>
    </w:p>
  </w:footnote>
  <w:footnote w:id="15">
    <w:p w14:paraId="67414F78" w14:textId="77777777" w:rsidR="00922C2A" w:rsidRPr="00543556" w:rsidRDefault="00922C2A" w:rsidP="00922C2A">
      <w:pPr>
        <w:pStyle w:val="FootnoteText"/>
        <w:rPr>
          <w:lang w:val="fr-BE"/>
        </w:rPr>
      </w:pPr>
      <w:r>
        <w:rPr>
          <w:rStyle w:val="FootnoteReference"/>
        </w:rPr>
        <w:footnoteRef/>
      </w:r>
      <w:r w:rsidRPr="00543556">
        <w:rPr>
          <w:lang w:val="fr-BE"/>
        </w:rPr>
        <w:tab/>
      </w:r>
      <w:hyperlink r:id="rId19" w:history="1">
        <w:r w:rsidRPr="00543556">
          <w:rPr>
            <w:rStyle w:val="Hyperlink"/>
            <w:lang w:val="fr-BE"/>
          </w:rPr>
          <w:t>Alliance pour les médicaments critiques — Commission européenne</w:t>
        </w:r>
      </w:hyperlink>
      <w:r w:rsidRPr="00543556">
        <w:rPr>
          <w:lang w:val="fr-BE"/>
        </w:rPr>
        <w:t>.</w:t>
      </w:r>
    </w:p>
  </w:footnote>
  <w:footnote w:id="16">
    <w:p w14:paraId="4F92A967" w14:textId="77777777" w:rsidR="00922C2A" w:rsidRPr="00543556" w:rsidRDefault="00922C2A" w:rsidP="00922C2A">
      <w:pPr>
        <w:pStyle w:val="FootnoteText"/>
        <w:rPr>
          <w:lang w:val="fr-BE"/>
        </w:rPr>
      </w:pPr>
      <w:r>
        <w:rPr>
          <w:rStyle w:val="FootnoteReference"/>
        </w:rPr>
        <w:footnoteRef/>
      </w:r>
      <w:r w:rsidRPr="00543556">
        <w:rPr>
          <w:lang w:val="fr-BE"/>
        </w:rPr>
        <w:tab/>
      </w:r>
      <w:hyperlink r:id="rId20" w:history="1">
        <w:r w:rsidRPr="00543556">
          <w:rPr>
            <w:rStyle w:val="Hyperlink"/>
            <w:lang w:val="fr-BE"/>
          </w:rPr>
          <w:t>https://ec.europa.eu/commission/presscorner/detail/fr/ip_</w:t>
        </w:r>
        <w:r w:rsidRPr="00EF751B">
          <w:rPr>
            <w:rStyle w:val="Hyperlink"/>
            <w:lang w:val="fr-BE"/>
          </w:rPr>
          <w:t>24</w:t>
        </w:r>
        <w:r w:rsidRPr="00543556">
          <w:rPr>
            <w:rStyle w:val="Hyperlink"/>
            <w:lang w:val="fr-BE"/>
          </w:rPr>
          <w:t>_</w:t>
        </w:r>
        <w:r w:rsidRPr="00EF751B">
          <w:rPr>
            <w:rStyle w:val="Hyperlink"/>
            <w:lang w:val="fr-BE"/>
          </w:rPr>
          <w:t>2229</w:t>
        </w:r>
      </w:hyperlink>
      <w:r w:rsidRPr="00543556">
        <w:rPr>
          <w:lang w:val="fr-BE"/>
        </w:rPr>
        <w:t>.</w:t>
      </w:r>
    </w:p>
  </w:footnote>
  <w:footnote w:id="17">
    <w:p w14:paraId="4879A318" w14:textId="77777777" w:rsidR="00922C2A" w:rsidRPr="00543556" w:rsidRDefault="00922C2A" w:rsidP="00922C2A">
      <w:pPr>
        <w:pStyle w:val="FootnoteText"/>
        <w:rPr>
          <w:lang w:val="de-DE"/>
        </w:rPr>
      </w:pPr>
      <w:r>
        <w:rPr>
          <w:rStyle w:val="FootnoteReference"/>
        </w:rPr>
        <w:footnoteRef/>
      </w:r>
      <w:r w:rsidRPr="00543556">
        <w:rPr>
          <w:lang w:val="de-DE"/>
        </w:rPr>
        <w:tab/>
      </w:r>
      <w:hyperlink r:id="rId21" w:history="1">
        <w:r w:rsidRPr="00EF751B">
          <w:rPr>
            <w:rStyle w:val="Hyperlink"/>
            <w:lang w:val="de-DE"/>
          </w:rPr>
          <w:t>3</w:t>
        </w:r>
        <w:r w:rsidRPr="00543556">
          <w:rPr>
            <w:rStyle w:val="Hyperlink"/>
            <w:lang w:val="de-DE"/>
          </w:rPr>
          <w:t>da</w:t>
        </w:r>
        <w:r w:rsidRPr="00EF751B">
          <w:rPr>
            <w:rStyle w:val="Hyperlink"/>
            <w:lang w:val="de-DE"/>
          </w:rPr>
          <w:t>9</w:t>
        </w:r>
        <w:r w:rsidRPr="00543556">
          <w:rPr>
            <w:rStyle w:val="Hyperlink"/>
            <w:lang w:val="de-DE"/>
          </w:rPr>
          <w:t>dfc</w:t>
        </w:r>
        <w:r w:rsidRPr="00EF751B">
          <w:rPr>
            <w:rStyle w:val="Hyperlink"/>
            <w:lang w:val="de-DE"/>
          </w:rPr>
          <w:t>0</w:t>
        </w:r>
        <w:r w:rsidRPr="00543556">
          <w:rPr>
            <w:rStyle w:val="Hyperlink"/>
            <w:lang w:val="de-DE"/>
          </w:rPr>
          <w:t>-c</w:t>
        </w:r>
        <w:r w:rsidRPr="00EF751B">
          <w:rPr>
            <w:rStyle w:val="Hyperlink"/>
            <w:lang w:val="de-DE"/>
          </w:rPr>
          <w:t>5</w:t>
        </w:r>
        <w:r w:rsidRPr="00543556">
          <w:rPr>
            <w:rStyle w:val="Hyperlink"/>
            <w:lang w:val="de-DE"/>
          </w:rPr>
          <w:t>e</w:t>
        </w:r>
        <w:r w:rsidRPr="00EF751B">
          <w:rPr>
            <w:rStyle w:val="Hyperlink"/>
            <w:lang w:val="de-DE"/>
          </w:rPr>
          <w:t>0</w:t>
        </w:r>
        <w:r w:rsidRPr="00543556">
          <w:rPr>
            <w:rStyle w:val="Hyperlink"/>
            <w:lang w:val="de-DE"/>
          </w:rPr>
          <w:t>-</w:t>
        </w:r>
        <w:r w:rsidRPr="00EF751B">
          <w:rPr>
            <w:rStyle w:val="Hyperlink"/>
            <w:lang w:val="de-DE"/>
          </w:rPr>
          <w:t>4583</w:t>
        </w:r>
        <w:r w:rsidRPr="00543556">
          <w:rPr>
            <w:rStyle w:val="Hyperlink"/>
            <w:lang w:val="de-DE"/>
          </w:rPr>
          <w:t>-a</w:t>
        </w:r>
        <w:r w:rsidRPr="00EF751B">
          <w:rPr>
            <w:rStyle w:val="Hyperlink"/>
            <w:lang w:val="de-DE"/>
          </w:rPr>
          <w:t>0</w:t>
        </w:r>
        <w:r w:rsidRPr="00543556">
          <w:rPr>
            <w:rStyle w:val="Hyperlink"/>
            <w:lang w:val="de-DE"/>
          </w:rPr>
          <w:t>f</w:t>
        </w:r>
        <w:r w:rsidRPr="00EF751B">
          <w:rPr>
            <w:rStyle w:val="Hyperlink"/>
            <w:lang w:val="de-DE"/>
          </w:rPr>
          <w:t>1</w:t>
        </w:r>
        <w:r w:rsidRPr="00543556">
          <w:rPr>
            <w:rStyle w:val="Hyperlink"/>
            <w:lang w:val="de-DE"/>
          </w:rPr>
          <w:t>-</w:t>
        </w:r>
        <w:r w:rsidRPr="00EF751B">
          <w:rPr>
            <w:rStyle w:val="Hyperlink"/>
            <w:lang w:val="de-DE"/>
          </w:rPr>
          <w:t>1652</w:t>
        </w:r>
        <w:r w:rsidRPr="00543556">
          <w:rPr>
            <w:rStyle w:val="Hyperlink"/>
            <w:lang w:val="de-DE"/>
          </w:rPr>
          <w:t>c</w:t>
        </w:r>
        <w:r w:rsidRPr="00EF751B">
          <w:rPr>
            <w:rStyle w:val="Hyperlink"/>
            <w:lang w:val="de-DE"/>
          </w:rPr>
          <w:t>7</w:t>
        </w:r>
        <w:r w:rsidRPr="00543556">
          <w:rPr>
            <w:rStyle w:val="Hyperlink"/>
            <w:lang w:val="de-DE"/>
          </w:rPr>
          <w:t>c</w:t>
        </w:r>
        <w:r w:rsidRPr="00EF751B">
          <w:rPr>
            <w:rStyle w:val="Hyperlink"/>
            <w:lang w:val="de-DE"/>
          </w:rPr>
          <w:t>18</w:t>
        </w:r>
        <w:r w:rsidRPr="00543556">
          <w:rPr>
            <w:rStyle w:val="Hyperlink"/>
            <w:lang w:val="de-DE"/>
          </w:rPr>
          <w:t>c</w:t>
        </w:r>
        <w:r w:rsidRPr="00EF751B">
          <w:rPr>
            <w:rStyle w:val="Hyperlink"/>
            <w:lang w:val="de-DE"/>
          </w:rPr>
          <w:t>3</w:t>
        </w:r>
        <w:r w:rsidRPr="00543556">
          <w:rPr>
            <w:rStyle w:val="Hyperlink"/>
            <w:lang w:val="de-DE"/>
          </w:rPr>
          <w:t>c_en</w:t>
        </w:r>
      </w:hyperlink>
      <w:r w:rsidRPr="00543556">
        <w:rPr>
          <w:lang w:val="de-DE"/>
        </w:rPr>
        <w:t>.</w:t>
      </w:r>
    </w:p>
  </w:footnote>
  <w:footnote w:id="18">
    <w:p w14:paraId="7D729EEA" w14:textId="77777777" w:rsidR="00922C2A" w:rsidRPr="00543556" w:rsidRDefault="00922C2A" w:rsidP="00922C2A">
      <w:pPr>
        <w:pStyle w:val="FootnoteText"/>
        <w:rPr>
          <w:lang w:val="de-DE"/>
        </w:rPr>
      </w:pPr>
      <w:r>
        <w:rPr>
          <w:rStyle w:val="FootnoteReference"/>
        </w:rPr>
        <w:footnoteRef/>
      </w:r>
      <w:r w:rsidRPr="00543556">
        <w:rPr>
          <w:lang w:val="de-DE"/>
        </w:rPr>
        <w:tab/>
      </w:r>
      <w:hyperlink r:id="rId22" w:history="1">
        <w:r w:rsidRPr="00543556">
          <w:rPr>
            <w:rStyle w:val="Hyperlink"/>
            <w:lang w:val="de-DE"/>
          </w:rPr>
          <w:t>https://commission.europa.eu/document/download/b</w:t>
        </w:r>
        <w:r w:rsidRPr="00EF751B">
          <w:rPr>
            <w:rStyle w:val="Hyperlink"/>
            <w:lang w:val="de-DE"/>
          </w:rPr>
          <w:t>1817</w:t>
        </w:r>
        <w:r w:rsidRPr="00543556">
          <w:rPr>
            <w:rStyle w:val="Hyperlink"/>
            <w:lang w:val="de-DE"/>
          </w:rPr>
          <w:t>a</w:t>
        </w:r>
        <w:r w:rsidRPr="00EF751B">
          <w:rPr>
            <w:rStyle w:val="Hyperlink"/>
            <w:lang w:val="de-DE"/>
          </w:rPr>
          <w:t>1</w:t>
        </w:r>
        <w:r w:rsidRPr="00543556">
          <w:rPr>
            <w:rStyle w:val="Hyperlink"/>
            <w:lang w:val="de-DE"/>
          </w:rPr>
          <w:t>b-e</w:t>
        </w:r>
        <w:r w:rsidRPr="00EF751B">
          <w:rPr>
            <w:rStyle w:val="Hyperlink"/>
            <w:lang w:val="de-DE"/>
          </w:rPr>
          <w:t>62</w:t>
        </w:r>
        <w:r w:rsidRPr="00543556">
          <w:rPr>
            <w:rStyle w:val="Hyperlink"/>
            <w:lang w:val="de-DE"/>
          </w:rPr>
          <w:t>e-</w:t>
        </w:r>
        <w:r w:rsidRPr="00EF751B">
          <w:rPr>
            <w:rStyle w:val="Hyperlink"/>
            <w:lang w:val="de-DE"/>
          </w:rPr>
          <w:t>4949</w:t>
        </w:r>
        <w:r w:rsidRPr="00543556">
          <w:rPr>
            <w:rStyle w:val="Hyperlink"/>
            <w:lang w:val="de-DE"/>
          </w:rPr>
          <w:t>-bbb</w:t>
        </w:r>
        <w:r w:rsidRPr="00EF751B">
          <w:rPr>
            <w:rStyle w:val="Hyperlink"/>
            <w:lang w:val="de-DE"/>
          </w:rPr>
          <w:t>8</w:t>
        </w:r>
        <w:r w:rsidRPr="00543556">
          <w:rPr>
            <w:rStyle w:val="Hyperlink"/>
            <w:lang w:val="de-DE"/>
          </w:rPr>
          <w:t>-ebf</w:t>
        </w:r>
        <w:r w:rsidRPr="00EF751B">
          <w:rPr>
            <w:rStyle w:val="Hyperlink"/>
            <w:lang w:val="de-DE"/>
          </w:rPr>
          <w:t>29</w:t>
        </w:r>
        <w:r w:rsidRPr="00543556">
          <w:rPr>
            <w:rStyle w:val="Hyperlink"/>
            <w:lang w:val="de-DE"/>
          </w:rPr>
          <w:t>b</w:t>
        </w:r>
        <w:r w:rsidRPr="00EF751B">
          <w:rPr>
            <w:rStyle w:val="Hyperlink"/>
            <w:lang w:val="de-DE"/>
          </w:rPr>
          <w:t>54</w:t>
        </w:r>
        <w:r w:rsidRPr="00543556">
          <w:rPr>
            <w:rStyle w:val="Hyperlink"/>
            <w:lang w:val="de-DE"/>
          </w:rPr>
          <w:t>c</w:t>
        </w:r>
        <w:r w:rsidRPr="00EF751B">
          <w:rPr>
            <w:rStyle w:val="Hyperlink"/>
            <w:lang w:val="de-DE"/>
          </w:rPr>
          <w:t>8</w:t>
        </w:r>
        <w:r w:rsidRPr="00543556">
          <w:rPr>
            <w:rStyle w:val="Hyperlink"/>
            <w:lang w:val="de-DE"/>
          </w:rPr>
          <w:t>bd_en?filename=Mission%</w:t>
        </w:r>
        <w:r w:rsidRPr="00EF751B">
          <w:rPr>
            <w:rStyle w:val="Hyperlink"/>
            <w:lang w:val="de-DE"/>
          </w:rPr>
          <w:t>20</w:t>
        </w:r>
        <w:r w:rsidRPr="00543556">
          <w:rPr>
            <w:rStyle w:val="Hyperlink"/>
            <w:lang w:val="de-DE"/>
          </w:rPr>
          <w:t>letter%</w:t>
        </w:r>
        <w:r w:rsidRPr="00EF751B">
          <w:rPr>
            <w:rStyle w:val="Hyperlink"/>
            <w:lang w:val="de-DE"/>
          </w:rPr>
          <w:t>20</w:t>
        </w:r>
        <w:r w:rsidRPr="00543556">
          <w:rPr>
            <w:rStyle w:val="Hyperlink"/>
            <w:lang w:val="de-DE"/>
          </w:rPr>
          <w:t>-%</w:t>
        </w:r>
        <w:r w:rsidRPr="00EF751B">
          <w:rPr>
            <w:rStyle w:val="Hyperlink"/>
            <w:lang w:val="de-DE"/>
          </w:rPr>
          <w:t>20</w:t>
        </w:r>
        <w:r w:rsidRPr="00543556">
          <w:rPr>
            <w:rStyle w:val="Hyperlink"/>
            <w:lang w:val="de-DE"/>
          </w:rPr>
          <w:t>VARHELYI.pdf</w:t>
        </w:r>
      </w:hyperlink>
      <w:r w:rsidRPr="00543556">
        <w:rPr>
          <w:lang w:val="de-DE"/>
        </w:rPr>
        <w:t>.</w:t>
      </w:r>
    </w:p>
  </w:footnote>
  <w:footnote w:id="19">
    <w:p w14:paraId="314776FD" w14:textId="77777777" w:rsidR="00922C2A" w:rsidRPr="00543556" w:rsidRDefault="00922C2A" w:rsidP="00922C2A">
      <w:pPr>
        <w:pStyle w:val="FootnoteText"/>
        <w:rPr>
          <w:lang w:val="fr-BE"/>
        </w:rPr>
      </w:pPr>
      <w:r>
        <w:rPr>
          <w:rStyle w:val="FootnoteReference"/>
        </w:rPr>
        <w:footnoteRef/>
      </w:r>
      <w:r w:rsidRPr="00543556">
        <w:rPr>
          <w:lang w:val="fr-BE"/>
        </w:rPr>
        <w:tab/>
      </w:r>
      <w:hyperlink r:id="rId23" w:history="1">
        <w:r w:rsidRPr="00543556">
          <w:rPr>
            <w:rStyle w:val="Hyperlink"/>
            <w:lang w:val="fr-BE"/>
          </w:rPr>
          <w:t>Union européenne de la santé — Commission européenne</w:t>
        </w:r>
      </w:hyperlink>
      <w:r w:rsidRPr="00543556">
        <w:rPr>
          <w:lang w:val="fr-BE"/>
        </w:rPr>
        <w:t>.</w:t>
      </w:r>
    </w:p>
  </w:footnote>
  <w:footnote w:id="20">
    <w:p w14:paraId="1DAC84AE" w14:textId="77777777" w:rsidR="00922C2A" w:rsidRPr="00543556" w:rsidRDefault="00922C2A" w:rsidP="00922C2A">
      <w:pPr>
        <w:pStyle w:val="FootnoteText"/>
        <w:rPr>
          <w:lang w:val="fr-BE"/>
        </w:rPr>
      </w:pPr>
      <w:r>
        <w:rPr>
          <w:rStyle w:val="FootnoteReference"/>
        </w:rPr>
        <w:footnoteRef/>
      </w:r>
      <w:r w:rsidRPr="00543556">
        <w:rPr>
          <w:lang w:val="fr-BE"/>
        </w:rPr>
        <w:tab/>
      </w:r>
      <w:hyperlink r:id="rId24" w:history="1">
        <w:r w:rsidRPr="00543556">
          <w:rPr>
            <w:rStyle w:val="Hyperlink"/>
            <w:lang w:val="fr-BE"/>
          </w:rPr>
          <w:t>Règlement européen sur les matières premières critiques</w:t>
        </w:r>
      </w:hyperlink>
      <w:r w:rsidRPr="00543556">
        <w:rPr>
          <w:lang w:val="fr-BE"/>
        </w:rPr>
        <w:t xml:space="preserve"> et </w:t>
      </w:r>
      <w:hyperlink r:id="rId25" w:history="1">
        <w:r w:rsidRPr="00543556">
          <w:rPr>
            <w:rStyle w:val="Hyperlink"/>
            <w:lang w:val="fr-BE"/>
          </w:rPr>
          <w:t>règlement pour une industrie «zéro net»</w:t>
        </w:r>
      </w:hyperlink>
      <w:r w:rsidRPr="00543556">
        <w:rPr>
          <w:lang w:val="fr-BE"/>
        </w:rPr>
        <w:t>, par exemple.</w:t>
      </w:r>
    </w:p>
  </w:footnote>
  <w:footnote w:id="21">
    <w:p w14:paraId="7E6AC699" w14:textId="77777777" w:rsidR="00922C2A" w:rsidRPr="00543556" w:rsidRDefault="00922C2A" w:rsidP="00922C2A">
      <w:pPr>
        <w:pStyle w:val="FootnoteText"/>
        <w:rPr>
          <w:lang w:val="fr-BE"/>
        </w:rPr>
      </w:pPr>
      <w:r>
        <w:rPr>
          <w:rStyle w:val="FootnoteReference"/>
        </w:rPr>
        <w:footnoteRef/>
      </w:r>
      <w:r w:rsidRPr="00543556">
        <w:rPr>
          <w:lang w:val="fr-BE"/>
        </w:rPr>
        <w:tab/>
      </w:r>
      <w:hyperlink r:id="rId26" w:history="1">
        <w:r w:rsidRPr="00543556">
          <w:rPr>
            <w:rStyle w:val="Hyperlink"/>
            <w:lang w:val="fr-BE"/>
          </w:rPr>
          <w:t>Médicaments orphelins — Commission européenne</w:t>
        </w:r>
      </w:hyperlink>
      <w:r w:rsidRPr="00543556">
        <w:rPr>
          <w:lang w:val="fr-BE"/>
        </w:rPr>
        <w:t>.</w:t>
      </w:r>
    </w:p>
  </w:footnote>
  <w:footnote w:id="22">
    <w:p w14:paraId="6151CF0B" w14:textId="77777777" w:rsidR="00922C2A" w:rsidRPr="00543556" w:rsidRDefault="00922C2A" w:rsidP="00922C2A">
      <w:pPr>
        <w:pStyle w:val="FootnoteText"/>
        <w:rPr>
          <w:lang w:val="fr-BE"/>
        </w:rPr>
      </w:pPr>
      <w:r>
        <w:rPr>
          <w:rStyle w:val="FootnoteReference"/>
        </w:rPr>
        <w:footnoteRef/>
      </w:r>
      <w:r w:rsidRPr="00543556">
        <w:rPr>
          <w:lang w:val="fr-BE"/>
        </w:rPr>
        <w:tab/>
      </w:r>
      <w:hyperlink r:id="rId27" w:history="1">
        <w:r w:rsidRPr="00543556">
          <w:rPr>
            <w:rStyle w:val="Hyperlink"/>
            <w:lang w:val="fr-BE"/>
          </w:rPr>
          <w:t>Traité sur l’Union européenne (version consolidée</w:t>
        </w:r>
      </w:hyperlink>
      <w:r w:rsidRPr="00543556">
        <w:rPr>
          <w:lang w:val="fr-BE"/>
        </w:rPr>
        <w:t>).</w:t>
      </w:r>
    </w:p>
  </w:footnote>
  <w:footnote w:id="23">
    <w:p w14:paraId="1A80D5C1" w14:textId="77777777" w:rsidR="00922C2A" w:rsidRPr="00543556" w:rsidRDefault="00922C2A" w:rsidP="00922C2A">
      <w:pPr>
        <w:pStyle w:val="FootnoteText"/>
        <w:rPr>
          <w:lang w:val="fr-BE"/>
        </w:rPr>
      </w:pPr>
      <w:r>
        <w:rPr>
          <w:rStyle w:val="FootnoteReference"/>
        </w:rPr>
        <w:footnoteRef/>
      </w:r>
      <w:r w:rsidRPr="00543556">
        <w:rPr>
          <w:lang w:val="fr-BE"/>
        </w:rPr>
        <w:tab/>
      </w:r>
      <w:hyperlink r:id="rId28" w:history="1">
        <w:r w:rsidRPr="00543556">
          <w:rPr>
            <w:rStyle w:val="Hyperlink"/>
            <w:lang w:val="fr-BE"/>
          </w:rPr>
          <w:t>Réforme de la législation pharmaceutique de l’UE — Commission européenne</w:t>
        </w:r>
      </w:hyperlink>
      <w:r w:rsidRPr="00543556">
        <w:rPr>
          <w:lang w:val="fr-BE"/>
        </w:rPr>
        <w:t>.</w:t>
      </w:r>
    </w:p>
  </w:footnote>
  <w:footnote w:id="24">
    <w:p w14:paraId="5B951126" w14:textId="77777777" w:rsidR="00922C2A" w:rsidRPr="00543556" w:rsidRDefault="00922C2A" w:rsidP="00922C2A">
      <w:pPr>
        <w:pStyle w:val="FootnoteText"/>
        <w:rPr>
          <w:lang w:val="fr-BE"/>
        </w:rPr>
      </w:pPr>
      <w:r>
        <w:rPr>
          <w:rStyle w:val="FootnoteReference"/>
        </w:rPr>
        <w:footnoteRef/>
      </w:r>
      <w:r w:rsidRPr="00543556">
        <w:rPr>
          <w:lang w:val="fr-BE"/>
        </w:rPr>
        <w:tab/>
      </w:r>
      <w:hyperlink r:id="rId29" w:history="1">
        <w:r w:rsidRPr="00543556">
          <w:rPr>
            <w:rStyle w:val="Hyperlink"/>
            <w:lang w:val="fr-BE"/>
          </w:rPr>
          <w:t>Une stratégie pharmaceutique pour l’Europe — Commission européenne (europa.eu)</w:t>
        </w:r>
      </w:hyperlink>
      <w:r w:rsidRPr="00543556">
        <w:rPr>
          <w:lang w:val="fr-BE"/>
        </w:rPr>
        <w:t>.</w:t>
      </w:r>
    </w:p>
  </w:footnote>
  <w:footnote w:id="25">
    <w:p w14:paraId="00BFB5F3" w14:textId="77777777" w:rsidR="00922C2A" w:rsidRPr="00543556" w:rsidRDefault="00922C2A" w:rsidP="00922C2A">
      <w:pPr>
        <w:pStyle w:val="FootnoteText"/>
        <w:rPr>
          <w:lang w:val="fr-BE"/>
        </w:rPr>
      </w:pPr>
      <w:r>
        <w:rPr>
          <w:rStyle w:val="FootnoteReference"/>
        </w:rPr>
        <w:footnoteRef/>
      </w:r>
      <w:r w:rsidRPr="00543556">
        <w:rPr>
          <w:lang w:val="fr-BE"/>
        </w:rPr>
        <w:tab/>
      </w:r>
      <w:hyperlink r:id="rId30" w:history="1">
        <w:r w:rsidRPr="00543556">
          <w:rPr>
            <w:rStyle w:val="Hyperlink"/>
            <w:lang w:val="fr-BE"/>
          </w:rPr>
          <w:t>Règlement COM(</w:t>
        </w:r>
        <w:r w:rsidRPr="00EF751B">
          <w:rPr>
            <w:rStyle w:val="Hyperlink"/>
            <w:lang w:val="fr-BE"/>
          </w:rPr>
          <w:t>2023</w:t>
        </w:r>
        <w:r w:rsidRPr="00543556">
          <w:rPr>
            <w:rStyle w:val="Hyperlink"/>
            <w:lang w:val="fr-BE"/>
          </w:rPr>
          <w:t xml:space="preserve">) </w:t>
        </w:r>
        <w:r w:rsidRPr="00EF751B">
          <w:rPr>
            <w:rStyle w:val="Hyperlink"/>
            <w:lang w:val="fr-BE"/>
          </w:rPr>
          <w:t>193</w:t>
        </w:r>
        <w:r w:rsidRPr="00543556">
          <w:rPr>
            <w:rStyle w:val="Hyperlink"/>
            <w:lang w:val="fr-BE"/>
          </w:rPr>
          <w:t xml:space="preserve"> final</w:t>
        </w:r>
      </w:hyperlink>
      <w:r w:rsidRPr="00543556">
        <w:rPr>
          <w:lang w:val="fr-BE"/>
        </w:rPr>
        <w:t>, chapitre X.</w:t>
      </w:r>
    </w:p>
  </w:footnote>
  <w:footnote w:id="26">
    <w:p w14:paraId="55B3E845" w14:textId="77777777" w:rsidR="00922C2A" w:rsidRPr="00543556" w:rsidRDefault="00922C2A" w:rsidP="00922C2A">
      <w:pPr>
        <w:pStyle w:val="FootnoteText"/>
        <w:rPr>
          <w:lang w:val="fr-BE"/>
        </w:rPr>
      </w:pPr>
      <w:r>
        <w:rPr>
          <w:rStyle w:val="FootnoteReference"/>
        </w:rPr>
        <w:footnoteRef/>
      </w:r>
      <w:r w:rsidRPr="00543556">
        <w:rPr>
          <w:lang w:val="fr-BE"/>
        </w:rPr>
        <w:tab/>
      </w:r>
      <w:hyperlink r:id="rId31" w:history="1">
        <w:r w:rsidRPr="00543556">
          <w:rPr>
            <w:rStyle w:val="Hyperlink"/>
            <w:lang w:val="fr-BE"/>
          </w:rPr>
          <w:t>Dialogue structuré sur la sécurité de l’approvisionnement en médicaments — Commission européenne</w:t>
        </w:r>
      </w:hyperlink>
      <w:r w:rsidRPr="00543556">
        <w:rPr>
          <w:lang w:val="fr-BE"/>
        </w:rPr>
        <w:t>.</w:t>
      </w:r>
    </w:p>
  </w:footnote>
  <w:footnote w:id="27">
    <w:p w14:paraId="71E2735C" w14:textId="77777777" w:rsidR="00922C2A" w:rsidRPr="00E0194A" w:rsidRDefault="00922C2A" w:rsidP="00922C2A">
      <w:pPr>
        <w:pStyle w:val="FootnoteText"/>
        <w:rPr>
          <w:rStyle w:val="Hyperlink"/>
          <w:lang w:val="en-US"/>
        </w:rPr>
      </w:pPr>
      <w:r>
        <w:rPr>
          <w:rStyle w:val="FootnoteReference"/>
        </w:rPr>
        <w:footnoteRef/>
      </w:r>
      <w:r w:rsidRPr="00E0194A">
        <w:rPr>
          <w:rStyle w:val="FootnoteReference"/>
          <w:lang w:val="en-US"/>
        </w:rPr>
        <w:tab/>
      </w:r>
      <w:hyperlink r:id="rId32" w:history="1">
        <w:r w:rsidRPr="00E0194A">
          <w:rPr>
            <w:rStyle w:val="Hyperlink"/>
            <w:lang w:val="en-US"/>
          </w:rPr>
          <w:t>mp_vulnerabilities_global-supply_swd_en.pdf (europa.eu)</w:t>
        </w:r>
      </w:hyperlink>
      <w:r w:rsidRPr="00E0194A">
        <w:rPr>
          <w:lang w:val="en-US"/>
        </w:rPr>
        <w:t>.</w:t>
      </w:r>
    </w:p>
  </w:footnote>
  <w:footnote w:id="28">
    <w:p w14:paraId="177082FD" w14:textId="77777777" w:rsidR="00922C2A" w:rsidRPr="00543556" w:rsidRDefault="00922C2A" w:rsidP="00922C2A">
      <w:pPr>
        <w:pStyle w:val="FootnoteText"/>
        <w:rPr>
          <w:lang w:val="fr-BE"/>
        </w:rPr>
      </w:pPr>
      <w:r>
        <w:rPr>
          <w:rStyle w:val="FootnoteReference"/>
        </w:rPr>
        <w:footnoteRef/>
      </w:r>
      <w:r w:rsidRPr="00543556">
        <w:rPr>
          <w:lang w:val="fr-BE"/>
        </w:rPr>
        <w:tab/>
      </w:r>
      <w:hyperlink r:id="rId33" w:history="1">
        <w:r w:rsidRPr="00543556">
          <w:rPr>
            <w:rStyle w:val="Hyperlink"/>
            <w:lang w:val="fr-BE"/>
          </w:rPr>
          <w:t xml:space="preserve">Règlement (UE) </w:t>
        </w:r>
        <w:r w:rsidRPr="00EF751B">
          <w:rPr>
            <w:rStyle w:val="Hyperlink"/>
            <w:lang w:val="fr-BE"/>
          </w:rPr>
          <w:t>2022</w:t>
        </w:r>
        <w:r w:rsidRPr="00543556">
          <w:rPr>
            <w:rStyle w:val="Hyperlink"/>
            <w:lang w:val="fr-BE"/>
          </w:rPr>
          <w:t>/</w:t>
        </w:r>
        <w:r w:rsidRPr="00EF751B">
          <w:rPr>
            <w:rStyle w:val="Hyperlink"/>
            <w:lang w:val="fr-BE"/>
          </w:rPr>
          <w:t>123</w:t>
        </w:r>
        <w:r w:rsidRPr="00543556">
          <w:rPr>
            <w:rStyle w:val="Hyperlink"/>
            <w:lang w:val="fr-BE"/>
          </w:rPr>
          <w:t xml:space="preserve"> du Parlement européen et du Conseil du </w:t>
        </w:r>
        <w:r w:rsidRPr="00EF751B">
          <w:rPr>
            <w:rStyle w:val="Hyperlink"/>
            <w:lang w:val="fr-BE"/>
          </w:rPr>
          <w:t>25</w:t>
        </w:r>
        <w:r w:rsidRPr="00543556">
          <w:rPr>
            <w:rStyle w:val="Hyperlink"/>
            <w:lang w:val="fr-BE"/>
          </w:rPr>
          <w:t xml:space="preserve"> janvier </w:t>
        </w:r>
        <w:r w:rsidRPr="00EF751B">
          <w:rPr>
            <w:rStyle w:val="Hyperlink"/>
            <w:lang w:val="fr-BE"/>
          </w:rPr>
          <w:t>2022</w:t>
        </w:r>
        <w:r w:rsidRPr="00543556">
          <w:rPr>
            <w:rStyle w:val="Hyperlink"/>
            <w:lang w:val="fr-BE"/>
          </w:rPr>
          <w:t xml:space="preserve"> relatif à un rôle renforcé de l’Agence européenne des médicaments dans la préparation aux crises et la gestion de celles-ci en ce qui concerne les médicaments et les dispositifs médicaux</w:t>
        </w:r>
      </w:hyperlink>
      <w:r w:rsidRPr="00543556">
        <w:rPr>
          <w:lang w:val="fr-BE"/>
        </w:rPr>
        <w:t>.</w:t>
      </w:r>
    </w:p>
  </w:footnote>
  <w:footnote w:id="29">
    <w:p w14:paraId="525DF369" w14:textId="77777777" w:rsidR="00922C2A" w:rsidRPr="00543556" w:rsidRDefault="00922C2A" w:rsidP="00922C2A">
      <w:pPr>
        <w:pStyle w:val="FootnoteText"/>
        <w:rPr>
          <w:lang w:val="fr-BE"/>
        </w:rPr>
      </w:pPr>
      <w:r>
        <w:rPr>
          <w:rStyle w:val="FootnoteReference"/>
        </w:rPr>
        <w:footnoteRef/>
      </w:r>
      <w:r w:rsidRPr="00543556">
        <w:rPr>
          <w:lang w:val="fr-BE"/>
        </w:rPr>
        <w:tab/>
      </w:r>
      <w:hyperlink r:id="rId34" w:history="1">
        <w:r w:rsidRPr="00543556">
          <w:rPr>
            <w:rStyle w:val="Hyperlink"/>
            <w:lang w:val="fr-BE"/>
          </w:rPr>
          <w:t>Plateforme européenne de surveillance des pénuries |</w:t>
        </w:r>
      </w:hyperlink>
      <w:hyperlink r:id="rId35" w:history="1">
        <w:r w:rsidRPr="00543556">
          <w:rPr>
            <w:rStyle w:val="Hyperlink"/>
            <w:lang w:val="fr-BE"/>
          </w:rPr>
          <w:t xml:space="preserve"> Agence européenne des médicaments (EMA)</w:t>
        </w:r>
      </w:hyperlink>
      <w:r w:rsidRPr="00543556">
        <w:rPr>
          <w:lang w:val="fr-BE"/>
        </w:rPr>
        <w:t xml:space="preserve"> — Plateforme pleinement opérationnelle depuis janvier </w:t>
      </w:r>
      <w:r w:rsidRPr="00EF751B">
        <w:rPr>
          <w:lang w:val="fr-BE"/>
        </w:rPr>
        <w:t>2025</w:t>
      </w:r>
      <w:r w:rsidRPr="00543556">
        <w:rPr>
          <w:lang w:val="fr-BE"/>
        </w:rPr>
        <w:t xml:space="preserve">. </w:t>
      </w:r>
    </w:p>
  </w:footnote>
  <w:footnote w:id="30">
    <w:p w14:paraId="794FD244" w14:textId="77777777" w:rsidR="00922C2A" w:rsidRPr="00543556" w:rsidRDefault="00922C2A" w:rsidP="00922C2A">
      <w:pPr>
        <w:pStyle w:val="FootnoteText"/>
        <w:rPr>
          <w:lang w:val="fr-BE"/>
        </w:rPr>
      </w:pPr>
      <w:r>
        <w:rPr>
          <w:rStyle w:val="FootnoteReference"/>
        </w:rPr>
        <w:footnoteRef/>
      </w:r>
      <w:r w:rsidRPr="00543556">
        <w:rPr>
          <w:lang w:val="fr-BE"/>
        </w:rPr>
        <w:tab/>
      </w:r>
      <w:hyperlink r:id="rId36" w:history="1">
        <w:r w:rsidRPr="00543556">
          <w:rPr>
            <w:rStyle w:val="Hyperlink"/>
            <w:lang w:val="fr-BE"/>
          </w:rPr>
          <w:t xml:space="preserve">Règlement - </w:t>
        </w:r>
        <w:r w:rsidRPr="00EF751B">
          <w:rPr>
            <w:rStyle w:val="Hyperlink"/>
            <w:lang w:val="fr-BE"/>
          </w:rPr>
          <w:t>2022</w:t>
        </w:r>
        <w:r w:rsidRPr="00543556">
          <w:rPr>
            <w:rStyle w:val="Hyperlink"/>
            <w:lang w:val="fr-BE"/>
          </w:rPr>
          <w:t>/</w:t>
        </w:r>
        <w:r w:rsidRPr="00EF751B">
          <w:rPr>
            <w:rStyle w:val="Hyperlink"/>
            <w:lang w:val="fr-BE"/>
          </w:rPr>
          <w:t>2371</w:t>
        </w:r>
        <w:r w:rsidRPr="00543556">
          <w:rPr>
            <w:rStyle w:val="Hyperlink"/>
            <w:lang w:val="fr-BE"/>
          </w:rPr>
          <w:t xml:space="preserve"> - FR - EUR-Lex</w:t>
        </w:r>
      </w:hyperlink>
      <w:r w:rsidRPr="00543556">
        <w:rPr>
          <w:lang w:val="fr-BE"/>
        </w:rPr>
        <w:t>.</w:t>
      </w:r>
    </w:p>
  </w:footnote>
  <w:footnote w:id="31">
    <w:p w14:paraId="064273B7" w14:textId="77777777" w:rsidR="00922C2A" w:rsidRPr="00543556" w:rsidRDefault="00922C2A" w:rsidP="00922C2A">
      <w:pPr>
        <w:pStyle w:val="FootnoteText"/>
        <w:rPr>
          <w:lang w:val="fr-BE"/>
        </w:rPr>
      </w:pPr>
      <w:r>
        <w:rPr>
          <w:rStyle w:val="FootnoteReference"/>
        </w:rPr>
        <w:footnoteRef/>
      </w:r>
      <w:r w:rsidRPr="00543556">
        <w:rPr>
          <w:lang w:val="fr-BE"/>
        </w:rPr>
        <w:tab/>
      </w:r>
      <w:hyperlink r:id="rId37" w:history="1">
        <w:r w:rsidRPr="00543556">
          <w:rPr>
            <w:rStyle w:val="Hyperlink"/>
            <w:lang w:val="fr-BE"/>
          </w:rPr>
          <w:t xml:space="preserve">Règlement - </w:t>
        </w:r>
        <w:r w:rsidRPr="00EF751B">
          <w:rPr>
            <w:rStyle w:val="Hyperlink"/>
            <w:lang w:val="fr-BE"/>
          </w:rPr>
          <w:t>2022</w:t>
        </w:r>
        <w:r w:rsidRPr="00543556">
          <w:rPr>
            <w:rStyle w:val="Hyperlink"/>
            <w:lang w:val="fr-BE"/>
          </w:rPr>
          <w:t>/</w:t>
        </w:r>
        <w:r w:rsidRPr="00EF751B">
          <w:rPr>
            <w:rStyle w:val="Hyperlink"/>
            <w:lang w:val="fr-BE"/>
          </w:rPr>
          <w:t>2372</w:t>
        </w:r>
        <w:r w:rsidRPr="00543556">
          <w:rPr>
            <w:rStyle w:val="Hyperlink"/>
            <w:lang w:val="fr-BE"/>
          </w:rPr>
          <w:t xml:space="preserve"> - FR - EUR-Lex</w:t>
        </w:r>
      </w:hyperlink>
      <w:r w:rsidRPr="00543556">
        <w:rPr>
          <w:lang w:val="fr-BE"/>
        </w:rPr>
        <w:t>.</w:t>
      </w:r>
    </w:p>
  </w:footnote>
  <w:footnote w:id="32">
    <w:p w14:paraId="3E5DF472" w14:textId="77777777" w:rsidR="00922C2A" w:rsidRPr="00543556" w:rsidRDefault="00922C2A" w:rsidP="00922C2A">
      <w:pPr>
        <w:pStyle w:val="FootnoteText"/>
        <w:rPr>
          <w:lang w:val="fr-BE"/>
        </w:rPr>
      </w:pPr>
      <w:r>
        <w:rPr>
          <w:rStyle w:val="FootnoteReference"/>
        </w:rPr>
        <w:footnoteRef/>
      </w:r>
      <w:r w:rsidRPr="00543556">
        <w:rPr>
          <w:lang w:val="fr-BE"/>
        </w:rPr>
        <w:tab/>
      </w:r>
      <w:hyperlink r:id="rId38" w:history="1">
        <w:r w:rsidRPr="00543556">
          <w:rPr>
            <w:rStyle w:val="Hyperlink"/>
            <w:lang w:val="fr-BE"/>
          </w:rPr>
          <w:t xml:space="preserve">Règlement - </w:t>
        </w:r>
        <w:r w:rsidRPr="00EF751B">
          <w:rPr>
            <w:rStyle w:val="Hyperlink"/>
            <w:lang w:val="fr-BE"/>
          </w:rPr>
          <w:t>2021</w:t>
        </w:r>
        <w:r w:rsidRPr="00543556">
          <w:rPr>
            <w:rStyle w:val="Hyperlink"/>
            <w:lang w:val="fr-BE"/>
          </w:rPr>
          <w:t>/</w:t>
        </w:r>
        <w:r w:rsidRPr="00EF751B">
          <w:rPr>
            <w:rStyle w:val="Hyperlink"/>
            <w:lang w:val="fr-BE"/>
          </w:rPr>
          <w:t>2282</w:t>
        </w:r>
        <w:r w:rsidRPr="00543556">
          <w:rPr>
            <w:rStyle w:val="Hyperlink"/>
            <w:lang w:val="fr-BE"/>
          </w:rPr>
          <w:t xml:space="preserve"> - FR - EUR-Lex</w:t>
        </w:r>
      </w:hyperlink>
      <w:r w:rsidRPr="00543556">
        <w:rPr>
          <w:lang w:val="fr-BE"/>
        </w:rPr>
        <w:t>.</w:t>
      </w:r>
    </w:p>
  </w:footnote>
  <w:footnote w:id="33">
    <w:p w14:paraId="35777F66" w14:textId="77777777" w:rsidR="00922C2A" w:rsidRPr="00543556" w:rsidRDefault="00922C2A" w:rsidP="00922C2A">
      <w:pPr>
        <w:pStyle w:val="FootnoteText"/>
        <w:rPr>
          <w:lang w:val="fr-BE"/>
        </w:rPr>
      </w:pPr>
      <w:r>
        <w:rPr>
          <w:rStyle w:val="FootnoteReference"/>
        </w:rPr>
        <w:footnoteRef/>
      </w:r>
      <w:r w:rsidRPr="00543556">
        <w:rPr>
          <w:lang w:val="fr-BE"/>
        </w:rPr>
        <w:tab/>
      </w:r>
      <w:hyperlink r:id="rId39" w:history="1">
        <w:r w:rsidRPr="00543556">
          <w:rPr>
            <w:rStyle w:val="Hyperlink"/>
            <w:lang w:val="fr-BE"/>
          </w:rPr>
          <w:t>Alliance pour les médicaments critiques — Commission européenne</w:t>
        </w:r>
      </w:hyperlink>
      <w:r w:rsidRPr="00543556">
        <w:rPr>
          <w:lang w:val="fr-BE"/>
        </w:rPr>
        <w:t>.</w:t>
      </w:r>
    </w:p>
  </w:footnote>
  <w:footnote w:id="34">
    <w:p w14:paraId="445F388E" w14:textId="77777777" w:rsidR="00922C2A" w:rsidRPr="00543556" w:rsidRDefault="00922C2A" w:rsidP="00922C2A">
      <w:pPr>
        <w:pStyle w:val="FootnoteText"/>
        <w:rPr>
          <w:lang w:val="fr-BE"/>
        </w:rPr>
      </w:pPr>
      <w:r>
        <w:rPr>
          <w:rStyle w:val="FootnoteReference"/>
        </w:rPr>
        <w:footnoteRef/>
      </w:r>
      <w:r w:rsidRPr="00543556">
        <w:rPr>
          <w:lang w:val="fr-BE"/>
        </w:rPr>
        <w:tab/>
        <w:t xml:space="preserve">Une boussole pour la compétitivité qui comprend de nouveaux plans pour la prospérité et la compétitivité durables de l’Europe. Voir également: </w:t>
      </w:r>
      <w:hyperlink r:id="rId40" w:history="1">
        <w:r w:rsidRPr="00543556">
          <w:rPr>
            <w:rStyle w:val="Hyperlink"/>
            <w:lang w:val="fr-BE"/>
          </w:rPr>
          <w:t>Compétitivité — Commission européenne</w:t>
        </w:r>
      </w:hyperlink>
      <w:r w:rsidRPr="00543556">
        <w:rPr>
          <w:lang w:val="fr-BE"/>
        </w:rPr>
        <w:t>.</w:t>
      </w:r>
    </w:p>
  </w:footnote>
  <w:footnote w:id="35">
    <w:p w14:paraId="14098AE3" w14:textId="77777777" w:rsidR="00922C2A" w:rsidRPr="00543556" w:rsidRDefault="00922C2A" w:rsidP="00922C2A">
      <w:pPr>
        <w:pStyle w:val="FootnoteText"/>
        <w:rPr>
          <w:lang w:val="fr-BE"/>
        </w:rPr>
      </w:pPr>
      <w:r>
        <w:rPr>
          <w:rStyle w:val="FootnoteReference"/>
        </w:rPr>
        <w:footnoteRef/>
      </w:r>
      <w:r w:rsidRPr="00543556">
        <w:rPr>
          <w:lang w:val="fr-BE"/>
        </w:rPr>
        <w:tab/>
        <w:t xml:space="preserve">Voir également le </w:t>
      </w:r>
      <w:hyperlink r:id="rId41" w:history="1">
        <w:r w:rsidRPr="00543556">
          <w:rPr>
            <w:rStyle w:val="Hyperlink"/>
            <w:lang w:val="fr-BE"/>
          </w:rPr>
          <w:t>chapitre </w:t>
        </w:r>
        <w:r w:rsidRPr="00EF751B">
          <w:rPr>
            <w:rStyle w:val="Hyperlink"/>
            <w:lang w:val="fr-BE"/>
          </w:rPr>
          <w:t>1</w:t>
        </w:r>
        <w:r w:rsidRPr="00543556">
          <w:rPr>
            <w:rStyle w:val="Hyperlink"/>
            <w:lang w:val="fr-BE"/>
          </w:rPr>
          <w:t>.</w:t>
        </w:r>
      </w:hyperlink>
      <w:hyperlink r:id="rId42" w:history="1">
        <w:r w:rsidRPr="00543556">
          <w:rPr>
            <w:rStyle w:val="Hyperlink"/>
            <w:lang w:val="fr-BE"/>
          </w:rPr>
          <w:t xml:space="preserve"> Les médicaments - un écosystème solide à un carrefour important (stratégie pharmaceutique pour l’Europe). </w:t>
        </w:r>
      </w:hyperlink>
    </w:p>
  </w:footnote>
  <w:footnote w:id="36">
    <w:p w14:paraId="4D21DE23" w14:textId="77777777" w:rsidR="00922C2A" w:rsidRPr="00543556" w:rsidRDefault="00922C2A" w:rsidP="00922C2A">
      <w:pPr>
        <w:pStyle w:val="FootnoteText"/>
        <w:rPr>
          <w:lang w:val="fr-BE"/>
        </w:rPr>
      </w:pPr>
      <w:r>
        <w:rPr>
          <w:rStyle w:val="FootnoteReference"/>
        </w:rPr>
        <w:footnoteRef/>
      </w:r>
      <w:r w:rsidRPr="00543556">
        <w:rPr>
          <w:lang w:val="fr-BE"/>
        </w:rPr>
        <w:tab/>
      </w:r>
      <w:hyperlink r:id="rId43" w:history="1">
        <w:r w:rsidRPr="00543556">
          <w:rPr>
            <w:rStyle w:val="Hyperlink"/>
            <w:lang w:val="fr-BE"/>
          </w:rPr>
          <w:t xml:space="preserve">Règlement (UE) </w:t>
        </w:r>
        <w:r w:rsidRPr="00EF751B">
          <w:rPr>
            <w:rStyle w:val="Hyperlink"/>
            <w:lang w:val="fr-BE"/>
          </w:rPr>
          <w:t>2021</w:t>
        </w:r>
        <w:r w:rsidRPr="00543556">
          <w:rPr>
            <w:rStyle w:val="Hyperlink"/>
            <w:lang w:val="fr-BE"/>
          </w:rPr>
          <w:t>/</w:t>
        </w:r>
        <w:r w:rsidRPr="00EF751B">
          <w:rPr>
            <w:rStyle w:val="Hyperlink"/>
            <w:lang w:val="fr-BE"/>
          </w:rPr>
          <w:t>695</w:t>
        </w:r>
        <w:r w:rsidRPr="00543556">
          <w:rPr>
            <w:rStyle w:val="Hyperlink"/>
            <w:lang w:val="fr-BE"/>
          </w:rPr>
          <w:t xml:space="preserve"> du Parlement européen et du Conseil du </w:t>
        </w:r>
        <w:r w:rsidRPr="00EF751B">
          <w:rPr>
            <w:rStyle w:val="Hyperlink"/>
            <w:lang w:val="fr-BE"/>
          </w:rPr>
          <w:t>28</w:t>
        </w:r>
        <w:r w:rsidRPr="00543556">
          <w:rPr>
            <w:rStyle w:val="Hyperlink"/>
            <w:lang w:val="fr-BE"/>
          </w:rPr>
          <w:t xml:space="preserve"> avril </w:t>
        </w:r>
        <w:r w:rsidRPr="00EF751B">
          <w:rPr>
            <w:rStyle w:val="Hyperlink"/>
            <w:lang w:val="fr-BE"/>
          </w:rPr>
          <w:t>2021</w:t>
        </w:r>
        <w:r w:rsidRPr="00543556">
          <w:rPr>
            <w:rStyle w:val="Hyperlink"/>
            <w:lang w:val="fr-BE"/>
          </w:rPr>
          <w:t xml:space="preserve"> portant établissement du programme-cadre pour la recherche et l’innovation «Horizon Europe»</w:t>
        </w:r>
      </w:hyperlink>
      <w:r w:rsidRPr="00543556">
        <w:rPr>
          <w:lang w:val="fr-BE"/>
        </w:rPr>
        <w:t>.</w:t>
      </w:r>
    </w:p>
  </w:footnote>
  <w:footnote w:id="37">
    <w:p w14:paraId="2753BCFB" w14:textId="77777777" w:rsidR="00922C2A" w:rsidRPr="00543556" w:rsidRDefault="00922C2A" w:rsidP="00922C2A">
      <w:pPr>
        <w:pStyle w:val="FootnoteText"/>
        <w:rPr>
          <w:lang w:val="fr-BE"/>
        </w:rPr>
      </w:pPr>
      <w:r>
        <w:rPr>
          <w:rStyle w:val="FootnoteReference"/>
        </w:rPr>
        <w:footnoteRef/>
      </w:r>
      <w:r w:rsidRPr="00543556">
        <w:rPr>
          <w:lang w:val="fr-BE"/>
        </w:rPr>
        <w:tab/>
      </w:r>
      <w:hyperlink r:id="rId44" w:history="1">
        <w:r w:rsidRPr="00543556">
          <w:rPr>
            <w:rStyle w:val="Hyperlink"/>
            <w:lang w:val="fr-BE"/>
          </w:rPr>
          <w:t>Une nouvelle stratégie industrielle pour l’Europe</w:t>
        </w:r>
      </w:hyperlink>
      <w:r w:rsidRPr="00543556">
        <w:rPr>
          <w:lang w:val="fr-BE"/>
        </w:rPr>
        <w:t>.</w:t>
      </w:r>
    </w:p>
  </w:footnote>
  <w:footnote w:id="38">
    <w:p w14:paraId="5285C1F9" w14:textId="77777777" w:rsidR="00922C2A" w:rsidRPr="00543556" w:rsidRDefault="00922C2A" w:rsidP="00922C2A">
      <w:pPr>
        <w:pStyle w:val="FootnoteText"/>
        <w:rPr>
          <w:lang w:val="fr-BE"/>
        </w:rPr>
      </w:pPr>
      <w:r>
        <w:rPr>
          <w:rStyle w:val="FootnoteReference"/>
        </w:rPr>
        <w:footnoteRef/>
      </w:r>
      <w:r w:rsidRPr="00543556">
        <w:rPr>
          <w:lang w:val="fr-BE"/>
        </w:rPr>
        <w:tab/>
      </w:r>
      <w:hyperlink r:id="rId45" w:history="1">
        <w:r w:rsidRPr="00543556">
          <w:rPr>
            <w:rStyle w:val="Hyperlink"/>
            <w:lang w:val="fr-BE"/>
          </w:rPr>
          <w:t>Pacte pour une industrie propre — Commission européenne</w:t>
        </w:r>
      </w:hyperlink>
      <w:r w:rsidRPr="00543556">
        <w:rPr>
          <w:lang w:val="fr-BE"/>
        </w:rPr>
        <w:t>.</w:t>
      </w:r>
    </w:p>
  </w:footnote>
  <w:footnote w:id="39">
    <w:p w14:paraId="706F50A9" w14:textId="77777777" w:rsidR="00922C2A" w:rsidRPr="00543556" w:rsidRDefault="00922C2A" w:rsidP="00922C2A">
      <w:pPr>
        <w:pStyle w:val="FootnoteText"/>
        <w:rPr>
          <w:lang w:val="fr-BE"/>
        </w:rPr>
      </w:pPr>
      <w:r>
        <w:rPr>
          <w:rStyle w:val="FootnoteReference"/>
        </w:rPr>
        <w:footnoteRef/>
      </w:r>
      <w:r w:rsidRPr="00543556">
        <w:rPr>
          <w:lang w:val="fr-BE"/>
        </w:rPr>
        <w:tab/>
      </w:r>
      <w:hyperlink r:id="rId46" w:history="1">
        <w:r w:rsidRPr="00543556">
          <w:rPr>
            <w:rStyle w:val="Hyperlink"/>
            <w:lang w:val="fr-BE"/>
          </w:rPr>
          <w:t>Règlement financier de l’UE — Commission européenne</w:t>
        </w:r>
      </w:hyperlink>
      <w:r w:rsidRPr="00543556">
        <w:rPr>
          <w:lang w:val="fr-BE"/>
        </w:rPr>
        <w:t>.</w:t>
      </w:r>
    </w:p>
  </w:footnote>
  <w:footnote w:id="40">
    <w:p w14:paraId="7976501D" w14:textId="77777777" w:rsidR="00922C2A" w:rsidRPr="00543556" w:rsidRDefault="00922C2A" w:rsidP="00922C2A">
      <w:pPr>
        <w:pStyle w:val="FootnoteText"/>
        <w:rPr>
          <w:lang w:val="fr-BE"/>
        </w:rPr>
      </w:pPr>
      <w:r>
        <w:rPr>
          <w:rStyle w:val="FootnoteReference"/>
        </w:rPr>
        <w:footnoteRef/>
      </w:r>
      <w:r w:rsidRPr="00543556">
        <w:rPr>
          <w:lang w:val="fr-BE"/>
        </w:rPr>
        <w:tab/>
      </w:r>
      <w:hyperlink r:id="rId47" w:history="1">
        <w:r w:rsidRPr="00543556">
          <w:rPr>
            <w:rStyle w:val="Hyperlink"/>
            <w:lang w:val="fr-BE"/>
          </w:rPr>
          <w:t>La Commission lance un appel à contributions et une consultation publique sur l’évaluation des directives sur la passation des marchés publics — Commission européenne</w:t>
        </w:r>
      </w:hyperlink>
      <w:r w:rsidRPr="00543556">
        <w:rPr>
          <w:lang w:val="fr-BE"/>
        </w:rPr>
        <w:t>.</w:t>
      </w:r>
    </w:p>
  </w:footnote>
  <w:footnote w:id="41">
    <w:p w14:paraId="4AEC57F4" w14:textId="77777777" w:rsidR="00922C2A" w:rsidRPr="00543556" w:rsidRDefault="00922C2A" w:rsidP="00922C2A">
      <w:pPr>
        <w:pStyle w:val="FootnoteText"/>
        <w:rPr>
          <w:lang w:val="fr-BE"/>
        </w:rPr>
      </w:pPr>
      <w:r>
        <w:rPr>
          <w:rStyle w:val="FootnoteReference"/>
        </w:rPr>
        <w:footnoteRef/>
      </w:r>
      <w:r w:rsidRPr="00543556">
        <w:rPr>
          <w:lang w:val="fr-BE"/>
        </w:rPr>
        <w:tab/>
      </w:r>
      <w:hyperlink r:id="rId48" w:history="1">
        <w:r w:rsidRPr="00543556">
          <w:rPr>
            <w:rStyle w:val="Hyperlink"/>
            <w:lang w:val="fr-BE"/>
          </w:rPr>
          <w:t xml:space="preserve">La Commission simplifie les règles en matière de durabilité et d’investissements de l’UE et réduit les charges administratives pour un montant de plus de </w:t>
        </w:r>
        <w:r w:rsidRPr="00EF751B">
          <w:rPr>
            <w:rStyle w:val="Hyperlink"/>
            <w:lang w:val="fr-BE"/>
          </w:rPr>
          <w:t>6</w:t>
        </w:r>
        <w:r w:rsidRPr="00543556">
          <w:rPr>
            <w:rStyle w:val="Hyperlink"/>
            <w:lang w:val="fr-BE"/>
          </w:rPr>
          <w:t> milliards d’euros — Commission européenne</w:t>
        </w:r>
      </w:hyperlink>
      <w:r w:rsidRPr="00543556">
        <w:rPr>
          <w:lang w:val="fr-BE"/>
        </w:rPr>
        <w:t>.</w:t>
      </w:r>
    </w:p>
  </w:footnote>
  <w:footnote w:id="42">
    <w:p w14:paraId="67F70960" w14:textId="77777777" w:rsidR="00922C2A" w:rsidRPr="00543556" w:rsidRDefault="00922C2A" w:rsidP="00922C2A">
      <w:pPr>
        <w:pStyle w:val="FootnoteText"/>
        <w:rPr>
          <w:lang w:val="fr-BE"/>
        </w:rPr>
      </w:pPr>
      <w:r>
        <w:rPr>
          <w:rStyle w:val="FootnoteReference"/>
        </w:rPr>
        <w:footnoteRef/>
      </w:r>
      <w:r w:rsidRPr="00543556">
        <w:rPr>
          <w:lang w:val="fr-BE"/>
        </w:rPr>
        <w:tab/>
      </w:r>
      <w:hyperlink r:id="rId49" w:history="1">
        <w:r w:rsidRPr="00543556">
          <w:rPr>
            <w:rStyle w:val="Hyperlink"/>
            <w:lang w:val="fr-BE"/>
          </w:rPr>
          <w:t xml:space="preserve">Règlement (UE) </w:t>
        </w:r>
        <w:r w:rsidRPr="00EF751B">
          <w:rPr>
            <w:rStyle w:val="Hyperlink"/>
            <w:lang w:val="fr-BE"/>
          </w:rPr>
          <w:t>2024</w:t>
        </w:r>
        <w:r w:rsidRPr="00543556">
          <w:rPr>
            <w:rStyle w:val="Hyperlink"/>
            <w:lang w:val="fr-BE"/>
          </w:rPr>
          <w:t>/</w:t>
        </w:r>
        <w:r w:rsidRPr="00EF751B">
          <w:rPr>
            <w:rStyle w:val="Hyperlink"/>
            <w:lang w:val="fr-BE"/>
          </w:rPr>
          <w:t>1689</w:t>
        </w:r>
        <w:r w:rsidRPr="00543556">
          <w:rPr>
            <w:rStyle w:val="Hyperlink"/>
            <w:lang w:val="fr-BE"/>
          </w:rPr>
          <w:t xml:space="preserve"> du Parlement européen et du Conseil du </w:t>
        </w:r>
        <w:r w:rsidRPr="00EF751B">
          <w:rPr>
            <w:rStyle w:val="Hyperlink"/>
            <w:lang w:val="fr-BE"/>
          </w:rPr>
          <w:t>13</w:t>
        </w:r>
        <w:r w:rsidRPr="00543556">
          <w:rPr>
            <w:rStyle w:val="Hyperlink"/>
            <w:lang w:val="fr-BE"/>
          </w:rPr>
          <w:t xml:space="preserve"> juin </w:t>
        </w:r>
        <w:r w:rsidRPr="00EF751B">
          <w:rPr>
            <w:rStyle w:val="Hyperlink"/>
            <w:lang w:val="fr-BE"/>
          </w:rPr>
          <w:t>2024</w:t>
        </w:r>
        <w:r w:rsidRPr="00543556">
          <w:rPr>
            <w:rStyle w:val="Hyperlink"/>
            <w:lang w:val="fr-BE"/>
          </w:rPr>
          <w:t xml:space="preserve"> établissant des règles harmonisées concernant l’intelligence artificielle</w:t>
        </w:r>
      </w:hyperlink>
      <w:r w:rsidRPr="00543556">
        <w:rPr>
          <w:lang w:val="fr-BE"/>
        </w:rPr>
        <w:t>.</w:t>
      </w:r>
    </w:p>
  </w:footnote>
  <w:footnote w:id="43">
    <w:p w14:paraId="0B2F8AA2" w14:textId="77777777" w:rsidR="00922C2A" w:rsidRPr="00543556" w:rsidRDefault="00922C2A" w:rsidP="00922C2A">
      <w:pPr>
        <w:pStyle w:val="FootnoteText"/>
        <w:rPr>
          <w:lang w:val="fr-BE"/>
        </w:rPr>
      </w:pPr>
      <w:r>
        <w:rPr>
          <w:rStyle w:val="FootnoteReference"/>
        </w:rPr>
        <w:footnoteRef/>
      </w:r>
      <w:r w:rsidRPr="00543556">
        <w:rPr>
          <w:lang w:val="fr-BE"/>
        </w:rPr>
        <w:tab/>
      </w:r>
      <w:hyperlink r:id="rId50" w:history="1">
        <w:r w:rsidRPr="00543556">
          <w:rPr>
            <w:rStyle w:val="Hyperlink"/>
            <w:lang w:val="fr-BE"/>
          </w:rPr>
          <w:t xml:space="preserve">Directive (UE) </w:t>
        </w:r>
        <w:r w:rsidRPr="00EF751B">
          <w:rPr>
            <w:rStyle w:val="Hyperlink"/>
            <w:lang w:val="fr-BE"/>
          </w:rPr>
          <w:t>2022</w:t>
        </w:r>
        <w:r w:rsidRPr="00543556">
          <w:rPr>
            <w:rStyle w:val="Hyperlink"/>
            <w:lang w:val="fr-BE"/>
          </w:rPr>
          <w:t>/</w:t>
        </w:r>
        <w:r w:rsidRPr="00EF751B">
          <w:rPr>
            <w:rStyle w:val="Hyperlink"/>
            <w:lang w:val="fr-BE"/>
          </w:rPr>
          <w:t>2555</w:t>
        </w:r>
        <w:r w:rsidRPr="00543556">
          <w:rPr>
            <w:rStyle w:val="Hyperlink"/>
            <w:lang w:val="fr-BE"/>
          </w:rPr>
          <w:t xml:space="preserve"> du Parlement européen et du Conseil du </w:t>
        </w:r>
        <w:r w:rsidRPr="00EF751B">
          <w:rPr>
            <w:rStyle w:val="Hyperlink"/>
            <w:lang w:val="fr-BE"/>
          </w:rPr>
          <w:t>14</w:t>
        </w:r>
        <w:r w:rsidRPr="00543556">
          <w:rPr>
            <w:rStyle w:val="Hyperlink"/>
            <w:lang w:val="fr-BE"/>
          </w:rPr>
          <w:t xml:space="preserve"> décembre </w:t>
        </w:r>
        <w:r w:rsidRPr="00EF751B">
          <w:rPr>
            <w:rStyle w:val="Hyperlink"/>
            <w:lang w:val="fr-BE"/>
          </w:rPr>
          <w:t>2022</w:t>
        </w:r>
        <w:r w:rsidRPr="00543556">
          <w:rPr>
            <w:rStyle w:val="Hyperlink"/>
            <w:lang w:val="fr-BE"/>
          </w:rPr>
          <w:t xml:space="preserve"> concernant des mesures destinées à assurer un niveau élevé commun de cybersécurité dans l’ensemble de l’Union, modifiant le règlement (UE) nº </w:t>
        </w:r>
        <w:r w:rsidRPr="00EF751B">
          <w:rPr>
            <w:rStyle w:val="Hyperlink"/>
            <w:lang w:val="fr-BE"/>
          </w:rPr>
          <w:t>910</w:t>
        </w:r>
        <w:r w:rsidRPr="00543556">
          <w:rPr>
            <w:rStyle w:val="Hyperlink"/>
            <w:lang w:val="fr-BE"/>
          </w:rPr>
          <w:t>/</w:t>
        </w:r>
        <w:r w:rsidRPr="00EF751B">
          <w:rPr>
            <w:rStyle w:val="Hyperlink"/>
            <w:lang w:val="fr-BE"/>
          </w:rPr>
          <w:t>2014</w:t>
        </w:r>
        <w:r w:rsidRPr="00543556">
          <w:rPr>
            <w:rStyle w:val="Hyperlink"/>
            <w:lang w:val="fr-BE"/>
          </w:rPr>
          <w:t xml:space="preserve"> et la directive (UE) </w:t>
        </w:r>
        <w:r w:rsidRPr="00EF751B">
          <w:rPr>
            <w:rStyle w:val="Hyperlink"/>
            <w:lang w:val="fr-BE"/>
          </w:rPr>
          <w:t>2018</w:t>
        </w:r>
        <w:r w:rsidRPr="00543556">
          <w:rPr>
            <w:rStyle w:val="Hyperlink"/>
            <w:lang w:val="fr-BE"/>
          </w:rPr>
          <w:t>/</w:t>
        </w:r>
        <w:r w:rsidRPr="00EF751B">
          <w:rPr>
            <w:rStyle w:val="Hyperlink"/>
            <w:lang w:val="fr-BE"/>
          </w:rPr>
          <w:t>1972</w:t>
        </w:r>
        <w:r w:rsidRPr="00543556">
          <w:rPr>
            <w:rStyle w:val="Hyperlink"/>
            <w:lang w:val="fr-BE"/>
          </w:rPr>
          <w:t xml:space="preserve">, et abrogeant la directive (UE) </w:t>
        </w:r>
        <w:r w:rsidRPr="00EF751B">
          <w:rPr>
            <w:rStyle w:val="Hyperlink"/>
            <w:lang w:val="fr-BE"/>
          </w:rPr>
          <w:t>2016</w:t>
        </w:r>
        <w:r w:rsidRPr="00543556">
          <w:rPr>
            <w:rStyle w:val="Hyperlink"/>
            <w:lang w:val="fr-BE"/>
          </w:rPr>
          <w:t>/</w:t>
        </w:r>
        <w:r w:rsidRPr="00EF751B">
          <w:rPr>
            <w:rStyle w:val="Hyperlink"/>
            <w:lang w:val="fr-BE"/>
          </w:rPr>
          <w:t>1148</w:t>
        </w:r>
        <w:r w:rsidRPr="00543556">
          <w:rPr>
            <w:rStyle w:val="Hyperlink"/>
            <w:lang w:val="fr-BE"/>
          </w:rPr>
          <w:t xml:space="preserve"> (directive SRI </w:t>
        </w:r>
        <w:r w:rsidRPr="00EF751B">
          <w:rPr>
            <w:rStyle w:val="Hyperlink"/>
            <w:lang w:val="fr-BE"/>
          </w:rPr>
          <w:t>2</w:t>
        </w:r>
        <w:r w:rsidRPr="00543556">
          <w:rPr>
            <w:rStyle w:val="Hyperlink"/>
            <w:lang w:val="fr-BE"/>
          </w:rPr>
          <w:t>)</w:t>
        </w:r>
      </w:hyperlink>
      <w:r w:rsidRPr="00543556">
        <w:rPr>
          <w:lang w:val="fr-BE"/>
        </w:rPr>
        <w:t>.</w:t>
      </w:r>
    </w:p>
  </w:footnote>
  <w:footnote w:id="44">
    <w:p w14:paraId="39E62BC3" w14:textId="77777777" w:rsidR="00922C2A" w:rsidRPr="00543556" w:rsidRDefault="00922C2A" w:rsidP="00922C2A">
      <w:pPr>
        <w:pStyle w:val="FootnoteText"/>
        <w:rPr>
          <w:lang w:val="fr-BE"/>
        </w:rPr>
      </w:pPr>
      <w:r>
        <w:rPr>
          <w:rStyle w:val="FootnoteReference"/>
        </w:rPr>
        <w:footnoteRef/>
      </w:r>
      <w:r w:rsidRPr="00543556">
        <w:rPr>
          <w:lang w:val="fr-BE"/>
        </w:rPr>
        <w:tab/>
      </w:r>
      <w:hyperlink r:id="rId51" w:history="1">
        <w:r w:rsidRPr="00543556">
          <w:rPr>
            <w:rStyle w:val="Hyperlink"/>
            <w:lang w:val="fr-BE"/>
          </w:rPr>
          <w:t xml:space="preserve">Règlement (UE) </w:t>
        </w:r>
        <w:r w:rsidRPr="00EF751B">
          <w:rPr>
            <w:rStyle w:val="Hyperlink"/>
            <w:lang w:val="fr-BE"/>
          </w:rPr>
          <w:t>2024</w:t>
        </w:r>
        <w:r w:rsidRPr="00543556">
          <w:rPr>
            <w:rStyle w:val="Hyperlink"/>
            <w:lang w:val="fr-BE"/>
          </w:rPr>
          <w:t>/</w:t>
        </w:r>
        <w:r w:rsidRPr="00EF751B">
          <w:rPr>
            <w:rStyle w:val="Hyperlink"/>
            <w:lang w:val="fr-BE"/>
          </w:rPr>
          <w:t>903</w:t>
        </w:r>
        <w:r w:rsidRPr="00543556">
          <w:rPr>
            <w:rStyle w:val="Hyperlink"/>
            <w:lang w:val="fr-BE"/>
          </w:rPr>
          <w:t xml:space="preserve"> du Parlement européen et du Conseil du </w:t>
        </w:r>
        <w:r w:rsidRPr="00EF751B">
          <w:rPr>
            <w:rStyle w:val="Hyperlink"/>
            <w:lang w:val="fr-BE"/>
          </w:rPr>
          <w:t>13</w:t>
        </w:r>
        <w:r w:rsidRPr="00543556">
          <w:rPr>
            <w:rStyle w:val="Hyperlink"/>
            <w:lang w:val="fr-BE"/>
          </w:rPr>
          <w:t xml:space="preserve"> mars </w:t>
        </w:r>
        <w:r w:rsidRPr="00EF751B">
          <w:rPr>
            <w:rStyle w:val="Hyperlink"/>
            <w:lang w:val="fr-BE"/>
          </w:rPr>
          <w:t>2024</w:t>
        </w:r>
        <w:r w:rsidRPr="00543556">
          <w:rPr>
            <w:rStyle w:val="Hyperlink"/>
            <w:lang w:val="fr-BE"/>
          </w:rPr>
          <w:t xml:space="preserve"> établissant des mesures destinées à assurer un niveau élevé d’interopérabilité du secteur public dans l’ensemble de l’Union (règlement pour une Europe interopérable)</w:t>
        </w:r>
      </w:hyperlink>
      <w:r w:rsidRPr="00543556">
        <w:rPr>
          <w:lang w:val="fr-BE"/>
        </w:rPr>
        <w:t>.</w:t>
      </w:r>
    </w:p>
  </w:footnote>
  <w:footnote w:id="45">
    <w:p w14:paraId="4E29B98C" w14:textId="77777777" w:rsidR="00922C2A" w:rsidRPr="00543556" w:rsidRDefault="00922C2A" w:rsidP="00922C2A">
      <w:pPr>
        <w:pStyle w:val="FootnoteText"/>
        <w:rPr>
          <w:lang w:val="fr-BE"/>
        </w:rPr>
      </w:pPr>
      <w:r>
        <w:rPr>
          <w:rStyle w:val="FootnoteReference"/>
        </w:rPr>
        <w:footnoteRef/>
      </w:r>
      <w:r w:rsidRPr="00543556">
        <w:rPr>
          <w:lang w:val="fr-BE"/>
        </w:rPr>
        <w:tab/>
      </w:r>
      <w:hyperlink r:id="rId52" w:history="1">
        <w:r w:rsidRPr="00543556">
          <w:rPr>
            <w:rStyle w:val="Hyperlink"/>
            <w:lang w:val="fr-BE"/>
          </w:rPr>
          <w:t>TED — Offres de l’UE, supplément au Journal officiel — TED</w:t>
        </w:r>
      </w:hyperlink>
      <w:r w:rsidRPr="00543556">
        <w:rPr>
          <w:lang w:val="fr-BE"/>
        </w:rPr>
        <w:t>.</w:t>
      </w:r>
    </w:p>
  </w:footnote>
  <w:footnote w:id="46">
    <w:p w14:paraId="31C0044E" w14:textId="77777777" w:rsidR="00922C2A" w:rsidRPr="00543556" w:rsidRDefault="00922C2A" w:rsidP="00922C2A">
      <w:pPr>
        <w:pStyle w:val="FootnoteText"/>
        <w:rPr>
          <w:lang w:val="fr-BE"/>
        </w:rPr>
      </w:pPr>
      <w:r>
        <w:rPr>
          <w:rStyle w:val="FootnoteReference"/>
        </w:rPr>
        <w:footnoteRef/>
      </w:r>
      <w:r w:rsidRPr="00543556">
        <w:rPr>
          <w:lang w:val="fr-BE"/>
        </w:rPr>
        <w:tab/>
      </w:r>
      <w:hyperlink r:id="rId53" w:history="1">
        <w:r w:rsidRPr="00543556">
          <w:rPr>
            <w:rStyle w:val="Hyperlink"/>
            <w:lang w:val="fr-BE"/>
          </w:rPr>
          <w:t>Réforme de la législation pharmaceutique de l’UE — Commission européenne</w:t>
        </w:r>
      </w:hyperlink>
      <w:r w:rsidRPr="00543556">
        <w:rPr>
          <w:lang w:val="fr-BE"/>
        </w:rPr>
        <w:t>.</w:t>
      </w:r>
    </w:p>
  </w:footnote>
  <w:footnote w:id="47">
    <w:p w14:paraId="2E71F303" w14:textId="77777777" w:rsidR="00922C2A" w:rsidRPr="00543556" w:rsidRDefault="00922C2A" w:rsidP="00922C2A">
      <w:pPr>
        <w:pStyle w:val="FootnoteText"/>
        <w:rPr>
          <w:lang w:val="fr-BE"/>
        </w:rPr>
      </w:pPr>
      <w:r>
        <w:rPr>
          <w:rStyle w:val="FootnoteReference"/>
        </w:rPr>
        <w:footnoteRef/>
      </w:r>
      <w:r w:rsidRPr="00543556">
        <w:rPr>
          <w:lang w:val="fr-BE"/>
        </w:rPr>
        <w:tab/>
      </w:r>
      <w:hyperlink r:id="rId54" w:anchor=":~:text=the%20preliminary%20conclusions.-,The%20structured%20dialogue%20initiative,compromising%20the%20affordability%20of%20medicines." w:history="1">
        <w:r w:rsidRPr="00543556">
          <w:rPr>
            <w:rStyle w:val="Hyperlink"/>
            <w:lang w:val="fr-BE"/>
          </w:rPr>
          <w:t>Dialogue structuré sur la sécurité de l’approvisionnement en médicaments — Commission européenne</w:t>
        </w:r>
      </w:hyperlink>
      <w:r w:rsidRPr="00543556">
        <w:rPr>
          <w:lang w:val="fr-BE"/>
        </w:rPr>
        <w:t>.</w:t>
      </w:r>
    </w:p>
  </w:footnote>
  <w:footnote w:id="48">
    <w:p w14:paraId="6484894A" w14:textId="77777777" w:rsidR="00922C2A" w:rsidRPr="00543556" w:rsidRDefault="00922C2A" w:rsidP="00922C2A">
      <w:pPr>
        <w:pStyle w:val="FootnoteText"/>
        <w:rPr>
          <w:lang w:val="fr-BE"/>
        </w:rPr>
      </w:pPr>
      <w:r>
        <w:rPr>
          <w:rStyle w:val="FootnoteReference"/>
        </w:rPr>
        <w:footnoteRef/>
      </w:r>
      <w:r w:rsidRPr="00543556">
        <w:rPr>
          <w:lang w:val="fr-BE"/>
        </w:rPr>
        <w:tab/>
      </w:r>
      <w:hyperlink r:id="rId55" w:history="1">
        <w:r w:rsidRPr="00543556">
          <w:rPr>
            <w:rStyle w:val="Hyperlink"/>
            <w:lang w:val="fr-BE"/>
          </w:rPr>
          <w:t>Alliance pour les médicaments critiques — Commission européenne</w:t>
        </w:r>
      </w:hyperlink>
      <w:r w:rsidRPr="00543556">
        <w:rPr>
          <w:lang w:val="fr-BE"/>
        </w:rPr>
        <w:t>.</w:t>
      </w:r>
    </w:p>
  </w:footnote>
  <w:footnote w:id="49">
    <w:p w14:paraId="4B93B57F" w14:textId="77777777" w:rsidR="00922C2A" w:rsidRPr="00543556" w:rsidRDefault="00922C2A" w:rsidP="00922C2A">
      <w:pPr>
        <w:pStyle w:val="FootnoteText"/>
        <w:rPr>
          <w:lang w:val="fr-BE"/>
        </w:rPr>
      </w:pPr>
      <w:r>
        <w:rPr>
          <w:rStyle w:val="FootnoteReference"/>
        </w:rPr>
        <w:footnoteRef/>
      </w:r>
      <w:r w:rsidRPr="00543556">
        <w:rPr>
          <w:lang w:val="fr-BE"/>
        </w:rPr>
        <w:tab/>
      </w:r>
      <w:hyperlink r:id="rId56" w:history="1">
        <w:r w:rsidRPr="00543556">
          <w:rPr>
            <w:rStyle w:val="Hyperlink"/>
            <w:lang w:val="fr-BE"/>
          </w:rPr>
          <w:t>Réforme de la législation pharmaceutique de l’UE — Commission européenne</w:t>
        </w:r>
      </w:hyperlink>
      <w:r w:rsidRPr="00543556">
        <w:rPr>
          <w:lang w:val="fr-BE"/>
        </w:rPr>
        <w:t>.</w:t>
      </w:r>
    </w:p>
  </w:footnote>
  <w:footnote w:id="50">
    <w:p w14:paraId="7CA6AC43" w14:textId="77777777" w:rsidR="00922C2A" w:rsidRPr="00543556" w:rsidRDefault="00922C2A" w:rsidP="00922C2A">
      <w:pPr>
        <w:pStyle w:val="FootnoteText"/>
        <w:rPr>
          <w:lang w:val="fr-BE"/>
        </w:rPr>
      </w:pPr>
      <w:r>
        <w:rPr>
          <w:rStyle w:val="FootnoteReference"/>
        </w:rPr>
        <w:footnoteRef/>
      </w:r>
      <w:r w:rsidRPr="00543556">
        <w:rPr>
          <w:lang w:val="fr-BE"/>
        </w:rPr>
        <w:tab/>
      </w:r>
      <w:hyperlink r:id="rId57" w:history="1">
        <w:r w:rsidRPr="00543556">
          <w:rPr>
            <w:rStyle w:val="Hyperlink"/>
            <w:lang w:val="fr-BE"/>
          </w:rPr>
          <w:t>Future-proofing pharmaceutical legislation (Élaborer une législation pharmaceutique à l’épreuve du temps) — Office des publications de l’UE</w:t>
        </w:r>
      </w:hyperlink>
      <w:r w:rsidRPr="00543556">
        <w:rPr>
          <w:lang w:val="fr-BE"/>
        </w:rPr>
        <w:t>.</w:t>
      </w:r>
    </w:p>
  </w:footnote>
  <w:footnote w:id="51">
    <w:p w14:paraId="212B9275" w14:textId="77777777" w:rsidR="00922C2A" w:rsidRPr="00543556" w:rsidRDefault="00922C2A" w:rsidP="00922C2A">
      <w:pPr>
        <w:pStyle w:val="FootnoteText"/>
        <w:rPr>
          <w:lang w:val="fr-BE"/>
        </w:rPr>
      </w:pPr>
      <w:r>
        <w:rPr>
          <w:rStyle w:val="FootnoteReference"/>
        </w:rPr>
        <w:footnoteRef/>
      </w:r>
      <w:r w:rsidRPr="00543556">
        <w:rPr>
          <w:lang w:val="fr-BE"/>
        </w:rPr>
        <w:tab/>
        <w:t>La liste des organisations peut être consultée à l’adresse suivante:</w:t>
      </w:r>
      <w:r w:rsidRPr="00543556">
        <w:rPr>
          <w:lang w:val="fr-BE"/>
        </w:rPr>
        <w:tab/>
        <w:t xml:space="preserve"> </w:t>
      </w:r>
      <w:r w:rsidRPr="00543556">
        <w:rPr>
          <w:lang w:val="fr-BE"/>
        </w:rPr>
        <w:cr/>
      </w:r>
      <w:r w:rsidRPr="00543556">
        <w:rPr>
          <w:lang w:val="fr-BE"/>
        </w:rPr>
        <w:br/>
      </w:r>
      <w:hyperlink r:id="rId58" w:history="1">
        <w:r w:rsidRPr="00543556">
          <w:rPr>
            <w:rStyle w:val="Hyperlink"/>
            <w:lang w:val="fr-BE"/>
          </w:rPr>
          <w:t>https://health.ec.europa.eu/document/download/bd</w:t>
        </w:r>
        <w:r w:rsidRPr="00EF751B">
          <w:rPr>
            <w:rStyle w:val="Hyperlink"/>
            <w:lang w:val="fr-BE"/>
          </w:rPr>
          <w:t>92</w:t>
        </w:r>
        <w:r w:rsidRPr="00543556">
          <w:rPr>
            <w:rStyle w:val="Hyperlink"/>
            <w:lang w:val="fr-BE"/>
          </w:rPr>
          <w:t>f</w:t>
        </w:r>
        <w:r w:rsidRPr="00EF751B">
          <w:rPr>
            <w:rStyle w:val="Hyperlink"/>
            <w:lang w:val="fr-BE"/>
          </w:rPr>
          <w:t>46</w:t>
        </w:r>
        <w:r w:rsidRPr="00543556">
          <w:rPr>
            <w:rStyle w:val="Hyperlink"/>
            <w:lang w:val="fr-BE"/>
          </w:rPr>
          <w:t>c-</w:t>
        </w:r>
        <w:r w:rsidRPr="00EF751B">
          <w:rPr>
            <w:rStyle w:val="Hyperlink"/>
            <w:lang w:val="fr-BE"/>
          </w:rPr>
          <w:t>4</w:t>
        </w:r>
        <w:r w:rsidRPr="00543556">
          <w:rPr>
            <w:rStyle w:val="Hyperlink"/>
            <w:lang w:val="fr-BE"/>
          </w:rPr>
          <w:t>c</w:t>
        </w:r>
        <w:r w:rsidRPr="00EF751B">
          <w:rPr>
            <w:rStyle w:val="Hyperlink"/>
            <w:lang w:val="fr-BE"/>
          </w:rPr>
          <w:t>55</w:t>
        </w:r>
        <w:r w:rsidRPr="00543556">
          <w:rPr>
            <w:rStyle w:val="Hyperlink"/>
            <w:lang w:val="fr-BE"/>
          </w:rPr>
          <w:t>-</w:t>
        </w:r>
        <w:r w:rsidRPr="00EF751B">
          <w:rPr>
            <w:rStyle w:val="Hyperlink"/>
            <w:lang w:val="fr-BE"/>
          </w:rPr>
          <w:t>4</w:t>
        </w:r>
        <w:r w:rsidRPr="00543556">
          <w:rPr>
            <w:rStyle w:val="Hyperlink"/>
            <w:lang w:val="fr-BE"/>
          </w:rPr>
          <w:t>fed-</w:t>
        </w:r>
        <w:r w:rsidRPr="00EF751B">
          <w:rPr>
            <w:rStyle w:val="Hyperlink"/>
            <w:lang w:val="fr-BE"/>
          </w:rPr>
          <w:t>8642</w:t>
        </w:r>
        <w:r w:rsidRPr="00543556">
          <w:rPr>
            <w:rStyle w:val="Hyperlink"/>
            <w:lang w:val="fr-BE"/>
          </w:rPr>
          <w:t>-</w:t>
        </w:r>
        <w:r w:rsidRPr="00EF751B">
          <w:rPr>
            <w:rStyle w:val="Hyperlink"/>
            <w:lang w:val="fr-BE"/>
          </w:rPr>
          <w:t>81</w:t>
        </w:r>
        <w:r w:rsidRPr="00543556">
          <w:rPr>
            <w:rStyle w:val="Hyperlink"/>
            <w:lang w:val="fr-BE"/>
          </w:rPr>
          <w:t>b</w:t>
        </w:r>
        <w:r w:rsidRPr="00EF751B">
          <w:rPr>
            <w:rStyle w:val="Hyperlink"/>
            <w:lang w:val="fr-BE"/>
          </w:rPr>
          <w:t>0</w:t>
        </w:r>
        <w:r w:rsidRPr="00543556">
          <w:rPr>
            <w:rStyle w:val="Hyperlink"/>
            <w:lang w:val="fr-BE"/>
          </w:rPr>
          <w:t>aa</w:t>
        </w:r>
        <w:r w:rsidRPr="00EF751B">
          <w:rPr>
            <w:rStyle w:val="Hyperlink"/>
            <w:lang w:val="fr-BE"/>
          </w:rPr>
          <w:t>30</w:t>
        </w:r>
        <w:r w:rsidRPr="00543556">
          <w:rPr>
            <w:rStyle w:val="Hyperlink"/>
            <w:lang w:val="fr-BE"/>
          </w:rPr>
          <w:t>ff</w:t>
        </w:r>
        <w:r w:rsidRPr="00EF751B">
          <w:rPr>
            <w:rStyle w:val="Hyperlink"/>
            <w:lang w:val="fr-BE"/>
          </w:rPr>
          <w:t>22</w:t>
        </w:r>
        <w:r w:rsidRPr="00543556">
          <w:rPr>
            <w:rStyle w:val="Hyperlink"/>
            <w:lang w:val="fr-BE"/>
          </w:rPr>
          <w:t>_en?filename=structured-dialogue_lp_en.pdf</w:t>
        </w:r>
      </w:hyperlink>
      <w:r w:rsidRPr="00543556">
        <w:rPr>
          <w:lang w:val="fr-BE"/>
        </w:rPr>
        <w:t xml:space="preserve">. </w:t>
      </w:r>
    </w:p>
  </w:footnote>
  <w:footnote w:id="52">
    <w:p w14:paraId="1F9E5FC2" w14:textId="77777777" w:rsidR="00922C2A" w:rsidRPr="00543556" w:rsidRDefault="00922C2A" w:rsidP="00922C2A">
      <w:pPr>
        <w:pStyle w:val="FootnoteText"/>
        <w:rPr>
          <w:lang w:val="fr-BE"/>
        </w:rPr>
      </w:pPr>
      <w:r>
        <w:rPr>
          <w:rStyle w:val="FootnoteReference"/>
        </w:rPr>
        <w:footnoteRef/>
      </w:r>
      <w:r w:rsidRPr="00543556">
        <w:rPr>
          <w:lang w:val="fr-BE"/>
        </w:rPr>
        <w:tab/>
      </w:r>
      <w:hyperlink r:id="rId59" w:history="1">
        <w:r w:rsidRPr="00543556">
          <w:rPr>
            <w:rStyle w:val="Hyperlink"/>
            <w:lang w:val="fr-BE"/>
          </w:rPr>
          <w:t>Réforme de la législation pharmaceutique de l’UE — Commission européenne</w:t>
        </w:r>
      </w:hyperlink>
      <w:r w:rsidRPr="00543556">
        <w:rPr>
          <w:lang w:val="fr-BE"/>
        </w:rPr>
        <w:t>.</w:t>
      </w:r>
    </w:p>
  </w:footnote>
  <w:footnote w:id="53">
    <w:p w14:paraId="19CC535F" w14:textId="77777777" w:rsidR="00922C2A" w:rsidRPr="00543556" w:rsidRDefault="00922C2A" w:rsidP="00922C2A">
      <w:pPr>
        <w:pStyle w:val="FootnoteText"/>
        <w:rPr>
          <w:color w:val="0000FF"/>
          <w:u w:val="single"/>
          <w:lang w:val="fr-BE"/>
        </w:rPr>
      </w:pPr>
      <w:r>
        <w:rPr>
          <w:rStyle w:val="FootnoteReference"/>
        </w:rPr>
        <w:footnoteRef/>
      </w:r>
      <w:r w:rsidRPr="00543556">
        <w:rPr>
          <w:lang w:val="fr-BE"/>
        </w:rPr>
        <w:tab/>
        <w:t>Voir l’annexe </w:t>
      </w:r>
      <w:r w:rsidRPr="00EF751B">
        <w:rPr>
          <w:lang w:val="fr-BE"/>
        </w:rPr>
        <w:t>2</w:t>
      </w:r>
      <w:r w:rsidRPr="00543556">
        <w:rPr>
          <w:lang w:val="fr-BE"/>
        </w:rPr>
        <w:t xml:space="preserve"> du rapport de synthèse (consultation des parties intéressées) pour la réforme de la législation pharmaceutique de l’UE: </w:t>
      </w:r>
      <w:hyperlink r:id="rId60" w:history="1">
        <w:r w:rsidRPr="00543556">
          <w:rPr>
            <w:rStyle w:val="Hyperlink"/>
            <w:lang w:val="fr-BE"/>
          </w:rPr>
          <w:t>GP_Annexes </w:t>
        </w:r>
        <w:r w:rsidRPr="00EF751B">
          <w:rPr>
            <w:rStyle w:val="Hyperlink"/>
            <w:lang w:val="fr-BE"/>
          </w:rPr>
          <w:t>1</w:t>
        </w:r>
        <w:r w:rsidRPr="00543556">
          <w:rPr>
            <w:rStyle w:val="Hyperlink"/>
            <w:lang w:val="fr-BE"/>
          </w:rPr>
          <w:t xml:space="preserve"> à </w:t>
        </w:r>
        <w:r w:rsidRPr="00EF751B">
          <w:rPr>
            <w:rStyle w:val="Hyperlink"/>
            <w:lang w:val="fr-BE"/>
          </w:rPr>
          <w:t>4</w:t>
        </w:r>
        <w:r w:rsidRPr="00543556">
          <w:rPr>
            <w:rStyle w:val="Hyperlink"/>
            <w:lang w:val="fr-BE"/>
          </w:rPr>
          <w:t xml:space="preserve">, </w:t>
        </w:r>
        <w:r w:rsidRPr="00EF751B">
          <w:rPr>
            <w:rStyle w:val="Hyperlink"/>
            <w:lang w:val="fr-BE"/>
          </w:rPr>
          <w:t>6</w:t>
        </w:r>
        <w:r w:rsidRPr="00543556">
          <w:rPr>
            <w:rStyle w:val="Hyperlink"/>
            <w:lang w:val="fr-BE"/>
          </w:rPr>
          <w:t xml:space="preserve"> à </w:t>
        </w:r>
        <w:r w:rsidRPr="00EF751B">
          <w:rPr>
            <w:rStyle w:val="Hyperlink"/>
            <w:lang w:val="fr-BE"/>
          </w:rPr>
          <w:t>9</w:t>
        </w:r>
        <w:r w:rsidRPr="00543556">
          <w:rPr>
            <w:rStyle w:val="Hyperlink"/>
            <w:lang w:val="fr-BE"/>
          </w:rPr>
          <w:t xml:space="preserve"> et </w:t>
        </w:r>
        <w:r w:rsidRPr="00EF751B">
          <w:rPr>
            <w:rStyle w:val="Hyperlink"/>
            <w:lang w:val="fr-BE"/>
          </w:rPr>
          <w:t>14</w:t>
        </w:r>
        <w:r w:rsidRPr="00543556">
          <w:rPr>
            <w:rStyle w:val="Hyperlink"/>
            <w:lang w:val="fr-BE"/>
          </w:rPr>
          <w:t xml:space="preserve"> à </w:t>
        </w:r>
        <w:r w:rsidRPr="00EF751B">
          <w:rPr>
            <w:rStyle w:val="Hyperlink"/>
            <w:lang w:val="fr-BE"/>
          </w:rPr>
          <w:t>16</w:t>
        </w:r>
        <w:r w:rsidRPr="00543556">
          <w:rPr>
            <w:rStyle w:val="Hyperlink"/>
            <w:lang w:val="fr-BE"/>
          </w:rPr>
          <w:t>_v</w:t>
        </w:r>
        <w:r w:rsidRPr="00EF751B">
          <w:rPr>
            <w:rStyle w:val="Hyperlink"/>
            <w:lang w:val="fr-BE"/>
          </w:rPr>
          <w:t>28102022</w:t>
        </w:r>
      </w:hyperlink>
      <w:r w:rsidRPr="00543556">
        <w:rPr>
          <w:lang w:val="fr-BE"/>
        </w:rPr>
        <w:t>.</w:t>
      </w:r>
    </w:p>
  </w:footnote>
  <w:footnote w:id="54">
    <w:p w14:paraId="4EA71856" w14:textId="77777777" w:rsidR="00922C2A" w:rsidRPr="00543556" w:rsidRDefault="00922C2A" w:rsidP="00922C2A">
      <w:pPr>
        <w:pStyle w:val="FootnoteText"/>
        <w:rPr>
          <w:highlight w:val="yellow"/>
          <w:lang w:val="fr-BE"/>
        </w:rPr>
      </w:pPr>
      <w:r>
        <w:rPr>
          <w:rStyle w:val="FootnoteReference"/>
        </w:rPr>
        <w:footnoteRef/>
      </w:r>
      <w:r w:rsidRPr="00543556">
        <w:rPr>
          <w:lang w:val="fr-BE"/>
        </w:rPr>
        <w:tab/>
      </w:r>
      <w:hyperlink r:id="rId61" w:anchor="strategic-report" w:history="1">
        <w:r w:rsidRPr="00543556">
          <w:rPr>
            <w:rStyle w:val="Hyperlink"/>
            <w:lang w:val="fr-BE"/>
          </w:rPr>
          <w:t>Alliance pour les médicaments critiques — Commission européenne</w:t>
        </w:r>
      </w:hyperlink>
      <w:r w:rsidRPr="00543556">
        <w:rPr>
          <w:lang w:val="fr-BE"/>
        </w:rPr>
        <w:t>.</w:t>
      </w:r>
    </w:p>
  </w:footnote>
  <w:footnote w:id="55">
    <w:p w14:paraId="7B5D7740" w14:textId="77777777" w:rsidR="00922C2A" w:rsidRPr="00543556" w:rsidRDefault="00922C2A" w:rsidP="00922C2A">
      <w:pPr>
        <w:pStyle w:val="FootnoteText"/>
        <w:rPr>
          <w:lang w:val="fr-BE"/>
        </w:rPr>
      </w:pPr>
      <w:r>
        <w:rPr>
          <w:rStyle w:val="FootnoteReference"/>
        </w:rPr>
        <w:footnoteRef/>
      </w:r>
      <w:r w:rsidRPr="00543556">
        <w:rPr>
          <w:lang w:val="fr-BE"/>
        </w:rPr>
        <w:tab/>
        <w:t xml:space="preserve">Offre économiquement la plus avantageuse permettant d’accorder davantage d’importance à la qualité au-delà des considérations de prix. </w:t>
      </w:r>
    </w:p>
  </w:footnote>
  <w:footnote w:id="56">
    <w:p w14:paraId="4BB4D48D" w14:textId="77777777" w:rsidR="00922C2A" w:rsidRPr="00543556" w:rsidRDefault="00922C2A" w:rsidP="00922C2A">
      <w:pPr>
        <w:pStyle w:val="FootnoteText"/>
        <w:rPr>
          <w:lang w:val="fr-BE"/>
        </w:rPr>
      </w:pPr>
      <w:r>
        <w:rPr>
          <w:rStyle w:val="FootnoteReference"/>
        </w:rPr>
        <w:footnoteRef/>
      </w:r>
      <w:r w:rsidRPr="00543556">
        <w:rPr>
          <w:lang w:val="fr-BE"/>
        </w:rPr>
        <w:tab/>
      </w:r>
      <w:hyperlink r:id="rId62" w:history="1">
        <w:r w:rsidRPr="00543556">
          <w:rPr>
            <w:color w:val="0000FF"/>
            <w:u w:val="single"/>
            <w:lang w:val="fr-BE"/>
          </w:rPr>
          <w:t>Règlement sur les médicaments critiques</w:t>
        </w:r>
      </w:hyperlink>
      <w:r w:rsidRPr="00543556">
        <w:rPr>
          <w:lang w:val="fr-BE"/>
        </w:rPr>
        <w:t>.</w:t>
      </w:r>
    </w:p>
  </w:footnote>
  <w:footnote w:id="57">
    <w:p w14:paraId="734AFA43" w14:textId="77777777" w:rsidR="00922C2A" w:rsidRPr="00543556" w:rsidRDefault="00922C2A" w:rsidP="00922C2A">
      <w:pPr>
        <w:pStyle w:val="FootnoteText"/>
        <w:rPr>
          <w:lang w:val="fr-BE"/>
        </w:rPr>
      </w:pPr>
      <w:r>
        <w:rPr>
          <w:rStyle w:val="FootnoteReference"/>
        </w:rPr>
        <w:footnoteRef/>
      </w:r>
      <w:r w:rsidRPr="00543556">
        <w:rPr>
          <w:lang w:val="fr-BE"/>
        </w:rPr>
        <w:tab/>
      </w:r>
      <w:hyperlink r:id="rId63" w:history="1">
        <w:r w:rsidRPr="00543556">
          <w:rPr>
            <w:rStyle w:val="Hyperlink"/>
            <w:lang w:val="fr-BE"/>
          </w:rPr>
          <w:t>Liste européenne des médicaments critiques |</w:t>
        </w:r>
      </w:hyperlink>
      <w:hyperlink r:id="rId64" w:history="1">
        <w:r w:rsidRPr="00543556">
          <w:rPr>
            <w:rStyle w:val="Hyperlink"/>
            <w:lang w:val="fr-BE"/>
          </w:rPr>
          <w:t xml:space="preserve"> Agence européenne des médicaments (EMA)</w:t>
        </w:r>
      </w:hyperlink>
      <w:r w:rsidRPr="00543556">
        <w:rPr>
          <w:lang w:val="fr-BE"/>
        </w:rPr>
        <w:t>.</w:t>
      </w:r>
    </w:p>
  </w:footnote>
  <w:footnote w:id="58">
    <w:p w14:paraId="1E6FE2C3" w14:textId="77777777" w:rsidR="00922C2A" w:rsidRPr="00543556" w:rsidRDefault="00922C2A" w:rsidP="00922C2A">
      <w:pPr>
        <w:pStyle w:val="FootnoteText"/>
        <w:rPr>
          <w:rStyle w:val="FootnoteReference"/>
          <w:lang w:val="fr-BE"/>
        </w:rPr>
      </w:pPr>
      <w:r>
        <w:rPr>
          <w:rStyle w:val="FootnoteReference"/>
        </w:rPr>
        <w:footnoteRef/>
      </w:r>
      <w:r w:rsidRPr="00543556">
        <w:rPr>
          <w:lang w:val="fr-BE"/>
        </w:rPr>
        <w:tab/>
      </w:r>
      <w:hyperlink r:id="rId65" w:history="1">
        <w:r w:rsidRPr="00543556">
          <w:rPr>
            <w:rStyle w:val="Hyperlink"/>
            <w:lang w:val="fr-BE"/>
          </w:rPr>
          <w:t>L’évaluation de la Commission montre la nécessité de renforcer la résilience des chaînes d’approvisionnement en médicaments critiques — Commission européenne</w:t>
        </w:r>
      </w:hyperlink>
      <w:r w:rsidRPr="00543556">
        <w:rPr>
          <w:lang w:val="fr-BE"/>
        </w:rPr>
        <w:t>.</w:t>
      </w:r>
    </w:p>
  </w:footnote>
  <w:footnote w:id="59">
    <w:p w14:paraId="455B2795" w14:textId="77777777" w:rsidR="00922C2A" w:rsidRPr="00543556" w:rsidRDefault="00922C2A" w:rsidP="00922C2A">
      <w:pPr>
        <w:pStyle w:val="FootnoteText"/>
        <w:rPr>
          <w:lang w:val="fr-BE"/>
        </w:rPr>
      </w:pPr>
      <w:r>
        <w:rPr>
          <w:rStyle w:val="FootnoteReference"/>
        </w:rPr>
        <w:footnoteRef/>
      </w:r>
      <w:r w:rsidRPr="00543556">
        <w:rPr>
          <w:lang w:val="fr-BE"/>
        </w:rPr>
        <w:tab/>
      </w:r>
      <w:hyperlink r:id="rId66" w:history="1">
        <w:r w:rsidRPr="00543556">
          <w:rPr>
            <w:rStyle w:val="Hyperlink"/>
            <w:lang w:val="fr-BE"/>
          </w:rPr>
          <w:t>https://op.europa.eu/s/z</w:t>
        </w:r>
        <w:r w:rsidRPr="00EF751B">
          <w:rPr>
            <w:rStyle w:val="Hyperlink"/>
            <w:lang w:val="fr-BE"/>
          </w:rPr>
          <w:t>1</w:t>
        </w:r>
        <w:r w:rsidRPr="00543556">
          <w:rPr>
            <w:rStyle w:val="Hyperlink"/>
            <w:lang w:val="fr-BE"/>
          </w:rPr>
          <w:t>Rz</w:t>
        </w:r>
      </w:hyperlink>
      <w:r w:rsidRPr="00543556">
        <w:rPr>
          <w:lang w:val="fr-BE"/>
        </w:rPr>
        <w:t xml:space="preserve">. </w:t>
      </w:r>
    </w:p>
  </w:footnote>
  <w:footnote w:id="60">
    <w:p w14:paraId="550A69AD" w14:textId="77777777" w:rsidR="00922C2A" w:rsidRPr="00543556" w:rsidRDefault="00922C2A" w:rsidP="00922C2A">
      <w:pPr>
        <w:pStyle w:val="FootnoteText"/>
        <w:rPr>
          <w:rStyle w:val="Hyperlink"/>
          <w:lang w:val="fr-BE"/>
        </w:rPr>
      </w:pPr>
      <w:r>
        <w:rPr>
          <w:rStyle w:val="FootnoteReference"/>
        </w:rPr>
        <w:footnoteRef/>
      </w:r>
      <w:r w:rsidRPr="00543556">
        <w:rPr>
          <w:lang w:val="fr-BE"/>
        </w:rPr>
        <w:tab/>
      </w:r>
      <w:hyperlink r:id="rId67" w:history="1">
        <w:r w:rsidRPr="00543556">
          <w:rPr>
            <w:rStyle w:val="Hyperlink"/>
            <w:lang w:val="fr-BE"/>
          </w:rPr>
          <w:t>https://efcg.cefic.org/wp-content/uploads/</w:t>
        </w:r>
        <w:r w:rsidRPr="00EF751B">
          <w:rPr>
            <w:rStyle w:val="Hyperlink"/>
            <w:lang w:val="fr-BE"/>
          </w:rPr>
          <w:t>2025</w:t>
        </w:r>
        <w:r w:rsidRPr="00543556">
          <w:rPr>
            <w:rStyle w:val="Hyperlink"/>
            <w:lang w:val="fr-BE"/>
          </w:rPr>
          <w:t>/</w:t>
        </w:r>
        <w:r w:rsidRPr="00EF751B">
          <w:rPr>
            <w:rStyle w:val="Hyperlink"/>
            <w:lang w:val="fr-BE"/>
          </w:rPr>
          <w:t>01</w:t>
        </w:r>
        <w:r w:rsidRPr="00543556">
          <w:rPr>
            <w:rStyle w:val="Hyperlink"/>
            <w:lang w:val="fr-BE"/>
          </w:rPr>
          <w:t>/Advancy-Sicos-report-extract-protected.pdf</w:t>
        </w:r>
      </w:hyperlink>
      <w:r w:rsidRPr="00543556">
        <w:rPr>
          <w:lang w:val="fr-BE"/>
        </w:rPr>
        <w:t>.</w:t>
      </w:r>
    </w:p>
  </w:footnote>
  <w:footnote w:id="61">
    <w:p w14:paraId="0B84F6EE" w14:textId="77777777" w:rsidR="00922C2A" w:rsidRPr="00543556" w:rsidRDefault="00922C2A" w:rsidP="00922C2A">
      <w:pPr>
        <w:pStyle w:val="FootnoteText"/>
        <w:rPr>
          <w:lang w:val="fr-BE"/>
        </w:rPr>
      </w:pPr>
      <w:r>
        <w:rPr>
          <w:rStyle w:val="FootnoteReference"/>
        </w:rPr>
        <w:footnoteRef/>
      </w:r>
      <w:r w:rsidRPr="00543556">
        <w:rPr>
          <w:lang w:val="fr-BE"/>
        </w:rPr>
        <w:tab/>
      </w:r>
      <w:hyperlink r:id="rId68" w:history="1">
        <w:r w:rsidRPr="00543556">
          <w:rPr>
            <w:rStyle w:val="Hyperlink"/>
            <w:lang w:val="fr-BE"/>
          </w:rPr>
          <w:t>https://www.oecd.org/en/publications/shortages-of-medicines-in-oecd-countries_b</w:t>
        </w:r>
        <w:r w:rsidRPr="00EF751B">
          <w:rPr>
            <w:rStyle w:val="Hyperlink"/>
            <w:lang w:val="fr-BE"/>
          </w:rPr>
          <w:t>5</w:t>
        </w:r>
        <w:r w:rsidRPr="00543556">
          <w:rPr>
            <w:rStyle w:val="Hyperlink"/>
            <w:lang w:val="fr-BE"/>
          </w:rPr>
          <w:t>d</w:t>
        </w:r>
        <w:r w:rsidRPr="00EF751B">
          <w:rPr>
            <w:rStyle w:val="Hyperlink"/>
            <w:lang w:val="fr-BE"/>
          </w:rPr>
          <w:t>9</w:t>
        </w:r>
        <w:r w:rsidRPr="00543556">
          <w:rPr>
            <w:rStyle w:val="Hyperlink"/>
            <w:lang w:val="fr-BE"/>
          </w:rPr>
          <w:t>e</w:t>
        </w:r>
        <w:r w:rsidRPr="00EF751B">
          <w:rPr>
            <w:rStyle w:val="Hyperlink"/>
            <w:lang w:val="fr-BE"/>
          </w:rPr>
          <w:t>15</w:t>
        </w:r>
        <w:r w:rsidRPr="00543556">
          <w:rPr>
            <w:rStyle w:val="Hyperlink"/>
            <w:lang w:val="fr-BE"/>
          </w:rPr>
          <w:t>d-en.html</w:t>
        </w:r>
      </w:hyperlink>
      <w:r w:rsidRPr="00543556">
        <w:rPr>
          <w:lang w:val="fr-BE"/>
        </w:rPr>
        <w:t>.</w:t>
      </w:r>
    </w:p>
  </w:footnote>
  <w:footnote w:id="62">
    <w:p w14:paraId="0701BD37" w14:textId="77777777" w:rsidR="00922C2A" w:rsidRPr="00543556" w:rsidRDefault="00922C2A" w:rsidP="00922C2A">
      <w:pPr>
        <w:pStyle w:val="FootnoteText"/>
        <w:rPr>
          <w:lang w:val="fr-BE"/>
        </w:rPr>
      </w:pPr>
      <w:r>
        <w:rPr>
          <w:rStyle w:val="FootnoteReference"/>
        </w:rPr>
        <w:footnoteRef/>
      </w:r>
      <w:r w:rsidRPr="00543556">
        <w:rPr>
          <w:lang w:val="fr-BE"/>
        </w:rPr>
        <w:tab/>
        <w:t xml:space="preserve">Règlement (UE, Euratom) </w:t>
      </w:r>
      <w:r w:rsidRPr="00EF751B">
        <w:rPr>
          <w:lang w:val="fr-BE"/>
        </w:rPr>
        <w:t>2020</w:t>
      </w:r>
      <w:r w:rsidRPr="00543556">
        <w:rPr>
          <w:lang w:val="fr-BE"/>
        </w:rPr>
        <w:t>/</w:t>
      </w:r>
      <w:r w:rsidRPr="00EF751B">
        <w:rPr>
          <w:lang w:val="fr-BE"/>
        </w:rPr>
        <w:t>2093</w:t>
      </w:r>
      <w:r w:rsidRPr="00543556">
        <w:rPr>
          <w:lang w:val="fr-BE"/>
        </w:rPr>
        <w:t xml:space="preserve"> du Conseil fixant le cadre financier pluriannuel pour les années </w:t>
      </w:r>
      <w:r w:rsidRPr="00EF751B">
        <w:rPr>
          <w:lang w:val="fr-BE"/>
        </w:rPr>
        <w:t>2021</w:t>
      </w:r>
      <w:r w:rsidRPr="00543556">
        <w:rPr>
          <w:lang w:val="fr-BE"/>
        </w:rPr>
        <w:t xml:space="preserve"> à </w:t>
      </w:r>
      <w:r w:rsidRPr="00EF751B">
        <w:rPr>
          <w:lang w:val="fr-BE"/>
        </w:rPr>
        <w:t>2027</w:t>
      </w:r>
      <w:r w:rsidRPr="00543556">
        <w:rPr>
          <w:lang w:val="fr-BE"/>
        </w:rPr>
        <w:t>, tel que modifié (JO L </w:t>
      </w:r>
      <w:r w:rsidRPr="00EF751B">
        <w:rPr>
          <w:lang w:val="fr-BE"/>
        </w:rPr>
        <w:t>433</w:t>
      </w:r>
      <w:r w:rsidRPr="00543556">
        <w:rPr>
          <w:lang w:val="fr-BE"/>
        </w:rPr>
        <w:t xml:space="preserve"> I du </w:t>
      </w:r>
      <w:r w:rsidRPr="00EF751B">
        <w:rPr>
          <w:lang w:val="fr-BE"/>
        </w:rPr>
        <w:t>22</w:t>
      </w:r>
      <w:r w:rsidRPr="00543556">
        <w:rPr>
          <w:lang w:val="fr-BE"/>
        </w:rPr>
        <w:t>.</w:t>
      </w:r>
      <w:r w:rsidRPr="00EF751B">
        <w:rPr>
          <w:lang w:val="fr-BE"/>
        </w:rPr>
        <w:t>12</w:t>
      </w:r>
      <w:r w:rsidRPr="00543556">
        <w:rPr>
          <w:lang w:val="fr-BE"/>
        </w:rPr>
        <w:t>.</w:t>
      </w:r>
      <w:r w:rsidRPr="00EF751B">
        <w:rPr>
          <w:lang w:val="fr-BE"/>
        </w:rPr>
        <w:t>2020</w:t>
      </w:r>
      <w:r w:rsidRPr="00543556">
        <w:rPr>
          <w:lang w:val="fr-BE"/>
        </w:rPr>
        <w:t>).</w:t>
      </w:r>
    </w:p>
  </w:footnote>
  <w:footnote w:id="63">
    <w:p w14:paraId="68C495A9" w14:textId="77777777" w:rsidR="00922C2A" w:rsidRPr="00543556" w:rsidRDefault="00922C2A" w:rsidP="00922C2A">
      <w:pPr>
        <w:pStyle w:val="FootnoteText"/>
        <w:rPr>
          <w:lang w:val="fr-BE"/>
        </w:rPr>
      </w:pPr>
      <w:r>
        <w:rPr>
          <w:rStyle w:val="FootnoteReference"/>
        </w:rPr>
        <w:footnoteRef/>
      </w:r>
      <w:r w:rsidRPr="00543556">
        <w:rPr>
          <w:lang w:val="fr-BE"/>
        </w:rPr>
        <w:tab/>
        <w:t xml:space="preserve">Règlement (UE) </w:t>
      </w:r>
      <w:r w:rsidRPr="00EF751B">
        <w:rPr>
          <w:lang w:val="fr-BE"/>
        </w:rPr>
        <w:t>2021</w:t>
      </w:r>
      <w:r w:rsidRPr="00543556">
        <w:rPr>
          <w:lang w:val="fr-BE"/>
        </w:rPr>
        <w:t>/</w:t>
      </w:r>
      <w:r w:rsidRPr="00EF751B">
        <w:rPr>
          <w:lang w:val="fr-BE"/>
        </w:rPr>
        <w:t>522</w:t>
      </w:r>
      <w:r w:rsidRPr="00543556">
        <w:rPr>
          <w:lang w:val="fr-BE"/>
        </w:rPr>
        <w:t xml:space="preserve"> du Parlement européen et du Conseil du </w:t>
      </w:r>
      <w:r w:rsidRPr="00EF751B">
        <w:rPr>
          <w:lang w:val="fr-BE"/>
        </w:rPr>
        <w:t>24</w:t>
      </w:r>
      <w:r w:rsidRPr="00543556">
        <w:rPr>
          <w:lang w:val="fr-BE"/>
        </w:rPr>
        <w:t xml:space="preserve"> mars </w:t>
      </w:r>
      <w:r w:rsidRPr="00EF751B">
        <w:rPr>
          <w:lang w:val="fr-BE"/>
        </w:rPr>
        <w:t>2021</w:t>
      </w:r>
      <w:r w:rsidRPr="00543556">
        <w:rPr>
          <w:lang w:val="fr-BE"/>
        </w:rPr>
        <w:t xml:space="preserve"> établissant un programme d’action de l’Union dans le domaine de la santé (programme «L’UE pour la santé») pour la période </w:t>
      </w:r>
      <w:r w:rsidRPr="00EF751B">
        <w:rPr>
          <w:lang w:val="fr-BE"/>
        </w:rPr>
        <w:t>2021</w:t>
      </w:r>
      <w:r w:rsidRPr="00543556">
        <w:rPr>
          <w:lang w:val="fr-BE"/>
        </w:rPr>
        <w:t>-</w:t>
      </w:r>
      <w:r w:rsidRPr="00EF751B">
        <w:rPr>
          <w:lang w:val="fr-BE"/>
        </w:rPr>
        <w:t>2027</w:t>
      </w:r>
      <w:r w:rsidRPr="00543556">
        <w:rPr>
          <w:lang w:val="fr-BE"/>
        </w:rPr>
        <w:t>, et abrogeant le règlement (UE) nº </w:t>
      </w:r>
      <w:r w:rsidRPr="00EF751B">
        <w:rPr>
          <w:lang w:val="fr-BE"/>
        </w:rPr>
        <w:t>282</w:t>
      </w:r>
      <w:r w:rsidRPr="00543556">
        <w:rPr>
          <w:lang w:val="fr-BE"/>
        </w:rPr>
        <w:t>/</w:t>
      </w:r>
      <w:r w:rsidRPr="00EF751B">
        <w:rPr>
          <w:lang w:val="fr-BE"/>
        </w:rPr>
        <w:t>2014</w:t>
      </w:r>
      <w:r w:rsidRPr="00543556">
        <w:rPr>
          <w:lang w:val="fr-BE"/>
        </w:rPr>
        <w:t xml:space="preserve"> (JO L </w:t>
      </w:r>
      <w:r w:rsidRPr="00EF751B">
        <w:rPr>
          <w:lang w:val="fr-BE"/>
        </w:rPr>
        <w:t>107</w:t>
      </w:r>
      <w:r w:rsidRPr="00543556">
        <w:rPr>
          <w:lang w:val="fr-BE"/>
        </w:rPr>
        <w:t xml:space="preserve"> du </w:t>
      </w:r>
      <w:r w:rsidRPr="00EF751B">
        <w:rPr>
          <w:lang w:val="fr-BE"/>
        </w:rPr>
        <w:t>26</w:t>
      </w:r>
      <w:r w:rsidRPr="00543556">
        <w:rPr>
          <w:lang w:val="fr-BE"/>
        </w:rPr>
        <w:t>.</w:t>
      </w:r>
      <w:r w:rsidRPr="00EF751B">
        <w:rPr>
          <w:lang w:val="fr-BE"/>
        </w:rPr>
        <w:t>3</w:t>
      </w:r>
      <w:r w:rsidRPr="00543556">
        <w:rPr>
          <w:lang w:val="fr-BE"/>
        </w:rPr>
        <w:t>.</w:t>
      </w:r>
      <w:r w:rsidRPr="00EF751B">
        <w:rPr>
          <w:lang w:val="fr-BE"/>
        </w:rPr>
        <w:t>2021</w:t>
      </w:r>
      <w:r w:rsidRPr="00543556">
        <w:rPr>
          <w:lang w:val="fr-BE"/>
        </w:rPr>
        <w:t>).</w:t>
      </w:r>
    </w:p>
  </w:footnote>
  <w:footnote w:id="64">
    <w:p w14:paraId="58AE5474" w14:textId="77777777" w:rsidR="00922C2A" w:rsidRPr="00543556" w:rsidRDefault="00922C2A" w:rsidP="00922C2A">
      <w:pPr>
        <w:pStyle w:val="FootnoteText"/>
        <w:rPr>
          <w:lang w:val="fr-BE"/>
        </w:rPr>
      </w:pPr>
      <w:r>
        <w:rPr>
          <w:rStyle w:val="FootnoteReference"/>
        </w:rPr>
        <w:footnoteRef/>
      </w:r>
      <w:r w:rsidRPr="00543556">
        <w:rPr>
          <w:lang w:val="fr-BE"/>
        </w:rPr>
        <w:tab/>
        <w:t xml:space="preserve">Règlement (UE) </w:t>
      </w:r>
      <w:r w:rsidRPr="00EF751B">
        <w:rPr>
          <w:lang w:val="fr-BE"/>
        </w:rPr>
        <w:t>2021</w:t>
      </w:r>
      <w:r w:rsidRPr="00543556">
        <w:rPr>
          <w:lang w:val="fr-BE"/>
        </w:rPr>
        <w:t>/</w:t>
      </w:r>
      <w:r w:rsidRPr="00EF751B">
        <w:rPr>
          <w:lang w:val="fr-BE"/>
        </w:rPr>
        <w:t>695</w:t>
      </w:r>
      <w:r w:rsidRPr="00543556">
        <w:rPr>
          <w:lang w:val="fr-BE"/>
        </w:rPr>
        <w:t xml:space="preserve"> du Parlement européen et du Conseil du </w:t>
      </w:r>
      <w:r w:rsidRPr="00EF751B">
        <w:rPr>
          <w:lang w:val="fr-BE"/>
        </w:rPr>
        <w:t>28</w:t>
      </w:r>
      <w:r w:rsidRPr="00543556">
        <w:rPr>
          <w:lang w:val="fr-BE"/>
        </w:rPr>
        <w:t xml:space="preserve"> avril </w:t>
      </w:r>
      <w:r w:rsidRPr="00EF751B">
        <w:rPr>
          <w:lang w:val="fr-BE"/>
        </w:rPr>
        <w:t>2021</w:t>
      </w:r>
      <w:r w:rsidRPr="00543556">
        <w:rPr>
          <w:lang w:val="fr-BE"/>
        </w:rPr>
        <w:t xml:space="preserve"> portant établissement du programme-cadre pour la recherche et l’innovation Horizon Europe et définissant ses règles de participation et de diffusion, et abrogeant les règlements (UE) nº </w:t>
      </w:r>
      <w:r w:rsidRPr="00EF751B">
        <w:rPr>
          <w:lang w:val="fr-BE"/>
        </w:rPr>
        <w:t>1290</w:t>
      </w:r>
      <w:r w:rsidRPr="00543556">
        <w:rPr>
          <w:lang w:val="fr-BE"/>
        </w:rPr>
        <w:t>/</w:t>
      </w:r>
      <w:r w:rsidRPr="00EF751B">
        <w:rPr>
          <w:lang w:val="fr-BE"/>
        </w:rPr>
        <w:t>2013</w:t>
      </w:r>
      <w:r w:rsidRPr="00543556">
        <w:rPr>
          <w:lang w:val="fr-BE"/>
        </w:rPr>
        <w:t xml:space="preserve"> et (UE) nº </w:t>
      </w:r>
      <w:r w:rsidRPr="00EF751B">
        <w:rPr>
          <w:lang w:val="fr-BE"/>
        </w:rPr>
        <w:t>1291</w:t>
      </w:r>
      <w:r w:rsidRPr="00543556">
        <w:rPr>
          <w:lang w:val="fr-BE"/>
        </w:rPr>
        <w:t>/</w:t>
      </w:r>
      <w:r w:rsidRPr="00EF751B">
        <w:rPr>
          <w:lang w:val="fr-BE"/>
        </w:rPr>
        <w:t>2013</w:t>
      </w:r>
      <w:r w:rsidRPr="00543556">
        <w:rPr>
          <w:lang w:val="fr-BE"/>
        </w:rPr>
        <w:t>, JO L </w:t>
      </w:r>
      <w:r w:rsidRPr="00EF751B">
        <w:rPr>
          <w:lang w:val="fr-BE"/>
        </w:rPr>
        <w:t>170</w:t>
      </w:r>
      <w:r w:rsidRPr="00543556">
        <w:rPr>
          <w:lang w:val="fr-BE"/>
        </w:rPr>
        <w:t xml:space="preserve"> du </w:t>
      </w:r>
      <w:r w:rsidRPr="00EF751B">
        <w:rPr>
          <w:lang w:val="fr-BE"/>
        </w:rPr>
        <w:t>12</w:t>
      </w:r>
      <w:r w:rsidRPr="00543556">
        <w:rPr>
          <w:lang w:val="fr-BE"/>
        </w:rPr>
        <w:t>.</w:t>
      </w:r>
      <w:r w:rsidRPr="00EF751B">
        <w:rPr>
          <w:lang w:val="fr-BE"/>
        </w:rPr>
        <w:t>5</w:t>
      </w:r>
      <w:r w:rsidRPr="00543556">
        <w:rPr>
          <w:lang w:val="fr-BE"/>
        </w:rPr>
        <w:t>.</w:t>
      </w:r>
      <w:r w:rsidRPr="00EF751B">
        <w:rPr>
          <w:lang w:val="fr-BE"/>
        </w:rPr>
        <w:t>2021</w:t>
      </w:r>
      <w:r w:rsidRPr="00543556">
        <w:rPr>
          <w:lang w:val="fr-BE"/>
        </w:rPr>
        <w:t>, p. </w:t>
      </w:r>
      <w:r w:rsidRPr="00EF751B">
        <w:rPr>
          <w:lang w:val="fr-BE"/>
        </w:rPr>
        <w:t>1</w:t>
      </w:r>
      <w:r w:rsidRPr="00543556">
        <w:rPr>
          <w:lang w:val="fr-BE"/>
        </w:rPr>
        <w:t>.</w:t>
      </w:r>
    </w:p>
  </w:footnote>
  <w:footnote w:id="65">
    <w:p w14:paraId="32EABABC" w14:textId="77777777" w:rsidR="00922C2A" w:rsidRPr="00543556" w:rsidRDefault="00922C2A" w:rsidP="00922C2A">
      <w:pPr>
        <w:pStyle w:val="FootnoteText"/>
        <w:rPr>
          <w:lang w:val="fr-BE"/>
        </w:rPr>
      </w:pPr>
      <w:r>
        <w:rPr>
          <w:rStyle w:val="FootnoteReference"/>
        </w:rPr>
        <w:footnoteRef/>
      </w:r>
      <w:r w:rsidRPr="00543556">
        <w:rPr>
          <w:lang w:val="fr-BE"/>
        </w:rPr>
        <w:tab/>
        <w:t xml:space="preserve">Règlement (UE) </w:t>
      </w:r>
      <w:r w:rsidRPr="00EF751B">
        <w:rPr>
          <w:lang w:val="fr-BE"/>
        </w:rPr>
        <w:t>2021</w:t>
      </w:r>
      <w:r w:rsidRPr="00543556">
        <w:rPr>
          <w:lang w:val="fr-BE"/>
        </w:rPr>
        <w:t>/</w:t>
      </w:r>
      <w:r w:rsidRPr="00EF751B">
        <w:rPr>
          <w:lang w:val="fr-BE"/>
        </w:rPr>
        <w:t>694</w:t>
      </w:r>
      <w:r w:rsidRPr="00543556">
        <w:rPr>
          <w:lang w:val="fr-BE"/>
        </w:rPr>
        <w:t xml:space="preserve"> du Parlement européen et du Conseil du </w:t>
      </w:r>
      <w:r w:rsidRPr="00EF751B">
        <w:rPr>
          <w:lang w:val="fr-BE"/>
        </w:rPr>
        <w:t>29</w:t>
      </w:r>
      <w:r w:rsidRPr="00543556">
        <w:rPr>
          <w:lang w:val="fr-BE"/>
        </w:rPr>
        <w:t xml:space="preserve"> avril </w:t>
      </w:r>
      <w:r w:rsidRPr="00EF751B">
        <w:rPr>
          <w:lang w:val="fr-BE"/>
        </w:rPr>
        <w:t>2021</w:t>
      </w:r>
      <w:r w:rsidRPr="00543556">
        <w:rPr>
          <w:lang w:val="fr-BE"/>
        </w:rPr>
        <w:t xml:space="preserve"> établissant le programme pour une Europe numérique et abrogeant la décision (UE) </w:t>
      </w:r>
      <w:r w:rsidRPr="00EF751B">
        <w:rPr>
          <w:lang w:val="fr-BE"/>
        </w:rPr>
        <w:t>2015</w:t>
      </w:r>
      <w:r w:rsidRPr="00543556">
        <w:rPr>
          <w:lang w:val="fr-BE"/>
        </w:rPr>
        <w:t>/</w:t>
      </w:r>
      <w:r w:rsidRPr="00EF751B">
        <w:rPr>
          <w:lang w:val="fr-BE"/>
        </w:rPr>
        <w:t>2240</w:t>
      </w:r>
      <w:r w:rsidRPr="00543556">
        <w:rPr>
          <w:lang w:val="fr-BE"/>
        </w:rPr>
        <w:t>, JO L </w:t>
      </w:r>
      <w:r w:rsidRPr="00EF751B">
        <w:rPr>
          <w:lang w:val="fr-BE"/>
        </w:rPr>
        <w:t>166</w:t>
      </w:r>
      <w:r w:rsidRPr="00543556">
        <w:rPr>
          <w:lang w:val="fr-BE"/>
        </w:rPr>
        <w:t xml:space="preserve"> du </w:t>
      </w:r>
      <w:r w:rsidRPr="00EF751B">
        <w:rPr>
          <w:lang w:val="fr-BE"/>
        </w:rPr>
        <w:t>11</w:t>
      </w:r>
      <w:r w:rsidRPr="00543556">
        <w:rPr>
          <w:lang w:val="fr-BE"/>
        </w:rPr>
        <w:t>.</w:t>
      </w:r>
      <w:r w:rsidRPr="00EF751B">
        <w:rPr>
          <w:lang w:val="fr-BE"/>
        </w:rPr>
        <w:t>5</w:t>
      </w:r>
      <w:r w:rsidRPr="00543556">
        <w:rPr>
          <w:lang w:val="fr-BE"/>
        </w:rPr>
        <w:t>.</w:t>
      </w:r>
      <w:r w:rsidRPr="00EF751B">
        <w:rPr>
          <w:lang w:val="fr-BE"/>
        </w:rPr>
        <w:t>2021</w:t>
      </w:r>
      <w:r w:rsidRPr="00543556">
        <w:rPr>
          <w:lang w:val="fr-BE"/>
        </w:rPr>
        <w:t>, p. </w:t>
      </w:r>
      <w:r w:rsidRPr="00EF751B">
        <w:rPr>
          <w:lang w:val="fr-BE"/>
        </w:rPr>
        <w:t>1</w:t>
      </w:r>
      <w:r w:rsidRPr="00543556">
        <w:rPr>
          <w:lang w:val="fr-BE"/>
        </w:rPr>
        <w:t>.</w:t>
      </w:r>
    </w:p>
  </w:footnote>
  <w:footnote w:id="66">
    <w:p w14:paraId="720A9AE8" w14:textId="77777777" w:rsidR="00922C2A" w:rsidRPr="001259D6" w:rsidRDefault="00922C2A" w:rsidP="00922C2A">
      <w:pPr>
        <w:pStyle w:val="FootnoteText"/>
        <w:rPr>
          <w:lang w:val="fr-BE"/>
        </w:rPr>
      </w:pPr>
      <w:r>
        <w:rPr>
          <w:rStyle w:val="FootnoteReference"/>
        </w:rPr>
        <w:footnoteRef/>
      </w:r>
      <w:r w:rsidRPr="001259D6">
        <w:rPr>
          <w:lang w:val="fr-BE"/>
        </w:rPr>
        <w:tab/>
        <w:t>JO C, , p. .</w:t>
      </w:r>
    </w:p>
  </w:footnote>
  <w:footnote w:id="67">
    <w:p w14:paraId="1BE5A39B" w14:textId="77777777" w:rsidR="00922C2A" w:rsidRPr="001259D6" w:rsidRDefault="00922C2A" w:rsidP="00922C2A">
      <w:pPr>
        <w:pStyle w:val="FootnoteText"/>
        <w:rPr>
          <w:lang w:val="fr-BE"/>
        </w:rPr>
      </w:pPr>
      <w:r>
        <w:rPr>
          <w:rStyle w:val="FootnoteReference"/>
        </w:rPr>
        <w:footnoteRef/>
      </w:r>
      <w:r w:rsidRPr="001259D6">
        <w:rPr>
          <w:lang w:val="fr-BE"/>
        </w:rPr>
        <w:tab/>
        <w:t xml:space="preserve">Règlement (UE) </w:t>
      </w:r>
      <w:r w:rsidRPr="00EF751B">
        <w:rPr>
          <w:lang w:val="fr-BE"/>
        </w:rPr>
        <w:t>2022</w:t>
      </w:r>
      <w:r w:rsidRPr="001259D6">
        <w:rPr>
          <w:lang w:val="fr-BE"/>
        </w:rPr>
        <w:t>/</w:t>
      </w:r>
      <w:r w:rsidRPr="00EF751B">
        <w:rPr>
          <w:lang w:val="fr-BE"/>
        </w:rPr>
        <w:t>123</w:t>
      </w:r>
      <w:r w:rsidRPr="001259D6">
        <w:rPr>
          <w:lang w:val="fr-BE"/>
        </w:rPr>
        <w:t xml:space="preserve"> du Parlement européen et du Conseil du </w:t>
      </w:r>
      <w:r w:rsidRPr="00EF751B">
        <w:rPr>
          <w:lang w:val="fr-BE"/>
        </w:rPr>
        <w:t>25</w:t>
      </w:r>
      <w:r w:rsidRPr="001259D6">
        <w:rPr>
          <w:lang w:val="fr-BE"/>
        </w:rPr>
        <w:t xml:space="preserve"> janvier </w:t>
      </w:r>
      <w:r w:rsidRPr="00EF751B">
        <w:rPr>
          <w:lang w:val="fr-BE"/>
        </w:rPr>
        <w:t>2022</w:t>
      </w:r>
      <w:r w:rsidRPr="001259D6">
        <w:rPr>
          <w:lang w:val="fr-BE"/>
        </w:rPr>
        <w:t xml:space="preserve"> relatif à un rôle renforcé de l’Agence européenne des médicaments dans la préparation aux crises et la gestion de celles-ci en ce qui concerne les médicaments et les dispositifs médicaux (JO L </w:t>
      </w:r>
      <w:r w:rsidRPr="00EF751B">
        <w:rPr>
          <w:lang w:val="fr-BE"/>
        </w:rPr>
        <w:t>20</w:t>
      </w:r>
      <w:r w:rsidRPr="001259D6">
        <w:rPr>
          <w:lang w:val="fr-BE"/>
        </w:rPr>
        <w:t xml:space="preserve"> du </w:t>
      </w:r>
      <w:r w:rsidRPr="00EF751B">
        <w:rPr>
          <w:lang w:val="fr-BE"/>
        </w:rPr>
        <w:t>31</w:t>
      </w:r>
      <w:r w:rsidRPr="001259D6">
        <w:rPr>
          <w:lang w:val="fr-BE"/>
        </w:rPr>
        <w:t>.</w:t>
      </w:r>
      <w:r w:rsidRPr="00EF751B">
        <w:rPr>
          <w:lang w:val="fr-BE"/>
        </w:rPr>
        <w:t>2</w:t>
      </w:r>
      <w:r w:rsidRPr="001259D6">
        <w:rPr>
          <w:lang w:val="fr-BE"/>
        </w:rPr>
        <w:t>.</w:t>
      </w:r>
      <w:r w:rsidRPr="00EF751B">
        <w:rPr>
          <w:lang w:val="fr-BE"/>
        </w:rPr>
        <w:t>2022</w:t>
      </w:r>
      <w:r w:rsidRPr="001259D6">
        <w:rPr>
          <w:lang w:val="fr-BE"/>
        </w:rPr>
        <w:t>, p. </w:t>
      </w:r>
      <w:r w:rsidRPr="00EF751B">
        <w:rPr>
          <w:lang w:val="fr-BE"/>
        </w:rPr>
        <w:t>1</w:t>
      </w:r>
      <w:r w:rsidRPr="001259D6">
        <w:rPr>
          <w:lang w:val="fr-BE"/>
        </w:rPr>
        <w:t>, ELI: </w:t>
      </w:r>
      <w:hyperlink r:id="rId69" w:tooltip="Donne accès à ce document par l’intermédiaire de son URI ELI." w:history="1">
        <w:r w:rsidRPr="001259D6">
          <w:rPr>
            <w:rStyle w:val="Hyperlink"/>
            <w:lang w:val="fr-BE"/>
          </w:rPr>
          <w:t>http://data.europa.eu/eli/reg/</w:t>
        </w:r>
        <w:r w:rsidRPr="00EF751B">
          <w:rPr>
            <w:rStyle w:val="Hyperlink"/>
            <w:lang w:val="fr-BE"/>
          </w:rPr>
          <w:t>2022</w:t>
        </w:r>
        <w:r w:rsidRPr="001259D6">
          <w:rPr>
            <w:rStyle w:val="Hyperlink"/>
            <w:lang w:val="fr-BE"/>
          </w:rPr>
          <w:t>/</w:t>
        </w:r>
        <w:r w:rsidRPr="00EF751B">
          <w:rPr>
            <w:rStyle w:val="Hyperlink"/>
            <w:lang w:val="fr-BE"/>
          </w:rPr>
          <w:t>123</w:t>
        </w:r>
        <w:r w:rsidRPr="001259D6">
          <w:rPr>
            <w:rStyle w:val="Hyperlink"/>
            <w:lang w:val="fr-BE"/>
          </w:rPr>
          <w:t>/oj</w:t>
        </w:r>
      </w:hyperlink>
      <w:r w:rsidRPr="001259D6">
        <w:rPr>
          <w:lang w:val="fr-BE"/>
        </w:rPr>
        <w:t>).</w:t>
      </w:r>
    </w:p>
  </w:footnote>
  <w:footnote w:id="68">
    <w:p w14:paraId="53C22562" w14:textId="77777777" w:rsidR="00922C2A" w:rsidRPr="001259D6" w:rsidRDefault="00922C2A" w:rsidP="00922C2A">
      <w:pPr>
        <w:pStyle w:val="FootnoteText"/>
        <w:rPr>
          <w:lang w:val="fr-BE"/>
        </w:rPr>
      </w:pPr>
      <w:r>
        <w:rPr>
          <w:rStyle w:val="FootnoteReference"/>
        </w:rPr>
        <w:footnoteRef/>
      </w:r>
      <w:r w:rsidRPr="001259D6">
        <w:rPr>
          <w:lang w:val="fr-BE"/>
        </w:rPr>
        <w:tab/>
        <w:t>Règlement  (UE) …/… du Parlement européen et du Conseil établissant des procédures de l’Union pour l’autorisation et la surveillance des médicaments à usage humain et établissant des règles régissant l’Agence européenne des médicaments, modifiant le règlement (CE) nº </w:t>
      </w:r>
      <w:r w:rsidRPr="00EF751B">
        <w:rPr>
          <w:lang w:val="fr-BE"/>
        </w:rPr>
        <w:t>1394</w:t>
      </w:r>
      <w:r w:rsidRPr="001259D6">
        <w:rPr>
          <w:lang w:val="fr-BE"/>
        </w:rPr>
        <w:t>/</w:t>
      </w:r>
      <w:r w:rsidRPr="00EF751B">
        <w:rPr>
          <w:lang w:val="fr-BE"/>
        </w:rPr>
        <w:t>2007</w:t>
      </w:r>
      <w:r w:rsidRPr="001259D6">
        <w:rPr>
          <w:lang w:val="fr-BE"/>
        </w:rPr>
        <w:t xml:space="preserve"> et le règlement (UE) nº </w:t>
      </w:r>
      <w:r w:rsidRPr="00EF751B">
        <w:rPr>
          <w:lang w:val="fr-BE"/>
        </w:rPr>
        <w:t>536</w:t>
      </w:r>
      <w:r w:rsidRPr="001259D6">
        <w:rPr>
          <w:lang w:val="fr-BE"/>
        </w:rPr>
        <w:t>/</w:t>
      </w:r>
      <w:r w:rsidRPr="00EF751B">
        <w:rPr>
          <w:lang w:val="fr-BE"/>
        </w:rPr>
        <w:t>2014</w:t>
      </w:r>
      <w:r w:rsidRPr="001259D6">
        <w:rPr>
          <w:lang w:val="fr-BE"/>
        </w:rPr>
        <w:t xml:space="preserve"> et abrogeant le règlement (CE) nº </w:t>
      </w:r>
      <w:r w:rsidRPr="00EF751B">
        <w:rPr>
          <w:lang w:val="fr-BE"/>
        </w:rPr>
        <w:t>726</w:t>
      </w:r>
      <w:r w:rsidRPr="001259D6">
        <w:rPr>
          <w:lang w:val="fr-BE"/>
        </w:rPr>
        <w:t>/</w:t>
      </w:r>
      <w:r w:rsidRPr="00EF751B">
        <w:rPr>
          <w:lang w:val="fr-BE"/>
        </w:rPr>
        <w:t>2004</w:t>
      </w:r>
      <w:r w:rsidRPr="001259D6">
        <w:rPr>
          <w:lang w:val="fr-BE"/>
        </w:rPr>
        <w:t>, le règlement (CE) nº </w:t>
      </w:r>
      <w:r w:rsidRPr="00EF751B">
        <w:rPr>
          <w:lang w:val="fr-BE"/>
        </w:rPr>
        <w:t>141</w:t>
      </w:r>
      <w:r w:rsidRPr="001259D6">
        <w:rPr>
          <w:lang w:val="fr-BE"/>
        </w:rPr>
        <w:t>/</w:t>
      </w:r>
      <w:r w:rsidRPr="00EF751B">
        <w:rPr>
          <w:lang w:val="fr-BE"/>
        </w:rPr>
        <w:t>2000</w:t>
      </w:r>
      <w:r w:rsidRPr="001259D6">
        <w:rPr>
          <w:lang w:val="fr-BE"/>
        </w:rPr>
        <w:t xml:space="preserve"> et le règlement (CE) nº </w:t>
      </w:r>
      <w:r w:rsidRPr="00EF751B">
        <w:rPr>
          <w:lang w:val="fr-BE"/>
        </w:rPr>
        <w:t>1901</w:t>
      </w:r>
      <w:r w:rsidRPr="001259D6">
        <w:rPr>
          <w:lang w:val="fr-BE"/>
        </w:rPr>
        <w:t>/</w:t>
      </w:r>
      <w:r w:rsidRPr="00EF751B">
        <w:rPr>
          <w:lang w:val="fr-BE"/>
        </w:rPr>
        <w:t>2006</w:t>
      </w:r>
      <w:r w:rsidRPr="001259D6">
        <w:rPr>
          <w:lang w:val="fr-BE"/>
        </w:rPr>
        <w:t xml:space="preserve"> (JO … </w:t>
      </w:r>
      <w:r w:rsidRPr="001259D6">
        <w:rPr>
          <w:i/>
          <w:lang w:val="fr-BE"/>
        </w:rPr>
        <w:t>[OP: veuillez compléter les références de publication]</w:t>
      </w:r>
      <w:r w:rsidRPr="001259D6">
        <w:rPr>
          <w:lang w:val="fr-BE"/>
        </w:rPr>
        <w:t>).</w:t>
      </w:r>
    </w:p>
  </w:footnote>
  <w:footnote w:id="69">
    <w:p w14:paraId="5A2103A8" w14:textId="77777777" w:rsidR="00922C2A" w:rsidRPr="001259D6" w:rsidRDefault="00922C2A" w:rsidP="00922C2A">
      <w:pPr>
        <w:pStyle w:val="FootnoteText"/>
        <w:rPr>
          <w:lang w:val="fr-BE"/>
        </w:rPr>
      </w:pPr>
      <w:r>
        <w:rPr>
          <w:rStyle w:val="FootnoteReference"/>
        </w:rPr>
        <w:footnoteRef/>
      </w:r>
      <w:r w:rsidRPr="001259D6">
        <w:rPr>
          <w:lang w:val="fr-BE"/>
        </w:rPr>
        <w:tab/>
        <w:t xml:space="preserve">Règlement (UE) </w:t>
      </w:r>
      <w:r w:rsidRPr="00EF751B">
        <w:rPr>
          <w:lang w:val="fr-BE"/>
        </w:rPr>
        <w:t>2021</w:t>
      </w:r>
      <w:r w:rsidRPr="001259D6">
        <w:rPr>
          <w:lang w:val="fr-BE"/>
        </w:rPr>
        <w:t>/</w:t>
      </w:r>
      <w:r w:rsidRPr="00EF751B">
        <w:rPr>
          <w:lang w:val="fr-BE"/>
        </w:rPr>
        <w:t>522</w:t>
      </w:r>
      <w:r w:rsidRPr="001259D6">
        <w:rPr>
          <w:lang w:val="fr-BE"/>
        </w:rPr>
        <w:t xml:space="preserve"> du Parlement européen et du Conseil du </w:t>
      </w:r>
      <w:r w:rsidRPr="00EF751B">
        <w:rPr>
          <w:lang w:val="fr-BE"/>
        </w:rPr>
        <w:t>24</w:t>
      </w:r>
      <w:r w:rsidRPr="001259D6">
        <w:rPr>
          <w:lang w:val="fr-BE"/>
        </w:rPr>
        <w:t xml:space="preserve"> mars </w:t>
      </w:r>
      <w:r w:rsidRPr="00EF751B">
        <w:rPr>
          <w:lang w:val="fr-BE"/>
        </w:rPr>
        <w:t>2021</w:t>
      </w:r>
      <w:r w:rsidRPr="001259D6">
        <w:rPr>
          <w:lang w:val="fr-BE"/>
        </w:rPr>
        <w:t xml:space="preserve"> établissant un programme d’action de l’Union dans le domaine de la santé (programme «L’UE pour la santé») pour la période </w:t>
      </w:r>
      <w:r w:rsidRPr="00EF751B">
        <w:rPr>
          <w:lang w:val="fr-BE"/>
        </w:rPr>
        <w:t>2021</w:t>
      </w:r>
      <w:r w:rsidRPr="001259D6">
        <w:rPr>
          <w:lang w:val="fr-BE"/>
        </w:rPr>
        <w:t>-</w:t>
      </w:r>
      <w:r w:rsidRPr="00EF751B">
        <w:rPr>
          <w:lang w:val="fr-BE"/>
        </w:rPr>
        <w:t>2027</w:t>
      </w:r>
      <w:r w:rsidRPr="001259D6">
        <w:rPr>
          <w:lang w:val="fr-BE"/>
        </w:rPr>
        <w:t>, et abrogeant le règlement (UE) nº </w:t>
      </w:r>
      <w:r w:rsidRPr="00EF751B">
        <w:rPr>
          <w:lang w:val="fr-BE"/>
        </w:rPr>
        <w:t>282</w:t>
      </w:r>
      <w:r w:rsidRPr="001259D6">
        <w:rPr>
          <w:lang w:val="fr-BE"/>
        </w:rPr>
        <w:t>/</w:t>
      </w:r>
      <w:r w:rsidRPr="00EF751B">
        <w:rPr>
          <w:lang w:val="fr-BE"/>
        </w:rPr>
        <w:t>2014</w:t>
      </w:r>
      <w:r w:rsidRPr="001259D6">
        <w:rPr>
          <w:lang w:val="fr-BE"/>
        </w:rPr>
        <w:t xml:space="preserve"> (JO L </w:t>
      </w:r>
      <w:r w:rsidRPr="00EF751B">
        <w:rPr>
          <w:lang w:val="fr-BE"/>
        </w:rPr>
        <w:t>107</w:t>
      </w:r>
      <w:r w:rsidRPr="001259D6">
        <w:rPr>
          <w:lang w:val="fr-BE"/>
        </w:rPr>
        <w:t xml:space="preserve"> du </w:t>
      </w:r>
      <w:r w:rsidRPr="00EF751B">
        <w:rPr>
          <w:lang w:val="fr-BE"/>
        </w:rPr>
        <w:t>26</w:t>
      </w:r>
      <w:r w:rsidRPr="001259D6">
        <w:rPr>
          <w:lang w:val="fr-BE"/>
        </w:rPr>
        <w:t>.</w:t>
      </w:r>
      <w:r w:rsidRPr="00EF751B">
        <w:rPr>
          <w:lang w:val="fr-BE"/>
        </w:rPr>
        <w:t>3</w:t>
      </w:r>
      <w:r w:rsidRPr="001259D6">
        <w:rPr>
          <w:lang w:val="fr-BE"/>
        </w:rPr>
        <w:t>.</w:t>
      </w:r>
      <w:r w:rsidRPr="00EF751B">
        <w:rPr>
          <w:lang w:val="fr-BE"/>
        </w:rPr>
        <w:t>2021</w:t>
      </w:r>
      <w:r w:rsidRPr="001259D6">
        <w:rPr>
          <w:lang w:val="fr-BE"/>
        </w:rPr>
        <w:t>, p. </w:t>
      </w:r>
      <w:r w:rsidRPr="00EF751B">
        <w:rPr>
          <w:lang w:val="fr-BE"/>
        </w:rPr>
        <w:t>1</w:t>
      </w:r>
      <w:r w:rsidRPr="001259D6">
        <w:rPr>
          <w:lang w:val="fr-BE"/>
        </w:rPr>
        <w:t xml:space="preserve">, ELI: </w:t>
      </w:r>
      <w:r w:rsidRPr="001259D6">
        <w:rPr>
          <w:color w:val="333333"/>
          <w:shd w:val="clear" w:color="auto" w:fill="FFFFFF"/>
          <w:lang w:val="fr-BE"/>
        </w:rPr>
        <w:t>ELI: </w:t>
      </w:r>
      <w:hyperlink r:id="rId70" w:tooltip="Donne accès à ce document par l’intermédiaire de son URI ELI." w:history="1">
        <w:r w:rsidRPr="001259D6">
          <w:rPr>
            <w:color w:val="337AB7"/>
            <w:u w:val="single"/>
            <w:shd w:val="clear" w:color="auto" w:fill="FFFFFF"/>
            <w:lang w:val="fr-BE"/>
          </w:rPr>
          <w:t>http://data.europa.eu/eli/reg/</w:t>
        </w:r>
        <w:r w:rsidRPr="00EF751B">
          <w:rPr>
            <w:color w:val="337AB7"/>
            <w:u w:val="single"/>
            <w:shd w:val="clear" w:color="auto" w:fill="FFFFFF"/>
            <w:lang w:val="fr-BE"/>
          </w:rPr>
          <w:t>2021</w:t>
        </w:r>
        <w:r w:rsidRPr="001259D6">
          <w:rPr>
            <w:color w:val="337AB7"/>
            <w:u w:val="single"/>
            <w:shd w:val="clear" w:color="auto" w:fill="FFFFFF"/>
            <w:lang w:val="fr-BE"/>
          </w:rPr>
          <w:t>/</w:t>
        </w:r>
        <w:r w:rsidRPr="00EF751B">
          <w:rPr>
            <w:color w:val="337AB7"/>
            <w:u w:val="single"/>
            <w:shd w:val="clear" w:color="auto" w:fill="FFFFFF"/>
            <w:lang w:val="fr-BE"/>
          </w:rPr>
          <w:t>522</w:t>
        </w:r>
        <w:r w:rsidRPr="001259D6">
          <w:rPr>
            <w:color w:val="337AB7"/>
            <w:u w:val="single"/>
            <w:shd w:val="clear" w:color="auto" w:fill="FFFFFF"/>
            <w:lang w:val="fr-BE"/>
          </w:rPr>
          <w:t>/oj</w:t>
        </w:r>
      </w:hyperlink>
      <w:r w:rsidRPr="001259D6">
        <w:rPr>
          <w:lang w:val="fr-BE"/>
        </w:rPr>
        <w:t>).</w:t>
      </w:r>
    </w:p>
  </w:footnote>
  <w:footnote w:id="70">
    <w:p w14:paraId="3F9622D1" w14:textId="77777777" w:rsidR="00922C2A" w:rsidRPr="001259D6" w:rsidRDefault="00922C2A" w:rsidP="00922C2A">
      <w:pPr>
        <w:pStyle w:val="FootnoteText"/>
        <w:rPr>
          <w:lang w:val="fr-BE"/>
        </w:rPr>
      </w:pPr>
      <w:r>
        <w:rPr>
          <w:rStyle w:val="FootnoteReference"/>
        </w:rPr>
        <w:footnoteRef/>
      </w:r>
      <w:r w:rsidRPr="001259D6">
        <w:rPr>
          <w:lang w:val="fr-BE"/>
        </w:rPr>
        <w:tab/>
        <w:t xml:space="preserve">Règlement (UE) </w:t>
      </w:r>
      <w:r w:rsidRPr="00EF751B">
        <w:rPr>
          <w:lang w:val="fr-BE"/>
        </w:rPr>
        <w:t>2021</w:t>
      </w:r>
      <w:r w:rsidRPr="001259D6">
        <w:rPr>
          <w:lang w:val="fr-BE"/>
        </w:rPr>
        <w:t>/</w:t>
      </w:r>
      <w:r w:rsidRPr="00EF751B">
        <w:rPr>
          <w:lang w:val="fr-BE"/>
        </w:rPr>
        <w:t>694</w:t>
      </w:r>
      <w:r w:rsidRPr="001259D6">
        <w:rPr>
          <w:lang w:val="fr-BE"/>
        </w:rPr>
        <w:t xml:space="preserve"> du Parlement européen et du Conseil du </w:t>
      </w:r>
      <w:r w:rsidRPr="00EF751B">
        <w:rPr>
          <w:lang w:val="fr-BE"/>
        </w:rPr>
        <w:t>29</w:t>
      </w:r>
      <w:r w:rsidRPr="001259D6">
        <w:rPr>
          <w:lang w:val="fr-BE"/>
        </w:rPr>
        <w:t xml:space="preserve"> avril </w:t>
      </w:r>
      <w:r w:rsidRPr="00EF751B">
        <w:rPr>
          <w:lang w:val="fr-BE"/>
        </w:rPr>
        <w:t>2021</w:t>
      </w:r>
      <w:r w:rsidRPr="001259D6">
        <w:rPr>
          <w:lang w:val="fr-BE"/>
        </w:rPr>
        <w:t xml:space="preserve"> établissant le programme pour une Europe numérique et abrogeant la décision (UE) </w:t>
      </w:r>
      <w:r w:rsidRPr="00EF751B">
        <w:rPr>
          <w:lang w:val="fr-BE"/>
        </w:rPr>
        <w:t>2015</w:t>
      </w:r>
      <w:r w:rsidRPr="001259D6">
        <w:rPr>
          <w:lang w:val="fr-BE"/>
        </w:rPr>
        <w:t>/</w:t>
      </w:r>
      <w:r w:rsidRPr="00EF751B">
        <w:rPr>
          <w:lang w:val="fr-BE"/>
        </w:rPr>
        <w:t>2240</w:t>
      </w:r>
      <w:r w:rsidRPr="001259D6">
        <w:rPr>
          <w:lang w:val="fr-BE"/>
        </w:rPr>
        <w:t xml:space="preserve"> (JO L </w:t>
      </w:r>
      <w:r w:rsidRPr="00EF751B">
        <w:rPr>
          <w:lang w:val="fr-BE"/>
        </w:rPr>
        <w:t>166</w:t>
      </w:r>
      <w:r w:rsidRPr="001259D6">
        <w:rPr>
          <w:lang w:val="fr-BE"/>
        </w:rPr>
        <w:t xml:space="preserve"> du </w:t>
      </w:r>
      <w:r w:rsidRPr="00EF751B">
        <w:rPr>
          <w:lang w:val="fr-BE"/>
        </w:rPr>
        <w:t>11</w:t>
      </w:r>
      <w:r w:rsidRPr="001259D6">
        <w:rPr>
          <w:lang w:val="fr-BE"/>
        </w:rPr>
        <w:t>.</w:t>
      </w:r>
      <w:r w:rsidRPr="00EF751B">
        <w:rPr>
          <w:lang w:val="fr-BE"/>
        </w:rPr>
        <w:t>5</w:t>
      </w:r>
      <w:r w:rsidRPr="001259D6">
        <w:rPr>
          <w:lang w:val="fr-BE"/>
        </w:rPr>
        <w:t>.</w:t>
      </w:r>
      <w:r w:rsidRPr="00EF751B">
        <w:rPr>
          <w:lang w:val="fr-BE"/>
        </w:rPr>
        <w:t>2021</w:t>
      </w:r>
      <w:r w:rsidRPr="001259D6">
        <w:rPr>
          <w:lang w:val="fr-BE"/>
        </w:rPr>
        <w:t>, p. </w:t>
      </w:r>
      <w:r w:rsidRPr="00EF751B">
        <w:rPr>
          <w:lang w:val="fr-BE"/>
        </w:rPr>
        <w:t>1</w:t>
      </w:r>
      <w:r w:rsidRPr="001259D6">
        <w:rPr>
          <w:lang w:val="fr-BE"/>
        </w:rPr>
        <w:t xml:space="preserve">, </w:t>
      </w:r>
      <w:r w:rsidRPr="001259D6">
        <w:rPr>
          <w:color w:val="333333"/>
          <w:shd w:val="clear" w:color="auto" w:fill="FFFFFF"/>
          <w:lang w:val="fr-BE"/>
        </w:rPr>
        <w:t>ELI: </w:t>
      </w:r>
      <w:hyperlink r:id="rId71" w:tooltip="Donne accès à ce document par l’intermédiaire de son URI ELI." w:history="1">
        <w:r w:rsidRPr="001259D6">
          <w:rPr>
            <w:color w:val="23527C"/>
            <w:u w:val="single"/>
            <w:shd w:val="clear" w:color="auto" w:fill="FFFFFF"/>
            <w:lang w:val="fr-BE"/>
          </w:rPr>
          <w:t>http://data.europa.eu/eli/reg/</w:t>
        </w:r>
        <w:r w:rsidRPr="00EF751B">
          <w:rPr>
            <w:color w:val="23527C"/>
            <w:u w:val="single"/>
            <w:shd w:val="clear" w:color="auto" w:fill="FFFFFF"/>
            <w:lang w:val="fr-BE"/>
          </w:rPr>
          <w:t>2021</w:t>
        </w:r>
        <w:r w:rsidRPr="001259D6">
          <w:rPr>
            <w:color w:val="23527C"/>
            <w:u w:val="single"/>
            <w:shd w:val="clear" w:color="auto" w:fill="FFFFFF"/>
            <w:lang w:val="fr-BE"/>
          </w:rPr>
          <w:t>/</w:t>
        </w:r>
        <w:r w:rsidRPr="00EF751B">
          <w:rPr>
            <w:color w:val="23527C"/>
            <w:u w:val="single"/>
            <w:shd w:val="clear" w:color="auto" w:fill="FFFFFF"/>
            <w:lang w:val="fr-BE"/>
          </w:rPr>
          <w:t>694</w:t>
        </w:r>
        <w:r w:rsidRPr="001259D6">
          <w:rPr>
            <w:color w:val="23527C"/>
            <w:u w:val="single"/>
            <w:shd w:val="clear" w:color="auto" w:fill="FFFFFF"/>
            <w:lang w:val="fr-BE"/>
          </w:rPr>
          <w:t>/</w:t>
        </w:r>
        <w:r w:rsidRPr="00EF751B">
          <w:rPr>
            <w:color w:val="23527C"/>
            <w:u w:val="single"/>
            <w:shd w:val="clear" w:color="auto" w:fill="FFFFFF"/>
            <w:lang w:val="fr-BE"/>
          </w:rPr>
          <w:t>2023</w:t>
        </w:r>
        <w:r w:rsidRPr="001259D6">
          <w:rPr>
            <w:color w:val="23527C"/>
            <w:u w:val="single"/>
            <w:shd w:val="clear" w:color="auto" w:fill="FFFFFF"/>
            <w:lang w:val="fr-BE"/>
          </w:rPr>
          <w:t>-</w:t>
        </w:r>
        <w:r w:rsidRPr="00EF751B">
          <w:rPr>
            <w:color w:val="23527C"/>
            <w:u w:val="single"/>
            <w:shd w:val="clear" w:color="auto" w:fill="FFFFFF"/>
            <w:lang w:val="fr-BE"/>
          </w:rPr>
          <w:t>09</w:t>
        </w:r>
        <w:r w:rsidRPr="001259D6">
          <w:rPr>
            <w:color w:val="23527C"/>
            <w:u w:val="single"/>
            <w:shd w:val="clear" w:color="auto" w:fill="FFFFFF"/>
            <w:lang w:val="fr-BE"/>
          </w:rPr>
          <w:t>-</w:t>
        </w:r>
        <w:r w:rsidRPr="00EF751B">
          <w:rPr>
            <w:color w:val="23527C"/>
            <w:u w:val="single"/>
            <w:shd w:val="clear" w:color="auto" w:fill="FFFFFF"/>
            <w:lang w:val="fr-BE"/>
          </w:rPr>
          <w:t>21</w:t>
        </w:r>
      </w:hyperlink>
      <w:r w:rsidRPr="001259D6">
        <w:rPr>
          <w:lang w:val="fr-BE"/>
        </w:rPr>
        <w:t>).</w:t>
      </w:r>
    </w:p>
  </w:footnote>
  <w:footnote w:id="71">
    <w:p w14:paraId="7DC27D25" w14:textId="77777777" w:rsidR="00922C2A" w:rsidRPr="001259D6" w:rsidRDefault="00922C2A" w:rsidP="00922C2A">
      <w:pPr>
        <w:pStyle w:val="FootnoteText"/>
        <w:rPr>
          <w:lang w:val="fr-BE"/>
        </w:rPr>
      </w:pPr>
      <w:r>
        <w:rPr>
          <w:rStyle w:val="FootnoteReference"/>
        </w:rPr>
        <w:footnoteRef/>
      </w:r>
      <w:r w:rsidRPr="001259D6">
        <w:rPr>
          <w:lang w:val="fr-BE"/>
        </w:rPr>
        <w:tab/>
        <w:t xml:space="preserve">Règlement (UE) </w:t>
      </w:r>
      <w:r w:rsidRPr="00EF751B">
        <w:rPr>
          <w:lang w:val="fr-BE"/>
        </w:rPr>
        <w:t>2021</w:t>
      </w:r>
      <w:r w:rsidRPr="001259D6">
        <w:rPr>
          <w:lang w:val="fr-BE"/>
        </w:rPr>
        <w:t>/</w:t>
      </w:r>
      <w:r w:rsidRPr="00EF751B">
        <w:rPr>
          <w:lang w:val="fr-BE"/>
        </w:rPr>
        <w:t>695</w:t>
      </w:r>
      <w:r w:rsidRPr="001259D6">
        <w:rPr>
          <w:lang w:val="fr-BE"/>
        </w:rPr>
        <w:t xml:space="preserve"> du Parlement européen et du Conseil du </w:t>
      </w:r>
      <w:r w:rsidRPr="00EF751B">
        <w:rPr>
          <w:lang w:val="fr-BE"/>
        </w:rPr>
        <w:t>28</w:t>
      </w:r>
      <w:r w:rsidRPr="001259D6">
        <w:rPr>
          <w:lang w:val="fr-BE"/>
        </w:rPr>
        <w:t xml:space="preserve"> avril </w:t>
      </w:r>
      <w:r w:rsidRPr="00EF751B">
        <w:rPr>
          <w:lang w:val="fr-BE"/>
        </w:rPr>
        <w:t>2021</w:t>
      </w:r>
      <w:r w:rsidRPr="001259D6">
        <w:rPr>
          <w:lang w:val="fr-BE"/>
        </w:rPr>
        <w:t xml:space="preserve"> portant établissement du programme-cadre pour la recherche et l’innovation «Horizon Europe» et définissant ses règles de participation et de diffusion, et abrogeant les règlements (UE) nº </w:t>
      </w:r>
      <w:r w:rsidRPr="00EF751B">
        <w:rPr>
          <w:lang w:val="fr-BE"/>
        </w:rPr>
        <w:t>1290</w:t>
      </w:r>
      <w:r w:rsidRPr="001259D6">
        <w:rPr>
          <w:lang w:val="fr-BE"/>
        </w:rPr>
        <w:t>/</w:t>
      </w:r>
      <w:r w:rsidRPr="00EF751B">
        <w:rPr>
          <w:lang w:val="fr-BE"/>
        </w:rPr>
        <w:t>2013</w:t>
      </w:r>
      <w:r w:rsidRPr="001259D6">
        <w:rPr>
          <w:lang w:val="fr-BE"/>
        </w:rPr>
        <w:t xml:space="preserve"> et (UE) nº </w:t>
      </w:r>
      <w:r w:rsidRPr="00EF751B">
        <w:rPr>
          <w:lang w:val="fr-BE"/>
        </w:rPr>
        <w:t>1291</w:t>
      </w:r>
      <w:r w:rsidRPr="001259D6">
        <w:rPr>
          <w:lang w:val="fr-BE"/>
        </w:rPr>
        <w:t>/</w:t>
      </w:r>
      <w:r w:rsidRPr="00EF751B">
        <w:rPr>
          <w:lang w:val="fr-BE"/>
        </w:rPr>
        <w:t>2013</w:t>
      </w:r>
      <w:r w:rsidRPr="001259D6">
        <w:rPr>
          <w:lang w:val="fr-BE"/>
        </w:rPr>
        <w:t xml:space="preserve"> (JO L </w:t>
      </w:r>
      <w:r w:rsidRPr="00EF751B">
        <w:rPr>
          <w:lang w:val="fr-BE"/>
        </w:rPr>
        <w:t>170</w:t>
      </w:r>
      <w:r w:rsidRPr="001259D6">
        <w:rPr>
          <w:lang w:val="fr-BE"/>
        </w:rPr>
        <w:t xml:space="preserve"> du </w:t>
      </w:r>
      <w:r w:rsidRPr="00EF751B">
        <w:rPr>
          <w:lang w:val="fr-BE"/>
        </w:rPr>
        <w:t>12</w:t>
      </w:r>
      <w:r w:rsidRPr="001259D6">
        <w:rPr>
          <w:lang w:val="fr-BE"/>
        </w:rPr>
        <w:t>.</w:t>
      </w:r>
      <w:r w:rsidRPr="00EF751B">
        <w:rPr>
          <w:lang w:val="fr-BE"/>
        </w:rPr>
        <w:t>5</w:t>
      </w:r>
      <w:r w:rsidRPr="001259D6">
        <w:rPr>
          <w:lang w:val="fr-BE"/>
        </w:rPr>
        <w:t>.</w:t>
      </w:r>
      <w:r w:rsidRPr="00EF751B">
        <w:rPr>
          <w:lang w:val="fr-BE"/>
        </w:rPr>
        <w:t>2021</w:t>
      </w:r>
      <w:r w:rsidRPr="001259D6">
        <w:rPr>
          <w:lang w:val="fr-BE"/>
        </w:rPr>
        <w:t>, p. </w:t>
      </w:r>
      <w:r w:rsidRPr="00EF751B">
        <w:rPr>
          <w:lang w:val="fr-BE"/>
        </w:rPr>
        <w:t>1</w:t>
      </w:r>
      <w:r w:rsidRPr="001259D6">
        <w:rPr>
          <w:lang w:val="fr-BE"/>
        </w:rPr>
        <w:t xml:space="preserve">, </w:t>
      </w:r>
      <w:r w:rsidRPr="001259D6">
        <w:rPr>
          <w:color w:val="333333"/>
          <w:shd w:val="clear" w:color="auto" w:fill="FFFFFF"/>
          <w:lang w:val="fr-BE"/>
        </w:rPr>
        <w:t>ELI: </w:t>
      </w:r>
      <w:hyperlink r:id="rId72" w:tooltip="Donne accès à ce document par l’intermédiaire de son URI ELI." w:history="1">
        <w:r w:rsidRPr="001259D6">
          <w:rPr>
            <w:color w:val="23527C"/>
            <w:u w:val="single"/>
            <w:shd w:val="clear" w:color="auto" w:fill="FFFFFF"/>
            <w:lang w:val="fr-BE"/>
          </w:rPr>
          <w:t>http://data.europa.eu/eli/reg/</w:t>
        </w:r>
        <w:r w:rsidRPr="00EF751B">
          <w:rPr>
            <w:color w:val="23527C"/>
            <w:u w:val="single"/>
            <w:shd w:val="clear" w:color="auto" w:fill="FFFFFF"/>
            <w:lang w:val="fr-BE"/>
          </w:rPr>
          <w:t>2021</w:t>
        </w:r>
        <w:r w:rsidRPr="001259D6">
          <w:rPr>
            <w:color w:val="23527C"/>
            <w:u w:val="single"/>
            <w:shd w:val="clear" w:color="auto" w:fill="FFFFFF"/>
            <w:lang w:val="fr-BE"/>
          </w:rPr>
          <w:t>/</w:t>
        </w:r>
        <w:r w:rsidRPr="00EF751B">
          <w:rPr>
            <w:color w:val="23527C"/>
            <w:u w:val="single"/>
            <w:shd w:val="clear" w:color="auto" w:fill="FFFFFF"/>
            <w:lang w:val="fr-BE"/>
          </w:rPr>
          <w:t>695</w:t>
        </w:r>
        <w:r w:rsidRPr="001259D6">
          <w:rPr>
            <w:color w:val="23527C"/>
            <w:u w:val="single"/>
            <w:shd w:val="clear" w:color="auto" w:fill="FFFFFF"/>
            <w:lang w:val="fr-BE"/>
          </w:rPr>
          <w:t>/oj</w:t>
        </w:r>
      </w:hyperlink>
      <w:r w:rsidRPr="001259D6">
        <w:rPr>
          <w:lang w:val="fr-BE"/>
        </w:rPr>
        <w:t>).</w:t>
      </w:r>
    </w:p>
  </w:footnote>
  <w:footnote w:id="72">
    <w:p w14:paraId="2947F0C0" w14:textId="77777777" w:rsidR="00922C2A" w:rsidRPr="001259D6" w:rsidRDefault="00922C2A" w:rsidP="00922C2A">
      <w:pPr>
        <w:pStyle w:val="FootnoteText"/>
        <w:rPr>
          <w:lang w:val="fr-BE"/>
        </w:rPr>
      </w:pPr>
      <w:r>
        <w:rPr>
          <w:rStyle w:val="FootnoteReference"/>
        </w:rPr>
        <w:footnoteRef/>
      </w:r>
      <w:r w:rsidRPr="001259D6">
        <w:rPr>
          <w:lang w:val="fr-BE"/>
        </w:rPr>
        <w:tab/>
      </w:r>
      <w:r w:rsidRPr="001259D6">
        <w:rPr>
          <w:color w:val="333333"/>
          <w:shd w:val="clear" w:color="auto" w:fill="FFFFFF"/>
          <w:lang w:val="fr-BE"/>
        </w:rPr>
        <w:t xml:space="preserve">Règlement (UE) </w:t>
      </w:r>
      <w:r w:rsidRPr="00EF751B">
        <w:rPr>
          <w:color w:val="333333"/>
          <w:shd w:val="clear" w:color="auto" w:fill="FFFFFF"/>
          <w:lang w:val="fr-BE"/>
        </w:rPr>
        <w:t>2024</w:t>
      </w:r>
      <w:r w:rsidRPr="001259D6">
        <w:rPr>
          <w:color w:val="333333"/>
          <w:shd w:val="clear" w:color="auto" w:fill="FFFFFF"/>
          <w:lang w:val="fr-BE"/>
        </w:rPr>
        <w:t>/</w:t>
      </w:r>
      <w:r w:rsidRPr="00EF751B">
        <w:rPr>
          <w:color w:val="333333"/>
          <w:shd w:val="clear" w:color="auto" w:fill="FFFFFF"/>
          <w:lang w:val="fr-BE"/>
        </w:rPr>
        <w:t>795</w:t>
      </w:r>
      <w:r w:rsidRPr="001259D6">
        <w:rPr>
          <w:color w:val="333333"/>
          <w:shd w:val="clear" w:color="auto" w:fill="FFFFFF"/>
          <w:lang w:val="fr-BE"/>
        </w:rPr>
        <w:t xml:space="preserve"> du Parlement européen et du Conseil du </w:t>
      </w:r>
      <w:r w:rsidRPr="00EF751B">
        <w:rPr>
          <w:color w:val="333333"/>
          <w:shd w:val="clear" w:color="auto" w:fill="FFFFFF"/>
          <w:lang w:val="fr-BE"/>
        </w:rPr>
        <w:t>29</w:t>
      </w:r>
      <w:r w:rsidRPr="001259D6">
        <w:rPr>
          <w:color w:val="333333"/>
          <w:shd w:val="clear" w:color="auto" w:fill="FFFFFF"/>
          <w:lang w:val="fr-BE"/>
        </w:rPr>
        <w:t xml:space="preserve"> février </w:t>
      </w:r>
      <w:r w:rsidRPr="00EF751B">
        <w:rPr>
          <w:color w:val="333333"/>
          <w:shd w:val="clear" w:color="auto" w:fill="FFFFFF"/>
          <w:lang w:val="fr-BE"/>
        </w:rPr>
        <w:t>2024</w:t>
      </w:r>
      <w:r w:rsidRPr="001259D6">
        <w:rPr>
          <w:color w:val="333333"/>
          <w:shd w:val="clear" w:color="auto" w:fill="FFFFFF"/>
          <w:lang w:val="fr-BE"/>
        </w:rPr>
        <w:t xml:space="preserve"> établissant la plateforme «Technologies stratégiques pour l’Europe» (STEP) et modifiant la directive </w:t>
      </w:r>
      <w:r w:rsidRPr="00EF751B">
        <w:rPr>
          <w:color w:val="333333"/>
          <w:shd w:val="clear" w:color="auto" w:fill="FFFFFF"/>
          <w:lang w:val="fr-BE"/>
        </w:rPr>
        <w:t>2003</w:t>
      </w:r>
      <w:r w:rsidRPr="001259D6">
        <w:rPr>
          <w:color w:val="333333"/>
          <w:shd w:val="clear" w:color="auto" w:fill="FFFFFF"/>
          <w:lang w:val="fr-BE"/>
        </w:rPr>
        <w:t>/</w:t>
      </w:r>
      <w:r w:rsidRPr="00EF751B">
        <w:rPr>
          <w:color w:val="333333"/>
          <w:shd w:val="clear" w:color="auto" w:fill="FFFFFF"/>
          <w:lang w:val="fr-BE"/>
        </w:rPr>
        <w:t>87</w:t>
      </w:r>
      <w:r w:rsidRPr="001259D6">
        <w:rPr>
          <w:color w:val="333333"/>
          <w:shd w:val="clear" w:color="auto" w:fill="FFFFFF"/>
          <w:lang w:val="fr-BE"/>
        </w:rPr>
        <w:t xml:space="preserve">/CE et les règlements (UE) </w:t>
      </w:r>
      <w:r w:rsidRPr="00EF751B">
        <w:rPr>
          <w:color w:val="333333"/>
          <w:shd w:val="clear" w:color="auto" w:fill="FFFFFF"/>
          <w:lang w:val="fr-BE"/>
        </w:rPr>
        <w:t>2021</w:t>
      </w:r>
      <w:r w:rsidRPr="001259D6">
        <w:rPr>
          <w:color w:val="333333"/>
          <w:shd w:val="clear" w:color="auto" w:fill="FFFFFF"/>
          <w:lang w:val="fr-BE"/>
        </w:rPr>
        <w:t>/</w:t>
      </w:r>
      <w:r w:rsidRPr="00EF751B">
        <w:rPr>
          <w:color w:val="333333"/>
          <w:shd w:val="clear" w:color="auto" w:fill="FFFFFF"/>
          <w:lang w:val="fr-BE"/>
        </w:rPr>
        <w:t>1058</w:t>
      </w:r>
      <w:r w:rsidRPr="001259D6">
        <w:rPr>
          <w:color w:val="333333"/>
          <w:shd w:val="clear" w:color="auto" w:fill="FFFFFF"/>
          <w:lang w:val="fr-BE"/>
        </w:rPr>
        <w:t xml:space="preserve">, (UE) </w:t>
      </w:r>
      <w:r w:rsidRPr="00EF751B">
        <w:rPr>
          <w:color w:val="333333"/>
          <w:shd w:val="clear" w:color="auto" w:fill="FFFFFF"/>
          <w:lang w:val="fr-BE"/>
        </w:rPr>
        <w:t>2021</w:t>
      </w:r>
      <w:r w:rsidRPr="001259D6">
        <w:rPr>
          <w:color w:val="333333"/>
          <w:shd w:val="clear" w:color="auto" w:fill="FFFFFF"/>
          <w:lang w:val="fr-BE"/>
        </w:rPr>
        <w:t>/</w:t>
      </w:r>
      <w:r w:rsidRPr="00EF751B">
        <w:rPr>
          <w:color w:val="333333"/>
          <w:shd w:val="clear" w:color="auto" w:fill="FFFFFF"/>
          <w:lang w:val="fr-BE"/>
        </w:rPr>
        <w:t>1056</w:t>
      </w:r>
      <w:r w:rsidRPr="001259D6">
        <w:rPr>
          <w:color w:val="333333"/>
          <w:shd w:val="clear" w:color="auto" w:fill="FFFFFF"/>
          <w:lang w:val="fr-BE"/>
        </w:rPr>
        <w:t xml:space="preserve">, (UE) </w:t>
      </w:r>
      <w:r w:rsidRPr="00EF751B">
        <w:rPr>
          <w:color w:val="333333"/>
          <w:shd w:val="clear" w:color="auto" w:fill="FFFFFF"/>
          <w:lang w:val="fr-BE"/>
        </w:rPr>
        <w:t>2021</w:t>
      </w:r>
      <w:r w:rsidRPr="001259D6">
        <w:rPr>
          <w:color w:val="333333"/>
          <w:shd w:val="clear" w:color="auto" w:fill="FFFFFF"/>
          <w:lang w:val="fr-BE"/>
        </w:rPr>
        <w:t>/</w:t>
      </w:r>
      <w:r w:rsidRPr="00EF751B">
        <w:rPr>
          <w:color w:val="333333"/>
          <w:shd w:val="clear" w:color="auto" w:fill="FFFFFF"/>
          <w:lang w:val="fr-BE"/>
        </w:rPr>
        <w:t>1057</w:t>
      </w:r>
      <w:r w:rsidRPr="001259D6">
        <w:rPr>
          <w:color w:val="333333"/>
          <w:shd w:val="clear" w:color="auto" w:fill="FFFFFF"/>
          <w:lang w:val="fr-BE"/>
        </w:rPr>
        <w:t>, (UE) nº </w:t>
      </w:r>
      <w:r w:rsidRPr="00EF751B">
        <w:rPr>
          <w:color w:val="333333"/>
          <w:shd w:val="clear" w:color="auto" w:fill="FFFFFF"/>
          <w:lang w:val="fr-BE"/>
        </w:rPr>
        <w:t>1303</w:t>
      </w:r>
      <w:r w:rsidRPr="001259D6">
        <w:rPr>
          <w:color w:val="333333"/>
          <w:shd w:val="clear" w:color="auto" w:fill="FFFFFF"/>
          <w:lang w:val="fr-BE"/>
        </w:rPr>
        <w:t>/</w:t>
      </w:r>
      <w:r w:rsidRPr="00EF751B">
        <w:rPr>
          <w:color w:val="333333"/>
          <w:shd w:val="clear" w:color="auto" w:fill="FFFFFF"/>
          <w:lang w:val="fr-BE"/>
        </w:rPr>
        <w:t>2013</w:t>
      </w:r>
      <w:r w:rsidRPr="001259D6">
        <w:rPr>
          <w:color w:val="333333"/>
          <w:shd w:val="clear" w:color="auto" w:fill="FFFFFF"/>
          <w:lang w:val="fr-BE"/>
        </w:rPr>
        <w:t>, (UE) nº </w:t>
      </w:r>
      <w:r w:rsidRPr="00EF751B">
        <w:rPr>
          <w:color w:val="333333"/>
          <w:shd w:val="clear" w:color="auto" w:fill="FFFFFF"/>
          <w:lang w:val="fr-BE"/>
        </w:rPr>
        <w:t>223</w:t>
      </w:r>
      <w:r w:rsidRPr="001259D6">
        <w:rPr>
          <w:color w:val="333333"/>
          <w:shd w:val="clear" w:color="auto" w:fill="FFFFFF"/>
          <w:lang w:val="fr-BE"/>
        </w:rPr>
        <w:t>/</w:t>
      </w:r>
      <w:r w:rsidRPr="00EF751B">
        <w:rPr>
          <w:color w:val="333333"/>
          <w:shd w:val="clear" w:color="auto" w:fill="FFFFFF"/>
          <w:lang w:val="fr-BE"/>
        </w:rPr>
        <w:t>2014</w:t>
      </w:r>
      <w:r w:rsidRPr="001259D6">
        <w:rPr>
          <w:color w:val="333333"/>
          <w:shd w:val="clear" w:color="auto" w:fill="FFFFFF"/>
          <w:lang w:val="fr-BE"/>
        </w:rPr>
        <w:t xml:space="preserve">, (UE) </w:t>
      </w:r>
      <w:r w:rsidRPr="00EF751B">
        <w:rPr>
          <w:color w:val="333333"/>
          <w:shd w:val="clear" w:color="auto" w:fill="FFFFFF"/>
          <w:lang w:val="fr-BE"/>
        </w:rPr>
        <w:t>2021</w:t>
      </w:r>
      <w:r w:rsidRPr="001259D6">
        <w:rPr>
          <w:color w:val="333333"/>
          <w:shd w:val="clear" w:color="auto" w:fill="FFFFFF"/>
          <w:lang w:val="fr-BE"/>
        </w:rPr>
        <w:t>/</w:t>
      </w:r>
      <w:r w:rsidRPr="00EF751B">
        <w:rPr>
          <w:color w:val="333333"/>
          <w:shd w:val="clear" w:color="auto" w:fill="FFFFFF"/>
          <w:lang w:val="fr-BE"/>
        </w:rPr>
        <w:t>1060</w:t>
      </w:r>
      <w:r w:rsidRPr="001259D6">
        <w:rPr>
          <w:color w:val="333333"/>
          <w:shd w:val="clear" w:color="auto" w:fill="FFFFFF"/>
          <w:lang w:val="fr-BE"/>
        </w:rPr>
        <w:t xml:space="preserve">, (UE) </w:t>
      </w:r>
      <w:r w:rsidRPr="00EF751B">
        <w:rPr>
          <w:color w:val="333333"/>
          <w:shd w:val="clear" w:color="auto" w:fill="FFFFFF"/>
          <w:lang w:val="fr-BE"/>
        </w:rPr>
        <w:t>2021</w:t>
      </w:r>
      <w:r w:rsidRPr="001259D6">
        <w:rPr>
          <w:color w:val="333333"/>
          <w:shd w:val="clear" w:color="auto" w:fill="FFFFFF"/>
          <w:lang w:val="fr-BE"/>
        </w:rPr>
        <w:t>/</w:t>
      </w:r>
      <w:r w:rsidRPr="00EF751B">
        <w:rPr>
          <w:color w:val="333333"/>
          <w:shd w:val="clear" w:color="auto" w:fill="FFFFFF"/>
          <w:lang w:val="fr-BE"/>
        </w:rPr>
        <w:t>523</w:t>
      </w:r>
      <w:r w:rsidRPr="001259D6">
        <w:rPr>
          <w:color w:val="333333"/>
          <w:shd w:val="clear" w:color="auto" w:fill="FFFFFF"/>
          <w:lang w:val="fr-BE"/>
        </w:rPr>
        <w:t xml:space="preserve">, (UE) </w:t>
      </w:r>
      <w:r w:rsidRPr="00EF751B">
        <w:rPr>
          <w:color w:val="333333"/>
          <w:shd w:val="clear" w:color="auto" w:fill="FFFFFF"/>
          <w:lang w:val="fr-BE"/>
        </w:rPr>
        <w:t>2021</w:t>
      </w:r>
      <w:r w:rsidRPr="001259D6">
        <w:rPr>
          <w:color w:val="333333"/>
          <w:shd w:val="clear" w:color="auto" w:fill="FFFFFF"/>
          <w:lang w:val="fr-BE"/>
        </w:rPr>
        <w:t>/</w:t>
      </w:r>
      <w:r w:rsidRPr="00EF751B">
        <w:rPr>
          <w:color w:val="333333"/>
          <w:shd w:val="clear" w:color="auto" w:fill="FFFFFF"/>
          <w:lang w:val="fr-BE"/>
        </w:rPr>
        <w:t>695</w:t>
      </w:r>
      <w:r w:rsidRPr="001259D6">
        <w:rPr>
          <w:color w:val="333333"/>
          <w:shd w:val="clear" w:color="auto" w:fill="FFFFFF"/>
          <w:lang w:val="fr-BE"/>
        </w:rPr>
        <w:t xml:space="preserve">, (UE) </w:t>
      </w:r>
      <w:r w:rsidRPr="00EF751B">
        <w:rPr>
          <w:color w:val="333333"/>
          <w:shd w:val="clear" w:color="auto" w:fill="FFFFFF"/>
          <w:lang w:val="fr-BE"/>
        </w:rPr>
        <w:t>2021</w:t>
      </w:r>
      <w:r w:rsidRPr="001259D6">
        <w:rPr>
          <w:color w:val="333333"/>
          <w:shd w:val="clear" w:color="auto" w:fill="FFFFFF"/>
          <w:lang w:val="fr-BE"/>
        </w:rPr>
        <w:t>/</w:t>
      </w:r>
      <w:r w:rsidRPr="00EF751B">
        <w:rPr>
          <w:color w:val="333333"/>
          <w:shd w:val="clear" w:color="auto" w:fill="FFFFFF"/>
          <w:lang w:val="fr-BE"/>
        </w:rPr>
        <w:t>697</w:t>
      </w:r>
      <w:r w:rsidRPr="001259D6">
        <w:rPr>
          <w:color w:val="333333"/>
          <w:shd w:val="clear" w:color="auto" w:fill="FFFFFF"/>
          <w:lang w:val="fr-BE"/>
        </w:rPr>
        <w:t xml:space="preserve"> et (UE) </w:t>
      </w:r>
      <w:r w:rsidRPr="00EF751B">
        <w:rPr>
          <w:color w:val="333333"/>
          <w:shd w:val="clear" w:color="auto" w:fill="FFFFFF"/>
          <w:lang w:val="fr-BE"/>
        </w:rPr>
        <w:t>2021</w:t>
      </w:r>
      <w:r w:rsidRPr="001259D6">
        <w:rPr>
          <w:color w:val="333333"/>
          <w:shd w:val="clear" w:color="auto" w:fill="FFFFFF"/>
          <w:lang w:val="fr-BE"/>
        </w:rPr>
        <w:t>/</w:t>
      </w:r>
      <w:r w:rsidRPr="00EF751B">
        <w:rPr>
          <w:color w:val="333333"/>
          <w:shd w:val="clear" w:color="auto" w:fill="FFFFFF"/>
          <w:lang w:val="fr-BE"/>
        </w:rPr>
        <w:t>241</w:t>
      </w:r>
      <w:r w:rsidRPr="001259D6">
        <w:rPr>
          <w:color w:val="333333"/>
          <w:shd w:val="clear" w:color="auto" w:fill="FFFFFF"/>
          <w:lang w:val="fr-BE"/>
        </w:rPr>
        <w:t xml:space="preserve"> (JO L, </w:t>
      </w:r>
      <w:r w:rsidRPr="00EF751B">
        <w:rPr>
          <w:color w:val="333333"/>
          <w:shd w:val="clear" w:color="auto" w:fill="FFFFFF"/>
          <w:lang w:val="fr-BE"/>
        </w:rPr>
        <w:t>2024</w:t>
      </w:r>
      <w:r w:rsidRPr="001259D6">
        <w:rPr>
          <w:color w:val="333333"/>
          <w:shd w:val="clear" w:color="auto" w:fill="FFFFFF"/>
          <w:lang w:val="fr-BE"/>
        </w:rPr>
        <w:t>/</w:t>
      </w:r>
      <w:r w:rsidRPr="00EF751B">
        <w:rPr>
          <w:color w:val="333333"/>
          <w:shd w:val="clear" w:color="auto" w:fill="FFFFFF"/>
          <w:lang w:val="fr-BE"/>
        </w:rPr>
        <w:t>794</w:t>
      </w:r>
      <w:r w:rsidRPr="001259D6">
        <w:rPr>
          <w:color w:val="333333"/>
          <w:shd w:val="clear" w:color="auto" w:fill="FFFFFF"/>
          <w:lang w:val="fr-BE"/>
        </w:rPr>
        <w:t xml:space="preserve">, </w:t>
      </w:r>
      <w:r w:rsidRPr="00EF751B">
        <w:rPr>
          <w:color w:val="333333"/>
          <w:shd w:val="clear" w:color="auto" w:fill="FFFFFF"/>
          <w:lang w:val="fr-BE"/>
        </w:rPr>
        <w:t>29</w:t>
      </w:r>
      <w:r w:rsidRPr="001259D6">
        <w:rPr>
          <w:color w:val="333333"/>
          <w:shd w:val="clear" w:color="auto" w:fill="FFFFFF"/>
          <w:lang w:val="fr-BE"/>
        </w:rPr>
        <w:t>.</w:t>
      </w:r>
      <w:r w:rsidRPr="00EF751B">
        <w:rPr>
          <w:color w:val="333333"/>
          <w:shd w:val="clear" w:color="auto" w:fill="FFFFFF"/>
          <w:lang w:val="fr-BE"/>
        </w:rPr>
        <w:t>2</w:t>
      </w:r>
      <w:r w:rsidRPr="001259D6">
        <w:rPr>
          <w:color w:val="333333"/>
          <w:shd w:val="clear" w:color="auto" w:fill="FFFFFF"/>
          <w:lang w:val="fr-BE"/>
        </w:rPr>
        <w:t>.</w:t>
      </w:r>
      <w:r w:rsidRPr="00EF751B">
        <w:rPr>
          <w:color w:val="333333"/>
          <w:shd w:val="clear" w:color="auto" w:fill="FFFFFF"/>
          <w:lang w:val="fr-BE"/>
        </w:rPr>
        <w:t>2024</w:t>
      </w:r>
      <w:r w:rsidRPr="001259D6">
        <w:rPr>
          <w:color w:val="333333"/>
          <w:shd w:val="clear" w:color="auto" w:fill="FFFFFF"/>
          <w:lang w:val="fr-BE"/>
        </w:rPr>
        <w:t>, ELI: </w:t>
      </w:r>
      <w:hyperlink r:id="rId73" w:tgtFrame="_blank" w:tooltip="Donne accès à ce document par l’intermédiaire de son URI ELI." w:history="1">
        <w:r w:rsidRPr="001259D6">
          <w:rPr>
            <w:color w:val="23527C"/>
            <w:u w:val="single"/>
            <w:lang w:val="fr-BE"/>
          </w:rPr>
          <w:t>http://data.europa.eu/eli/reg/</w:t>
        </w:r>
        <w:r w:rsidRPr="00EF751B">
          <w:rPr>
            <w:color w:val="23527C"/>
            <w:u w:val="single"/>
            <w:lang w:val="fr-BE"/>
          </w:rPr>
          <w:t>2024</w:t>
        </w:r>
        <w:r w:rsidRPr="001259D6">
          <w:rPr>
            <w:color w:val="23527C"/>
            <w:u w:val="single"/>
            <w:lang w:val="fr-BE"/>
          </w:rPr>
          <w:t>/</w:t>
        </w:r>
        <w:r w:rsidRPr="00EF751B">
          <w:rPr>
            <w:color w:val="23527C"/>
            <w:u w:val="single"/>
            <w:lang w:val="fr-BE"/>
          </w:rPr>
          <w:t>795</w:t>
        </w:r>
        <w:r w:rsidRPr="001259D6">
          <w:rPr>
            <w:color w:val="23527C"/>
            <w:u w:val="single"/>
            <w:lang w:val="fr-BE"/>
          </w:rPr>
          <w:t>/oj</w:t>
        </w:r>
      </w:hyperlink>
      <w:r w:rsidRPr="001259D6">
        <w:rPr>
          <w:color w:val="333333"/>
          <w:shd w:val="clear" w:color="auto" w:fill="FFFFFF"/>
          <w:lang w:val="fr-BE"/>
        </w:rPr>
        <w:t>)</w:t>
      </w:r>
      <w:r w:rsidRPr="001259D6">
        <w:rPr>
          <w:lang w:val="fr-BE"/>
        </w:rPr>
        <w:t>.</w:t>
      </w:r>
    </w:p>
  </w:footnote>
  <w:footnote w:id="73">
    <w:p w14:paraId="47EBB66A" w14:textId="77777777" w:rsidR="00922C2A" w:rsidRPr="001259D6" w:rsidRDefault="00922C2A" w:rsidP="00922C2A">
      <w:pPr>
        <w:pStyle w:val="FootnoteText"/>
        <w:rPr>
          <w:lang w:val="fr-BE"/>
        </w:rPr>
      </w:pPr>
      <w:r>
        <w:rPr>
          <w:rStyle w:val="FootnoteReference"/>
        </w:rPr>
        <w:footnoteRef/>
      </w:r>
      <w:r w:rsidRPr="001259D6">
        <w:rPr>
          <w:lang w:val="fr-BE"/>
        </w:rPr>
        <w:tab/>
      </w:r>
      <w:hyperlink r:id="rId74" w:history="1">
        <w:r w:rsidRPr="001259D6">
          <w:rPr>
            <w:lang w:val="fr-BE"/>
          </w:rPr>
          <w:t>Règles en matière de communication et de visibilité — Office des publications de l’Union européenne</w:t>
        </w:r>
      </w:hyperlink>
      <w:r w:rsidRPr="001259D6">
        <w:rPr>
          <w:lang w:val="fr-BE"/>
        </w:rPr>
        <w:t>.</w:t>
      </w:r>
    </w:p>
  </w:footnote>
  <w:footnote w:id="74">
    <w:p w14:paraId="38C1D0FB" w14:textId="77777777" w:rsidR="00922C2A" w:rsidRPr="001259D6" w:rsidRDefault="00922C2A" w:rsidP="00922C2A">
      <w:pPr>
        <w:pStyle w:val="FootnoteText"/>
        <w:rPr>
          <w:lang w:val="fr-BE"/>
        </w:rPr>
      </w:pPr>
      <w:r>
        <w:rPr>
          <w:rStyle w:val="FootnoteReference"/>
        </w:rPr>
        <w:footnoteRef/>
      </w:r>
      <w:r w:rsidRPr="001259D6">
        <w:rPr>
          <w:lang w:val="fr-BE"/>
        </w:rPr>
        <w:tab/>
        <w:t xml:space="preserve">Directive </w:t>
      </w:r>
      <w:r w:rsidRPr="00EF751B">
        <w:rPr>
          <w:lang w:val="fr-BE"/>
        </w:rPr>
        <w:t>2014</w:t>
      </w:r>
      <w:r w:rsidRPr="001259D6">
        <w:rPr>
          <w:lang w:val="fr-BE"/>
        </w:rPr>
        <w:t>/</w:t>
      </w:r>
      <w:r w:rsidRPr="00EF751B">
        <w:rPr>
          <w:lang w:val="fr-BE"/>
        </w:rPr>
        <w:t>24</w:t>
      </w:r>
      <w:r w:rsidRPr="001259D6">
        <w:rPr>
          <w:lang w:val="fr-BE"/>
        </w:rPr>
        <w:t xml:space="preserve">/UE du Parlement européen et du Conseil du </w:t>
      </w:r>
      <w:r w:rsidRPr="00EF751B">
        <w:rPr>
          <w:lang w:val="fr-BE"/>
        </w:rPr>
        <w:t>26</w:t>
      </w:r>
      <w:r w:rsidRPr="001259D6">
        <w:rPr>
          <w:lang w:val="fr-BE"/>
        </w:rPr>
        <w:t xml:space="preserve"> février </w:t>
      </w:r>
      <w:r w:rsidRPr="00EF751B">
        <w:rPr>
          <w:lang w:val="fr-BE"/>
        </w:rPr>
        <w:t>2014</w:t>
      </w:r>
      <w:r w:rsidRPr="001259D6">
        <w:rPr>
          <w:lang w:val="fr-BE"/>
        </w:rPr>
        <w:t xml:space="preserve"> sur la passation des marchés publics et abrogeant la directive </w:t>
      </w:r>
      <w:r w:rsidRPr="00EF751B">
        <w:rPr>
          <w:lang w:val="fr-BE"/>
        </w:rPr>
        <w:t>2004</w:t>
      </w:r>
      <w:r w:rsidRPr="001259D6">
        <w:rPr>
          <w:lang w:val="fr-BE"/>
        </w:rPr>
        <w:t>/</w:t>
      </w:r>
      <w:r w:rsidRPr="00EF751B">
        <w:rPr>
          <w:lang w:val="fr-BE"/>
        </w:rPr>
        <w:t>18</w:t>
      </w:r>
      <w:r w:rsidRPr="001259D6">
        <w:rPr>
          <w:lang w:val="fr-BE"/>
        </w:rPr>
        <w:t>/CE (JO L </w:t>
      </w:r>
      <w:r w:rsidRPr="00EF751B">
        <w:rPr>
          <w:lang w:val="fr-BE"/>
        </w:rPr>
        <w:t>94</w:t>
      </w:r>
      <w:r w:rsidRPr="001259D6">
        <w:rPr>
          <w:lang w:val="fr-BE"/>
        </w:rPr>
        <w:t xml:space="preserve"> du </w:t>
      </w:r>
      <w:r w:rsidRPr="00EF751B">
        <w:rPr>
          <w:lang w:val="fr-BE"/>
        </w:rPr>
        <w:t>28</w:t>
      </w:r>
      <w:r w:rsidRPr="001259D6">
        <w:rPr>
          <w:lang w:val="fr-BE"/>
        </w:rPr>
        <w:t>.</w:t>
      </w:r>
      <w:r w:rsidRPr="00EF751B">
        <w:rPr>
          <w:lang w:val="fr-BE"/>
        </w:rPr>
        <w:t>3</w:t>
      </w:r>
      <w:r w:rsidRPr="001259D6">
        <w:rPr>
          <w:lang w:val="fr-BE"/>
        </w:rPr>
        <w:t>.</w:t>
      </w:r>
      <w:r w:rsidRPr="00EF751B">
        <w:rPr>
          <w:lang w:val="fr-BE"/>
        </w:rPr>
        <w:t>2014</w:t>
      </w:r>
      <w:r w:rsidRPr="001259D6">
        <w:rPr>
          <w:lang w:val="fr-BE"/>
        </w:rPr>
        <w:t>, p. </w:t>
      </w:r>
      <w:r w:rsidRPr="00EF751B">
        <w:rPr>
          <w:lang w:val="fr-BE"/>
        </w:rPr>
        <w:t>65</w:t>
      </w:r>
      <w:r w:rsidRPr="001259D6">
        <w:rPr>
          <w:lang w:val="fr-BE"/>
        </w:rPr>
        <w:t>, ELI: http://data.europa.eu/eli/dir/</w:t>
      </w:r>
      <w:r w:rsidRPr="00EF751B">
        <w:rPr>
          <w:lang w:val="fr-BE"/>
        </w:rPr>
        <w:t>2014</w:t>
      </w:r>
      <w:r w:rsidRPr="001259D6">
        <w:rPr>
          <w:lang w:val="fr-BE"/>
        </w:rPr>
        <w:t>/</w:t>
      </w:r>
      <w:r w:rsidRPr="00EF751B">
        <w:rPr>
          <w:lang w:val="fr-BE"/>
        </w:rPr>
        <w:t>24</w:t>
      </w:r>
      <w:r w:rsidRPr="001259D6">
        <w:rPr>
          <w:lang w:val="fr-BE"/>
        </w:rPr>
        <w:t>/oj).</w:t>
      </w:r>
    </w:p>
  </w:footnote>
  <w:footnote w:id="75">
    <w:p w14:paraId="7E7B0A2B" w14:textId="77777777" w:rsidR="00922C2A" w:rsidRPr="001259D6" w:rsidRDefault="00922C2A" w:rsidP="00922C2A">
      <w:pPr>
        <w:pStyle w:val="FootnoteText"/>
        <w:rPr>
          <w:lang w:val="fr-BE"/>
        </w:rPr>
      </w:pPr>
      <w:r>
        <w:rPr>
          <w:rStyle w:val="FootnoteReference"/>
        </w:rPr>
        <w:footnoteRef/>
      </w:r>
      <w:r w:rsidRPr="001259D6">
        <w:rPr>
          <w:lang w:val="fr-BE"/>
        </w:rPr>
        <w:tab/>
        <w:t xml:space="preserve">Règlement (UE) </w:t>
      </w:r>
      <w:r w:rsidRPr="00EF751B">
        <w:rPr>
          <w:lang w:val="fr-BE"/>
        </w:rPr>
        <w:t>2022</w:t>
      </w:r>
      <w:r w:rsidRPr="001259D6">
        <w:rPr>
          <w:lang w:val="fr-BE"/>
        </w:rPr>
        <w:t>/</w:t>
      </w:r>
      <w:r w:rsidRPr="00EF751B">
        <w:rPr>
          <w:lang w:val="fr-BE"/>
        </w:rPr>
        <w:t>2371</w:t>
      </w:r>
      <w:r w:rsidRPr="001259D6">
        <w:rPr>
          <w:lang w:val="fr-BE"/>
        </w:rPr>
        <w:t xml:space="preserve"> du Parlement européen et du Conseil du </w:t>
      </w:r>
      <w:r w:rsidRPr="00EF751B">
        <w:rPr>
          <w:lang w:val="fr-BE"/>
        </w:rPr>
        <w:t>23</w:t>
      </w:r>
      <w:r w:rsidRPr="001259D6">
        <w:rPr>
          <w:lang w:val="fr-BE"/>
        </w:rPr>
        <w:t xml:space="preserve"> novembre </w:t>
      </w:r>
      <w:r w:rsidRPr="00EF751B">
        <w:rPr>
          <w:lang w:val="fr-BE"/>
        </w:rPr>
        <w:t>2022</w:t>
      </w:r>
      <w:r w:rsidRPr="001259D6">
        <w:rPr>
          <w:lang w:val="fr-BE"/>
        </w:rPr>
        <w:t xml:space="preserve"> concernant les menaces transfrontières graves pour la santé et abrogeant la décision nº </w:t>
      </w:r>
      <w:r w:rsidRPr="00EF751B">
        <w:rPr>
          <w:lang w:val="fr-BE"/>
        </w:rPr>
        <w:t>1082</w:t>
      </w:r>
      <w:r w:rsidRPr="001259D6">
        <w:rPr>
          <w:lang w:val="fr-BE"/>
        </w:rPr>
        <w:t>/</w:t>
      </w:r>
      <w:r w:rsidRPr="00EF751B">
        <w:rPr>
          <w:lang w:val="fr-BE"/>
        </w:rPr>
        <w:t>2013</w:t>
      </w:r>
      <w:r w:rsidRPr="001259D6">
        <w:rPr>
          <w:lang w:val="fr-BE"/>
        </w:rPr>
        <w:t>/UE (JO L </w:t>
      </w:r>
      <w:r w:rsidRPr="00EF751B">
        <w:rPr>
          <w:lang w:val="fr-BE"/>
        </w:rPr>
        <w:t>314</w:t>
      </w:r>
      <w:r w:rsidRPr="001259D6">
        <w:rPr>
          <w:lang w:val="fr-BE"/>
        </w:rPr>
        <w:t xml:space="preserve"> du </w:t>
      </w:r>
      <w:r w:rsidRPr="00EF751B">
        <w:rPr>
          <w:lang w:val="fr-BE"/>
        </w:rPr>
        <w:t>6</w:t>
      </w:r>
      <w:r w:rsidRPr="001259D6">
        <w:rPr>
          <w:lang w:val="fr-BE"/>
        </w:rPr>
        <w:t>.</w:t>
      </w:r>
      <w:r w:rsidRPr="00EF751B">
        <w:rPr>
          <w:lang w:val="fr-BE"/>
        </w:rPr>
        <w:t>12</w:t>
      </w:r>
      <w:r w:rsidRPr="001259D6">
        <w:rPr>
          <w:lang w:val="fr-BE"/>
        </w:rPr>
        <w:t>.</w:t>
      </w:r>
      <w:r w:rsidRPr="00EF751B">
        <w:rPr>
          <w:lang w:val="fr-BE"/>
        </w:rPr>
        <w:t>2022</w:t>
      </w:r>
      <w:r w:rsidRPr="001259D6">
        <w:rPr>
          <w:lang w:val="fr-BE"/>
        </w:rPr>
        <w:t>, p. </w:t>
      </w:r>
      <w:r w:rsidRPr="00EF751B">
        <w:rPr>
          <w:lang w:val="fr-BE"/>
        </w:rPr>
        <w:t>26</w:t>
      </w:r>
      <w:r w:rsidRPr="001259D6">
        <w:rPr>
          <w:lang w:val="fr-BE"/>
        </w:rPr>
        <w:t>, ELI: </w:t>
      </w:r>
      <w:hyperlink r:id="rId75" w:tooltip="Donne accès à ce document par l’intermédiaire de son URI ELI." w:history="1">
        <w:r w:rsidRPr="001259D6">
          <w:rPr>
            <w:rStyle w:val="Hyperlink"/>
            <w:lang w:val="fr-BE"/>
          </w:rPr>
          <w:t>http://data.europa.eu/eli/reg/</w:t>
        </w:r>
        <w:r w:rsidRPr="00EF751B">
          <w:rPr>
            <w:rStyle w:val="Hyperlink"/>
            <w:lang w:val="fr-BE"/>
          </w:rPr>
          <w:t>2022</w:t>
        </w:r>
        <w:r w:rsidRPr="001259D6">
          <w:rPr>
            <w:rStyle w:val="Hyperlink"/>
            <w:lang w:val="fr-BE"/>
          </w:rPr>
          <w:t>/</w:t>
        </w:r>
        <w:r w:rsidRPr="00EF751B">
          <w:rPr>
            <w:rStyle w:val="Hyperlink"/>
            <w:lang w:val="fr-BE"/>
          </w:rPr>
          <w:t>2371</w:t>
        </w:r>
        <w:r w:rsidRPr="001259D6">
          <w:rPr>
            <w:rStyle w:val="Hyperlink"/>
            <w:lang w:val="fr-BE"/>
          </w:rPr>
          <w:t>/oj</w:t>
        </w:r>
      </w:hyperlink>
      <w:r w:rsidRPr="001259D6">
        <w:rPr>
          <w:lang w:val="fr-BE"/>
        </w:rPr>
        <w:t>).</w:t>
      </w:r>
    </w:p>
  </w:footnote>
  <w:footnote w:id="76">
    <w:p w14:paraId="5141FD6B" w14:textId="77777777" w:rsidR="00922C2A" w:rsidRPr="001259D6" w:rsidRDefault="00922C2A" w:rsidP="00922C2A">
      <w:pPr>
        <w:pStyle w:val="FootnoteText"/>
        <w:rPr>
          <w:lang w:val="fr-BE"/>
        </w:rPr>
      </w:pPr>
      <w:r>
        <w:rPr>
          <w:rStyle w:val="FootnoteReference"/>
        </w:rPr>
        <w:footnoteRef/>
      </w:r>
      <w:r w:rsidRPr="001259D6">
        <w:rPr>
          <w:lang w:val="fr-BE"/>
        </w:rPr>
        <w:tab/>
        <w:t xml:space="preserve">Règlement (UE) </w:t>
      </w:r>
      <w:r w:rsidRPr="00EF751B">
        <w:rPr>
          <w:lang w:val="fr-BE"/>
        </w:rPr>
        <w:t>2016</w:t>
      </w:r>
      <w:r w:rsidRPr="001259D6">
        <w:rPr>
          <w:lang w:val="fr-BE"/>
        </w:rPr>
        <w:t>/</w:t>
      </w:r>
      <w:r w:rsidRPr="00EF751B">
        <w:rPr>
          <w:lang w:val="fr-BE"/>
        </w:rPr>
        <w:t>296</w:t>
      </w:r>
      <w:r w:rsidRPr="001259D6">
        <w:rPr>
          <w:lang w:val="fr-BE"/>
        </w:rPr>
        <w:t xml:space="preserve"> du Conseil du </w:t>
      </w:r>
      <w:r w:rsidRPr="00EF751B">
        <w:rPr>
          <w:lang w:val="fr-BE"/>
        </w:rPr>
        <w:t>15</w:t>
      </w:r>
      <w:r w:rsidRPr="001259D6">
        <w:rPr>
          <w:lang w:val="fr-BE"/>
        </w:rPr>
        <w:t xml:space="preserve"> mars </w:t>
      </w:r>
      <w:r w:rsidRPr="00EF751B">
        <w:rPr>
          <w:lang w:val="fr-BE"/>
        </w:rPr>
        <w:t>2016</w:t>
      </w:r>
      <w:r w:rsidRPr="001259D6">
        <w:rPr>
          <w:lang w:val="fr-BE"/>
        </w:rPr>
        <w:t xml:space="preserve"> relatif à la fourniture d’une aide d’urgence au sein de l’Union (JO L </w:t>
      </w:r>
      <w:r w:rsidRPr="00EF751B">
        <w:rPr>
          <w:lang w:val="fr-BE"/>
        </w:rPr>
        <w:t>70</w:t>
      </w:r>
      <w:r w:rsidRPr="001259D6">
        <w:rPr>
          <w:lang w:val="fr-BE"/>
        </w:rPr>
        <w:t xml:space="preserve"> du </w:t>
      </w:r>
      <w:r w:rsidRPr="00EF751B">
        <w:rPr>
          <w:lang w:val="fr-BE"/>
        </w:rPr>
        <w:t>13</w:t>
      </w:r>
      <w:r w:rsidRPr="001259D6">
        <w:rPr>
          <w:lang w:val="fr-BE"/>
        </w:rPr>
        <w:t>.</w:t>
      </w:r>
      <w:r w:rsidRPr="00EF751B">
        <w:rPr>
          <w:lang w:val="fr-BE"/>
        </w:rPr>
        <w:t>3</w:t>
      </w:r>
      <w:r w:rsidRPr="001259D6">
        <w:rPr>
          <w:lang w:val="fr-BE"/>
        </w:rPr>
        <w:t>.</w:t>
      </w:r>
      <w:r w:rsidRPr="00EF751B">
        <w:rPr>
          <w:lang w:val="fr-BE"/>
        </w:rPr>
        <w:t>2016</w:t>
      </w:r>
      <w:r w:rsidRPr="001259D6">
        <w:rPr>
          <w:lang w:val="fr-BE"/>
        </w:rPr>
        <w:t>, p. </w:t>
      </w:r>
      <w:r w:rsidRPr="00EF751B">
        <w:rPr>
          <w:lang w:val="fr-BE"/>
        </w:rPr>
        <w:t>1</w:t>
      </w:r>
      <w:r w:rsidRPr="001259D6">
        <w:rPr>
          <w:lang w:val="fr-BE"/>
        </w:rPr>
        <w:t xml:space="preserve">, </w:t>
      </w:r>
      <w:r w:rsidRPr="001259D6">
        <w:rPr>
          <w:color w:val="333333"/>
          <w:shd w:val="clear" w:color="auto" w:fill="FFFFFF"/>
          <w:lang w:val="fr-BE"/>
        </w:rPr>
        <w:t>ELI: </w:t>
      </w:r>
      <w:hyperlink r:id="rId76" w:tooltip="Donne accès à ce document par l’intermédiaire de son URI ELI." w:history="1">
        <w:r w:rsidRPr="001259D6">
          <w:rPr>
            <w:color w:val="337AB7"/>
            <w:u w:val="single"/>
            <w:shd w:val="clear" w:color="auto" w:fill="FFFFFF"/>
            <w:lang w:val="fr-BE"/>
          </w:rPr>
          <w:t>http://data.europa.eu/eli/reg/</w:t>
        </w:r>
        <w:r w:rsidRPr="00EF751B">
          <w:rPr>
            <w:color w:val="337AB7"/>
            <w:u w:val="single"/>
            <w:shd w:val="clear" w:color="auto" w:fill="FFFFFF"/>
            <w:lang w:val="fr-BE"/>
          </w:rPr>
          <w:t>2016</w:t>
        </w:r>
        <w:r w:rsidRPr="001259D6">
          <w:rPr>
            <w:color w:val="337AB7"/>
            <w:u w:val="single"/>
            <w:shd w:val="clear" w:color="auto" w:fill="FFFFFF"/>
            <w:lang w:val="fr-BE"/>
          </w:rPr>
          <w:t>/</w:t>
        </w:r>
        <w:r w:rsidRPr="00EF751B">
          <w:rPr>
            <w:color w:val="337AB7"/>
            <w:u w:val="single"/>
            <w:shd w:val="clear" w:color="auto" w:fill="FFFFFF"/>
            <w:lang w:val="fr-BE"/>
          </w:rPr>
          <w:t>369</w:t>
        </w:r>
        <w:r w:rsidRPr="001259D6">
          <w:rPr>
            <w:color w:val="337AB7"/>
            <w:u w:val="single"/>
            <w:shd w:val="clear" w:color="auto" w:fill="FFFFFF"/>
            <w:lang w:val="fr-BE"/>
          </w:rPr>
          <w:t>/oj</w:t>
        </w:r>
      </w:hyperlink>
      <w:r w:rsidRPr="001259D6">
        <w:rPr>
          <w:lang w:val="fr-BE"/>
        </w:rPr>
        <w:t xml:space="preserve">). </w:t>
      </w:r>
    </w:p>
  </w:footnote>
  <w:footnote w:id="77">
    <w:p w14:paraId="6BA3DDFE" w14:textId="77777777" w:rsidR="00922C2A" w:rsidRPr="001259D6" w:rsidRDefault="00922C2A" w:rsidP="00922C2A">
      <w:pPr>
        <w:pStyle w:val="FootnoteText"/>
        <w:rPr>
          <w:lang w:val="fr-BE"/>
        </w:rPr>
      </w:pPr>
      <w:r>
        <w:rPr>
          <w:rStyle w:val="FootnoteReference"/>
        </w:rPr>
        <w:footnoteRef/>
      </w:r>
      <w:r w:rsidRPr="001259D6">
        <w:rPr>
          <w:lang w:val="fr-BE"/>
        </w:rPr>
        <w:tab/>
        <w:t xml:space="preserve">Règlement (UE, Euratom) </w:t>
      </w:r>
      <w:r w:rsidRPr="00EF751B">
        <w:rPr>
          <w:lang w:val="fr-BE"/>
        </w:rPr>
        <w:t>2024</w:t>
      </w:r>
      <w:r w:rsidRPr="001259D6">
        <w:rPr>
          <w:lang w:val="fr-BE"/>
        </w:rPr>
        <w:t>/</w:t>
      </w:r>
      <w:r w:rsidRPr="00EF751B">
        <w:rPr>
          <w:lang w:val="fr-BE"/>
        </w:rPr>
        <w:t>2509</w:t>
      </w:r>
      <w:r w:rsidRPr="001259D6">
        <w:rPr>
          <w:lang w:val="fr-BE"/>
        </w:rPr>
        <w:t xml:space="preserve"> du Parlement européen et du Conseil du </w:t>
      </w:r>
      <w:r w:rsidRPr="00EF751B">
        <w:rPr>
          <w:lang w:val="fr-BE"/>
        </w:rPr>
        <w:t>23</w:t>
      </w:r>
      <w:r w:rsidRPr="001259D6">
        <w:rPr>
          <w:lang w:val="fr-BE"/>
        </w:rPr>
        <w:t xml:space="preserve"> septembre </w:t>
      </w:r>
      <w:r w:rsidRPr="00EF751B">
        <w:rPr>
          <w:lang w:val="fr-BE"/>
        </w:rPr>
        <w:t>2024</w:t>
      </w:r>
      <w:r w:rsidRPr="001259D6">
        <w:rPr>
          <w:lang w:val="fr-BE"/>
        </w:rPr>
        <w:t xml:space="preserve"> relatif aux règles financières applicables au budget général de l’Union (JO L, </w:t>
      </w:r>
      <w:r w:rsidRPr="00EF751B">
        <w:rPr>
          <w:lang w:val="fr-BE"/>
        </w:rPr>
        <w:t>2024</w:t>
      </w:r>
      <w:r w:rsidRPr="001259D6">
        <w:rPr>
          <w:lang w:val="fr-BE"/>
        </w:rPr>
        <w:t>/</w:t>
      </w:r>
      <w:r w:rsidRPr="00EF751B">
        <w:rPr>
          <w:lang w:val="fr-BE"/>
        </w:rPr>
        <w:t>2509</w:t>
      </w:r>
      <w:r w:rsidRPr="001259D6">
        <w:rPr>
          <w:lang w:val="fr-BE"/>
        </w:rPr>
        <w:t xml:space="preserve">, </w:t>
      </w:r>
      <w:r w:rsidRPr="00EF751B">
        <w:rPr>
          <w:lang w:val="fr-BE"/>
        </w:rPr>
        <w:t>26</w:t>
      </w:r>
      <w:r w:rsidRPr="001259D6">
        <w:rPr>
          <w:lang w:val="fr-BE"/>
        </w:rPr>
        <w:t>.</w:t>
      </w:r>
      <w:r w:rsidRPr="00EF751B">
        <w:rPr>
          <w:lang w:val="fr-BE"/>
        </w:rPr>
        <w:t>9</w:t>
      </w:r>
      <w:r w:rsidRPr="001259D6">
        <w:rPr>
          <w:lang w:val="fr-BE"/>
        </w:rPr>
        <w:t>.</w:t>
      </w:r>
      <w:r w:rsidRPr="00EF751B">
        <w:rPr>
          <w:lang w:val="fr-BE"/>
        </w:rPr>
        <w:t>2024</w:t>
      </w:r>
      <w:r w:rsidRPr="001259D6">
        <w:rPr>
          <w:lang w:val="fr-BE"/>
        </w:rPr>
        <w:t>, ELI: http://data.europa.eu/eli/reg/</w:t>
      </w:r>
      <w:r w:rsidRPr="00EF751B">
        <w:rPr>
          <w:lang w:val="fr-BE"/>
        </w:rPr>
        <w:t>2024</w:t>
      </w:r>
      <w:r w:rsidRPr="001259D6">
        <w:rPr>
          <w:lang w:val="fr-BE"/>
        </w:rPr>
        <w:t>/</w:t>
      </w:r>
      <w:r w:rsidRPr="00EF751B">
        <w:rPr>
          <w:lang w:val="fr-BE"/>
        </w:rPr>
        <w:t>2509</w:t>
      </w:r>
      <w:r w:rsidRPr="001259D6">
        <w:rPr>
          <w:lang w:val="fr-BE"/>
        </w:rPr>
        <w:t>/oj).</w:t>
      </w:r>
    </w:p>
  </w:footnote>
  <w:footnote w:id="78">
    <w:p w14:paraId="0888373D" w14:textId="77777777" w:rsidR="00922C2A" w:rsidRPr="001259D6" w:rsidRDefault="00922C2A" w:rsidP="00922C2A">
      <w:pPr>
        <w:pStyle w:val="FootnoteText"/>
        <w:rPr>
          <w:lang w:val="fr-BE"/>
        </w:rPr>
      </w:pPr>
      <w:r>
        <w:rPr>
          <w:rStyle w:val="FootnoteReference"/>
        </w:rPr>
        <w:footnoteRef/>
      </w:r>
      <w:r w:rsidRPr="001259D6">
        <w:rPr>
          <w:lang w:val="fr-BE"/>
        </w:rPr>
        <w:tab/>
        <w:t xml:space="preserve">Règlement (UE) </w:t>
      </w:r>
      <w:r w:rsidRPr="00EF751B">
        <w:rPr>
          <w:lang w:val="fr-BE"/>
        </w:rPr>
        <w:t>2022</w:t>
      </w:r>
      <w:r w:rsidRPr="001259D6">
        <w:rPr>
          <w:lang w:val="fr-BE"/>
        </w:rPr>
        <w:t>/</w:t>
      </w:r>
      <w:r w:rsidRPr="00EF751B">
        <w:rPr>
          <w:lang w:val="fr-BE"/>
        </w:rPr>
        <w:t>2372</w:t>
      </w:r>
      <w:r w:rsidRPr="001259D6">
        <w:rPr>
          <w:lang w:val="fr-BE"/>
        </w:rPr>
        <w:t xml:space="preserve"> du Conseil du </w:t>
      </w:r>
      <w:r w:rsidRPr="00EF751B">
        <w:rPr>
          <w:lang w:val="fr-BE"/>
        </w:rPr>
        <w:t>24</w:t>
      </w:r>
      <w:r w:rsidRPr="001259D6">
        <w:rPr>
          <w:lang w:val="fr-BE"/>
        </w:rPr>
        <w:t xml:space="preserve"> octobre </w:t>
      </w:r>
      <w:r w:rsidRPr="00EF751B">
        <w:rPr>
          <w:lang w:val="fr-BE"/>
        </w:rPr>
        <w:t>2022</w:t>
      </w:r>
      <w:r w:rsidRPr="001259D6">
        <w:rPr>
          <w:lang w:val="fr-BE"/>
        </w:rPr>
        <w:t xml:space="preserve"> relatif à un cadre de mesures visant à garantir la fourniture des contre-mesures médicales nécessaires en cas de crise dans l’éventualité d’une urgence de santé publique au niveau de l’Union (JO L </w:t>
      </w:r>
      <w:r w:rsidRPr="00EF751B">
        <w:rPr>
          <w:lang w:val="fr-BE"/>
        </w:rPr>
        <w:t>314</w:t>
      </w:r>
      <w:r w:rsidRPr="001259D6">
        <w:rPr>
          <w:lang w:val="fr-BE"/>
        </w:rPr>
        <w:t xml:space="preserve"> du </w:t>
      </w:r>
      <w:r w:rsidRPr="00EF751B">
        <w:rPr>
          <w:lang w:val="fr-BE"/>
        </w:rPr>
        <w:t>6</w:t>
      </w:r>
      <w:r w:rsidRPr="001259D6">
        <w:rPr>
          <w:lang w:val="fr-BE"/>
        </w:rPr>
        <w:t>.</w:t>
      </w:r>
      <w:r w:rsidRPr="00EF751B">
        <w:rPr>
          <w:lang w:val="fr-BE"/>
        </w:rPr>
        <w:t>12</w:t>
      </w:r>
      <w:r w:rsidRPr="001259D6">
        <w:rPr>
          <w:lang w:val="fr-BE"/>
        </w:rPr>
        <w:t>.</w:t>
      </w:r>
      <w:r w:rsidRPr="00EF751B">
        <w:rPr>
          <w:lang w:val="fr-BE"/>
        </w:rPr>
        <w:t>2022</w:t>
      </w:r>
      <w:r w:rsidRPr="001259D6">
        <w:rPr>
          <w:lang w:val="fr-BE"/>
        </w:rPr>
        <w:t>, p. </w:t>
      </w:r>
      <w:r w:rsidRPr="00EF751B">
        <w:rPr>
          <w:lang w:val="fr-BE"/>
        </w:rPr>
        <w:t>64</w:t>
      </w:r>
      <w:r w:rsidRPr="001259D6">
        <w:rPr>
          <w:lang w:val="fr-BE"/>
        </w:rPr>
        <w:t xml:space="preserve">, ELI: </w:t>
      </w:r>
      <w:hyperlink r:id="rId77" w:tooltip="Donne accès à ce document par l’intermédiaire de son URI ELI." w:history="1">
        <w:r w:rsidRPr="001259D6">
          <w:rPr>
            <w:color w:val="23527C"/>
            <w:u w:val="single"/>
            <w:shd w:val="clear" w:color="auto" w:fill="FFFFFF"/>
            <w:lang w:val="fr-BE"/>
          </w:rPr>
          <w:t>http://data.europa.eu/eli/reg/</w:t>
        </w:r>
        <w:r w:rsidRPr="00EF751B">
          <w:rPr>
            <w:color w:val="23527C"/>
            <w:u w:val="single"/>
            <w:shd w:val="clear" w:color="auto" w:fill="FFFFFF"/>
            <w:lang w:val="fr-BE"/>
          </w:rPr>
          <w:t>2022</w:t>
        </w:r>
        <w:r w:rsidRPr="001259D6">
          <w:rPr>
            <w:color w:val="23527C"/>
            <w:u w:val="single"/>
            <w:shd w:val="clear" w:color="auto" w:fill="FFFFFF"/>
            <w:lang w:val="fr-BE"/>
          </w:rPr>
          <w:t>/</w:t>
        </w:r>
        <w:r w:rsidRPr="00EF751B">
          <w:rPr>
            <w:color w:val="23527C"/>
            <w:u w:val="single"/>
            <w:shd w:val="clear" w:color="auto" w:fill="FFFFFF"/>
            <w:lang w:val="fr-BE"/>
          </w:rPr>
          <w:t>2372</w:t>
        </w:r>
        <w:r w:rsidRPr="001259D6">
          <w:rPr>
            <w:color w:val="23527C"/>
            <w:u w:val="single"/>
            <w:shd w:val="clear" w:color="auto" w:fill="FFFFFF"/>
            <w:lang w:val="fr-BE"/>
          </w:rPr>
          <w:t>/oj</w:t>
        </w:r>
      </w:hyperlink>
      <w:r w:rsidRPr="001259D6">
        <w:rPr>
          <w:lang w:val="fr-BE"/>
        </w:rPr>
        <w:t>).</w:t>
      </w:r>
    </w:p>
  </w:footnote>
  <w:footnote w:id="79">
    <w:p w14:paraId="6CBBCA3E" w14:textId="77777777" w:rsidR="00922C2A" w:rsidRPr="001259D6" w:rsidRDefault="00922C2A" w:rsidP="00922C2A">
      <w:pPr>
        <w:pStyle w:val="FootnoteText"/>
        <w:rPr>
          <w:lang w:val="fr-BE"/>
        </w:rPr>
      </w:pPr>
      <w:r>
        <w:rPr>
          <w:rStyle w:val="FootnoteReference"/>
        </w:rPr>
        <w:footnoteRef/>
      </w:r>
      <w:r w:rsidRPr="001259D6">
        <w:rPr>
          <w:lang w:val="fr-BE"/>
        </w:rPr>
        <w:tab/>
        <w:t>Règlement (UE) …/… du Parlement européen et du Conseil établissant des procédures de l’Union pour l’autorisation et la surveillance des médicaments à usage humain et établissant des règles régissant l’Agence européenne des médicaments, modifiant le règlement (CE) nº </w:t>
      </w:r>
      <w:r w:rsidRPr="00EF751B">
        <w:rPr>
          <w:lang w:val="fr-BE"/>
        </w:rPr>
        <w:t>1394</w:t>
      </w:r>
      <w:r w:rsidRPr="001259D6">
        <w:rPr>
          <w:lang w:val="fr-BE"/>
        </w:rPr>
        <w:t>/</w:t>
      </w:r>
      <w:r w:rsidRPr="00EF751B">
        <w:rPr>
          <w:lang w:val="fr-BE"/>
        </w:rPr>
        <w:t>2007</w:t>
      </w:r>
      <w:r w:rsidRPr="001259D6">
        <w:rPr>
          <w:lang w:val="fr-BE"/>
        </w:rPr>
        <w:t xml:space="preserve"> et le règlement (UE) nº </w:t>
      </w:r>
      <w:r w:rsidRPr="00EF751B">
        <w:rPr>
          <w:lang w:val="fr-BE"/>
        </w:rPr>
        <w:t>536</w:t>
      </w:r>
      <w:r w:rsidRPr="001259D6">
        <w:rPr>
          <w:lang w:val="fr-BE"/>
        </w:rPr>
        <w:t>/</w:t>
      </w:r>
      <w:r w:rsidRPr="00EF751B">
        <w:rPr>
          <w:lang w:val="fr-BE"/>
        </w:rPr>
        <w:t>2014</w:t>
      </w:r>
      <w:r w:rsidRPr="001259D6">
        <w:rPr>
          <w:lang w:val="fr-BE"/>
        </w:rPr>
        <w:t xml:space="preserve"> et abrogeant le règlement (CE) nº </w:t>
      </w:r>
      <w:r w:rsidRPr="00EF751B">
        <w:rPr>
          <w:lang w:val="fr-BE"/>
        </w:rPr>
        <w:t>726</w:t>
      </w:r>
      <w:r w:rsidRPr="001259D6">
        <w:rPr>
          <w:lang w:val="fr-BE"/>
        </w:rPr>
        <w:t>/</w:t>
      </w:r>
      <w:r w:rsidRPr="00EF751B">
        <w:rPr>
          <w:lang w:val="fr-BE"/>
        </w:rPr>
        <w:t>2004</w:t>
      </w:r>
      <w:r w:rsidRPr="001259D6">
        <w:rPr>
          <w:lang w:val="fr-BE"/>
        </w:rPr>
        <w:t>, le règlement (CE) nº </w:t>
      </w:r>
      <w:r w:rsidRPr="00EF751B">
        <w:rPr>
          <w:lang w:val="fr-BE"/>
        </w:rPr>
        <w:t>141</w:t>
      </w:r>
      <w:r w:rsidRPr="001259D6">
        <w:rPr>
          <w:lang w:val="fr-BE"/>
        </w:rPr>
        <w:t>/</w:t>
      </w:r>
      <w:r w:rsidRPr="00EF751B">
        <w:rPr>
          <w:lang w:val="fr-BE"/>
        </w:rPr>
        <w:t>2000</w:t>
      </w:r>
      <w:r w:rsidRPr="001259D6">
        <w:rPr>
          <w:lang w:val="fr-BE"/>
        </w:rPr>
        <w:t xml:space="preserve"> et le règlement (CE) nº </w:t>
      </w:r>
      <w:r w:rsidRPr="00EF751B">
        <w:rPr>
          <w:lang w:val="fr-BE"/>
        </w:rPr>
        <w:t>1901</w:t>
      </w:r>
      <w:r w:rsidRPr="001259D6">
        <w:rPr>
          <w:lang w:val="fr-BE"/>
        </w:rPr>
        <w:t>/</w:t>
      </w:r>
      <w:r w:rsidRPr="00EF751B">
        <w:rPr>
          <w:lang w:val="fr-BE"/>
        </w:rPr>
        <w:t>2006</w:t>
      </w:r>
      <w:r w:rsidRPr="001259D6">
        <w:rPr>
          <w:lang w:val="fr-BE"/>
        </w:rPr>
        <w:t xml:space="preserve"> (JO....). </w:t>
      </w:r>
      <w:r w:rsidRPr="001259D6">
        <w:rPr>
          <w:i/>
          <w:lang w:val="fr-BE"/>
        </w:rPr>
        <w:t>[D.G.: titre selon le document COM(</w:t>
      </w:r>
      <w:r w:rsidRPr="00EF751B">
        <w:rPr>
          <w:i/>
          <w:lang w:val="fr-BE"/>
        </w:rPr>
        <w:t>2023</w:t>
      </w:r>
      <w:r w:rsidRPr="001259D6">
        <w:rPr>
          <w:i/>
          <w:lang w:val="fr-BE"/>
        </w:rPr>
        <w:t xml:space="preserve">) </w:t>
      </w:r>
      <w:r w:rsidRPr="00EF751B">
        <w:rPr>
          <w:i/>
          <w:lang w:val="fr-BE"/>
        </w:rPr>
        <w:t>193</w:t>
      </w:r>
      <w:r w:rsidRPr="001259D6">
        <w:rPr>
          <w:i/>
          <w:lang w:val="fr-BE"/>
        </w:rPr>
        <w:t xml:space="preserve"> final. </w:t>
      </w:r>
      <w:r w:rsidRPr="001259D6">
        <w:rPr>
          <w:i/>
          <w:iCs/>
          <w:lang w:val="fr-BE"/>
        </w:rPr>
        <w:t>Veuillez vous référer à la dernière version de ce projet de règlement]</w:t>
      </w:r>
      <w:r w:rsidRPr="001259D6">
        <w:rPr>
          <w:lang w:val="fr-BE"/>
        </w:rPr>
        <w:t>.</w:t>
      </w:r>
    </w:p>
    <w:p w14:paraId="7B4A975E" w14:textId="77777777" w:rsidR="00922C2A" w:rsidRPr="001259D6" w:rsidRDefault="00922C2A" w:rsidP="00922C2A">
      <w:pPr>
        <w:pStyle w:val="FootnoteText"/>
        <w:rPr>
          <w:lang w:val="fr-BE"/>
        </w:rPr>
      </w:pPr>
    </w:p>
  </w:footnote>
  <w:footnote w:id="80">
    <w:p w14:paraId="779DF23F" w14:textId="77777777" w:rsidR="00922C2A" w:rsidRPr="00FE308D" w:rsidRDefault="00922C2A" w:rsidP="00922C2A">
      <w:pPr>
        <w:pStyle w:val="FootnoteText"/>
        <w:rPr>
          <w:lang w:val="fr-BE"/>
        </w:rPr>
      </w:pPr>
      <w:r>
        <w:rPr>
          <w:rStyle w:val="FootnoteReference"/>
        </w:rPr>
        <w:footnoteRef/>
      </w:r>
      <w:r w:rsidRPr="00FE308D">
        <w:rPr>
          <w:lang w:val="fr-BE"/>
        </w:rPr>
        <w:tab/>
        <w:t xml:space="preserve">Directive </w:t>
      </w:r>
      <w:r w:rsidRPr="00EF751B">
        <w:rPr>
          <w:lang w:val="fr-BE"/>
        </w:rPr>
        <w:t>92</w:t>
      </w:r>
      <w:r w:rsidRPr="00FE308D">
        <w:rPr>
          <w:lang w:val="fr-BE"/>
        </w:rPr>
        <w:t>/</w:t>
      </w:r>
      <w:r w:rsidRPr="00EF751B">
        <w:rPr>
          <w:lang w:val="fr-BE"/>
        </w:rPr>
        <w:t>43</w:t>
      </w:r>
      <w:r w:rsidRPr="00FE308D">
        <w:rPr>
          <w:lang w:val="fr-BE"/>
        </w:rPr>
        <w:t xml:space="preserve">/CEE du Conseil du </w:t>
      </w:r>
      <w:r w:rsidRPr="00EF751B">
        <w:rPr>
          <w:lang w:val="fr-BE"/>
        </w:rPr>
        <w:t>21</w:t>
      </w:r>
      <w:r w:rsidRPr="00FE308D">
        <w:rPr>
          <w:lang w:val="fr-BE"/>
        </w:rPr>
        <w:t xml:space="preserve"> mai </w:t>
      </w:r>
      <w:r w:rsidRPr="00EF751B">
        <w:rPr>
          <w:lang w:val="fr-BE"/>
        </w:rPr>
        <w:t>1992</w:t>
      </w:r>
      <w:r w:rsidRPr="00FE308D">
        <w:rPr>
          <w:lang w:val="fr-BE"/>
        </w:rPr>
        <w:t xml:space="preserve"> concernant la conservation des habitats naturels ainsi que de la faune et de la flore sauvages (JO L </w:t>
      </w:r>
      <w:r w:rsidRPr="00EF751B">
        <w:rPr>
          <w:lang w:val="fr-BE"/>
        </w:rPr>
        <w:t>206</w:t>
      </w:r>
      <w:r w:rsidRPr="00FE308D">
        <w:rPr>
          <w:lang w:val="fr-BE"/>
        </w:rPr>
        <w:t xml:space="preserve"> du </w:t>
      </w:r>
      <w:r w:rsidRPr="00EF751B">
        <w:rPr>
          <w:lang w:val="fr-BE"/>
        </w:rPr>
        <w:t>22</w:t>
      </w:r>
      <w:r w:rsidRPr="00FE308D">
        <w:rPr>
          <w:lang w:val="fr-BE"/>
        </w:rPr>
        <w:t>.</w:t>
      </w:r>
      <w:r w:rsidRPr="00EF751B">
        <w:rPr>
          <w:lang w:val="fr-BE"/>
        </w:rPr>
        <w:t>7</w:t>
      </w:r>
      <w:r w:rsidRPr="00FE308D">
        <w:rPr>
          <w:lang w:val="fr-BE"/>
        </w:rPr>
        <w:t>.</w:t>
      </w:r>
      <w:r w:rsidRPr="00EF751B">
        <w:rPr>
          <w:lang w:val="fr-BE"/>
        </w:rPr>
        <w:t>1992</w:t>
      </w:r>
      <w:r w:rsidRPr="00FE308D">
        <w:rPr>
          <w:lang w:val="fr-BE"/>
        </w:rPr>
        <w:t>, p. </w:t>
      </w:r>
      <w:r w:rsidRPr="00EF751B">
        <w:rPr>
          <w:lang w:val="fr-BE"/>
        </w:rPr>
        <w:t>7</w:t>
      </w:r>
      <w:r w:rsidRPr="00FE308D">
        <w:rPr>
          <w:lang w:val="fr-BE"/>
        </w:rPr>
        <w:t>, ELI: http://data.europa.eu/eli/dir/</w:t>
      </w:r>
      <w:r w:rsidRPr="00EF751B">
        <w:rPr>
          <w:lang w:val="fr-BE"/>
        </w:rPr>
        <w:t>1992</w:t>
      </w:r>
      <w:r w:rsidRPr="00FE308D">
        <w:rPr>
          <w:lang w:val="fr-BE"/>
        </w:rPr>
        <w:t>/</w:t>
      </w:r>
      <w:r w:rsidRPr="00EF751B">
        <w:rPr>
          <w:lang w:val="fr-BE"/>
        </w:rPr>
        <w:t>43</w:t>
      </w:r>
      <w:r w:rsidRPr="00FE308D">
        <w:rPr>
          <w:lang w:val="fr-BE"/>
        </w:rPr>
        <w:t>/oj).</w:t>
      </w:r>
    </w:p>
  </w:footnote>
  <w:footnote w:id="81">
    <w:p w14:paraId="016359E5" w14:textId="77777777" w:rsidR="00922C2A" w:rsidRPr="00FE308D" w:rsidRDefault="00922C2A" w:rsidP="00922C2A">
      <w:pPr>
        <w:pStyle w:val="FootnoteText"/>
        <w:rPr>
          <w:lang w:val="fr-BE"/>
        </w:rPr>
      </w:pPr>
      <w:r>
        <w:rPr>
          <w:rStyle w:val="FootnoteReference"/>
        </w:rPr>
        <w:footnoteRef/>
      </w:r>
      <w:r w:rsidRPr="00FE308D">
        <w:rPr>
          <w:lang w:val="fr-BE"/>
        </w:rPr>
        <w:tab/>
        <w:t xml:space="preserve">Directive </w:t>
      </w:r>
      <w:r w:rsidRPr="00EF751B">
        <w:rPr>
          <w:lang w:val="fr-BE"/>
        </w:rPr>
        <w:t>2000</w:t>
      </w:r>
      <w:r w:rsidRPr="00FE308D">
        <w:rPr>
          <w:lang w:val="fr-BE"/>
        </w:rPr>
        <w:t>/</w:t>
      </w:r>
      <w:r w:rsidRPr="00EF751B">
        <w:rPr>
          <w:lang w:val="fr-BE"/>
        </w:rPr>
        <w:t>60</w:t>
      </w:r>
      <w:r w:rsidRPr="00FE308D">
        <w:rPr>
          <w:lang w:val="fr-BE"/>
        </w:rPr>
        <w:t xml:space="preserve">/CE du Parlement européen et du Conseil du </w:t>
      </w:r>
      <w:r w:rsidRPr="00EF751B">
        <w:rPr>
          <w:lang w:val="fr-BE"/>
        </w:rPr>
        <w:t>23</w:t>
      </w:r>
      <w:r w:rsidRPr="00FE308D">
        <w:rPr>
          <w:lang w:val="fr-BE"/>
        </w:rPr>
        <w:t xml:space="preserve"> octobre </w:t>
      </w:r>
      <w:r w:rsidRPr="00EF751B">
        <w:rPr>
          <w:lang w:val="fr-BE"/>
        </w:rPr>
        <w:t>2000</w:t>
      </w:r>
      <w:r w:rsidRPr="00FE308D">
        <w:rPr>
          <w:lang w:val="fr-BE"/>
        </w:rPr>
        <w:t xml:space="preserve"> établissant un cadre pour une politique communautaire dans le domaine de l’eau (JO L </w:t>
      </w:r>
      <w:r w:rsidRPr="00EF751B">
        <w:rPr>
          <w:lang w:val="fr-BE"/>
        </w:rPr>
        <w:t>327</w:t>
      </w:r>
      <w:r w:rsidRPr="00FE308D">
        <w:rPr>
          <w:lang w:val="fr-BE"/>
        </w:rPr>
        <w:t xml:space="preserve"> du </w:t>
      </w:r>
      <w:r w:rsidRPr="00EF751B">
        <w:rPr>
          <w:lang w:val="fr-BE"/>
        </w:rPr>
        <w:t>22</w:t>
      </w:r>
      <w:r w:rsidRPr="00FE308D">
        <w:rPr>
          <w:lang w:val="fr-BE"/>
        </w:rPr>
        <w:t>.</w:t>
      </w:r>
      <w:r w:rsidRPr="00EF751B">
        <w:rPr>
          <w:lang w:val="fr-BE"/>
        </w:rPr>
        <w:t>12</w:t>
      </w:r>
      <w:r w:rsidRPr="00FE308D">
        <w:rPr>
          <w:lang w:val="fr-BE"/>
        </w:rPr>
        <w:t>.</w:t>
      </w:r>
      <w:r w:rsidRPr="00EF751B">
        <w:rPr>
          <w:lang w:val="fr-BE"/>
        </w:rPr>
        <w:t>2000</w:t>
      </w:r>
      <w:r w:rsidRPr="00FE308D">
        <w:rPr>
          <w:lang w:val="fr-BE"/>
        </w:rPr>
        <w:t>, p. </w:t>
      </w:r>
      <w:r w:rsidRPr="00EF751B">
        <w:rPr>
          <w:lang w:val="fr-BE"/>
        </w:rPr>
        <w:t>1</w:t>
      </w:r>
      <w:r w:rsidRPr="00FE308D">
        <w:rPr>
          <w:lang w:val="fr-BE"/>
        </w:rPr>
        <w:t>, ELI: http://data.europa.eu/eli/dir/</w:t>
      </w:r>
      <w:r w:rsidRPr="00EF751B">
        <w:rPr>
          <w:lang w:val="fr-BE"/>
        </w:rPr>
        <w:t>2000</w:t>
      </w:r>
      <w:r w:rsidRPr="00FE308D">
        <w:rPr>
          <w:lang w:val="fr-BE"/>
        </w:rPr>
        <w:t>/</w:t>
      </w:r>
      <w:r w:rsidRPr="00EF751B">
        <w:rPr>
          <w:lang w:val="fr-BE"/>
        </w:rPr>
        <w:t>60</w:t>
      </w:r>
      <w:r w:rsidRPr="00FE308D">
        <w:rPr>
          <w:lang w:val="fr-BE"/>
        </w:rPr>
        <w:t>/oj).</w:t>
      </w:r>
    </w:p>
  </w:footnote>
  <w:footnote w:id="82">
    <w:p w14:paraId="5B7C552C" w14:textId="77777777" w:rsidR="00922C2A" w:rsidRPr="00FE308D" w:rsidRDefault="00922C2A" w:rsidP="00922C2A">
      <w:pPr>
        <w:pStyle w:val="FootnoteText"/>
        <w:rPr>
          <w:lang w:val="fr-BE"/>
        </w:rPr>
      </w:pPr>
      <w:r>
        <w:rPr>
          <w:rStyle w:val="FootnoteReference"/>
        </w:rPr>
        <w:footnoteRef/>
      </w:r>
      <w:r w:rsidRPr="00FE308D">
        <w:rPr>
          <w:lang w:val="fr-BE"/>
        </w:rPr>
        <w:tab/>
        <w:t xml:space="preserve">Directive </w:t>
      </w:r>
      <w:r w:rsidRPr="00EF751B">
        <w:rPr>
          <w:lang w:val="fr-BE"/>
        </w:rPr>
        <w:t>2001</w:t>
      </w:r>
      <w:r w:rsidRPr="00FE308D">
        <w:rPr>
          <w:lang w:val="fr-BE"/>
        </w:rPr>
        <w:t>/</w:t>
      </w:r>
      <w:r w:rsidRPr="00EF751B">
        <w:rPr>
          <w:lang w:val="fr-BE"/>
        </w:rPr>
        <w:t>42</w:t>
      </w:r>
      <w:r w:rsidRPr="00FE308D">
        <w:rPr>
          <w:lang w:val="fr-BE"/>
        </w:rPr>
        <w:t xml:space="preserve">/CE du Parlement européen et du Conseil du </w:t>
      </w:r>
      <w:r w:rsidRPr="00EF751B">
        <w:rPr>
          <w:lang w:val="fr-BE"/>
        </w:rPr>
        <w:t>27</w:t>
      </w:r>
      <w:r w:rsidRPr="00FE308D">
        <w:rPr>
          <w:lang w:val="fr-BE"/>
        </w:rPr>
        <w:t xml:space="preserve"> juin </w:t>
      </w:r>
      <w:r w:rsidRPr="00EF751B">
        <w:rPr>
          <w:lang w:val="fr-BE"/>
        </w:rPr>
        <w:t>2001</w:t>
      </w:r>
      <w:r w:rsidRPr="00FE308D">
        <w:rPr>
          <w:lang w:val="fr-BE"/>
        </w:rPr>
        <w:t xml:space="preserve"> relative à l’évaluation des incidences de certains plans et programmes sur l’environnement (JO L </w:t>
      </w:r>
      <w:r w:rsidRPr="00EF751B">
        <w:rPr>
          <w:lang w:val="fr-BE"/>
        </w:rPr>
        <w:t>197</w:t>
      </w:r>
      <w:r w:rsidRPr="00FE308D">
        <w:rPr>
          <w:lang w:val="fr-BE"/>
        </w:rPr>
        <w:t xml:space="preserve"> du </w:t>
      </w:r>
      <w:r w:rsidRPr="00EF751B">
        <w:rPr>
          <w:lang w:val="fr-BE"/>
        </w:rPr>
        <w:t>21</w:t>
      </w:r>
      <w:r w:rsidRPr="00FE308D">
        <w:rPr>
          <w:lang w:val="fr-BE"/>
        </w:rPr>
        <w:t>.</w:t>
      </w:r>
      <w:r w:rsidRPr="00EF751B">
        <w:rPr>
          <w:lang w:val="fr-BE"/>
        </w:rPr>
        <w:t>7</w:t>
      </w:r>
      <w:r w:rsidRPr="00FE308D">
        <w:rPr>
          <w:lang w:val="fr-BE"/>
        </w:rPr>
        <w:t>.</w:t>
      </w:r>
      <w:r w:rsidRPr="00EF751B">
        <w:rPr>
          <w:lang w:val="fr-BE"/>
        </w:rPr>
        <w:t>2001</w:t>
      </w:r>
      <w:r w:rsidRPr="00FE308D">
        <w:rPr>
          <w:lang w:val="fr-BE"/>
        </w:rPr>
        <w:t>, p. </w:t>
      </w:r>
      <w:r w:rsidRPr="00EF751B">
        <w:rPr>
          <w:lang w:val="fr-BE"/>
        </w:rPr>
        <w:t>30</w:t>
      </w:r>
      <w:r w:rsidRPr="00FE308D">
        <w:rPr>
          <w:lang w:val="fr-BE"/>
        </w:rPr>
        <w:t>, ELI:  http://data.europa.eu/eli/dir/</w:t>
      </w:r>
      <w:r w:rsidRPr="00EF751B">
        <w:rPr>
          <w:lang w:val="fr-BE"/>
        </w:rPr>
        <w:t>2001</w:t>
      </w:r>
      <w:r w:rsidRPr="00FE308D">
        <w:rPr>
          <w:lang w:val="fr-BE"/>
        </w:rPr>
        <w:t>/</w:t>
      </w:r>
      <w:r w:rsidRPr="00EF751B">
        <w:rPr>
          <w:lang w:val="fr-BE"/>
        </w:rPr>
        <w:t>42</w:t>
      </w:r>
      <w:r w:rsidRPr="00FE308D">
        <w:rPr>
          <w:lang w:val="fr-BE"/>
        </w:rPr>
        <w:t>/oj).</w:t>
      </w:r>
    </w:p>
  </w:footnote>
  <w:footnote w:id="83">
    <w:p w14:paraId="4BDC4E8E" w14:textId="77777777" w:rsidR="00922C2A" w:rsidRPr="00FE308D" w:rsidRDefault="00922C2A" w:rsidP="00922C2A">
      <w:pPr>
        <w:pStyle w:val="FootnoteText"/>
        <w:rPr>
          <w:lang w:val="fr-BE"/>
        </w:rPr>
      </w:pPr>
      <w:r>
        <w:rPr>
          <w:rStyle w:val="FootnoteReference"/>
        </w:rPr>
        <w:footnoteRef/>
      </w:r>
      <w:r w:rsidRPr="00FE308D">
        <w:rPr>
          <w:lang w:val="fr-BE"/>
        </w:rPr>
        <w:tab/>
        <w:t xml:space="preserve">Directive </w:t>
      </w:r>
      <w:r w:rsidRPr="00EF751B">
        <w:rPr>
          <w:lang w:val="fr-BE"/>
        </w:rPr>
        <w:t>2008</w:t>
      </w:r>
      <w:r w:rsidRPr="00FE308D">
        <w:rPr>
          <w:lang w:val="fr-BE"/>
        </w:rPr>
        <w:t>/</w:t>
      </w:r>
      <w:r w:rsidRPr="00EF751B">
        <w:rPr>
          <w:lang w:val="fr-BE"/>
        </w:rPr>
        <w:t>98</w:t>
      </w:r>
      <w:r w:rsidRPr="00FE308D">
        <w:rPr>
          <w:lang w:val="fr-BE"/>
        </w:rPr>
        <w:t xml:space="preserve">/CE du Parlement européen et du Conseil du </w:t>
      </w:r>
      <w:r w:rsidRPr="00EF751B">
        <w:rPr>
          <w:lang w:val="fr-BE"/>
        </w:rPr>
        <w:t>19</w:t>
      </w:r>
      <w:r w:rsidRPr="00FE308D">
        <w:rPr>
          <w:lang w:val="fr-BE"/>
        </w:rPr>
        <w:t xml:space="preserve"> novembre </w:t>
      </w:r>
      <w:r w:rsidRPr="00EF751B">
        <w:rPr>
          <w:lang w:val="fr-BE"/>
        </w:rPr>
        <w:t>2008</w:t>
      </w:r>
      <w:r w:rsidRPr="00FE308D">
        <w:rPr>
          <w:lang w:val="fr-BE"/>
        </w:rPr>
        <w:t xml:space="preserve"> relative aux déchets et abrogeant certaines directives (JO L </w:t>
      </w:r>
      <w:r w:rsidRPr="00EF751B">
        <w:rPr>
          <w:lang w:val="fr-BE"/>
        </w:rPr>
        <w:t>312</w:t>
      </w:r>
      <w:r w:rsidRPr="00FE308D">
        <w:rPr>
          <w:lang w:val="fr-BE"/>
        </w:rPr>
        <w:t xml:space="preserve"> du </w:t>
      </w:r>
      <w:r w:rsidRPr="00EF751B">
        <w:rPr>
          <w:lang w:val="fr-BE"/>
        </w:rPr>
        <w:t>22</w:t>
      </w:r>
      <w:r w:rsidRPr="00FE308D">
        <w:rPr>
          <w:lang w:val="fr-BE"/>
        </w:rPr>
        <w:t>.</w:t>
      </w:r>
      <w:r w:rsidRPr="00EF751B">
        <w:rPr>
          <w:lang w:val="fr-BE"/>
        </w:rPr>
        <w:t>11</w:t>
      </w:r>
      <w:r w:rsidRPr="00FE308D">
        <w:rPr>
          <w:lang w:val="fr-BE"/>
        </w:rPr>
        <w:t>.</w:t>
      </w:r>
      <w:r w:rsidRPr="00EF751B">
        <w:rPr>
          <w:lang w:val="fr-BE"/>
        </w:rPr>
        <w:t>2008</w:t>
      </w:r>
      <w:r w:rsidRPr="00FE308D">
        <w:rPr>
          <w:lang w:val="fr-BE"/>
        </w:rPr>
        <w:t>, p. </w:t>
      </w:r>
      <w:r w:rsidRPr="00EF751B">
        <w:rPr>
          <w:lang w:val="fr-BE"/>
        </w:rPr>
        <w:t>3</w:t>
      </w:r>
      <w:r w:rsidRPr="00FE308D">
        <w:rPr>
          <w:lang w:val="fr-BE"/>
        </w:rPr>
        <w:t>, ELI: http://data.europa.eu/eli/dir/</w:t>
      </w:r>
      <w:r w:rsidRPr="00EF751B">
        <w:rPr>
          <w:lang w:val="fr-BE"/>
        </w:rPr>
        <w:t>2008</w:t>
      </w:r>
      <w:r w:rsidRPr="00FE308D">
        <w:rPr>
          <w:lang w:val="fr-BE"/>
        </w:rPr>
        <w:t>/</w:t>
      </w:r>
      <w:r w:rsidRPr="00EF751B">
        <w:rPr>
          <w:lang w:val="fr-BE"/>
        </w:rPr>
        <w:t>98</w:t>
      </w:r>
      <w:r w:rsidRPr="00FE308D">
        <w:rPr>
          <w:lang w:val="fr-BE"/>
        </w:rPr>
        <w:t>/oj).</w:t>
      </w:r>
    </w:p>
  </w:footnote>
  <w:footnote w:id="84">
    <w:p w14:paraId="5DBE6D29" w14:textId="77777777" w:rsidR="00922C2A" w:rsidRPr="00FE308D" w:rsidRDefault="00922C2A" w:rsidP="00922C2A">
      <w:pPr>
        <w:pStyle w:val="FootnoteText"/>
        <w:rPr>
          <w:lang w:val="fr-BE"/>
        </w:rPr>
      </w:pPr>
      <w:r>
        <w:rPr>
          <w:rStyle w:val="FootnoteReference"/>
        </w:rPr>
        <w:footnoteRef/>
      </w:r>
      <w:r w:rsidRPr="00FE308D">
        <w:rPr>
          <w:lang w:val="fr-BE"/>
        </w:rPr>
        <w:tab/>
        <w:t xml:space="preserve">Directive </w:t>
      </w:r>
      <w:r w:rsidRPr="00EF751B">
        <w:rPr>
          <w:lang w:val="fr-BE"/>
        </w:rPr>
        <w:t>2009</w:t>
      </w:r>
      <w:r w:rsidRPr="00FE308D">
        <w:rPr>
          <w:lang w:val="fr-BE"/>
        </w:rPr>
        <w:t>/</w:t>
      </w:r>
      <w:r w:rsidRPr="00EF751B">
        <w:rPr>
          <w:lang w:val="fr-BE"/>
        </w:rPr>
        <w:t>147</w:t>
      </w:r>
      <w:r w:rsidRPr="00FE308D">
        <w:rPr>
          <w:lang w:val="fr-BE"/>
        </w:rPr>
        <w:t xml:space="preserve">/CE du Parlement européen et du Conseil du </w:t>
      </w:r>
      <w:r w:rsidRPr="00EF751B">
        <w:rPr>
          <w:lang w:val="fr-BE"/>
        </w:rPr>
        <w:t>30</w:t>
      </w:r>
      <w:r w:rsidRPr="00FE308D">
        <w:rPr>
          <w:lang w:val="fr-BE"/>
        </w:rPr>
        <w:t xml:space="preserve"> novembre </w:t>
      </w:r>
      <w:r w:rsidRPr="00EF751B">
        <w:rPr>
          <w:lang w:val="fr-BE"/>
        </w:rPr>
        <w:t>2009</w:t>
      </w:r>
      <w:r w:rsidRPr="00FE308D">
        <w:rPr>
          <w:lang w:val="fr-BE"/>
        </w:rPr>
        <w:t xml:space="preserve"> concernant la conservation des oiseaux sauvages (JO L </w:t>
      </w:r>
      <w:r w:rsidRPr="00EF751B">
        <w:rPr>
          <w:lang w:val="fr-BE"/>
        </w:rPr>
        <w:t>20</w:t>
      </w:r>
      <w:r w:rsidRPr="00FE308D">
        <w:rPr>
          <w:lang w:val="fr-BE"/>
        </w:rPr>
        <w:t xml:space="preserve"> du </w:t>
      </w:r>
      <w:r w:rsidRPr="00EF751B">
        <w:rPr>
          <w:lang w:val="fr-BE"/>
        </w:rPr>
        <w:t>26</w:t>
      </w:r>
      <w:r w:rsidRPr="00FE308D">
        <w:rPr>
          <w:lang w:val="fr-BE"/>
        </w:rPr>
        <w:t>.</w:t>
      </w:r>
      <w:r w:rsidRPr="00EF751B">
        <w:rPr>
          <w:lang w:val="fr-BE"/>
        </w:rPr>
        <w:t>1</w:t>
      </w:r>
      <w:r w:rsidRPr="00FE308D">
        <w:rPr>
          <w:lang w:val="fr-BE"/>
        </w:rPr>
        <w:t>.</w:t>
      </w:r>
      <w:r w:rsidRPr="00EF751B">
        <w:rPr>
          <w:lang w:val="fr-BE"/>
        </w:rPr>
        <w:t>2010</w:t>
      </w:r>
      <w:r w:rsidRPr="00FE308D">
        <w:rPr>
          <w:lang w:val="fr-BE"/>
        </w:rPr>
        <w:t>, p. </w:t>
      </w:r>
      <w:r w:rsidRPr="00EF751B">
        <w:rPr>
          <w:lang w:val="fr-BE"/>
        </w:rPr>
        <w:t>7</w:t>
      </w:r>
      <w:r w:rsidRPr="00FE308D">
        <w:rPr>
          <w:lang w:val="fr-BE"/>
        </w:rPr>
        <w:t>, ELI: http://data.europa.eu/eli/dir/</w:t>
      </w:r>
      <w:r w:rsidRPr="00EF751B">
        <w:rPr>
          <w:lang w:val="fr-BE"/>
        </w:rPr>
        <w:t>2009</w:t>
      </w:r>
      <w:r w:rsidRPr="00FE308D">
        <w:rPr>
          <w:lang w:val="fr-BE"/>
        </w:rPr>
        <w:t>/</w:t>
      </w:r>
      <w:r w:rsidRPr="00EF751B">
        <w:rPr>
          <w:lang w:val="fr-BE"/>
        </w:rPr>
        <w:t>147</w:t>
      </w:r>
      <w:r w:rsidRPr="00FE308D">
        <w:rPr>
          <w:lang w:val="fr-BE"/>
        </w:rPr>
        <w:t>/oj).</w:t>
      </w:r>
    </w:p>
  </w:footnote>
  <w:footnote w:id="85">
    <w:p w14:paraId="6D6E93FC" w14:textId="77777777" w:rsidR="00922C2A" w:rsidRPr="00FE308D" w:rsidRDefault="00922C2A" w:rsidP="00922C2A">
      <w:pPr>
        <w:pStyle w:val="FootnoteText"/>
        <w:rPr>
          <w:lang w:val="fr-BE"/>
        </w:rPr>
      </w:pPr>
      <w:r>
        <w:rPr>
          <w:rStyle w:val="FootnoteReference"/>
        </w:rPr>
        <w:footnoteRef/>
      </w:r>
      <w:r w:rsidRPr="00FE308D">
        <w:rPr>
          <w:lang w:val="fr-BE"/>
        </w:rPr>
        <w:tab/>
        <w:t xml:space="preserve">Directive </w:t>
      </w:r>
      <w:r w:rsidRPr="00EF751B">
        <w:rPr>
          <w:lang w:val="fr-BE"/>
        </w:rPr>
        <w:t>2010</w:t>
      </w:r>
      <w:r w:rsidRPr="00FE308D">
        <w:rPr>
          <w:lang w:val="fr-BE"/>
        </w:rPr>
        <w:t>/</w:t>
      </w:r>
      <w:r w:rsidRPr="00EF751B">
        <w:rPr>
          <w:lang w:val="fr-BE"/>
        </w:rPr>
        <w:t>75</w:t>
      </w:r>
      <w:r w:rsidRPr="00FE308D">
        <w:rPr>
          <w:lang w:val="fr-BE"/>
        </w:rPr>
        <w:t xml:space="preserve">/UE du Parlement européen et du Conseil du </w:t>
      </w:r>
      <w:r w:rsidRPr="00EF751B">
        <w:rPr>
          <w:lang w:val="fr-BE"/>
        </w:rPr>
        <w:t>24</w:t>
      </w:r>
      <w:r w:rsidRPr="00FE308D">
        <w:rPr>
          <w:lang w:val="fr-BE"/>
        </w:rPr>
        <w:t xml:space="preserve"> novembre </w:t>
      </w:r>
      <w:r w:rsidRPr="00EF751B">
        <w:rPr>
          <w:lang w:val="fr-BE"/>
        </w:rPr>
        <w:t>2010</w:t>
      </w:r>
      <w:r w:rsidRPr="00FE308D">
        <w:rPr>
          <w:lang w:val="fr-BE"/>
        </w:rPr>
        <w:t xml:space="preserve"> relative aux émissions industrielles et aux émissions de l’élevage (prévention et réduction intégrées de la pollution) (JO L </w:t>
      </w:r>
      <w:r w:rsidRPr="00EF751B">
        <w:rPr>
          <w:lang w:val="fr-BE"/>
        </w:rPr>
        <w:t>334</w:t>
      </w:r>
      <w:r w:rsidRPr="00FE308D">
        <w:rPr>
          <w:lang w:val="fr-BE"/>
        </w:rPr>
        <w:t xml:space="preserve"> du </w:t>
      </w:r>
      <w:r w:rsidRPr="00EF751B">
        <w:rPr>
          <w:lang w:val="fr-BE"/>
        </w:rPr>
        <w:t>17</w:t>
      </w:r>
      <w:r w:rsidRPr="00FE308D">
        <w:rPr>
          <w:lang w:val="fr-BE"/>
        </w:rPr>
        <w:t>.</w:t>
      </w:r>
      <w:r w:rsidRPr="00EF751B">
        <w:rPr>
          <w:lang w:val="fr-BE"/>
        </w:rPr>
        <w:t>12</w:t>
      </w:r>
      <w:r w:rsidRPr="00FE308D">
        <w:rPr>
          <w:lang w:val="fr-BE"/>
        </w:rPr>
        <w:t>.</w:t>
      </w:r>
      <w:r w:rsidRPr="00EF751B">
        <w:rPr>
          <w:lang w:val="fr-BE"/>
        </w:rPr>
        <w:t>2010</w:t>
      </w:r>
      <w:r w:rsidRPr="00FE308D">
        <w:rPr>
          <w:lang w:val="fr-BE"/>
        </w:rPr>
        <w:t>, p. </w:t>
      </w:r>
      <w:r w:rsidRPr="00EF751B">
        <w:rPr>
          <w:lang w:val="fr-BE"/>
        </w:rPr>
        <w:t>17</w:t>
      </w:r>
      <w:r w:rsidRPr="00FE308D">
        <w:rPr>
          <w:lang w:val="fr-BE"/>
        </w:rPr>
        <w:t>, ELI: http://data.europa.eu/eli/dir/</w:t>
      </w:r>
      <w:r w:rsidRPr="00EF751B">
        <w:rPr>
          <w:lang w:val="fr-BE"/>
        </w:rPr>
        <w:t>2010</w:t>
      </w:r>
      <w:r w:rsidRPr="00FE308D">
        <w:rPr>
          <w:lang w:val="fr-BE"/>
        </w:rPr>
        <w:t>/</w:t>
      </w:r>
      <w:r w:rsidRPr="00EF751B">
        <w:rPr>
          <w:lang w:val="fr-BE"/>
        </w:rPr>
        <w:t>75</w:t>
      </w:r>
      <w:r w:rsidRPr="00FE308D">
        <w:rPr>
          <w:lang w:val="fr-BE"/>
        </w:rPr>
        <w:t>/oj).</w:t>
      </w:r>
    </w:p>
  </w:footnote>
  <w:footnote w:id="86">
    <w:p w14:paraId="46301F6F" w14:textId="77777777" w:rsidR="00922C2A" w:rsidRPr="00FE308D" w:rsidRDefault="00922C2A" w:rsidP="00922C2A">
      <w:pPr>
        <w:pStyle w:val="FootnoteText"/>
        <w:rPr>
          <w:lang w:val="fr-BE"/>
        </w:rPr>
      </w:pPr>
      <w:r>
        <w:rPr>
          <w:rStyle w:val="FootnoteReference"/>
        </w:rPr>
        <w:footnoteRef/>
      </w:r>
      <w:r w:rsidRPr="00FE308D">
        <w:rPr>
          <w:lang w:val="fr-BE"/>
        </w:rPr>
        <w:tab/>
        <w:t xml:space="preserve">Directive </w:t>
      </w:r>
      <w:r w:rsidRPr="00EF751B">
        <w:rPr>
          <w:lang w:val="fr-BE"/>
        </w:rPr>
        <w:t>2011</w:t>
      </w:r>
      <w:r w:rsidRPr="00FE308D">
        <w:rPr>
          <w:lang w:val="fr-BE"/>
        </w:rPr>
        <w:t>/</w:t>
      </w:r>
      <w:r w:rsidRPr="00EF751B">
        <w:rPr>
          <w:lang w:val="fr-BE"/>
        </w:rPr>
        <w:t>92</w:t>
      </w:r>
      <w:r w:rsidRPr="00FE308D">
        <w:rPr>
          <w:lang w:val="fr-BE"/>
        </w:rPr>
        <w:t xml:space="preserve">/UE du Parlement européen et du Conseil du </w:t>
      </w:r>
      <w:r w:rsidRPr="00EF751B">
        <w:rPr>
          <w:lang w:val="fr-BE"/>
        </w:rPr>
        <w:t>13</w:t>
      </w:r>
      <w:r w:rsidRPr="00FE308D">
        <w:rPr>
          <w:lang w:val="fr-BE"/>
        </w:rPr>
        <w:t xml:space="preserve"> décembre </w:t>
      </w:r>
      <w:r w:rsidRPr="00EF751B">
        <w:rPr>
          <w:lang w:val="fr-BE"/>
        </w:rPr>
        <w:t>2011</w:t>
      </w:r>
      <w:r w:rsidRPr="00FE308D">
        <w:rPr>
          <w:lang w:val="fr-BE"/>
        </w:rPr>
        <w:t xml:space="preserve"> concernant l’évaluation des incidences de certains projets publics et privés sur l’environnement (JO L </w:t>
      </w:r>
      <w:r w:rsidRPr="00EF751B">
        <w:rPr>
          <w:lang w:val="fr-BE"/>
        </w:rPr>
        <w:t>26</w:t>
      </w:r>
      <w:r w:rsidRPr="00FE308D">
        <w:rPr>
          <w:lang w:val="fr-BE"/>
        </w:rPr>
        <w:t xml:space="preserve"> du </w:t>
      </w:r>
      <w:r w:rsidRPr="00EF751B">
        <w:rPr>
          <w:lang w:val="fr-BE"/>
        </w:rPr>
        <w:t>28</w:t>
      </w:r>
      <w:r w:rsidRPr="00FE308D">
        <w:rPr>
          <w:lang w:val="fr-BE"/>
        </w:rPr>
        <w:t>.</w:t>
      </w:r>
      <w:r w:rsidRPr="00EF751B">
        <w:rPr>
          <w:lang w:val="fr-BE"/>
        </w:rPr>
        <w:t>1</w:t>
      </w:r>
      <w:r w:rsidRPr="00FE308D">
        <w:rPr>
          <w:lang w:val="fr-BE"/>
        </w:rPr>
        <w:t>.</w:t>
      </w:r>
      <w:r w:rsidRPr="00EF751B">
        <w:rPr>
          <w:lang w:val="fr-BE"/>
        </w:rPr>
        <w:t>2012</w:t>
      </w:r>
      <w:r w:rsidRPr="00FE308D">
        <w:rPr>
          <w:lang w:val="fr-BE"/>
        </w:rPr>
        <w:t>, p. </w:t>
      </w:r>
      <w:r w:rsidRPr="00EF751B">
        <w:rPr>
          <w:lang w:val="fr-BE"/>
        </w:rPr>
        <w:t>1</w:t>
      </w:r>
      <w:r w:rsidRPr="00FE308D">
        <w:rPr>
          <w:lang w:val="fr-BE"/>
        </w:rPr>
        <w:t>, ELI:  http://data.europa.eu/eli/dir/</w:t>
      </w:r>
      <w:r w:rsidRPr="00EF751B">
        <w:rPr>
          <w:lang w:val="fr-BE"/>
        </w:rPr>
        <w:t>2011</w:t>
      </w:r>
      <w:r w:rsidRPr="00FE308D">
        <w:rPr>
          <w:lang w:val="fr-BE"/>
        </w:rPr>
        <w:t>/</w:t>
      </w:r>
      <w:r w:rsidRPr="00EF751B">
        <w:rPr>
          <w:lang w:val="fr-BE"/>
        </w:rPr>
        <w:t>92</w:t>
      </w:r>
      <w:r w:rsidRPr="00FE308D">
        <w:rPr>
          <w:lang w:val="fr-BE"/>
        </w:rPr>
        <w:t>/oj).</w:t>
      </w:r>
    </w:p>
  </w:footnote>
  <w:footnote w:id="87">
    <w:p w14:paraId="3F32CCF3" w14:textId="77777777" w:rsidR="00922C2A" w:rsidRPr="00FE308D" w:rsidRDefault="00922C2A" w:rsidP="00922C2A">
      <w:pPr>
        <w:pStyle w:val="FootnoteText"/>
        <w:rPr>
          <w:lang w:val="fr-BE"/>
        </w:rPr>
      </w:pPr>
      <w:r>
        <w:rPr>
          <w:rStyle w:val="FootnoteReference"/>
        </w:rPr>
        <w:footnoteRef/>
      </w:r>
      <w:r w:rsidRPr="00FE308D">
        <w:rPr>
          <w:lang w:val="fr-BE"/>
        </w:rPr>
        <w:tab/>
        <w:t xml:space="preserve">Directive </w:t>
      </w:r>
      <w:r w:rsidRPr="00EF751B">
        <w:rPr>
          <w:lang w:val="fr-BE"/>
        </w:rPr>
        <w:t>2012</w:t>
      </w:r>
      <w:r w:rsidRPr="00FE308D">
        <w:rPr>
          <w:lang w:val="fr-BE"/>
        </w:rPr>
        <w:t>/</w:t>
      </w:r>
      <w:r w:rsidRPr="00EF751B">
        <w:rPr>
          <w:lang w:val="fr-BE"/>
        </w:rPr>
        <w:t>18</w:t>
      </w:r>
      <w:r w:rsidRPr="00FE308D">
        <w:rPr>
          <w:lang w:val="fr-BE"/>
        </w:rPr>
        <w:t xml:space="preserve">/UE du Parlement européen et du Conseil du </w:t>
      </w:r>
      <w:r w:rsidRPr="00EF751B">
        <w:rPr>
          <w:lang w:val="fr-BE"/>
        </w:rPr>
        <w:t>4</w:t>
      </w:r>
      <w:r w:rsidRPr="00FE308D">
        <w:rPr>
          <w:lang w:val="fr-BE"/>
        </w:rPr>
        <w:t xml:space="preserve"> juillet </w:t>
      </w:r>
      <w:r w:rsidRPr="00EF751B">
        <w:rPr>
          <w:lang w:val="fr-BE"/>
        </w:rPr>
        <w:t>2012</w:t>
      </w:r>
      <w:r w:rsidRPr="00FE308D">
        <w:rPr>
          <w:lang w:val="fr-BE"/>
        </w:rPr>
        <w:t xml:space="preserve"> concernant la maîtrise des dangers liés aux accidents majeurs impliquant des substances dangereuses, modifiant puis abrogeant la directive </w:t>
      </w:r>
      <w:r w:rsidRPr="00EF751B">
        <w:rPr>
          <w:lang w:val="fr-BE"/>
        </w:rPr>
        <w:t>96</w:t>
      </w:r>
      <w:r w:rsidRPr="00FE308D">
        <w:rPr>
          <w:lang w:val="fr-BE"/>
        </w:rPr>
        <w:t>/</w:t>
      </w:r>
      <w:r w:rsidRPr="00EF751B">
        <w:rPr>
          <w:lang w:val="fr-BE"/>
        </w:rPr>
        <w:t>82</w:t>
      </w:r>
      <w:r w:rsidRPr="00FE308D">
        <w:rPr>
          <w:lang w:val="fr-BE"/>
        </w:rPr>
        <w:t>/CE du Conseil (JO L </w:t>
      </w:r>
      <w:r w:rsidRPr="00EF751B">
        <w:rPr>
          <w:lang w:val="fr-BE"/>
        </w:rPr>
        <w:t>197</w:t>
      </w:r>
      <w:r w:rsidRPr="00FE308D">
        <w:rPr>
          <w:lang w:val="fr-BE"/>
        </w:rPr>
        <w:t xml:space="preserve"> du </w:t>
      </w:r>
      <w:r w:rsidRPr="00EF751B">
        <w:rPr>
          <w:lang w:val="fr-BE"/>
        </w:rPr>
        <w:t>24</w:t>
      </w:r>
      <w:r w:rsidRPr="00FE308D">
        <w:rPr>
          <w:lang w:val="fr-BE"/>
        </w:rPr>
        <w:t>.</w:t>
      </w:r>
      <w:r w:rsidRPr="00EF751B">
        <w:rPr>
          <w:lang w:val="fr-BE"/>
        </w:rPr>
        <w:t>7</w:t>
      </w:r>
      <w:r w:rsidRPr="00FE308D">
        <w:rPr>
          <w:lang w:val="fr-BE"/>
        </w:rPr>
        <w:t>.</w:t>
      </w:r>
      <w:r w:rsidRPr="00EF751B">
        <w:rPr>
          <w:lang w:val="fr-BE"/>
        </w:rPr>
        <w:t>2012</w:t>
      </w:r>
      <w:r w:rsidRPr="00FE308D">
        <w:rPr>
          <w:lang w:val="fr-BE"/>
        </w:rPr>
        <w:t>, p. </w:t>
      </w:r>
      <w:r w:rsidRPr="00EF751B">
        <w:rPr>
          <w:lang w:val="fr-BE"/>
        </w:rPr>
        <w:t>1</w:t>
      </w:r>
      <w:r w:rsidRPr="00FE308D">
        <w:rPr>
          <w:lang w:val="fr-BE"/>
        </w:rPr>
        <w:t>, ELI:  http://data.europa.eu/eli/dir/</w:t>
      </w:r>
      <w:r w:rsidRPr="00EF751B">
        <w:rPr>
          <w:lang w:val="fr-BE"/>
        </w:rPr>
        <w:t>2012</w:t>
      </w:r>
      <w:r w:rsidRPr="00FE308D">
        <w:rPr>
          <w:lang w:val="fr-BE"/>
        </w:rPr>
        <w:t>/</w:t>
      </w:r>
      <w:r w:rsidRPr="00EF751B">
        <w:rPr>
          <w:lang w:val="fr-BE"/>
        </w:rPr>
        <w:t>18</w:t>
      </w:r>
      <w:r w:rsidRPr="00FE308D">
        <w:rPr>
          <w:lang w:val="fr-BE"/>
        </w:rPr>
        <w:t>/oj).</w:t>
      </w:r>
    </w:p>
  </w:footnote>
  <w:footnote w:id="88">
    <w:p w14:paraId="1AED6823" w14:textId="77777777" w:rsidR="00922C2A" w:rsidRPr="00FE308D" w:rsidRDefault="00922C2A" w:rsidP="00922C2A">
      <w:pPr>
        <w:pStyle w:val="FootnoteText"/>
        <w:rPr>
          <w:lang w:val="fr-BE"/>
        </w:rPr>
      </w:pPr>
      <w:r>
        <w:rPr>
          <w:rStyle w:val="FootnoteReference"/>
        </w:rPr>
        <w:footnoteRef/>
      </w:r>
      <w:r w:rsidRPr="00FE308D">
        <w:rPr>
          <w:lang w:val="fr-BE"/>
        </w:rPr>
        <w:tab/>
        <w:t xml:space="preserve">Directive </w:t>
      </w:r>
      <w:r w:rsidRPr="00EF751B">
        <w:rPr>
          <w:lang w:val="fr-BE"/>
        </w:rPr>
        <w:t>2014</w:t>
      </w:r>
      <w:r w:rsidRPr="00FE308D">
        <w:rPr>
          <w:lang w:val="fr-BE"/>
        </w:rPr>
        <w:t>/</w:t>
      </w:r>
      <w:r w:rsidRPr="00EF751B">
        <w:rPr>
          <w:lang w:val="fr-BE"/>
        </w:rPr>
        <w:t>89</w:t>
      </w:r>
      <w:r w:rsidRPr="00FE308D">
        <w:rPr>
          <w:lang w:val="fr-BE"/>
        </w:rPr>
        <w:t xml:space="preserve">/UE du Parlement européen et du Conseil du </w:t>
      </w:r>
      <w:r w:rsidRPr="00EF751B">
        <w:rPr>
          <w:lang w:val="fr-BE"/>
        </w:rPr>
        <w:t>23</w:t>
      </w:r>
      <w:r w:rsidRPr="00FE308D">
        <w:rPr>
          <w:lang w:val="fr-BE"/>
        </w:rPr>
        <w:t xml:space="preserve"> juillet </w:t>
      </w:r>
      <w:r w:rsidRPr="00EF751B">
        <w:rPr>
          <w:lang w:val="fr-BE"/>
        </w:rPr>
        <w:t>2014</w:t>
      </w:r>
      <w:r w:rsidRPr="00FE308D">
        <w:rPr>
          <w:lang w:val="fr-BE"/>
        </w:rPr>
        <w:t xml:space="preserve"> établissant un cadre pour la planification de l’espace maritime (JO L </w:t>
      </w:r>
      <w:r w:rsidRPr="00EF751B">
        <w:rPr>
          <w:lang w:val="fr-BE"/>
        </w:rPr>
        <w:t>257</w:t>
      </w:r>
      <w:r w:rsidRPr="00FE308D">
        <w:rPr>
          <w:lang w:val="fr-BE"/>
        </w:rPr>
        <w:t xml:space="preserve"> du </w:t>
      </w:r>
      <w:r w:rsidRPr="00EF751B">
        <w:rPr>
          <w:lang w:val="fr-BE"/>
        </w:rPr>
        <w:t>28</w:t>
      </w:r>
      <w:r w:rsidRPr="00FE308D">
        <w:rPr>
          <w:lang w:val="fr-BE"/>
        </w:rPr>
        <w:t>.</w:t>
      </w:r>
      <w:r w:rsidRPr="00EF751B">
        <w:rPr>
          <w:lang w:val="fr-BE"/>
        </w:rPr>
        <w:t>8</w:t>
      </w:r>
      <w:r w:rsidRPr="00FE308D">
        <w:rPr>
          <w:lang w:val="fr-BE"/>
        </w:rPr>
        <w:t>.</w:t>
      </w:r>
      <w:r w:rsidRPr="00EF751B">
        <w:rPr>
          <w:lang w:val="fr-BE"/>
        </w:rPr>
        <w:t>2014</w:t>
      </w:r>
      <w:r w:rsidRPr="00FE308D">
        <w:rPr>
          <w:lang w:val="fr-BE"/>
        </w:rPr>
        <w:t>, p. </w:t>
      </w:r>
      <w:r w:rsidRPr="00EF751B">
        <w:rPr>
          <w:lang w:val="fr-BE"/>
        </w:rPr>
        <w:t>135</w:t>
      </w:r>
      <w:r w:rsidRPr="00FE308D">
        <w:rPr>
          <w:lang w:val="fr-BE"/>
        </w:rPr>
        <w:t>, ELI: http://data.europa.eu/eli/dir/</w:t>
      </w:r>
      <w:r w:rsidRPr="00EF751B">
        <w:rPr>
          <w:lang w:val="fr-BE"/>
        </w:rPr>
        <w:t>2014</w:t>
      </w:r>
      <w:r w:rsidRPr="00FE308D">
        <w:rPr>
          <w:lang w:val="fr-BE"/>
        </w:rPr>
        <w:t>/</w:t>
      </w:r>
      <w:r w:rsidRPr="00EF751B">
        <w:rPr>
          <w:lang w:val="fr-BE"/>
        </w:rPr>
        <w:t>89</w:t>
      </w:r>
      <w:r w:rsidRPr="00FE308D">
        <w:rPr>
          <w:lang w:val="fr-BE"/>
        </w:rPr>
        <w:t>/oj).</w:t>
      </w:r>
    </w:p>
  </w:footnote>
  <w:footnote w:id="89">
    <w:p w14:paraId="20C0C2BC" w14:textId="77777777" w:rsidR="00922C2A" w:rsidRPr="00FE308D" w:rsidRDefault="00922C2A" w:rsidP="00922C2A">
      <w:pPr>
        <w:pStyle w:val="FootnoteText"/>
        <w:rPr>
          <w:lang w:val="fr-BE"/>
        </w:rPr>
      </w:pPr>
      <w:r>
        <w:rPr>
          <w:rStyle w:val="FootnoteReference"/>
        </w:rPr>
        <w:footnoteRef/>
      </w:r>
      <w:r w:rsidRPr="00FE308D">
        <w:rPr>
          <w:lang w:val="fr-BE"/>
        </w:rPr>
        <w:tab/>
        <w:t xml:space="preserve">Règlement (UE, Euratom) </w:t>
      </w:r>
      <w:r w:rsidRPr="00EF751B">
        <w:rPr>
          <w:lang w:val="fr-BE"/>
        </w:rPr>
        <w:t>2020</w:t>
      </w:r>
      <w:r w:rsidRPr="00FE308D">
        <w:rPr>
          <w:lang w:val="fr-BE"/>
        </w:rPr>
        <w:t>/</w:t>
      </w:r>
      <w:r w:rsidRPr="00EF751B">
        <w:rPr>
          <w:lang w:val="fr-BE"/>
        </w:rPr>
        <w:t>2093</w:t>
      </w:r>
      <w:r w:rsidRPr="00FE308D">
        <w:rPr>
          <w:lang w:val="fr-BE"/>
        </w:rPr>
        <w:t xml:space="preserve"> du Conseil fixant le cadre financier pluriannuel pour les années </w:t>
      </w:r>
      <w:r w:rsidRPr="00EF751B">
        <w:rPr>
          <w:lang w:val="fr-BE"/>
        </w:rPr>
        <w:t>2021</w:t>
      </w:r>
      <w:r w:rsidRPr="00FE308D">
        <w:rPr>
          <w:lang w:val="fr-BE"/>
        </w:rPr>
        <w:t xml:space="preserve"> à </w:t>
      </w:r>
      <w:r w:rsidRPr="00EF751B">
        <w:rPr>
          <w:lang w:val="fr-BE"/>
        </w:rPr>
        <w:t>2027</w:t>
      </w:r>
      <w:r w:rsidRPr="00FE308D">
        <w:rPr>
          <w:lang w:val="fr-BE"/>
        </w:rPr>
        <w:t xml:space="preserve"> (JO L </w:t>
      </w:r>
      <w:r w:rsidRPr="00EF751B">
        <w:rPr>
          <w:lang w:val="fr-BE"/>
        </w:rPr>
        <w:t>433</w:t>
      </w:r>
      <w:r w:rsidRPr="00FE308D">
        <w:rPr>
          <w:lang w:val="fr-BE"/>
        </w:rPr>
        <w:t xml:space="preserve"> I du </w:t>
      </w:r>
      <w:r w:rsidRPr="00EF751B">
        <w:rPr>
          <w:lang w:val="fr-BE"/>
        </w:rPr>
        <w:t>22</w:t>
      </w:r>
      <w:r w:rsidRPr="00FE308D">
        <w:rPr>
          <w:lang w:val="fr-BE"/>
        </w:rPr>
        <w:t>.</w:t>
      </w:r>
      <w:r w:rsidRPr="00EF751B">
        <w:rPr>
          <w:lang w:val="fr-BE"/>
        </w:rPr>
        <w:t>12</w:t>
      </w:r>
      <w:r w:rsidRPr="00FE308D">
        <w:rPr>
          <w:lang w:val="fr-BE"/>
        </w:rPr>
        <w:t>.</w:t>
      </w:r>
      <w:r w:rsidRPr="00EF751B">
        <w:rPr>
          <w:lang w:val="fr-BE"/>
        </w:rPr>
        <w:t>2020</w:t>
      </w:r>
      <w:r w:rsidRPr="00FE308D">
        <w:rPr>
          <w:lang w:val="fr-BE"/>
        </w:rPr>
        <w:t>, p. </w:t>
      </w:r>
      <w:r w:rsidRPr="00EF751B">
        <w:rPr>
          <w:lang w:val="fr-BE"/>
        </w:rPr>
        <w:t>11</w:t>
      </w:r>
      <w:r w:rsidRPr="00FE308D">
        <w:rPr>
          <w:lang w:val="fr-BE"/>
        </w:rPr>
        <w:t xml:space="preserve">, </w:t>
      </w:r>
      <w:r w:rsidRPr="00FE308D">
        <w:rPr>
          <w:color w:val="333333"/>
          <w:sz w:val="21"/>
          <w:shd w:val="clear" w:color="auto" w:fill="FFFFFF"/>
          <w:lang w:val="fr-BE"/>
        </w:rPr>
        <w:t>ELI:</w:t>
      </w:r>
      <w:r w:rsidRPr="00FE308D">
        <w:rPr>
          <w:lang w:val="fr-BE"/>
        </w:rPr>
        <w:t>.</w:t>
      </w:r>
      <w:r w:rsidRPr="00FE308D">
        <w:rPr>
          <w:color w:val="333333"/>
          <w:sz w:val="21"/>
          <w:shd w:val="clear" w:color="auto" w:fill="FFFFFF"/>
          <w:lang w:val="fr-BE"/>
        </w:rPr>
        <w:t> </w:t>
      </w:r>
      <w:hyperlink r:id="rId78" w:tooltip="Donne accès à ce document par l’intermédiaire de son URI ELI." w:history="1">
        <w:r w:rsidRPr="00FE308D">
          <w:rPr>
            <w:color w:val="337AB7"/>
            <w:sz w:val="21"/>
            <w:u w:val="single"/>
            <w:shd w:val="clear" w:color="auto" w:fill="FFFFFF"/>
            <w:lang w:val="fr-BE"/>
          </w:rPr>
          <w:t>http://data.europa.eu/eli/reg/</w:t>
        </w:r>
        <w:r w:rsidRPr="00EF751B">
          <w:rPr>
            <w:color w:val="337AB7"/>
            <w:sz w:val="21"/>
            <w:u w:val="single"/>
            <w:shd w:val="clear" w:color="auto" w:fill="FFFFFF"/>
            <w:lang w:val="fr-BE"/>
          </w:rPr>
          <w:t>2020</w:t>
        </w:r>
        <w:r w:rsidRPr="00FE308D">
          <w:rPr>
            <w:color w:val="337AB7"/>
            <w:sz w:val="21"/>
            <w:u w:val="single"/>
            <w:shd w:val="clear" w:color="auto" w:fill="FFFFFF"/>
            <w:lang w:val="fr-BE"/>
          </w:rPr>
          <w:t>/</w:t>
        </w:r>
        <w:r w:rsidRPr="00EF751B">
          <w:rPr>
            <w:color w:val="337AB7"/>
            <w:sz w:val="21"/>
            <w:u w:val="single"/>
            <w:shd w:val="clear" w:color="auto" w:fill="FFFFFF"/>
            <w:lang w:val="fr-BE"/>
          </w:rPr>
          <w:t>2093</w:t>
        </w:r>
        <w:r w:rsidRPr="00FE308D">
          <w:rPr>
            <w:color w:val="337AB7"/>
            <w:sz w:val="21"/>
            <w:u w:val="single"/>
            <w:shd w:val="clear" w:color="auto" w:fill="FFFFFF"/>
            <w:lang w:val="fr-BE"/>
          </w:rPr>
          <w:t>/oj</w:t>
        </w:r>
      </w:hyperlink>
      <w:r w:rsidRPr="00FE308D">
        <w:rPr>
          <w:lang w:val="fr-BE"/>
        </w:rPr>
        <w:t>).</w:t>
      </w:r>
    </w:p>
  </w:footnote>
  <w:footnote w:id="90">
    <w:p w14:paraId="1DFB6CBB" w14:textId="77777777" w:rsidR="00922C2A" w:rsidRPr="00FE308D" w:rsidRDefault="00922C2A" w:rsidP="00922C2A">
      <w:pPr>
        <w:pStyle w:val="FootnoteText"/>
        <w:rPr>
          <w:lang w:val="fr-BE"/>
        </w:rPr>
      </w:pPr>
      <w:r>
        <w:rPr>
          <w:rStyle w:val="FootnoteReference"/>
        </w:rPr>
        <w:footnoteRef/>
      </w:r>
      <w:r w:rsidRPr="00FE308D">
        <w:rPr>
          <w:lang w:val="fr-BE"/>
        </w:rPr>
        <w:tab/>
        <w:t xml:space="preserve">Règlement (UE) </w:t>
      </w:r>
      <w:r w:rsidRPr="00EF751B">
        <w:rPr>
          <w:lang w:val="fr-BE"/>
        </w:rPr>
        <w:t>2021</w:t>
      </w:r>
      <w:r w:rsidRPr="00FE308D">
        <w:rPr>
          <w:lang w:val="fr-BE"/>
        </w:rPr>
        <w:t>/</w:t>
      </w:r>
      <w:r w:rsidRPr="00EF751B">
        <w:rPr>
          <w:lang w:val="fr-BE"/>
        </w:rPr>
        <w:t>522</w:t>
      </w:r>
      <w:r w:rsidRPr="00FE308D">
        <w:rPr>
          <w:lang w:val="fr-BE"/>
        </w:rPr>
        <w:t xml:space="preserve"> du Parlement européen et du Conseil du </w:t>
      </w:r>
      <w:r w:rsidRPr="00EF751B">
        <w:rPr>
          <w:lang w:val="fr-BE"/>
        </w:rPr>
        <w:t>24</w:t>
      </w:r>
      <w:r w:rsidRPr="00FE308D">
        <w:rPr>
          <w:lang w:val="fr-BE"/>
        </w:rPr>
        <w:t xml:space="preserve"> mars </w:t>
      </w:r>
      <w:r w:rsidRPr="00EF751B">
        <w:rPr>
          <w:lang w:val="fr-BE"/>
        </w:rPr>
        <w:t>2021</w:t>
      </w:r>
      <w:r w:rsidRPr="00FE308D">
        <w:rPr>
          <w:lang w:val="fr-BE"/>
        </w:rPr>
        <w:t xml:space="preserve"> établissant un programme d’action de l’Union dans le domaine de la santé (programme «L’UE pour la santé») pour la période </w:t>
      </w:r>
      <w:r w:rsidRPr="00EF751B">
        <w:rPr>
          <w:lang w:val="fr-BE"/>
        </w:rPr>
        <w:t>2021</w:t>
      </w:r>
      <w:r w:rsidRPr="00FE308D">
        <w:rPr>
          <w:lang w:val="fr-BE"/>
        </w:rPr>
        <w:t>-</w:t>
      </w:r>
      <w:r w:rsidRPr="00EF751B">
        <w:rPr>
          <w:lang w:val="fr-BE"/>
        </w:rPr>
        <w:t>2027</w:t>
      </w:r>
      <w:r w:rsidRPr="00FE308D">
        <w:rPr>
          <w:lang w:val="fr-BE"/>
        </w:rPr>
        <w:t>, et abrogeant le règlement (UE) nº </w:t>
      </w:r>
      <w:r w:rsidRPr="00EF751B">
        <w:rPr>
          <w:lang w:val="fr-BE"/>
        </w:rPr>
        <w:t>282</w:t>
      </w:r>
      <w:r w:rsidRPr="00FE308D">
        <w:rPr>
          <w:lang w:val="fr-BE"/>
        </w:rPr>
        <w:t>/</w:t>
      </w:r>
      <w:r w:rsidRPr="00EF751B">
        <w:rPr>
          <w:lang w:val="fr-BE"/>
        </w:rPr>
        <w:t>2014</w:t>
      </w:r>
      <w:r w:rsidRPr="00FE308D">
        <w:rPr>
          <w:lang w:val="fr-BE"/>
        </w:rPr>
        <w:t xml:space="preserve"> (JO L </w:t>
      </w:r>
      <w:r w:rsidRPr="00EF751B">
        <w:rPr>
          <w:lang w:val="fr-BE"/>
        </w:rPr>
        <w:t>107</w:t>
      </w:r>
      <w:r w:rsidRPr="00FE308D">
        <w:rPr>
          <w:lang w:val="fr-BE"/>
        </w:rPr>
        <w:t xml:space="preserve"> du </w:t>
      </w:r>
      <w:r w:rsidRPr="00EF751B">
        <w:rPr>
          <w:lang w:val="fr-BE"/>
        </w:rPr>
        <w:t>26</w:t>
      </w:r>
      <w:r w:rsidRPr="00FE308D">
        <w:rPr>
          <w:lang w:val="fr-BE"/>
        </w:rPr>
        <w:t>.</w:t>
      </w:r>
      <w:r w:rsidRPr="00EF751B">
        <w:rPr>
          <w:lang w:val="fr-BE"/>
        </w:rPr>
        <w:t>3</w:t>
      </w:r>
      <w:r w:rsidRPr="00FE308D">
        <w:rPr>
          <w:lang w:val="fr-BE"/>
        </w:rPr>
        <w:t>.</w:t>
      </w:r>
      <w:r w:rsidRPr="00EF751B">
        <w:rPr>
          <w:lang w:val="fr-BE"/>
        </w:rPr>
        <w:t>2021</w:t>
      </w:r>
      <w:r w:rsidRPr="00FE308D">
        <w:rPr>
          <w:lang w:val="fr-BE"/>
        </w:rPr>
        <w:t>, p. </w:t>
      </w:r>
      <w:r w:rsidRPr="00EF751B">
        <w:rPr>
          <w:lang w:val="fr-BE"/>
        </w:rPr>
        <w:t>1</w:t>
      </w:r>
      <w:r w:rsidRPr="00FE308D">
        <w:rPr>
          <w:lang w:val="fr-BE"/>
        </w:rPr>
        <w:t xml:space="preserve">, </w:t>
      </w:r>
      <w:r w:rsidRPr="00FE308D">
        <w:rPr>
          <w:color w:val="333333"/>
          <w:shd w:val="clear" w:color="auto" w:fill="FFFFFF"/>
          <w:lang w:val="fr-BE"/>
        </w:rPr>
        <w:t>ELI: </w:t>
      </w:r>
      <w:hyperlink r:id="rId79" w:tooltip="Donne accès à ce document par l’intermédiaire de son URI ELI." w:history="1">
        <w:r w:rsidRPr="00FE308D">
          <w:rPr>
            <w:color w:val="337AB7"/>
            <w:u w:val="single"/>
            <w:shd w:val="clear" w:color="auto" w:fill="FFFFFF"/>
            <w:lang w:val="fr-BE"/>
          </w:rPr>
          <w:t>http://data.europa.eu/eli/reg/</w:t>
        </w:r>
        <w:r w:rsidRPr="00EF751B">
          <w:rPr>
            <w:color w:val="337AB7"/>
            <w:u w:val="single"/>
            <w:shd w:val="clear" w:color="auto" w:fill="FFFFFF"/>
            <w:lang w:val="fr-BE"/>
          </w:rPr>
          <w:t>2021</w:t>
        </w:r>
        <w:r w:rsidRPr="00FE308D">
          <w:rPr>
            <w:color w:val="337AB7"/>
            <w:u w:val="single"/>
            <w:shd w:val="clear" w:color="auto" w:fill="FFFFFF"/>
            <w:lang w:val="fr-BE"/>
          </w:rPr>
          <w:t>/</w:t>
        </w:r>
        <w:r w:rsidRPr="00EF751B">
          <w:rPr>
            <w:color w:val="337AB7"/>
            <w:u w:val="single"/>
            <w:shd w:val="clear" w:color="auto" w:fill="FFFFFF"/>
            <w:lang w:val="fr-BE"/>
          </w:rPr>
          <w:t>522</w:t>
        </w:r>
        <w:r w:rsidRPr="00FE308D">
          <w:rPr>
            <w:color w:val="337AB7"/>
            <w:u w:val="single"/>
            <w:shd w:val="clear" w:color="auto" w:fill="FFFFFF"/>
            <w:lang w:val="fr-BE"/>
          </w:rPr>
          <w:t>/oj</w:t>
        </w:r>
      </w:hyperlink>
      <w:r w:rsidRPr="00FE308D">
        <w:rPr>
          <w:lang w:val="fr-BE"/>
        </w:rPr>
        <w:t>).</w:t>
      </w:r>
    </w:p>
  </w:footnote>
  <w:footnote w:id="91">
    <w:p w14:paraId="518711E2" w14:textId="77777777" w:rsidR="00922C2A" w:rsidRPr="00FE308D" w:rsidRDefault="00922C2A" w:rsidP="00922C2A">
      <w:pPr>
        <w:pStyle w:val="FootnoteText"/>
        <w:rPr>
          <w:lang w:val="fr-BE"/>
        </w:rPr>
      </w:pPr>
      <w:r>
        <w:rPr>
          <w:rStyle w:val="FootnoteReference"/>
        </w:rPr>
        <w:footnoteRef/>
      </w:r>
      <w:r w:rsidRPr="00FE308D">
        <w:rPr>
          <w:lang w:val="fr-BE"/>
        </w:rPr>
        <w:tab/>
        <w:t xml:space="preserve">Règlement (UE) </w:t>
      </w:r>
      <w:r w:rsidRPr="00EF751B">
        <w:rPr>
          <w:lang w:val="fr-BE"/>
        </w:rPr>
        <w:t>2021</w:t>
      </w:r>
      <w:r w:rsidRPr="00FE308D">
        <w:rPr>
          <w:lang w:val="fr-BE"/>
        </w:rPr>
        <w:t>/</w:t>
      </w:r>
      <w:r w:rsidRPr="00EF751B">
        <w:rPr>
          <w:lang w:val="fr-BE"/>
        </w:rPr>
        <w:t>695</w:t>
      </w:r>
      <w:r w:rsidRPr="00FE308D">
        <w:rPr>
          <w:lang w:val="fr-BE"/>
        </w:rPr>
        <w:t xml:space="preserve"> du Parlement européen et du Conseil du </w:t>
      </w:r>
      <w:r w:rsidRPr="00EF751B">
        <w:rPr>
          <w:lang w:val="fr-BE"/>
        </w:rPr>
        <w:t>28</w:t>
      </w:r>
      <w:r w:rsidRPr="00FE308D">
        <w:rPr>
          <w:lang w:val="fr-BE"/>
        </w:rPr>
        <w:t xml:space="preserve"> avril </w:t>
      </w:r>
      <w:r w:rsidRPr="00EF751B">
        <w:rPr>
          <w:lang w:val="fr-BE"/>
        </w:rPr>
        <w:t>2021</w:t>
      </w:r>
      <w:r w:rsidRPr="00FE308D">
        <w:rPr>
          <w:lang w:val="fr-BE"/>
        </w:rPr>
        <w:t xml:space="preserve"> portant établissement du programme-cadre pour la recherche et l’innovation «Horizon Europe» et définissant ses règles de participation et de diffusion, et abrogeant les règlements (UE) nº </w:t>
      </w:r>
      <w:r w:rsidRPr="00EF751B">
        <w:rPr>
          <w:lang w:val="fr-BE"/>
        </w:rPr>
        <w:t>1290</w:t>
      </w:r>
      <w:r w:rsidRPr="00FE308D">
        <w:rPr>
          <w:lang w:val="fr-BE"/>
        </w:rPr>
        <w:t>/</w:t>
      </w:r>
      <w:r w:rsidRPr="00EF751B">
        <w:rPr>
          <w:lang w:val="fr-BE"/>
        </w:rPr>
        <w:t>2013</w:t>
      </w:r>
      <w:r w:rsidRPr="00FE308D">
        <w:rPr>
          <w:lang w:val="fr-BE"/>
        </w:rPr>
        <w:t xml:space="preserve"> et (UE) nº </w:t>
      </w:r>
      <w:r w:rsidRPr="00EF751B">
        <w:rPr>
          <w:lang w:val="fr-BE"/>
        </w:rPr>
        <w:t>1291</w:t>
      </w:r>
      <w:r w:rsidRPr="00FE308D">
        <w:rPr>
          <w:lang w:val="fr-BE"/>
        </w:rPr>
        <w:t>/</w:t>
      </w:r>
      <w:r w:rsidRPr="00EF751B">
        <w:rPr>
          <w:lang w:val="fr-BE"/>
        </w:rPr>
        <w:t>2013</w:t>
      </w:r>
      <w:r w:rsidRPr="00FE308D">
        <w:rPr>
          <w:lang w:val="fr-BE"/>
        </w:rPr>
        <w:t xml:space="preserve"> (JO L </w:t>
      </w:r>
      <w:r w:rsidRPr="00EF751B">
        <w:rPr>
          <w:lang w:val="fr-BE"/>
        </w:rPr>
        <w:t>170</w:t>
      </w:r>
      <w:r w:rsidRPr="00FE308D">
        <w:rPr>
          <w:lang w:val="fr-BE"/>
        </w:rPr>
        <w:t xml:space="preserve"> du </w:t>
      </w:r>
      <w:r w:rsidRPr="00EF751B">
        <w:rPr>
          <w:lang w:val="fr-BE"/>
        </w:rPr>
        <w:t>12</w:t>
      </w:r>
      <w:r w:rsidRPr="00FE308D">
        <w:rPr>
          <w:lang w:val="fr-BE"/>
        </w:rPr>
        <w:t>.</w:t>
      </w:r>
      <w:r w:rsidRPr="00EF751B">
        <w:rPr>
          <w:lang w:val="fr-BE"/>
        </w:rPr>
        <w:t>5</w:t>
      </w:r>
      <w:r w:rsidRPr="00FE308D">
        <w:rPr>
          <w:lang w:val="fr-BE"/>
        </w:rPr>
        <w:t>.</w:t>
      </w:r>
      <w:r w:rsidRPr="00EF751B">
        <w:rPr>
          <w:lang w:val="fr-BE"/>
        </w:rPr>
        <w:t>2021</w:t>
      </w:r>
      <w:r w:rsidRPr="00FE308D">
        <w:rPr>
          <w:lang w:val="fr-BE"/>
        </w:rPr>
        <w:t>, p. </w:t>
      </w:r>
      <w:r w:rsidRPr="00EF751B">
        <w:rPr>
          <w:lang w:val="fr-BE"/>
        </w:rPr>
        <w:t>1</w:t>
      </w:r>
      <w:r w:rsidRPr="00FE308D">
        <w:rPr>
          <w:lang w:val="fr-BE"/>
        </w:rPr>
        <w:t xml:space="preserve">, </w:t>
      </w:r>
      <w:r w:rsidRPr="00FE308D">
        <w:rPr>
          <w:color w:val="333333"/>
          <w:shd w:val="clear" w:color="auto" w:fill="FFFFFF"/>
          <w:lang w:val="fr-BE"/>
        </w:rPr>
        <w:t>ELI: </w:t>
      </w:r>
      <w:hyperlink r:id="rId80" w:tooltip="Donne accès à ce document par l’intermédiaire de son URI ELI." w:history="1">
        <w:r w:rsidRPr="00FE308D">
          <w:rPr>
            <w:color w:val="23527C"/>
            <w:u w:val="single"/>
            <w:shd w:val="clear" w:color="auto" w:fill="FFFFFF"/>
            <w:lang w:val="fr-BE"/>
          </w:rPr>
          <w:t>http://data.europa.eu/eli/reg/</w:t>
        </w:r>
        <w:r w:rsidRPr="00EF751B">
          <w:rPr>
            <w:color w:val="23527C"/>
            <w:u w:val="single"/>
            <w:shd w:val="clear" w:color="auto" w:fill="FFFFFF"/>
            <w:lang w:val="fr-BE"/>
          </w:rPr>
          <w:t>2021</w:t>
        </w:r>
        <w:r w:rsidRPr="00FE308D">
          <w:rPr>
            <w:color w:val="23527C"/>
            <w:u w:val="single"/>
            <w:shd w:val="clear" w:color="auto" w:fill="FFFFFF"/>
            <w:lang w:val="fr-BE"/>
          </w:rPr>
          <w:t>/</w:t>
        </w:r>
        <w:r w:rsidRPr="00EF751B">
          <w:rPr>
            <w:color w:val="23527C"/>
            <w:u w:val="single"/>
            <w:shd w:val="clear" w:color="auto" w:fill="FFFFFF"/>
            <w:lang w:val="fr-BE"/>
          </w:rPr>
          <w:t>695</w:t>
        </w:r>
        <w:r w:rsidRPr="00FE308D">
          <w:rPr>
            <w:color w:val="23527C"/>
            <w:u w:val="single"/>
            <w:shd w:val="clear" w:color="auto" w:fill="FFFFFF"/>
            <w:lang w:val="fr-BE"/>
          </w:rPr>
          <w:t>/oj</w:t>
        </w:r>
      </w:hyperlink>
      <w:r w:rsidRPr="00FE308D">
        <w:rPr>
          <w:lang w:val="fr-BE"/>
        </w:rPr>
        <w:t>).</w:t>
      </w:r>
    </w:p>
  </w:footnote>
  <w:footnote w:id="92">
    <w:p w14:paraId="45C5DDAC" w14:textId="77777777" w:rsidR="00922C2A" w:rsidRPr="00FE308D" w:rsidRDefault="00922C2A" w:rsidP="00922C2A">
      <w:pPr>
        <w:pStyle w:val="FootnoteText"/>
        <w:rPr>
          <w:lang w:val="fr-BE"/>
        </w:rPr>
      </w:pPr>
      <w:r>
        <w:rPr>
          <w:rStyle w:val="FootnoteReference"/>
        </w:rPr>
        <w:footnoteRef/>
      </w:r>
      <w:r w:rsidRPr="00FE308D">
        <w:rPr>
          <w:lang w:val="fr-BE"/>
        </w:rPr>
        <w:tab/>
        <w:t xml:space="preserve">Règlement (UE) </w:t>
      </w:r>
      <w:r w:rsidRPr="00EF751B">
        <w:rPr>
          <w:lang w:val="fr-BE"/>
        </w:rPr>
        <w:t>2021</w:t>
      </w:r>
      <w:r w:rsidRPr="00FE308D">
        <w:rPr>
          <w:lang w:val="fr-BE"/>
        </w:rPr>
        <w:t>/</w:t>
      </w:r>
      <w:r w:rsidRPr="00EF751B">
        <w:rPr>
          <w:lang w:val="fr-BE"/>
        </w:rPr>
        <w:t>694</w:t>
      </w:r>
      <w:r w:rsidRPr="00FE308D">
        <w:rPr>
          <w:lang w:val="fr-BE"/>
        </w:rPr>
        <w:t xml:space="preserve"> du Parlement européen et du Conseil du </w:t>
      </w:r>
      <w:r w:rsidRPr="00EF751B">
        <w:rPr>
          <w:lang w:val="fr-BE"/>
        </w:rPr>
        <w:t>29</w:t>
      </w:r>
      <w:r w:rsidRPr="00FE308D">
        <w:rPr>
          <w:lang w:val="fr-BE"/>
        </w:rPr>
        <w:t xml:space="preserve"> avril </w:t>
      </w:r>
      <w:r w:rsidRPr="00EF751B">
        <w:rPr>
          <w:lang w:val="fr-BE"/>
        </w:rPr>
        <w:t>2021</w:t>
      </w:r>
      <w:r w:rsidRPr="00FE308D">
        <w:rPr>
          <w:lang w:val="fr-BE"/>
        </w:rPr>
        <w:t xml:space="preserve"> établissant le programme pour une Europe numérique et abrogeant la décision (UE) </w:t>
      </w:r>
      <w:r w:rsidRPr="00EF751B">
        <w:rPr>
          <w:lang w:val="fr-BE"/>
        </w:rPr>
        <w:t>2015</w:t>
      </w:r>
      <w:r w:rsidRPr="00FE308D">
        <w:rPr>
          <w:lang w:val="fr-BE"/>
        </w:rPr>
        <w:t>/</w:t>
      </w:r>
      <w:r w:rsidRPr="00EF751B">
        <w:rPr>
          <w:lang w:val="fr-BE"/>
        </w:rPr>
        <w:t>2240</w:t>
      </w:r>
      <w:r w:rsidRPr="00FE308D">
        <w:rPr>
          <w:lang w:val="fr-BE"/>
        </w:rPr>
        <w:t xml:space="preserve"> (JO L </w:t>
      </w:r>
      <w:r w:rsidRPr="00EF751B">
        <w:rPr>
          <w:lang w:val="fr-BE"/>
        </w:rPr>
        <w:t>166</w:t>
      </w:r>
      <w:r w:rsidRPr="00FE308D">
        <w:rPr>
          <w:lang w:val="fr-BE"/>
        </w:rPr>
        <w:t xml:space="preserve"> du </w:t>
      </w:r>
      <w:r w:rsidRPr="00EF751B">
        <w:rPr>
          <w:lang w:val="fr-BE"/>
        </w:rPr>
        <w:t>11</w:t>
      </w:r>
      <w:r w:rsidRPr="00FE308D">
        <w:rPr>
          <w:lang w:val="fr-BE"/>
        </w:rPr>
        <w:t>.</w:t>
      </w:r>
      <w:r w:rsidRPr="00EF751B">
        <w:rPr>
          <w:lang w:val="fr-BE"/>
        </w:rPr>
        <w:t>5</w:t>
      </w:r>
      <w:r w:rsidRPr="00FE308D">
        <w:rPr>
          <w:lang w:val="fr-BE"/>
        </w:rPr>
        <w:t>.</w:t>
      </w:r>
      <w:r w:rsidRPr="00EF751B">
        <w:rPr>
          <w:lang w:val="fr-BE"/>
        </w:rPr>
        <w:t>2021</w:t>
      </w:r>
      <w:r w:rsidRPr="00FE308D">
        <w:rPr>
          <w:lang w:val="fr-BE"/>
        </w:rPr>
        <w:t>, p. </w:t>
      </w:r>
      <w:r w:rsidRPr="00EF751B">
        <w:rPr>
          <w:lang w:val="fr-BE"/>
        </w:rPr>
        <w:t>1</w:t>
      </w:r>
      <w:r w:rsidRPr="00FE308D">
        <w:rPr>
          <w:lang w:val="fr-BE"/>
        </w:rPr>
        <w:t xml:space="preserve">, </w:t>
      </w:r>
      <w:r w:rsidRPr="00FE308D">
        <w:rPr>
          <w:color w:val="333333"/>
          <w:shd w:val="clear" w:color="auto" w:fill="FFFFFF"/>
          <w:lang w:val="fr-BE"/>
        </w:rPr>
        <w:t>ELI: </w:t>
      </w:r>
      <w:hyperlink r:id="rId81" w:tooltip="Donne accès à ce document par l’intermédiaire de son URI ELI." w:history="1">
        <w:r w:rsidRPr="00FE308D">
          <w:rPr>
            <w:color w:val="23527C"/>
            <w:u w:val="single"/>
            <w:shd w:val="clear" w:color="auto" w:fill="FFFFFF"/>
            <w:lang w:val="fr-BE"/>
          </w:rPr>
          <w:t>http://data.europa.eu/eli/reg/</w:t>
        </w:r>
        <w:r w:rsidRPr="00EF751B">
          <w:rPr>
            <w:color w:val="23527C"/>
            <w:u w:val="single"/>
            <w:shd w:val="clear" w:color="auto" w:fill="FFFFFF"/>
            <w:lang w:val="fr-BE"/>
          </w:rPr>
          <w:t>2021</w:t>
        </w:r>
        <w:r w:rsidRPr="00FE308D">
          <w:rPr>
            <w:color w:val="23527C"/>
            <w:u w:val="single"/>
            <w:shd w:val="clear" w:color="auto" w:fill="FFFFFF"/>
            <w:lang w:val="fr-BE"/>
          </w:rPr>
          <w:t>/</w:t>
        </w:r>
        <w:r w:rsidRPr="00EF751B">
          <w:rPr>
            <w:color w:val="23527C"/>
            <w:u w:val="single"/>
            <w:shd w:val="clear" w:color="auto" w:fill="FFFFFF"/>
            <w:lang w:val="fr-BE"/>
          </w:rPr>
          <w:t>694</w:t>
        </w:r>
        <w:r w:rsidRPr="00FE308D">
          <w:rPr>
            <w:color w:val="23527C"/>
            <w:u w:val="single"/>
            <w:shd w:val="clear" w:color="auto" w:fill="FFFFFF"/>
            <w:lang w:val="fr-BE"/>
          </w:rPr>
          <w:t>/</w:t>
        </w:r>
        <w:r w:rsidRPr="00EF751B">
          <w:rPr>
            <w:color w:val="23527C"/>
            <w:u w:val="single"/>
            <w:shd w:val="clear" w:color="auto" w:fill="FFFFFF"/>
            <w:lang w:val="fr-BE"/>
          </w:rPr>
          <w:t>2023</w:t>
        </w:r>
        <w:r w:rsidRPr="00FE308D">
          <w:rPr>
            <w:color w:val="23527C"/>
            <w:u w:val="single"/>
            <w:shd w:val="clear" w:color="auto" w:fill="FFFFFF"/>
            <w:lang w:val="fr-BE"/>
          </w:rPr>
          <w:t>-</w:t>
        </w:r>
        <w:r w:rsidRPr="00EF751B">
          <w:rPr>
            <w:color w:val="23527C"/>
            <w:u w:val="single"/>
            <w:shd w:val="clear" w:color="auto" w:fill="FFFFFF"/>
            <w:lang w:val="fr-BE"/>
          </w:rPr>
          <w:t>09</w:t>
        </w:r>
        <w:r w:rsidRPr="00FE308D">
          <w:rPr>
            <w:color w:val="23527C"/>
            <w:u w:val="single"/>
            <w:shd w:val="clear" w:color="auto" w:fill="FFFFFF"/>
            <w:lang w:val="fr-BE"/>
          </w:rPr>
          <w:t>-</w:t>
        </w:r>
        <w:r w:rsidRPr="00EF751B">
          <w:rPr>
            <w:color w:val="23527C"/>
            <w:u w:val="single"/>
            <w:shd w:val="clear" w:color="auto" w:fill="FFFFFF"/>
            <w:lang w:val="fr-BE"/>
          </w:rPr>
          <w:t>21</w:t>
        </w:r>
      </w:hyperlink>
      <w:r w:rsidRPr="00FE308D">
        <w:rPr>
          <w:lang w:val="fr-BE"/>
        </w:rPr>
        <w:t>).</w:t>
      </w:r>
    </w:p>
  </w:footnote>
  <w:footnote w:id="93">
    <w:p w14:paraId="52D5EFC4" w14:textId="77777777" w:rsidR="00922C2A" w:rsidRPr="00FE308D" w:rsidRDefault="00922C2A" w:rsidP="00922C2A">
      <w:pPr>
        <w:pStyle w:val="FootnoteText"/>
        <w:jc w:val="left"/>
        <w:rPr>
          <w:lang w:val="fr-BE"/>
        </w:rPr>
      </w:pPr>
      <w:r>
        <w:rPr>
          <w:rStyle w:val="FootnoteReference"/>
        </w:rPr>
        <w:footnoteRef/>
      </w:r>
      <w:r w:rsidRPr="00FE308D">
        <w:rPr>
          <w:lang w:val="fr-BE"/>
        </w:rPr>
        <w:tab/>
      </w:r>
      <w:r w:rsidRPr="00FE308D">
        <w:rPr>
          <w:color w:val="333333"/>
          <w:shd w:val="clear" w:color="auto" w:fill="FFFFFF"/>
          <w:lang w:val="fr-BE"/>
        </w:rPr>
        <w:t xml:space="preserve">Directive </w:t>
      </w:r>
      <w:r w:rsidRPr="00EF751B">
        <w:rPr>
          <w:color w:val="333333"/>
          <w:shd w:val="clear" w:color="auto" w:fill="FFFFFF"/>
          <w:lang w:val="fr-BE"/>
        </w:rPr>
        <w:t>2014</w:t>
      </w:r>
      <w:r w:rsidRPr="00FE308D">
        <w:rPr>
          <w:color w:val="333333"/>
          <w:shd w:val="clear" w:color="auto" w:fill="FFFFFF"/>
          <w:lang w:val="fr-BE"/>
        </w:rPr>
        <w:t>/</w:t>
      </w:r>
      <w:r w:rsidRPr="00EF751B">
        <w:rPr>
          <w:color w:val="333333"/>
          <w:shd w:val="clear" w:color="auto" w:fill="FFFFFF"/>
          <w:lang w:val="fr-BE"/>
        </w:rPr>
        <w:t>24</w:t>
      </w:r>
      <w:r w:rsidRPr="00FE308D">
        <w:rPr>
          <w:color w:val="333333"/>
          <w:shd w:val="clear" w:color="auto" w:fill="FFFFFF"/>
          <w:lang w:val="fr-BE"/>
        </w:rPr>
        <w:t xml:space="preserve">/UE du Parlement européen et du Conseil du </w:t>
      </w:r>
      <w:r w:rsidRPr="00EF751B">
        <w:rPr>
          <w:color w:val="333333"/>
          <w:shd w:val="clear" w:color="auto" w:fill="FFFFFF"/>
          <w:lang w:val="fr-BE"/>
        </w:rPr>
        <w:t>26</w:t>
      </w:r>
      <w:r w:rsidRPr="00FE308D">
        <w:rPr>
          <w:color w:val="333333"/>
          <w:shd w:val="clear" w:color="auto" w:fill="FFFFFF"/>
          <w:lang w:val="fr-BE"/>
        </w:rPr>
        <w:t xml:space="preserve"> février </w:t>
      </w:r>
      <w:r w:rsidRPr="00EF751B">
        <w:rPr>
          <w:color w:val="333333"/>
          <w:shd w:val="clear" w:color="auto" w:fill="FFFFFF"/>
          <w:lang w:val="fr-BE"/>
        </w:rPr>
        <w:t>2014</w:t>
      </w:r>
      <w:r w:rsidRPr="00FE308D">
        <w:rPr>
          <w:color w:val="333333"/>
          <w:shd w:val="clear" w:color="auto" w:fill="FFFFFF"/>
          <w:lang w:val="fr-BE"/>
        </w:rPr>
        <w:t xml:space="preserve"> sur la passation des marchés publics et abrogeant la directive </w:t>
      </w:r>
      <w:r w:rsidRPr="00EF751B">
        <w:rPr>
          <w:color w:val="333333"/>
          <w:shd w:val="clear" w:color="auto" w:fill="FFFFFF"/>
          <w:lang w:val="fr-BE"/>
        </w:rPr>
        <w:t>2004</w:t>
      </w:r>
      <w:r w:rsidRPr="00FE308D">
        <w:rPr>
          <w:color w:val="333333"/>
          <w:shd w:val="clear" w:color="auto" w:fill="FFFFFF"/>
          <w:lang w:val="fr-BE"/>
        </w:rPr>
        <w:t>/</w:t>
      </w:r>
      <w:r w:rsidRPr="00EF751B">
        <w:rPr>
          <w:color w:val="333333"/>
          <w:shd w:val="clear" w:color="auto" w:fill="FFFFFF"/>
          <w:lang w:val="fr-BE"/>
        </w:rPr>
        <w:t>18</w:t>
      </w:r>
      <w:r w:rsidRPr="00FE308D">
        <w:rPr>
          <w:color w:val="333333"/>
          <w:shd w:val="clear" w:color="auto" w:fill="FFFFFF"/>
          <w:lang w:val="fr-BE"/>
        </w:rPr>
        <w:t>/CE (</w:t>
      </w:r>
      <w:hyperlink r:id="rId82" w:history="1">
        <w:r w:rsidRPr="00FE308D">
          <w:rPr>
            <w:color w:val="337AB7"/>
            <w:u w:val="single"/>
            <w:shd w:val="clear" w:color="auto" w:fill="FFFFFF"/>
            <w:lang w:val="fr-BE"/>
          </w:rPr>
          <w:t>JO L </w:t>
        </w:r>
        <w:r w:rsidRPr="00EF751B">
          <w:rPr>
            <w:color w:val="337AB7"/>
            <w:u w:val="single"/>
            <w:shd w:val="clear" w:color="auto" w:fill="FFFFFF"/>
            <w:lang w:val="fr-BE"/>
          </w:rPr>
          <w:t>94</w:t>
        </w:r>
        <w:r w:rsidRPr="00FE308D">
          <w:rPr>
            <w:color w:val="337AB7"/>
            <w:u w:val="single"/>
            <w:shd w:val="clear" w:color="auto" w:fill="FFFFFF"/>
            <w:lang w:val="fr-BE"/>
          </w:rPr>
          <w:t xml:space="preserve"> du </w:t>
        </w:r>
        <w:r w:rsidRPr="00EF751B">
          <w:rPr>
            <w:color w:val="337AB7"/>
            <w:u w:val="single"/>
            <w:shd w:val="clear" w:color="auto" w:fill="FFFFFF"/>
            <w:lang w:val="fr-BE"/>
          </w:rPr>
          <w:t>28</w:t>
        </w:r>
        <w:r w:rsidRPr="00FE308D">
          <w:rPr>
            <w:color w:val="337AB7"/>
            <w:u w:val="single"/>
            <w:shd w:val="clear" w:color="auto" w:fill="FFFFFF"/>
            <w:lang w:val="fr-BE"/>
          </w:rPr>
          <w:t>.</w:t>
        </w:r>
        <w:r w:rsidRPr="00EF751B">
          <w:rPr>
            <w:color w:val="337AB7"/>
            <w:u w:val="single"/>
            <w:shd w:val="clear" w:color="auto" w:fill="FFFFFF"/>
            <w:lang w:val="fr-BE"/>
          </w:rPr>
          <w:t>3</w:t>
        </w:r>
        <w:r w:rsidRPr="00FE308D">
          <w:rPr>
            <w:color w:val="337AB7"/>
            <w:u w:val="single"/>
            <w:shd w:val="clear" w:color="auto" w:fill="FFFFFF"/>
            <w:lang w:val="fr-BE"/>
          </w:rPr>
          <w:t>.</w:t>
        </w:r>
        <w:r w:rsidRPr="00EF751B">
          <w:rPr>
            <w:color w:val="337AB7"/>
            <w:u w:val="single"/>
            <w:shd w:val="clear" w:color="auto" w:fill="FFFFFF"/>
            <w:lang w:val="fr-BE"/>
          </w:rPr>
          <w:t>2014</w:t>
        </w:r>
        <w:r w:rsidRPr="00FE308D">
          <w:rPr>
            <w:color w:val="337AB7"/>
            <w:u w:val="single"/>
            <w:shd w:val="clear" w:color="auto" w:fill="FFFFFF"/>
            <w:lang w:val="fr-BE"/>
          </w:rPr>
          <w:t>, p. </w:t>
        </w:r>
        <w:r w:rsidRPr="00EF751B">
          <w:rPr>
            <w:color w:val="337AB7"/>
            <w:u w:val="single"/>
            <w:shd w:val="clear" w:color="auto" w:fill="FFFFFF"/>
            <w:lang w:val="fr-BE"/>
          </w:rPr>
          <w:t>65</w:t>
        </w:r>
      </w:hyperlink>
      <w:r w:rsidRPr="00FE308D">
        <w:rPr>
          <w:lang w:val="fr-BE"/>
        </w:rPr>
        <w:t>,</w:t>
      </w:r>
      <w:r w:rsidRPr="00FE308D">
        <w:rPr>
          <w:color w:val="333333"/>
          <w:shd w:val="clear" w:color="auto" w:fill="FFFFFF"/>
          <w:lang w:val="fr-BE"/>
        </w:rPr>
        <w:t xml:space="preserve"> ELI: </w:t>
      </w:r>
      <w:hyperlink r:id="rId83" w:tooltip="Donne accès à ce document par l’intermédiaire de son URI ELI." w:history="1">
        <w:r w:rsidRPr="00FE308D">
          <w:rPr>
            <w:color w:val="23527C"/>
            <w:u w:val="single"/>
            <w:shd w:val="clear" w:color="auto" w:fill="FFFFFF"/>
            <w:lang w:val="fr-BE"/>
          </w:rPr>
          <w:t>http://data.europa.eu/eli/dir/</w:t>
        </w:r>
        <w:r w:rsidRPr="00EF751B">
          <w:rPr>
            <w:color w:val="23527C"/>
            <w:u w:val="single"/>
            <w:shd w:val="clear" w:color="auto" w:fill="FFFFFF"/>
            <w:lang w:val="fr-BE"/>
          </w:rPr>
          <w:t>2014</w:t>
        </w:r>
        <w:r w:rsidRPr="00FE308D">
          <w:rPr>
            <w:color w:val="23527C"/>
            <w:u w:val="single"/>
            <w:shd w:val="clear" w:color="auto" w:fill="FFFFFF"/>
            <w:lang w:val="fr-BE"/>
          </w:rPr>
          <w:t>/</w:t>
        </w:r>
        <w:r w:rsidRPr="00EF751B">
          <w:rPr>
            <w:color w:val="23527C"/>
            <w:u w:val="single"/>
            <w:shd w:val="clear" w:color="auto" w:fill="FFFFFF"/>
            <w:lang w:val="fr-BE"/>
          </w:rPr>
          <w:t>24</w:t>
        </w:r>
        <w:r w:rsidRPr="00FE308D">
          <w:rPr>
            <w:color w:val="23527C"/>
            <w:u w:val="single"/>
            <w:shd w:val="clear" w:color="auto" w:fill="FFFFFF"/>
            <w:lang w:val="fr-BE"/>
          </w:rPr>
          <w:t>/</w:t>
        </w:r>
        <w:r w:rsidRPr="00EF751B">
          <w:rPr>
            <w:color w:val="23527C"/>
            <w:u w:val="single"/>
            <w:shd w:val="clear" w:color="auto" w:fill="FFFFFF"/>
            <w:lang w:val="fr-BE"/>
          </w:rPr>
          <w:t>2024</w:t>
        </w:r>
        <w:r w:rsidRPr="00FE308D">
          <w:rPr>
            <w:color w:val="23527C"/>
            <w:u w:val="single"/>
            <w:shd w:val="clear" w:color="auto" w:fill="FFFFFF"/>
            <w:lang w:val="fr-BE"/>
          </w:rPr>
          <w:t>-</w:t>
        </w:r>
        <w:r w:rsidRPr="00EF751B">
          <w:rPr>
            <w:color w:val="23527C"/>
            <w:u w:val="single"/>
            <w:shd w:val="clear" w:color="auto" w:fill="FFFFFF"/>
            <w:lang w:val="fr-BE"/>
          </w:rPr>
          <w:t>01</w:t>
        </w:r>
        <w:r w:rsidRPr="00FE308D">
          <w:rPr>
            <w:color w:val="23527C"/>
            <w:u w:val="single"/>
            <w:shd w:val="clear" w:color="auto" w:fill="FFFFFF"/>
            <w:lang w:val="fr-BE"/>
          </w:rPr>
          <w:t>-</w:t>
        </w:r>
        <w:r w:rsidRPr="00EF751B">
          <w:rPr>
            <w:color w:val="23527C"/>
            <w:u w:val="single"/>
            <w:shd w:val="clear" w:color="auto" w:fill="FFFFFF"/>
            <w:lang w:val="fr-BE"/>
          </w:rPr>
          <w:t>01</w:t>
        </w:r>
      </w:hyperlink>
      <w:r w:rsidRPr="00FE308D">
        <w:rPr>
          <w:lang w:val="fr-BE"/>
        </w:rPr>
        <w:t>).</w:t>
      </w:r>
    </w:p>
  </w:footnote>
  <w:footnote w:id="94">
    <w:p w14:paraId="745C1BB3" w14:textId="77777777" w:rsidR="00922C2A" w:rsidRPr="00FE308D" w:rsidRDefault="00922C2A" w:rsidP="00922C2A">
      <w:pPr>
        <w:pStyle w:val="FootnoteText"/>
        <w:rPr>
          <w:lang w:val="fr-BE"/>
        </w:rPr>
      </w:pPr>
      <w:r>
        <w:rPr>
          <w:rStyle w:val="FootnoteReference"/>
        </w:rPr>
        <w:footnoteRef/>
      </w:r>
      <w:r w:rsidRPr="00FE308D">
        <w:rPr>
          <w:lang w:val="fr-BE"/>
        </w:rPr>
        <w:tab/>
        <w:t xml:space="preserve">Règlement (UE) </w:t>
      </w:r>
      <w:r w:rsidRPr="00EF751B">
        <w:rPr>
          <w:lang w:val="fr-BE"/>
        </w:rPr>
        <w:t>2021</w:t>
      </w:r>
      <w:r w:rsidRPr="00FE308D">
        <w:rPr>
          <w:lang w:val="fr-BE"/>
        </w:rPr>
        <w:t>/</w:t>
      </w:r>
      <w:r w:rsidRPr="00EF751B">
        <w:rPr>
          <w:lang w:val="fr-BE"/>
        </w:rPr>
        <w:t>2282</w:t>
      </w:r>
      <w:r w:rsidRPr="00FE308D">
        <w:rPr>
          <w:lang w:val="fr-BE"/>
        </w:rPr>
        <w:t xml:space="preserve"> du Parlement européen et du Conseil du </w:t>
      </w:r>
      <w:r w:rsidRPr="00EF751B">
        <w:rPr>
          <w:lang w:val="fr-BE"/>
        </w:rPr>
        <w:t>15</w:t>
      </w:r>
      <w:r w:rsidRPr="00FE308D">
        <w:rPr>
          <w:lang w:val="fr-BE"/>
        </w:rPr>
        <w:t xml:space="preserve"> décembre </w:t>
      </w:r>
      <w:r w:rsidRPr="00EF751B">
        <w:rPr>
          <w:lang w:val="fr-BE"/>
        </w:rPr>
        <w:t>2021</w:t>
      </w:r>
      <w:r w:rsidRPr="00FE308D">
        <w:rPr>
          <w:lang w:val="fr-BE"/>
        </w:rPr>
        <w:t xml:space="preserve"> concernant l’évaluation des technologies de la santé et modifiant la directive </w:t>
      </w:r>
      <w:r w:rsidRPr="00EF751B">
        <w:rPr>
          <w:lang w:val="fr-BE"/>
        </w:rPr>
        <w:t>2011</w:t>
      </w:r>
      <w:r w:rsidRPr="00FE308D">
        <w:rPr>
          <w:lang w:val="fr-BE"/>
        </w:rPr>
        <w:t>/</w:t>
      </w:r>
      <w:r w:rsidRPr="00EF751B">
        <w:rPr>
          <w:lang w:val="fr-BE"/>
        </w:rPr>
        <w:t>24</w:t>
      </w:r>
      <w:r w:rsidRPr="00FE308D">
        <w:rPr>
          <w:lang w:val="fr-BE"/>
        </w:rPr>
        <w:t>/UE (JO L </w:t>
      </w:r>
      <w:r w:rsidRPr="00EF751B">
        <w:rPr>
          <w:lang w:val="fr-BE"/>
        </w:rPr>
        <w:t>458</w:t>
      </w:r>
      <w:r w:rsidRPr="00FE308D">
        <w:rPr>
          <w:lang w:val="fr-BE"/>
        </w:rPr>
        <w:t xml:space="preserve"> du </w:t>
      </w:r>
      <w:r w:rsidRPr="00EF751B">
        <w:rPr>
          <w:lang w:val="fr-BE"/>
        </w:rPr>
        <w:t>22</w:t>
      </w:r>
      <w:r w:rsidRPr="00FE308D">
        <w:rPr>
          <w:lang w:val="fr-BE"/>
        </w:rPr>
        <w:t>.</w:t>
      </w:r>
      <w:r w:rsidRPr="00EF751B">
        <w:rPr>
          <w:lang w:val="fr-BE"/>
        </w:rPr>
        <w:t>12</w:t>
      </w:r>
      <w:r w:rsidRPr="00FE308D">
        <w:rPr>
          <w:lang w:val="fr-BE"/>
        </w:rPr>
        <w:t>.</w:t>
      </w:r>
      <w:r w:rsidRPr="00EF751B">
        <w:rPr>
          <w:lang w:val="fr-BE"/>
        </w:rPr>
        <w:t>2021</w:t>
      </w:r>
      <w:r w:rsidRPr="00FE308D">
        <w:rPr>
          <w:lang w:val="fr-BE"/>
        </w:rPr>
        <w:t>, ELI: http://data.europa.eu/eli/reg/</w:t>
      </w:r>
      <w:r w:rsidRPr="00EF751B">
        <w:rPr>
          <w:lang w:val="fr-BE"/>
        </w:rPr>
        <w:t>2021</w:t>
      </w:r>
      <w:r w:rsidRPr="00FE308D">
        <w:rPr>
          <w:lang w:val="fr-BE"/>
        </w:rPr>
        <w:t>/</w:t>
      </w:r>
      <w:r w:rsidRPr="00EF751B">
        <w:rPr>
          <w:lang w:val="fr-BE"/>
        </w:rPr>
        <w:t>2282</w:t>
      </w:r>
      <w:r w:rsidRPr="00FE308D">
        <w:rPr>
          <w:lang w:val="fr-BE"/>
        </w:rPr>
        <w:t>/oj).</w:t>
      </w:r>
    </w:p>
  </w:footnote>
  <w:footnote w:id="95">
    <w:p w14:paraId="0C9F98A4" w14:textId="77777777" w:rsidR="00922C2A" w:rsidRPr="00FE308D" w:rsidRDefault="00922C2A" w:rsidP="00922C2A">
      <w:pPr>
        <w:pStyle w:val="FootnoteText"/>
        <w:rPr>
          <w:lang w:val="fr-BE"/>
        </w:rPr>
      </w:pPr>
      <w:r>
        <w:rPr>
          <w:rStyle w:val="FootnoteReference"/>
        </w:rPr>
        <w:footnoteRef/>
      </w:r>
      <w:r w:rsidRPr="00FE308D">
        <w:rPr>
          <w:lang w:val="fr-BE"/>
        </w:rPr>
        <w:tab/>
        <w:t xml:space="preserve">Règlement (UE, Euratom) </w:t>
      </w:r>
      <w:r w:rsidRPr="00EF751B">
        <w:rPr>
          <w:lang w:val="fr-BE"/>
        </w:rPr>
        <w:t>2024</w:t>
      </w:r>
      <w:r w:rsidRPr="00FE308D">
        <w:rPr>
          <w:lang w:val="fr-BE"/>
        </w:rPr>
        <w:t>/</w:t>
      </w:r>
      <w:r w:rsidRPr="00EF751B">
        <w:rPr>
          <w:lang w:val="fr-BE"/>
        </w:rPr>
        <w:t>2509</w:t>
      </w:r>
      <w:r w:rsidRPr="00FE308D">
        <w:rPr>
          <w:lang w:val="fr-BE"/>
        </w:rPr>
        <w:t xml:space="preserve"> du Parlement européen et du Conseil du </w:t>
      </w:r>
      <w:r w:rsidRPr="00EF751B">
        <w:rPr>
          <w:lang w:val="fr-BE"/>
        </w:rPr>
        <w:t>23</w:t>
      </w:r>
      <w:r w:rsidRPr="00FE308D">
        <w:rPr>
          <w:lang w:val="fr-BE"/>
        </w:rPr>
        <w:t xml:space="preserve"> septembre </w:t>
      </w:r>
      <w:r w:rsidRPr="00EF751B">
        <w:rPr>
          <w:lang w:val="fr-BE"/>
        </w:rPr>
        <w:t>2024</w:t>
      </w:r>
      <w:r w:rsidRPr="00FE308D">
        <w:rPr>
          <w:lang w:val="fr-BE"/>
        </w:rPr>
        <w:t xml:space="preserve"> relatif aux règles financières applicables au budget général de l’Union (refonte) (JO L, </w:t>
      </w:r>
      <w:r w:rsidRPr="00EF751B">
        <w:rPr>
          <w:lang w:val="fr-BE"/>
        </w:rPr>
        <w:t>2024</w:t>
      </w:r>
      <w:r w:rsidRPr="00FE308D">
        <w:rPr>
          <w:lang w:val="fr-BE"/>
        </w:rPr>
        <w:t>/</w:t>
      </w:r>
      <w:r w:rsidRPr="00EF751B">
        <w:rPr>
          <w:lang w:val="fr-BE"/>
        </w:rPr>
        <w:t>2509</w:t>
      </w:r>
      <w:r w:rsidRPr="00FE308D">
        <w:rPr>
          <w:lang w:val="fr-BE"/>
        </w:rPr>
        <w:t xml:space="preserve">, </w:t>
      </w:r>
      <w:r w:rsidRPr="00EF751B">
        <w:rPr>
          <w:lang w:val="fr-BE"/>
        </w:rPr>
        <w:t>26</w:t>
      </w:r>
      <w:r w:rsidRPr="00FE308D">
        <w:rPr>
          <w:lang w:val="fr-BE"/>
        </w:rPr>
        <w:t>.</w:t>
      </w:r>
      <w:r w:rsidRPr="00EF751B">
        <w:rPr>
          <w:lang w:val="fr-BE"/>
        </w:rPr>
        <w:t>9</w:t>
      </w:r>
      <w:r w:rsidRPr="00FE308D">
        <w:rPr>
          <w:lang w:val="fr-BE"/>
        </w:rPr>
        <w:t>.</w:t>
      </w:r>
      <w:r w:rsidRPr="00EF751B">
        <w:rPr>
          <w:lang w:val="fr-BE"/>
        </w:rPr>
        <w:t>2024</w:t>
      </w:r>
      <w:r w:rsidRPr="00FE308D">
        <w:rPr>
          <w:lang w:val="fr-BE"/>
        </w:rPr>
        <w:t>, p. </w:t>
      </w:r>
      <w:r w:rsidRPr="00EF751B">
        <w:rPr>
          <w:lang w:val="fr-BE"/>
        </w:rPr>
        <w:t>1</w:t>
      </w:r>
      <w:r w:rsidRPr="00FE308D">
        <w:rPr>
          <w:lang w:val="fr-BE"/>
        </w:rPr>
        <w:t xml:space="preserve">, </w:t>
      </w:r>
      <w:r w:rsidRPr="00FE308D">
        <w:rPr>
          <w:color w:val="333333"/>
          <w:shd w:val="clear" w:color="auto" w:fill="FFFFFF"/>
          <w:lang w:val="fr-BE"/>
        </w:rPr>
        <w:t>ELI: </w:t>
      </w:r>
      <w:hyperlink r:id="rId84" w:tooltip="Donne accès à ce document par l’intermédiaire de son URI ELI." w:history="1">
        <w:r w:rsidRPr="00FE308D">
          <w:rPr>
            <w:color w:val="337AB7"/>
            <w:u w:val="single"/>
            <w:shd w:val="clear" w:color="auto" w:fill="FFFFFF"/>
            <w:lang w:val="fr-BE"/>
          </w:rPr>
          <w:t>http://data.europa.eu/eli/reg/</w:t>
        </w:r>
        <w:r w:rsidRPr="00EF751B">
          <w:rPr>
            <w:color w:val="337AB7"/>
            <w:u w:val="single"/>
            <w:shd w:val="clear" w:color="auto" w:fill="FFFFFF"/>
            <w:lang w:val="fr-BE"/>
          </w:rPr>
          <w:t>2024</w:t>
        </w:r>
        <w:r w:rsidRPr="00FE308D">
          <w:rPr>
            <w:color w:val="337AB7"/>
            <w:u w:val="single"/>
            <w:shd w:val="clear" w:color="auto" w:fill="FFFFFF"/>
            <w:lang w:val="fr-BE"/>
          </w:rPr>
          <w:t>/</w:t>
        </w:r>
        <w:r w:rsidRPr="00EF751B">
          <w:rPr>
            <w:color w:val="337AB7"/>
            <w:u w:val="single"/>
            <w:shd w:val="clear" w:color="auto" w:fill="FFFFFF"/>
            <w:lang w:val="fr-BE"/>
          </w:rPr>
          <w:t>2509</w:t>
        </w:r>
        <w:r w:rsidRPr="00FE308D">
          <w:rPr>
            <w:color w:val="337AB7"/>
            <w:u w:val="single"/>
            <w:shd w:val="clear" w:color="auto" w:fill="FFFFFF"/>
            <w:lang w:val="fr-BE"/>
          </w:rPr>
          <w:t>/oj</w:t>
        </w:r>
      </w:hyperlink>
      <w:r w:rsidRPr="00FE308D">
        <w:rPr>
          <w:lang w:val="fr-BE"/>
        </w:rPr>
        <w:t>).</w:t>
      </w:r>
    </w:p>
  </w:footnote>
  <w:footnote w:id="96">
    <w:p w14:paraId="61AF93BB" w14:textId="77777777" w:rsidR="00922C2A" w:rsidRPr="00FE308D" w:rsidRDefault="00922C2A" w:rsidP="00922C2A">
      <w:pPr>
        <w:pStyle w:val="FootnoteText"/>
        <w:rPr>
          <w:lang w:val="fr-BE"/>
        </w:rPr>
      </w:pPr>
      <w:r>
        <w:rPr>
          <w:rStyle w:val="FootnoteReference"/>
        </w:rPr>
        <w:footnoteRef/>
      </w:r>
      <w:r w:rsidRPr="00FE308D">
        <w:rPr>
          <w:lang w:val="fr-BE"/>
        </w:rPr>
        <w:tab/>
        <w:t xml:space="preserve">Règlement (UE) </w:t>
      </w:r>
      <w:r w:rsidRPr="00EF751B">
        <w:rPr>
          <w:lang w:val="fr-BE"/>
        </w:rPr>
        <w:t>2021</w:t>
      </w:r>
      <w:r w:rsidRPr="00FE308D">
        <w:rPr>
          <w:lang w:val="fr-BE"/>
        </w:rPr>
        <w:t>/</w:t>
      </w:r>
      <w:r w:rsidRPr="00EF751B">
        <w:rPr>
          <w:lang w:val="fr-BE"/>
        </w:rPr>
        <w:t>2282</w:t>
      </w:r>
      <w:r w:rsidRPr="00FE308D">
        <w:rPr>
          <w:lang w:val="fr-BE"/>
        </w:rPr>
        <w:t xml:space="preserve"> du Parlement européen et du Conseil du </w:t>
      </w:r>
      <w:r w:rsidRPr="00EF751B">
        <w:rPr>
          <w:lang w:val="fr-BE"/>
        </w:rPr>
        <w:t>15</w:t>
      </w:r>
      <w:r w:rsidRPr="00FE308D">
        <w:rPr>
          <w:lang w:val="fr-BE"/>
        </w:rPr>
        <w:t xml:space="preserve"> décembre </w:t>
      </w:r>
      <w:r w:rsidRPr="00EF751B">
        <w:rPr>
          <w:lang w:val="fr-BE"/>
        </w:rPr>
        <w:t>2021</w:t>
      </w:r>
      <w:r w:rsidRPr="00FE308D">
        <w:rPr>
          <w:lang w:val="fr-BE"/>
        </w:rPr>
        <w:t xml:space="preserve"> concernant l’évaluation des technologies de la santé et modifiant la directive </w:t>
      </w:r>
      <w:r w:rsidRPr="00EF751B">
        <w:rPr>
          <w:lang w:val="fr-BE"/>
        </w:rPr>
        <w:t>2011</w:t>
      </w:r>
      <w:r w:rsidRPr="00FE308D">
        <w:rPr>
          <w:lang w:val="fr-BE"/>
        </w:rPr>
        <w:t>/</w:t>
      </w:r>
      <w:r w:rsidRPr="00EF751B">
        <w:rPr>
          <w:lang w:val="fr-BE"/>
        </w:rPr>
        <w:t>24</w:t>
      </w:r>
      <w:r w:rsidRPr="00FE308D">
        <w:rPr>
          <w:lang w:val="fr-BE"/>
        </w:rPr>
        <w:t>/UE (JO L </w:t>
      </w:r>
      <w:r w:rsidRPr="00EF751B">
        <w:rPr>
          <w:lang w:val="fr-BE"/>
        </w:rPr>
        <w:t>458</w:t>
      </w:r>
      <w:r w:rsidRPr="00FE308D">
        <w:rPr>
          <w:lang w:val="fr-BE"/>
        </w:rPr>
        <w:t xml:space="preserve"> du </w:t>
      </w:r>
      <w:r w:rsidRPr="00EF751B">
        <w:rPr>
          <w:lang w:val="fr-BE"/>
        </w:rPr>
        <w:t>22</w:t>
      </w:r>
      <w:r w:rsidRPr="00FE308D">
        <w:rPr>
          <w:lang w:val="fr-BE"/>
        </w:rPr>
        <w:t>.</w:t>
      </w:r>
      <w:r w:rsidRPr="00EF751B">
        <w:rPr>
          <w:lang w:val="fr-BE"/>
        </w:rPr>
        <w:t>12</w:t>
      </w:r>
      <w:r w:rsidRPr="00FE308D">
        <w:rPr>
          <w:lang w:val="fr-BE"/>
        </w:rPr>
        <w:t>.</w:t>
      </w:r>
      <w:r w:rsidRPr="00EF751B">
        <w:rPr>
          <w:lang w:val="fr-BE"/>
        </w:rPr>
        <w:t>2021</w:t>
      </w:r>
      <w:r w:rsidRPr="00FE308D">
        <w:rPr>
          <w:lang w:val="fr-BE"/>
        </w:rPr>
        <w:t>, ELI: http://data.europa.eu/eli/reg/</w:t>
      </w:r>
      <w:r w:rsidRPr="00EF751B">
        <w:rPr>
          <w:lang w:val="fr-BE"/>
        </w:rPr>
        <w:t>2021</w:t>
      </w:r>
      <w:r w:rsidRPr="00FE308D">
        <w:rPr>
          <w:lang w:val="fr-BE"/>
        </w:rPr>
        <w:t>/</w:t>
      </w:r>
      <w:r w:rsidRPr="00EF751B">
        <w:rPr>
          <w:lang w:val="fr-BE"/>
        </w:rPr>
        <w:t>2282</w:t>
      </w:r>
      <w:r w:rsidRPr="00FE308D">
        <w:rPr>
          <w:lang w:val="fr-BE"/>
        </w:rPr>
        <w:t>/oj).</w:t>
      </w:r>
    </w:p>
  </w:footnote>
  <w:footnote w:id="97">
    <w:p w14:paraId="27C36A11" w14:textId="77777777" w:rsidR="00922C2A" w:rsidRPr="00543556" w:rsidRDefault="00922C2A" w:rsidP="00922C2A">
      <w:pPr>
        <w:pStyle w:val="FootnoteText"/>
        <w:rPr>
          <w:lang w:val="fr-BE"/>
        </w:rPr>
      </w:pPr>
      <w:r>
        <w:rPr>
          <w:rStyle w:val="FootnoteReference"/>
        </w:rPr>
        <w:footnoteRef/>
      </w:r>
      <w:r w:rsidRPr="00543556">
        <w:rPr>
          <w:lang w:val="fr-BE"/>
        </w:rPr>
        <w:tab/>
        <w:t>Tel(le) que visé(e) à l’article </w:t>
      </w:r>
      <w:r w:rsidRPr="00EF751B">
        <w:rPr>
          <w:lang w:val="fr-BE"/>
        </w:rPr>
        <w:t>58</w:t>
      </w:r>
      <w:r w:rsidRPr="00543556">
        <w:rPr>
          <w:lang w:val="fr-BE"/>
        </w:rPr>
        <w:t>, paragraphe </w:t>
      </w:r>
      <w:r w:rsidRPr="00EF751B">
        <w:rPr>
          <w:lang w:val="fr-BE"/>
        </w:rPr>
        <w:t>2</w:t>
      </w:r>
      <w:r w:rsidRPr="00543556">
        <w:rPr>
          <w:lang w:val="fr-BE"/>
        </w:rPr>
        <w:t>, point a) ou b), du règlement financier.</w:t>
      </w:r>
    </w:p>
  </w:footnote>
  <w:footnote w:id="98">
    <w:p w14:paraId="0EC8CEB1" w14:textId="77777777" w:rsidR="00922C2A" w:rsidRPr="00543556" w:rsidRDefault="00922C2A" w:rsidP="00922C2A">
      <w:pPr>
        <w:pStyle w:val="FootnoteText"/>
        <w:jc w:val="left"/>
        <w:rPr>
          <w:szCs w:val="24"/>
          <w:lang w:val="fr-BE"/>
        </w:rPr>
      </w:pPr>
      <w:r>
        <w:rPr>
          <w:rStyle w:val="FootnoteReference"/>
        </w:rPr>
        <w:footnoteRef/>
      </w:r>
      <w:r w:rsidRPr="00543556">
        <w:rPr>
          <w:lang w:val="fr-BE"/>
        </w:rPr>
        <w:tab/>
        <w:t xml:space="preserve">Les explications sur les modes d’exécution budgétaire ainsi que les références au règlement financier sont disponibles sur le site BUDGpedia: </w:t>
      </w:r>
      <w:hyperlink r:id="rId85" w:history="1">
        <w:r w:rsidRPr="00543556">
          <w:rPr>
            <w:rStyle w:val="Hyperlink"/>
            <w:lang w:val="fr-BE"/>
          </w:rPr>
          <w:t>https://myintracomm.ec.europa.eu/corp/budget/financial-rules/budget-implementation/Pages/implementation-methods.aspx</w:t>
        </w:r>
      </w:hyperlink>
      <w:r w:rsidRPr="00543556">
        <w:rPr>
          <w:rStyle w:val="Hyperlink"/>
          <w:lang w:val="fr-BE"/>
        </w:rPr>
        <w:t>.</w:t>
      </w:r>
    </w:p>
  </w:footnote>
  <w:footnote w:id="99">
    <w:p w14:paraId="48AE1ED6" w14:textId="77777777" w:rsidR="00922C2A" w:rsidRPr="00543556" w:rsidRDefault="00922C2A" w:rsidP="00922C2A">
      <w:pPr>
        <w:pStyle w:val="FootnoteText"/>
        <w:rPr>
          <w:szCs w:val="24"/>
          <w:lang w:val="fr-BE"/>
        </w:rPr>
      </w:pPr>
      <w:r>
        <w:rPr>
          <w:rStyle w:val="FootnoteReference"/>
        </w:rPr>
        <w:footnoteRef/>
      </w:r>
      <w:r w:rsidRPr="00543556">
        <w:rPr>
          <w:lang w:val="fr-BE"/>
        </w:rPr>
        <w:tab/>
        <w:t>CD = crédits dissociés / CND = crédits non dissociés.</w:t>
      </w:r>
    </w:p>
  </w:footnote>
  <w:footnote w:id="100">
    <w:p w14:paraId="5AE1DCF8" w14:textId="77777777" w:rsidR="00922C2A" w:rsidRPr="00543556" w:rsidRDefault="00922C2A" w:rsidP="00922C2A">
      <w:pPr>
        <w:pStyle w:val="FootnoteText"/>
        <w:rPr>
          <w:szCs w:val="24"/>
          <w:lang w:val="fr-BE"/>
        </w:rPr>
      </w:pPr>
      <w:r>
        <w:rPr>
          <w:rStyle w:val="FootnoteReference"/>
        </w:rPr>
        <w:footnoteRef/>
      </w:r>
      <w:r w:rsidRPr="00543556">
        <w:rPr>
          <w:lang w:val="fr-BE"/>
        </w:rPr>
        <w:tab/>
        <w:t xml:space="preserve">AELE: Association européenne de libre-échange. </w:t>
      </w:r>
    </w:p>
  </w:footnote>
  <w:footnote w:id="101">
    <w:p w14:paraId="25E6FF25" w14:textId="77777777" w:rsidR="00922C2A" w:rsidRPr="00543556" w:rsidRDefault="00922C2A" w:rsidP="00922C2A">
      <w:pPr>
        <w:pStyle w:val="FootnoteText"/>
        <w:rPr>
          <w:szCs w:val="24"/>
          <w:lang w:val="fr-BE"/>
        </w:rPr>
      </w:pPr>
      <w:r>
        <w:rPr>
          <w:rStyle w:val="FootnoteReference"/>
        </w:rPr>
        <w:footnoteRef/>
      </w:r>
      <w:r w:rsidRPr="00543556">
        <w:rPr>
          <w:lang w:val="fr-BE"/>
        </w:rPr>
        <w:tab/>
        <w:t>Pays candidats et, le cas échéant, pays candidats potentiels des Balkans occidentaux.</w:t>
      </w:r>
    </w:p>
  </w:footnote>
  <w:footnote w:id="102">
    <w:p w14:paraId="29D6FB3F" w14:textId="77777777" w:rsidR="00922C2A" w:rsidRPr="00543556" w:rsidRDefault="00922C2A" w:rsidP="00922C2A">
      <w:pPr>
        <w:pStyle w:val="FootnoteText"/>
        <w:rPr>
          <w:lang w:val="fr-BE"/>
        </w:rPr>
      </w:pPr>
      <w:r>
        <w:rPr>
          <w:rStyle w:val="FootnoteReference"/>
        </w:rPr>
        <w:footnoteRef/>
      </w:r>
      <w:r w:rsidRPr="00543556">
        <w:rPr>
          <w:lang w:val="fr-BE"/>
        </w:rPr>
        <w:tab/>
      </w:r>
      <w:r w:rsidRPr="00543556">
        <w:rPr>
          <w:color w:val="374151"/>
          <w:sz w:val="18"/>
          <w:lang w:val="fr-BE"/>
        </w:rPr>
        <w:t>Pour déterminer les crédits nécessaires, il convient de recourir aux chiffres relatifs au coût moyen annuel qui sont disponibles sur la page web correspondante de</w:t>
      </w:r>
      <w:r w:rsidRPr="00543556">
        <w:rPr>
          <w:color w:val="374151"/>
          <w:lang w:val="fr-BE"/>
        </w:rPr>
        <w:t xml:space="preserve"> BUDGpedia</w:t>
      </w:r>
      <w:r w:rsidRPr="00543556">
        <w:rPr>
          <w:rFonts w:ascii="Segoe UI" w:hAnsi="Segoe UI"/>
          <w:color w:val="374151"/>
          <w:lang w:val="fr-BE"/>
        </w:rPr>
        <w:t>.</w:t>
      </w:r>
    </w:p>
  </w:footnote>
  <w:footnote w:id="103">
    <w:p w14:paraId="37715A55" w14:textId="77777777" w:rsidR="00922C2A" w:rsidRPr="00543556" w:rsidRDefault="00922C2A" w:rsidP="00922C2A">
      <w:pPr>
        <w:pStyle w:val="FootnoteText"/>
        <w:rPr>
          <w:lang w:val="fr-BE"/>
        </w:rPr>
      </w:pPr>
      <w:r>
        <w:rPr>
          <w:rStyle w:val="FootnoteReference"/>
        </w:rPr>
        <w:footnoteRef/>
      </w:r>
      <w:r w:rsidRPr="00543556">
        <w:rPr>
          <w:lang w:val="fr-BE"/>
        </w:rPr>
        <w:tab/>
        <w:t>Veuillez préciser en dessous du tableau combien, sur le nombre d’ETP indiqué, sont déjà affectés à la gestion de l’action et/ou peuvent être redéployés au sein de votre DG, et quels sont vos besoins nets.</w:t>
      </w:r>
    </w:p>
  </w:footnote>
  <w:footnote w:id="104">
    <w:p w14:paraId="12A33C6F" w14:textId="77777777" w:rsidR="00922C2A" w:rsidRPr="00543556" w:rsidRDefault="00922C2A" w:rsidP="00922C2A">
      <w:pPr>
        <w:pStyle w:val="FootnoteText"/>
        <w:jc w:val="left"/>
        <w:rPr>
          <w:lang w:val="fr-BE"/>
        </w:rPr>
      </w:pPr>
      <w:r>
        <w:rPr>
          <w:rStyle w:val="FootnoteReference"/>
        </w:rPr>
        <w:footnoteRef/>
      </w:r>
      <w:r w:rsidRPr="00543556">
        <w:rPr>
          <w:lang w:val="fr-BE"/>
        </w:rPr>
        <w:tab/>
        <w:t xml:space="preserve">Pour la </w:t>
      </w:r>
      <w:r w:rsidRPr="00EF751B">
        <w:rPr>
          <w:lang w:val="fr-BE"/>
        </w:rPr>
        <w:t>1</w:t>
      </w:r>
      <w:r w:rsidRPr="00543556">
        <w:rPr>
          <w:vertAlign w:val="superscript"/>
          <w:lang w:val="fr-BE"/>
        </w:rPr>
        <w:t>re</w:t>
      </w:r>
      <w:r w:rsidRPr="00543556">
        <w:rPr>
          <w:lang w:val="fr-BE"/>
        </w:rPr>
        <w:t xml:space="preserve"> année, les coûts de l’agent de grade AD pour les avis scientifiques représentent </w:t>
      </w:r>
      <w:r w:rsidRPr="00EF751B">
        <w:rPr>
          <w:lang w:val="fr-BE"/>
        </w:rPr>
        <w:t>50</w:t>
      </w:r>
      <w:r w:rsidRPr="00543556">
        <w:rPr>
          <w:lang w:val="fr-BE"/>
        </w:rPr>
        <w:t xml:space="preserve"> %, étant donné que la mise en œuvre des projets stratégiques ne devrait pas prendre pleinement effet en </w:t>
      </w:r>
      <w:r w:rsidRPr="00EF751B">
        <w:rPr>
          <w:lang w:val="fr-BE"/>
        </w:rPr>
        <w:t>2026</w:t>
      </w:r>
      <w:r w:rsidRPr="00543556">
        <w:rPr>
          <w:lang w:val="fr-BE"/>
        </w:rPr>
        <w:t xml:space="preserve">. Pour le reste des ETP, le coût est comptabilisé dans son intégralité. </w:t>
      </w:r>
    </w:p>
  </w:footnote>
  <w:footnote w:id="105">
    <w:p w14:paraId="1B5221BA" w14:textId="77777777" w:rsidR="00922C2A" w:rsidRPr="00543556" w:rsidRDefault="00922C2A" w:rsidP="00922C2A">
      <w:pPr>
        <w:pStyle w:val="FootnoteText"/>
        <w:rPr>
          <w:lang w:val="fr-BE"/>
        </w:rPr>
      </w:pPr>
      <w:r>
        <w:rPr>
          <w:rStyle w:val="FootnoteReference"/>
        </w:rPr>
        <w:footnoteRef/>
      </w:r>
      <w:r w:rsidRPr="00543556">
        <w:rPr>
          <w:lang w:val="fr-BE"/>
        </w:rPr>
        <w:tab/>
        <w:t xml:space="preserve">Pour la </w:t>
      </w:r>
      <w:r w:rsidRPr="00EF751B">
        <w:rPr>
          <w:lang w:val="fr-BE"/>
        </w:rPr>
        <w:t>1</w:t>
      </w:r>
      <w:r w:rsidRPr="00543556">
        <w:rPr>
          <w:vertAlign w:val="superscript"/>
          <w:lang w:val="fr-BE"/>
        </w:rPr>
        <w:t>re</w:t>
      </w:r>
      <w:r w:rsidRPr="00543556">
        <w:rPr>
          <w:lang w:val="fr-BE"/>
        </w:rPr>
        <w:t xml:space="preserve"> année, les coûts de l’agent de grade AD pour les avis scientifiques représentent </w:t>
      </w:r>
      <w:r w:rsidRPr="00EF751B">
        <w:rPr>
          <w:lang w:val="fr-BE"/>
        </w:rPr>
        <w:t>50</w:t>
      </w:r>
      <w:r w:rsidRPr="00543556">
        <w:rPr>
          <w:lang w:val="fr-BE"/>
        </w:rPr>
        <w:t xml:space="preserve"> %, étant donné que la mise en œuvre des projets stratégiques ne devrait pas prendre pleinement effet en </w:t>
      </w:r>
      <w:r w:rsidRPr="00EF751B">
        <w:rPr>
          <w:lang w:val="fr-BE"/>
        </w:rPr>
        <w:t>2026</w:t>
      </w:r>
      <w:r w:rsidRPr="00543556">
        <w:rPr>
          <w:lang w:val="fr-BE"/>
        </w:rPr>
        <w:t>. Pour le reste des ETP, le coût est comptabilisé dans son intégralité.</w:t>
      </w:r>
    </w:p>
  </w:footnote>
  <w:footnote w:id="106">
    <w:p w14:paraId="38E4A746" w14:textId="77777777" w:rsidR="00922C2A" w:rsidRPr="00543556" w:rsidRDefault="00922C2A" w:rsidP="00922C2A">
      <w:pPr>
        <w:pStyle w:val="FootnoteText"/>
        <w:rPr>
          <w:szCs w:val="24"/>
          <w:lang w:val="fr-BE"/>
        </w:rPr>
      </w:pPr>
      <w:r>
        <w:rPr>
          <w:rStyle w:val="FootnoteReference"/>
        </w:rPr>
        <w:footnoteRef/>
      </w:r>
      <w:r w:rsidRPr="00543556">
        <w:rPr>
          <w:lang w:val="fr-BE"/>
        </w:rPr>
        <w:tab/>
        <w:t xml:space="preserve">En ce qui concerne les ressources propres traditionnelles (droits de douane, cotisations sur le sucre), les montants indiqués doivent être des montants nets, c’est-à-dire des montants bruts après déduction de </w:t>
      </w:r>
      <w:r w:rsidRPr="00EF751B">
        <w:rPr>
          <w:lang w:val="fr-BE"/>
        </w:rPr>
        <w:t>20</w:t>
      </w:r>
      <w:r w:rsidRPr="00543556">
        <w:rPr>
          <w:lang w:val="fr-BE"/>
        </w:rPr>
        <w:t> % de frais de perception.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120D1" w14:textId="77777777" w:rsidR="00492C75" w:rsidRDefault="00492C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13475" w14:textId="77777777" w:rsidR="00492C75" w:rsidRDefault="00492C75" w:rsidP="00492C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0A07B" w14:textId="77777777" w:rsidR="00492C75" w:rsidRPr="00492C75" w:rsidRDefault="00492C75" w:rsidP="00492C75">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B9730" w14:textId="77777777" w:rsidR="00492C75" w:rsidRPr="00492C75" w:rsidRDefault="00492C75" w:rsidP="00492C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Level2"/>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lvlText w:val="%1."/>
      <w:lvlJc w:val="left"/>
      <w:pPr>
        <w:ind w:left="476" w:hanging="476"/>
      </w:pPr>
      <w:rPr>
        <w:rFonts w:hint="default"/>
      </w:rPr>
    </w:lvl>
    <w:lvl w:ilvl="1">
      <w:start w:val="1"/>
      <w:numFmt w:val="lowerLetter"/>
      <w:pStyle w:val="LegalNumPar3"/>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pStyle w:val="ListNumberLevel4"/>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12"/>
    <w:lvlOverride w:ilvl="0">
      <w:startOverride w:val="1"/>
    </w:lvlOverride>
  </w:num>
  <w:num w:numId="18">
    <w:abstractNumId w:val="23"/>
    <w:lvlOverride w:ilvl="0">
      <w:startOverride w:val="1"/>
    </w:lvlOverride>
  </w:num>
  <w:num w:numId="19">
    <w:abstractNumId w:val="26"/>
    <w:lvlOverride w:ilvl="0">
      <w:startOverride w:val="1"/>
    </w:lvlOverride>
  </w:num>
  <w:num w:numId="20">
    <w:abstractNumId w:val="23"/>
  </w:num>
  <w:num w:numId="21">
    <w:abstractNumId w:val="12"/>
  </w:num>
  <w:num w:numId="22">
    <w:abstractNumId w:val="26"/>
  </w:num>
  <w:num w:numId="23">
    <w:abstractNumId w:val="6"/>
  </w:num>
  <w:num w:numId="24">
    <w:abstractNumId w:val="13"/>
  </w:num>
  <w:num w:numId="25">
    <w:abstractNumId w:val="14"/>
  </w:num>
  <w:num w:numId="26">
    <w:abstractNumId w:val="4"/>
  </w:num>
  <w:num w:numId="27">
    <w:abstractNumId w:val="25"/>
  </w:num>
  <w:num w:numId="28">
    <w:abstractNumId w:val="3"/>
  </w:num>
  <w:num w:numId="29">
    <w:abstractNumId w:val="15"/>
  </w:num>
  <w:num w:numId="30">
    <w:abstractNumId w:val="21"/>
  </w:num>
  <w:num w:numId="31">
    <w:abstractNumId w:val="22"/>
  </w:num>
  <w:num w:numId="32">
    <w:abstractNumId w:val="5"/>
  </w:num>
  <w:num w:numId="33">
    <w:abstractNumId w:val="19"/>
  </w:num>
  <w:num w:numId="34">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numRestart w:val="eachSec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5-05-11 21:16:5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56D9A1F-A3A9-4C23-BFE9-DA8C3DCD2E2E"/>
    <w:docVar w:name="LW_COVERPAGE_TYPE" w:val="1"/>
    <w:docVar w:name="LW_CreatedUtc" w:val="2025-03-06T16:40:12.2489620Z"/>
    <w:docVar w:name="LW_CROSSREFERENCE" w:val="&lt;UNUSED&gt;"/>
    <w:docVar w:name="LW_DocType" w:val="COM"/>
    <w:docVar w:name="LW_EMISSION" w:val="11.3.2025"/>
    <w:docVar w:name="LW_EMISSION_ISODATE" w:val="2025-03-11"/>
    <w:docVar w:name="LW_EMISSION_LOCATION" w:val="STR"/>
    <w:docVar w:name="LW_EMISSION_PREFIX" w:val="Strasbourg, le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102"/>
    <w:docVar w:name="LW_REF.II.NEW.CP_YEAR" w:val="2025"/>
    <w:docVar w:name="LW_REF.INST.NEW" w:val="COM"/>
    <w:docVar w:name="LW_REF.INST.NEW_ADOPTED" w:val="final"/>
    <w:docVar w:name="LW_REF.INST.NEW_TEXT" w:val="(2025) 10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établissant un cadre visant à renforcer la disponibilité et la sécurité de l\u8217?approvisionnement en médicaments critiques ainsi que la disponibilité et l\u8217?accessibilité des médicaments d\u8217?intérêt commun, et modifiant le règlement (UE) 2024/795"/>
    <w:docVar w:name="LW_TYPE.DOC.CP" w:val="RÈGLEMENT DU PARLEMENT EUROPÉEN ET DU CONSEIL"/>
    <w:docVar w:name="LwApiVersions" w:val="LW4CoDe 1.24.5.0; LW 9.0, Build 20240221"/>
  </w:docVars>
  <w:rsids>
    <w:rsidRoot w:val="004C5377"/>
    <w:rsid w:val="0000071D"/>
    <w:rsid w:val="00000F3D"/>
    <w:rsid w:val="00004705"/>
    <w:rsid w:val="0000495C"/>
    <w:rsid w:val="00004BF7"/>
    <w:rsid w:val="00004EA1"/>
    <w:rsid w:val="00006E16"/>
    <w:rsid w:val="000148C2"/>
    <w:rsid w:val="00014A86"/>
    <w:rsid w:val="00020536"/>
    <w:rsid w:val="0002064A"/>
    <w:rsid w:val="00020D77"/>
    <w:rsid w:val="00021745"/>
    <w:rsid w:val="00021D4E"/>
    <w:rsid w:val="00023CFF"/>
    <w:rsid w:val="00025FD4"/>
    <w:rsid w:val="00026D8E"/>
    <w:rsid w:val="0003048A"/>
    <w:rsid w:val="0003176E"/>
    <w:rsid w:val="00031ED7"/>
    <w:rsid w:val="00032443"/>
    <w:rsid w:val="00033BC3"/>
    <w:rsid w:val="000344EA"/>
    <w:rsid w:val="00034766"/>
    <w:rsid w:val="00034DB8"/>
    <w:rsid w:val="0003591A"/>
    <w:rsid w:val="00036F81"/>
    <w:rsid w:val="00040560"/>
    <w:rsid w:val="00040C56"/>
    <w:rsid w:val="00042B70"/>
    <w:rsid w:val="000449B6"/>
    <w:rsid w:val="00045678"/>
    <w:rsid w:val="00046C00"/>
    <w:rsid w:val="00046C83"/>
    <w:rsid w:val="00047108"/>
    <w:rsid w:val="00052A1B"/>
    <w:rsid w:val="0005370D"/>
    <w:rsid w:val="000538D7"/>
    <w:rsid w:val="0005782E"/>
    <w:rsid w:val="00060213"/>
    <w:rsid w:val="0006074C"/>
    <w:rsid w:val="00060B05"/>
    <w:rsid w:val="000615F5"/>
    <w:rsid w:val="000616D4"/>
    <w:rsid w:val="0006268B"/>
    <w:rsid w:val="000626FB"/>
    <w:rsid w:val="00063923"/>
    <w:rsid w:val="00064C81"/>
    <w:rsid w:val="000651D9"/>
    <w:rsid w:val="00065801"/>
    <w:rsid w:val="00066950"/>
    <w:rsid w:val="000703BB"/>
    <w:rsid w:val="000716F4"/>
    <w:rsid w:val="00071F7D"/>
    <w:rsid w:val="00072FC5"/>
    <w:rsid w:val="00075A51"/>
    <w:rsid w:val="00075D31"/>
    <w:rsid w:val="00077DFD"/>
    <w:rsid w:val="000826BE"/>
    <w:rsid w:val="00086B96"/>
    <w:rsid w:val="000907D9"/>
    <w:rsid w:val="00090F1E"/>
    <w:rsid w:val="00092AD7"/>
    <w:rsid w:val="000957F0"/>
    <w:rsid w:val="0009586C"/>
    <w:rsid w:val="0009615C"/>
    <w:rsid w:val="00096EEF"/>
    <w:rsid w:val="000A28F2"/>
    <w:rsid w:val="000A3207"/>
    <w:rsid w:val="000A425D"/>
    <w:rsid w:val="000A64B8"/>
    <w:rsid w:val="000A6674"/>
    <w:rsid w:val="000A7B2E"/>
    <w:rsid w:val="000B14D5"/>
    <w:rsid w:val="000B1DC1"/>
    <w:rsid w:val="000B3967"/>
    <w:rsid w:val="000B56BF"/>
    <w:rsid w:val="000B72E5"/>
    <w:rsid w:val="000C1059"/>
    <w:rsid w:val="000C16C6"/>
    <w:rsid w:val="000C1BA9"/>
    <w:rsid w:val="000C1E64"/>
    <w:rsid w:val="000C48ED"/>
    <w:rsid w:val="000C5FBF"/>
    <w:rsid w:val="000C786C"/>
    <w:rsid w:val="000C7CB4"/>
    <w:rsid w:val="000D1861"/>
    <w:rsid w:val="000D3039"/>
    <w:rsid w:val="000D328A"/>
    <w:rsid w:val="000D3A6E"/>
    <w:rsid w:val="000D44F4"/>
    <w:rsid w:val="000D4A8A"/>
    <w:rsid w:val="000D7E12"/>
    <w:rsid w:val="000E10AD"/>
    <w:rsid w:val="000E668F"/>
    <w:rsid w:val="000E6C56"/>
    <w:rsid w:val="000E71DE"/>
    <w:rsid w:val="000F0F7A"/>
    <w:rsid w:val="000F260D"/>
    <w:rsid w:val="000F2898"/>
    <w:rsid w:val="0010152C"/>
    <w:rsid w:val="00102202"/>
    <w:rsid w:val="00104B06"/>
    <w:rsid w:val="001056B3"/>
    <w:rsid w:val="001065F5"/>
    <w:rsid w:val="00110561"/>
    <w:rsid w:val="00110A65"/>
    <w:rsid w:val="00111BA7"/>
    <w:rsid w:val="00113304"/>
    <w:rsid w:val="0011335C"/>
    <w:rsid w:val="00114A53"/>
    <w:rsid w:val="00121939"/>
    <w:rsid w:val="001238EF"/>
    <w:rsid w:val="00124E4C"/>
    <w:rsid w:val="0012686F"/>
    <w:rsid w:val="00132D14"/>
    <w:rsid w:val="001335F6"/>
    <w:rsid w:val="00133D86"/>
    <w:rsid w:val="00137F2A"/>
    <w:rsid w:val="001405E2"/>
    <w:rsid w:val="00140754"/>
    <w:rsid w:val="001421F7"/>
    <w:rsid w:val="00143FF0"/>
    <w:rsid w:val="0014413B"/>
    <w:rsid w:val="001449E0"/>
    <w:rsid w:val="00144FA3"/>
    <w:rsid w:val="00145BE2"/>
    <w:rsid w:val="00146654"/>
    <w:rsid w:val="001474E8"/>
    <w:rsid w:val="0015121C"/>
    <w:rsid w:val="0015214B"/>
    <w:rsid w:val="001545CA"/>
    <w:rsid w:val="00155A65"/>
    <w:rsid w:val="00156D6A"/>
    <w:rsid w:val="00157DD5"/>
    <w:rsid w:val="00163C4F"/>
    <w:rsid w:val="0016699F"/>
    <w:rsid w:val="00166F19"/>
    <w:rsid w:val="0017063C"/>
    <w:rsid w:val="00173B04"/>
    <w:rsid w:val="00174DCA"/>
    <w:rsid w:val="00176876"/>
    <w:rsid w:val="001779FF"/>
    <w:rsid w:val="00177F36"/>
    <w:rsid w:val="00181117"/>
    <w:rsid w:val="0018211A"/>
    <w:rsid w:val="0018579E"/>
    <w:rsid w:val="00186774"/>
    <w:rsid w:val="001876CE"/>
    <w:rsid w:val="001903B7"/>
    <w:rsid w:val="001922F3"/>
    <w:rsid w:val="00192836"/>
    <w:rsid w:val="00193AA7"/>
    <w:rsid w:val="00194323"/>
    <w:rsid w:val="00195EFB"/>
    <w:rsid w:val="001969D4"/>
    <w:rsid w:val="00197613"/>
    <w:rsid w:val="00197C20"/>
    <w:rsid w:val="00197EA8"/>
    <w:rsid w:val="001A3A3F"/>
    <w:rsid w:val="001A4055"/>
    <w:rsid w:val="001A48BF"/>
    <w:rsid w:val="001A585B"/>
    <w:rsid w:val="001A6A91"/>
    <w:rsid w:val="001B047A"/>
    <w:rsid w:val="001B30C4"/>
    <w:rsid w:val="001B6649"/>
    <w:rsid w:val="001B725B"/>
    <w:rsid w:val="001B74FE"/>
    <w:rsid w:val="001B7931"/>
    <w:rsid w:val="001C00A8"/>
    <w:rsid w:val="001C39B0"/>
    <w:rsid w:val="001C5090"/>
    <w:rsid w:val="001C5EA0"/>
    <w:rsid w:val="001C6098"/>
    <w:rsid w:val="001D02EB"/>
    <w:rsid w:val="001D10B6"/>
    <w:rsid w:val="001D4D26"/>
    <w:rsid w:val="001D7C2D"/>
    <w:rsid w:val="001E1CA0"/>
    <w:rsid w:val="001E24F0"/>
    <w:rsid w:val="001E27C1"/>
    <w:rsid w:val="001E3671"/>
    <w:rsid w:val="001E3D2E"/>
    <w:rsid w:val="001E4F41"/>
    <w:rsid w:val="001F1AFC"/>
    <w:rsid w:val="001F2121"/>
    <w:rsid w:val="001F2AEB"/>
    <w:rsid w:val="001F3BD3"/>
    <w:rsid w:val="001F51F2"/>
    <w:rsid w:val="001F6FB9"/>
    <w:rsid w:val="001F7085"/>
    <w:rsid w:val="001F7FB6"/>
    <w:rsid w:val="002001FC"/>
    <w:rsid w:val="00201531"/>
    <w:rsid w:val="00202C79"/>
    <w:rsid w:val="00203279"/>
    <w:rsid w:val="002043A2"/>
    <w:rsid w:val="00205507"/>
    <w:rsid w:val="002056E8"/>
    <w:rsid w:val="00205C51"/>
    <w:rsid w:val="0020725E"/>
    <w:rsid w:val="002118EA"/>
    <w:rsid w:val="00211D7C"/>
    <w:rsid w:val="00213E11"/>
    <w:rsid w:val="002161F2"/>
    <w:rsid w:val="00222633"/>
    <w:rsid w:val="002228C3"/>
    <w:rsid w:val="002237F7"/>
    <w:rsid w:val="00223DD4"/>
    <w:rsid w:val="002258AF"/>
    <w:rsid w:val="00226530"/>
    <w:rsid w:val="00226856"/>
    <w:rsid w:val="00226C07"/>
    <w:rsid w:val="002307A3"/>
    <w:rsid w:val="00230DA6"/>
    <w:rsid w:val="002316B3"/>
    <w:rsid w:val="0023238C"/>
    <w:rsid w:val="002338C8"/>
    <w:rsid w:val="00233DC7"/>
    <w:rsid w:val="00234805"/>
    <w:rsid w:val="00237F4C"/>
    <w:rsid w:val="00240ED0"/>
    <w:rsid w:val="00241B48"/>
    <w:rsid w:val="00242272"/>
    <w:rsid w:val="00244319"/>
    <w:rsid w:val="00244529"/>
    <w:rsid w:val="00247779"/>
    <w:rsid w:val="00251C56"/>
    <w:rsid w:val="002521E5"/>
    <w:rsid w:val="002538E5"/>
    <w:rsid w:val="00253A7F"/>
    <w:rsid w:val="002551BB"/>
    <w:rsid w:val="002565CB"/>
    <w:rsid w:val="0026041C"/>
    <w:rsid w:val="00260A5D"/>
    <w:rsid w:val="00263459"/>
    <w:rsid w:val="002638C3"/>
    <w:rsid w:val="00263EA2"/>
    <w:rsid w:val="002640F4"/>
    <w:rsid w:val="00264C28"/>
    <w:rsid w:val="00265193"/>
    <w:rsid w:val="00270CA5"/>
    <w:rsid w:val="00270CC5"/>
    <w:rsid w:val="00272909"/>
    <w:rsid w:val="00276B30"/>
    <w:rsid w:val="00277637"/>
    <w:rsid w:val="00277F41"/>
    <w:rsid w:val="00280054"/>
    <w:rsid w:val="00280F10"/>
    <w:rsid w:val="00281838"/>
    <w:rsid w:val="00282CBB"/>
    <w:rsid w:val="00285A14"/>
    <w:rsid w:val="00285BEE"/>
    <w:rsid w:val="00287639"/>
    <w:rsid w:val="00292EA9"/>
    <w:rsid w:val="002932F6"/>
    <w:rsid w:val="0029413C"/>
    <w:rsid w:val="0029533F"/>
    <w:rsid w:val="002967A2"/>
    <w:rsid w:val="00297047"/>
    <w:rsid w:val="002A1CE8"/>
    <w:rsid w:val="002A1E29"/>
    <w:rsid w:val="002A55B1"/>
    <w:rsid w:val="002A6EAE"/>
    <w:rsid w:val="002A7688"/>
    <w:rsid w:val="002B0F45"/>
    <w:rsid w:val="002B30AF"/>
    <w:rsid w:val="002B4457"/>
    <w:rsid w:val="002B6CF8"/>
    <w:rsid w:val="002B70D0"/>
    <w:rsid w:val="002B7270"/>
    <w:rsid w:val="002C062F"/>
    <w:rsid w:val="002C0F57"/>
    <w:rsid w:val="002C4CE6"/>
    <w:rsid w:val="002C4FA5"/>
    <w:rsid w:val="002C7E63"/>
    <w:rsid w:val="002D10C5"/>
    <w:rsid w:val="002D11D0"/>
    <w:rsid w:val="002D37D1"/>
    <w:rsid w:val="002D4483"/>
    <w:rsid w:val="002D623C"/>
    <w:rsid w:val="002D78A9"/>
    <w:rsid w:val="002D7F3B"/>
    <w:rsid w:val="002E026D"/>
    <w:rsid w:val="002E0845"/>
    <w:rsid w:val="002E499F"/>
    <w:rsid w:val="002E4F02"/>
    <w:rsid w:val="002E5925"/>
    <w:rsid w:val="002E656E"/>
    <w:rsid w:val="002E69E6"/>
    <w:rsid w:val="002F0661"/>
    <w:rsid w:val="002F163D"/>
    <w:rsid w:val="002F2E31"/>
    <w:rsid w:val="002F3F7D"/>
    <w:rsid w:val="002F40E8"/>
    <w:rsid w:val="002F729B"/>
    <w:rsid w:val="002F7399"/>
    <w:rsid w:val="00300188"/>
    <w:rsid w:val="00302A3B"/>
    <w:rsid w:val="00302C5A"/>
    <w:rsid w:val="00303F8C"/>
    <w:rsid w:val="00304A76"/>
    <w:rsid w:val="0030568D"/>
    <w:rsid w:val="003057BD"/>
    <w:rsid w:val="00305EDC"/>
    <w:rsid w:val="00306367"/>
    <w:rsid w:val="003106E8"/>
    <w:rsid w:val="00310B24"/>
    <w:rsid w:val="003146E8"/>
    <w:rsid w:val="00315502"/>
    <w:rsid w:val="00315F81"/>
    <w:rsid w:val="0031631D"/>
    <w:rsid w:val="00317094"/>
    <w:rsid w:val="00321A62"/>
    <w:rsid w:val="003221CA"/>
    <w:rsid w:val="00323455"/>
    <w:rsid w:val="003271AE"/>
    <w:rsid w:val="0032759E"/>
    <w:rsid w:val="0033329E"/>
    <w:rsid w:val="0033344A"/>
    <w:rsid w:val="00334343"/>
    <w:rsid w:val="00334DD0"/>
    <w:rsid w:val="00335F0E"/>
    <w:rsid w:val="00341ACA"/>
    <w:rsid w:val="003420C2"/>
    <w:rsid w:val="00342124"/>
    <w:rsid w:val="00343238"/>
    <w:rsid w:val="003508E4"/>
    <w:rsid w:val="003509F1"/>
    <w:rsid w:val="003516D8"/>
    <w:rsid w:val="00352C0E"/>
    <w:rsid w:val="00354354"/>
    <w:rsid w:val="003547FE"/>
    <w:rsid w:val="00354A81"/>
    <w:rsid w:val="00354BAF"/>
    <w:rsid w:val="00356074"/>
    <w:rsid w:val="00357E3E"/>
    <w:rsid w:val="00361EF2"/>
    <w:rsid w:val="00362E35"/>
    <w:rsid w:val="00366495"/>
    <w:rsid w:val="00367250"/>
    <w:rsid w:val="00370990"/>
    <w:rsid w:val="00370E90"/>
    <w:rsid w:val="00372BAF"/>
    <w:rsid w:val="00372DE1"/>
    <w:rsid w:val="0037346A"/>
    <w:rsid w:val="00375E99"/>
    <w:rsid w:val="003772E1"/>
    <w:rsid w:val="00377E0B"/>
    <w:rsid w:val="00381731"/>
    <w:rsid w:val="003817C9"/>
    <w:rsid w:val="00383035"/>
    <w:rsid w:val="00385704"/>
    <w:rsid w:val="0038655D"/>
    <w:rsid w:val="003868B3"/>
    <w:rsid w:val="00386F5E"/>
    <w:rsid w:val="0039140B"/>
    <w:rsid w:val="003950CF"/>
    <w:rsid w:val="00397330"/>
    <w:rsid w:val="003A0ACC"/>
    <w:rsid w:val="003A4924"/>
    <w:rsid w:val="003A5EBB"/>
    <w:rsid w:val="003A79DF"/>
    <w:rsid w:val="003B065E"/>
    <w:rsid w:val="003B0B23"/>
    <w:rsid w:val="003B1169"/>
    <w:rsid w:val="003B13FD"/>
    <w:rsid w:val="003B1B6D"/>
    <w:rsid w:val="003B1EF3"/>
    <w:rsid w:val="003B4D49"/>
    <w:rsid w:val="003B67CC"/>
    <w:rsid w:val="003B7AFA"/>
    <w:rsid w:val="003C149B"/>
    <w:rsid w:val="003C20DF"/>
    <w:rsid w:val="003C2D6E"/>
    <w:rsid w:val="003C33DF"/>
    <w:rsid w:val="003C71C8"/>
    <w:rsid w:val="003C73F3"/>
    <w:rsid w:val="003D18E6"/>
    <w:rsid w:val="003D1F8E"/>
    <w:rsid w:val="003D201B"/>
    <w:rsid w:val="003D46ED"/>
    <w:rsid w:val="003D5A49"/>
    <w:rsid w:val="003D5A60"/>
    <w:rsid w:val="003D63CA"/>
    <w:rsid w:val="003D6ADF"/>
    <w:rsid w:val="003E24AE"/>
    <w:rsid w:val="003E4815"/>
    <w:rsid w:val="003E4FBF"/>
    <w:rsid w:val="003F0CCA"/>
    <w:rsid w:val="003F1AD8"/>
    <w:rsid w:val="003F1BC8"/>
    <w:rsid w:val="003F2919"/>
    <w:rsid w:val="003F30E7"/>
    <w:rsid w:val="003F4000"/>
    <w:rsid w:val="003F5990"/>
    <w:rsid w:val="003F638F"/>
    <w:rsid w:val="003F6BDB"/>
    <w:rsid w:val="003F771F"/>
    <w:rsid w:val="00402491"/>
    <w:rsid w:val="004039CC"/>
    <w:rsid w:val="004050D0"/>
    <w:rsid w:val="004052C7"/>
    <w:rsid w:val="00405E27"/>
    <w:rsid w:val="00406AD1"/>
    <w:rsid w:val="00407733"/>
    <w:rsid w:val="0041134D"/>
    <w:rsid w:val="00414713"/>
    <w:rsid w:val="00414FEE"/>
    <w:rsid w:val="004207A5"/>
    <w:rsid w:val="00420D42"/>
    <w:rsid w:val="004219D4"/>
    <w:rsid w:val="00421D3D"/>
    <w:rsid w:val="004220C8"/>
    <w:rsid w:val="004229F9"/>
    <w:rsid w:val="004237DF"/>
    <w:rsid w:val="00424A8F"/>
    <w:rsid w:val="004253E5"/>
    <w:rsid w:val="0042550F"/>
    <w:rsid w:val="0042648E"/>
    <w:rsid w:val="00426A6D"/>
    <w:rsid w:val="00430448"/>
    <w:rsid w:val="004313F1"/>
    <w:rsid w:val="004329A0"/>
    <w:rsid w:val="004331C9"/>
    <w:rsid w:val="004337FD"/>
    <w:rsid w:val="0043393C"/>
    <w:rsid w:val="00434A26"/>
    <w:rsid w:val="00435703"/>
    <w:rsid w:val="00436D49"/>
    <w:rsid w:val="0043789D"/>
    <w:rsid w:val="00437D28"/>
    <w:rsid w:val="00441253"/>
    <w:rsid w:val="0044190B"/>
    <w:rsid w:val="00443F08"/>
    <w:rsid w:val="00443FFE"/>
    <w:rsid w:val="00444358"/>
    <w:rsid w:val="0044555F"/>
    <w:rsid w:val="0044779B"/>
    <w:rsid w:val="00450683"/>
    <w:rsid w:val="004512CD"/>
    <w:rsid w:val="00451A6A"/>
    <w:rsid w:val="00454023"/>
    <w:rsid w:val="00457FFE"/>
    <w:rsid w:val="00460547"/>
    <w:rsid w:val="00461706"/>
    <w:rsid w:val="00461733"/>
    <w:rsid w:val="0046358B"/>
    <w:rsid w:val="00463A2B"/>
    <w:rsid w:val="00463C6B"/>
    <w:rsid w:val="00465308"/>
    <w:rsid w:val="004664E2"/>
    <w:rsid w:val="00467D4F"/>
    <w:rsid w:val="0047134C"/>
    <w:rsid w:val="00472939"/>
    <w:rsid w:val="00473948"/>
    <w:rsid w:val="00474F5E"/>
    <w:rsid w:val="004754E3"/>
    <w:rsid w:val="00476B11"/>
    <w:rsid w:val="004775B4"/>
    <w:rsid w:val="00477803"/>
    <w:rsid w:val="00481D20"/>
    <w:rsid w:val="00483449"/>
    <w:rsid w:val="00483CFD"/>
    <w:rsid w:val="00484893"/>
    <w:rsid w:val="0048638B"/>
    <w:rsid w:val="00487178"/>
    <w:rsid w:val="00487185"/>
    <w:rsid w:val="00492C75"/>
    <w:rsid w:val="004936D2"/>
    <w:rsid w:val="00493A28"/>
    <w:rsid w:val="00493B50"/>
    <w:rsid w:val="0049462C"/>
    <w:rsid w:val="00495090"/>
    <w:rsid w:val="004955F1"/>
    <w:rsid w:val="00496232"/>
    <w:rsid w:val="00496737"/>
    <w:rsid w:val="004A0B77"/>
    <w:rsid w:val="004A0DE1"/>
    <w:rsid w:val="004A12A8"/>
    <w:rsid w:val="004A1600"/>
    <w:rsid w:val="004A2611"/>
    <w:rsid w:val="004A41CD"/>
    <w:rsid w:val="004A5F4B"/>
    <w:rsid w:val="004A713C"/>
    <w:rsid w:val="004B0FED"/>
    <w:rsid w:val="004B4B8D"/>
    <w:rsid w:val="004B7BE1"/>
    <w:rsid w:val="004C1104"/>
    <w:rsid w:val="004C4D45"/>
    <w:rsid w:val="004C5377"/>
    <w:rsid w:val="004C5C26"/>
    <w:rsid w:val="004C5F93"/>
    <w:rsid w:val="004C6851"/>
    <w:rsid w:val="004C7F40"/>
    <w:rsid w:val="004D18DB"/>
    <w:rsid w:val="004D2318"/>
    <w:rsid w:val="004D3628"/>
    <w:rsid w:val="004D4518"/>
    <w:rsid w:val="004D6A4C"/>
    <w:rsid w:val="004D770E"/>
    <w:rsid w:val="004D7C18"/>
    <w:rsid w:val="004E3541"/>
    <w:rsid w:val="004E4BCF"/>
    <w:rsid w:val="004E56F3"/>
    <w:rsid w:val="004E602F"/>
    <w:rsid w:val="004E64B3"/>
    <w:rsid w:val="004E7545"/>
    <w:rsid w:val="004E7756"/>
    <w:rsid w:val="004F109D"/>
    <w:rsid w:val="004F2E74"/>
    <w:rsid w:val="004F2EF9"/>
    <w:rsid w:val="004F2F8D"/>
    <w:rsid w:val="004F31F1"/>
    <w:rsid w:val="004F33A4"/>
    <w:rsid w:val="004F3D73"/>
    <w:rsid w:val="004F5409"/>
    <w:rsid w:val="004F615C"/>
    <w:rsid w:val="00501DAF"/>
    <w:rsid w:val="005021E4"/>
    <w:rsid w:val="00502AFB"/>
    <w:rsid w:val="00502E07"/>
    <w:rsid w:val="00503541"/>
    <w:rsid w:val="00505D0D"/>
    <w:rsid w:val="0051010E"/>
    <w:rsid w:val="00510AF6"/>
    <w:rsid w:val="00510CBB"/>
    <w:rsid w:val="0051314F"/>
    <w:rsid w:val="005132B9"/>
    <w:rsid w:val="00513679"/>
    <w:rsid w:val="00515479"/>
    <w:rsid w:val="00516504"/>
    <w:rsid w:val="0052354D"/>
    <w:rsid w:val="0052549A"/>
    <w:rsid w:val="0052592C"/>
    <w:rsid w:val="00525B71"/>
    <w:rsid w:val="00531305"/>
    <w:rsid w:val="00531D9E"/>
    <w:rsid w:val="00532112"/>
    <w:rsid w:val="005334F6"/>
    <w:rsid w:val="00534483"/>
    <w:rsid w:val="00534A1D"/>
    <w:rsid w:val="00535FE4"/>
    <w:rsid w:val="00540400"/>
    <w:rsid w:val="0054175D"/>
    <w:rsid w:val="00541B2E"/>
    <w:rsid w:val="00543037"/>
    <w:rsid w:val="005434B9"/>
    <w:rsid w:val="0054574E"/>
    <w:rsid w:val="00546602"/>
    <w:rsid w:val="00547451"/>
    <w:rsid w:val="00550AC3"/>
    <w:rsid w:val="005522FA"/>
    <w:rsid w:val="005535A2"/>
    <w:rsid w:val="005551BF"/>
    <w:rsid w:val="00555A38"/>
    <w:rsid w:val="0055763E"/>
    <w:rsid w:val="005576DE"/>
    <w:rsid w:val="00557B53"/>
    <w:rsid w:val="00561DF6"/>
    <w:rsid w:val="00561EA3"/>
    <w:rsid w:val="00561F5F"/>
    <w:rsid w:val="0056389A"/>
    <w:rsid w:val="00564E1E"/>
    <w:rsid w:val="005654E6"/>
    <w:rsid w:val="0056604C"/>
    <w:rsid w:val="005706D4"/>
    <w:rsid w:val="00570D37"/>
    <w:rsid w:val="005728AA"/>
    <w:rsid w:val="005734DA"/>
    <w:rsid w:val="00574FBA"/>
    <w:rsid w:val="00575955"/>
    <w:rsid w:val="00581554"/>
    <w:rsid w:val="00581BEB"/>
    <w:rsid w:val="00583A2D"/>
    <w:rsid w:val="00584922"/>
    <w:rsid w:val="005850ED"/>
    <w:rsid w:val="005852B1"/>
    <w:rsid w:val="0058596B"/>
    <w:rsid w:val="00585E62"/>
    <w:rsid w:val="005871AD"/>
    <w:rsid w:val="00587F14"/>
    <w:rsid w:val="00591071"/>
    <w:rsid w:val="00591B8B"/>
    <w:rsid w:val="005928AC"/>
    <w:rsid w:val="00593898"/>
    <w:rsid w:val="00593A3C"/>
    <w:rsid w:val="00596544"/>
    <w:rsid w:val="00597638"/>
    <w:rsid w:val="005A05B0"/>
    <w:rsid w:val="005A0A8C"/>
    <w:rsid w:val="005A0F52"/>
    <w:rsid w:val="005A139A"/>
    <w:rsid w:val="005A28D1"/>
    <w:rsid w:val="005A3C83"/>
    <w:rsid w:val="005A57C0"/>
    <w:rsid w:val="005A7394"/>
    <w:rsid w:val="005B03D7"/>
    <w:rsid w:val="005B1EB6"/>
    <w:rsid w:val="005B3071"/>
    <w:rsid w:val="005B3276"/>
    <w:rsid w:val="005B36DD"/>
    <w:rsid w:val="005B3FF0"/>
    <w:rsid w:val="005B4902"/>
    <w:rsid w:val="005B4AAA"/>
    <w:rsid w:val="005B4E50"/>
    <w:rsid w:val="005C0EB3"/>
    <w:rsid w:val="005C15AC"/>
    <w:rsid w:val="005C2308"/>
    <w:rsid w:val="005C4199"/>
    <w:rsid w:val="005C584D"/>
    <w:rsid w:val="005C64DE"/>
    <w:rsid w:val="005D1F00"/>
    <w:rsid w:val="005D23D0"/>
    <w:rsid w:val="005D2563"/>
    <w:rsid w:val="005D292A"/>
    <w:rsid w:val="005D2EFA"/>
    <w:rsid w:val="005D4858"/>
    <w:rsid w:val="005D4CE1"/>
    <w:rsid w:val="005D4FEE"/>
    <w:rsid w:val="005E06DF"/>
    <w:rsid w:val="005E0B2D"/>
    <w:rsid w:val="005E1B9E"/>
    <w:rsid w:val="005E6482"/>
    <w:rsid w:val="005E7B29"/>
    <w:rsid w:val="005F2D78"/>
    <w:rsid w:val="005F331F"/>
    <w:rsid w:val="005F3C63"/>
    <w:rsid w:val="005F434D"/>
    <w:rsid w:val="005F437D"/>
    <w:rsid w:val="005F6783"/>
    <w:rsid w:val="005F72FD"/>
    <w:rsid w:val="005F75FD"/>
    <w:rsid w:val="005F7F14"/>
    <w:rsid w:val="006002E3"/>
    <w:rsid w:val="0060047F"/>
    <w:rsid w:val="00601120"/>
    <w:rsid w:val="00601544"/>
    <w:rsid w:val="006015BE"/>
    <w:rsid w:val="00603433"/>
    <w:rsid w:val="00607034"/>
    <w:rsid w:val="00607239"/>
    <w:rsid w:val="00607745"/>
    <w:rsid w:val="006102EB"/>
    <w:rsid w:val="00610E59"/>
    <w:rsid w:val="00611C9F"/>
    <w:rsid w:val="00612A27"/>
    <w:rsid w:val="00613E46"/>
    <w:rsid w:val="006140F0"/>
    <w:rsid w:val="0061521F"/>
    <w:rsid w:val="006161B9"/>
    <w:rsid w:val="00627187"/>
    <w:rsid w:val="00627451"/>
    <w:rsid w:val="006278D7"/>
    <w:rsid w:val="0062796A"/>
    <w:rsid w:val="006303BC"/>
    <w:rsid w:val="006329AD"/>
    <w:rsid w:val="006333FF"/>
    <w:rsid w:val="00634D68"/>
    <w:rsid w:val="006350E3"/>
    <w:rsid w:val="00637342"/>
    <w:rsid w:val="00642752"/>
    <w:rsid w:val="0064488A"/>
    <w:rsid w:val="006465ED"/>
    <w:rsid w:val="00647896"/>
    <w:rsid w:val="00650044"/>
    <w:rsid w:val="00651944"/>
    <w:rsid w:val="00651AEC"/>
    <w:rsid w:val="00652D8D"/>
    <w:rsid w:val="0065405E"/>
    <w:rsid w:val="00654D8C"/>
    <w:rsid w:val="00655EDE"/>
    <w:rsid w:val="00662A98"/>
    <w:rsid w:val="006638E5"/>
    <w:rsid w:val="00665031"/>
    <w:rsid w:val="00665871"/>
    <w:rsid w:val="00666F0F"/>
    <w:rsid w:val="00667C6C"/>
    <w:rsid w:val="00671EF3"/>
    <w:rsid w:val="00673CBD"/>
    <w:rsid w:val="00673E62"/>
    <w:rsid w:val="006756DF"/>
    <w:rsid w:val="0067611C"/>
    <w:rsid w:val="00684A84"/>
    <w:rsid w:val="00687538"/>
    <w:rsid w:val="00690CCA"/>
    <w:rsid w:val="006914FA"/>
    <w:rsid w:val="006918F8"/>
    <w:rsid w:val="00691BE2"/>
    <w:rsid w:val="00691F31"/>
    <w:rsid w:val="006943AA"/>
    <w:rsid w:val="00694E86"/>
    <w:rsid w:val="00695169"/>
    <w:rsid w:val="00697F90"/>
    <w:rsid w:val="006A0224"/>
    <w:rsid w:val="006A0ADB"/>
    <w:rsid w:val="006A2B29"/>
    <w:rsid w:val="006A59C2"/>
    <w:rsid w:val="006A59C5"/>
    <w:rsid w:val="006B1310"/>
    <w:rsid w:val="006B1EDC"/>
    <w:rsid w:val="006B29B0"/>
    <w:rsid w:val="006B2F84"/>
    <w:rsid w:val="006C17F6"/>
    <w:rsid w:val="006D0C69"/>
    <w:rsid w:val="006D234A"/>
    <w:rsid w:val="006D2355"/>
    <w:rsid w:val="006D3773"/>
    <w:rsid w:val="006D3FB4"/>
    <w:rsid w:val="006D40BD"/>
    <w:rsid w:val="006D5739"/>
    <w:rsid w:val="006D582D"/>
    <w:rsid w:val="006D60D4"/>
    <w:rsid w:val="006D695F"/>
    <w:rsid w:val="006D6F54"/>
    <w:rsid w:val="006D73A4"/>
    <w:rsid w:val="006E01DE"/>
    <w:rsid w:val="006E21ED"/>
    <w:rsid w:val="006E3402"/>
    <w:rsid w:val="006E6D05"/>
    <w:rsid w:val="006E7543"/>
    <w:rsid w:val="006F35AA"/>
    <w:rsid w:val="006F3A66"/>
    <w:rsid w:val="006F4658"/>
    <w:rsid w:val="006F46F6"/>
    <w:rsid w:val="006F57C8"/>
    <w:rsid w:val="006F5900"/>
    <w:rsid w:val="006F66CF"/>
    <w:rsid w:val="006F7625"/>
    <w:rsid w:val="007004BE"/>
    <w:rsid w:val="007011FA"/>
    <w:rsid w:val="0070380B"/>
    <w:rsid w:val="007046C4"/>
    <w:rsid w:val="00704AC4"/>
    <w:rsid w:val="0070642E"/>
    <w:rsid w:val="00707D4C"/>
    <w:rsid w:val="00710BD5"/>
    <w:rsid w:val="007125A7"/>
    <w:rsid w:val="00712F25"/>
    <w:rsid w:val="00713BEE"/>
    <w:rsid w:val="00713F56"/>
    <w:rsid w:val="00714DEB"/>
    <w:rsid w:val="00714E56"/>
    <w:rsid w:val="00715178"/>
    <w:rsid w:val="00720806"/>
    <w:rsid w:val="00723716"/>
    <w:rsid w:val="00723D03"/>
    <w:rsid w:val="0072716F"/>
    <w:rsid w:val="00731480"/>
    <w:rsid w:val="00734883"/>
    <w:rsid w:val="00734BC9"/>
    <w:rsid w:val="00736134"/>
    <w:rsid w:val="00741E68"/>
    <w:rsid w:val="00742342"/>
    <w:rsid w:val="007428AE"/>
    <w:rsid w:val="007429DA"/>
    <w:rsid w:val="00743031"/>
    <w:rsid w:val="007435DB"/>
    <w:rsid w:val="00744F34"/>
    <w:rsid w:val="00745DE6"/>
    <w:rsid w:val="00745F4D"/>
    <w:rsid w:val="007476D0"/>
    <w:rsid w:val="007504B2"/>
    <w:rsid w:val="007504C7"/>
    <w:rsid w:val="00751337"/>
    <w:rsid w:val="007529B4"/>
    <w:rsid w:val="007552B9"/>
    <w:rsid w:val="007560C4"/>
    <w:rsid w:val="007562DB"/>
    <w:rsid w:val="00760BB2"/>
    <w:rsid w:val="00761971"/>
    <w:rsid w:val="00761D62"/>
    <w:rsid w:val="007624E5"/>
    <w:rsid w:val="007627E3"/>
    <w:rsid w:val="00763241"/>
    <w:rsid w:val="00765D10"/>
    <w:rsid w:val="0076617B"/>
    <w:rsid w:val="00766A04"/>
    <w:rsid w:val="00766F36"/>
    <w:rsid w:val="00770BBB"/>
    <w:rsid w:val="007714E4"/>
    <w:rsid w:val="007731D9"/>
    <w:rsid w:val="00773331"/>
    <w:rsid w:val="0077495C"/>
    <w:rsid w:val="00775814"/>
    <w:rsid w:val="00776349"/>
    <w:rsid w:val="00776EAD"/>
    <w:rsid w:val="00777A2F"/>
    <w:rsid w:val="00780015"/>
    <w:rsid w:val="00783C0F"/>
    <w:rsid w:val="00785DA2"/>
    <w:rsid w:val="00787445"/>
    <w:rsid w:val="00787DB9"/>
    <w:rsid w:val="00787F71"/>
    <w:rsid w:val="007920BB"/>
    <w:rsid w:val="0079247B"/>
    <w:rsid w:val="007925B8"/>
    <w:rsid w:val="007932EF"/>
    <w:rsid w:val="00793579"/>
    <w:rsid w:val="00793C41"/>
    <w:rsid w:val="00795236"/>
    <w:rsid w:val="00796E94"/>
    <w:rsid w:val="007A022E"/>
    <w:rsid w:val="007A2AFF"/>
    <w:rsid w:val="007A3DC6"/>
    <w:rsid w:val="007A51A1"/>
    <w:rsid w:val="007A5A04"/>
    <w:rsid w:val="007A6845"/>
    <w:rsid w:val="007A70D1"/>
    <w:rsid w:val="007A70DA"/>
    <w:rsid w:val="007B0169"/>
    <w:rsid w:val="007B1A17"/>
    <w:rsid w:val="007B3418"/>
    <w:rsid w:val="007B4098"/>
    <w:rsid w:val="007B6EBF"/>
    <w:rsid w:val="007C097D"/>
    <w:rsid w:val="007C0F0E"/>
    <w:rsid w:val="007C1BE0"/>
    <w:rsid w:val="007C29B3"/>
    <w:rsid w:val="007C467B"/>
    <w:rsid w:val="007C7855"/>
    <w:rsid w:val="007D1B5D"/>
    <w:rsid w:val="007D3323"/>
    <w:rsid w:val="007D3CF6"/>
    <w:rsid w:val="007D466C"/>
    <w:rsid w:val="007D71C6"/>
    <w:rsid w:val="007D732D"/>
    <w:rsid w:val="007D78C5"/>
    <w:rsid w:val="007E05B0"/>
    <w:rsid w:val="007E0847"/>
    <w:rsid w:val="007E14DA"/>
    <w:rsid w:val="007E234C"/>
    <w:rsid w:val="007E2D0F"/>
    <w:rsid w:val="007E3DB9"/>
    <w:rsid w:val="007E4163"/>
    <w:rsid w:val="007E4330"/>
    <w:rsid w:val="007E51B8"/>
    <w:rsid w:val="007E76F2"/>
    <w:rsid w:val="007F131E"/>
    <w:rsid w:val="007F35BD"/>
    <w:rsid w:val="007F37A9"/>
    <w:rsid w:val="007F3B89"/>
    <w:rsid w:val="007F3DE6"/>
    <w:rsid w:val="007F741C"/>
    <w:rsid w:val="00800BAF"/>
    <w:rsid w:val="00801718"/>
    <w:rsid w:val="00801862"/>
    <w:rsid w:val="0080379C"/>
    <w:rsid w:val="008037E9"/>
    <w:rsid w:val="008039D3"/>
    <w:rsid w:val="008039F6"/>
    <w:rsid w:val="00803DB0"/>
    <w:rsid w:val="00805E65"/>
    <w:rsid w:val="008060B5"/>
    <w:rsid w:val="00806687"/>
    <w:rsid w:val="00811AC3"/>
    <w:rsid w:val="00812125"/>
    <w:rsid w:val="00813D0A"/>
    <w:rsid w:val="00814B15"/>
    <w:rsid w:val="008156E2"/>
    <w:rsid w:val="00816DF8"/>
    <w:rsid w:val="00822612"/>
    <w:rsid w:val="00823372"/>
    <w:rsid w:val="00825B2B"/>
    <w:rsid w:val="008268C1"/>
    <w:rsid w:val="00827534"/>
    <w:rsid w:val="00830033"/>
    <w:rsid w:val="00830114"/>
    <w:rsid w:val="008318BC"/>
    <w:rsid w:val="00832224"/>
    <w:rsid w:val="00833F61"/>
    <w:rsid w:val="00834B36"/>
    <w:rsid w:val="008354E8"/>
    <w:rsid w:val="00836A37"/>
    <w:rsid w:val="008400A4"/>
    <w:rsid w:val="008410AC"/>
    <w:rsid w:val="008439BD"/>
    <w:rsid w:val="0084578E"/>
    <w:rsid w:val="00846686"/>
    <w:rsid w:val="008524CE"/>
    <w:rsid w:val="00852CF1"/>
    <w:rsid w:val="00853491"/>
    <w:rsid w:val="00854690"/>
    <w:rsid w:val="00860D16"/>
    <w:rsid w:val="00861ADA"/>
    <w:rsid w:val="00862D05"/>
    <w:rsid w:val="008663F0"/>
    <w:rsid w:val="008668BF"/>
    <w:rsid w:val="00866C60"/>
    <w:rsid w:val="0087066C"/>
    <w:rsid w:val="008735DB"/>
    <w:rsid w:val="00874D22"/>
    <w:rsid w:val="00876EE3"/>
    <w:rsid w:val="008802B4"/>
    <w:rsid w:val="00880B0B"/>
    <w:rsid w:val="00882BD8"/>
    <w:rsid w:val="00882C20"/>
    <w:rsid w:val="00882FB1"/>
    <w:rsid w:val="008835B3"/>
    <w:rsid w:val="00883C53"/>
    <w:rsid w:val="00883C58"/>
    <w:rsid w:val="00884779"/>
    <w:rsid w:val="0088689A"/>
    <w:rsid w:val="00891FF2"/>
    <w:rsid w:val="00892138"/>
    <w:rsid w:val="00892BCE"/>
    <w:rsid w:val="00895D62"/>
    <w:rsid w:val="00895EF6"/>
    <w:rsid w:val="008963CE"/>
    <w:rsid w:val="008A1FF5"/>
    <w:rsid w:val="008A2914"/>
    <w:rsid w:val="008A5D3A"/>
    <w:rsid w:val="008A75B5"/>
    <w:rsid w:val="008B0C38"/>
    <w:rsid w:val="008B3B8E"/>
    <w:rsid w:val="008B5281"/>
    <w:rsid w:val="008B56A1"/>
    <w:rsid w:val="008B56CB"/>
    <w:rsid w:val="008B5969"/>
    <w:rsid w:val="008C1A01"/>
    <w:rsid w:val="008C2B92"/>
    <w:rsid w:val="008C354C"/>
    <w:rsid w:val="008C359B"/>
    <w:rsid w:val="008C624A"/>
    <w:rsid w:val="008C6376"/>
    <w:rsid w:val="008C73AA"/>
    <w:rsid w:val="008C7465"/>
    <w:rsid w:val="008D2F39"/>
    <w:rsid w:val="008D45F0"/>
    <w:rsid w:val="008D5403"/>
    <w:rsid w:val="008D64B9"/>
    <w:rsid w:val="008D709A"/>
    <w:rsid w:val="008D75C8"/>
    <w:rsid w:val="008E491A"/>
    <w:rsid w:val="008E4D24"/>
    <w:rsid w:val="008E4D8E"/>
    <w:rsid w:val="008E65CA"/>
    <w:rsid w:val="008E6F6B"/>
    <w:rsid w:val="008F0056"/>
    <w:rsid w:val="008F09EC"/>
    <w:rsid w:val="008F49B3"/>
    <w:rsid w:val="008F4C0A"/>
    <w:rsid w:val="008F51ED"/>
    <w:rsid w:val="008F5CCC"/>
    <w:rsid w:val="008F7B7E"/>
    <w:rsid w:val="009008CA"/>
    <w:rsid w:val="00902D22"/>
    <w:rsid w:val="00903D17"/>
    <w:rsid w:val="00903D36"/>
    <w:rsid w:val="00904D19"/>
    <w:rsid w:val="00905F34"/>
    <w:rsid w:val="009061D5"/>
    <w:rsid w:val="00906893"/>
    <w:rsid w:val="009077EE"/>
    <w:rsid w:val="009107CE"/>
    <w:rsid w:val="00911F8E"/>
    <w:rsid w:val="009123A7"/>
    <w:rsid w:val="009124A8"/>
    <w:rsid w:val="009135AD"/>
    <w:rsid w:val="009143BC"/>
    <w:rsid w:val="00914A06"/>
    <w:rsid w:val="009159C7"/>
    <w:rsid w:val="00917777"/>
    <w:rsid w:val="00917FD4"/>
    <w:rsid w:val="00920172"/>
    <w:rsid w:val="00920680"/>
    <w:rsid w:val="00921C7E"/>
    <w:rsid w:val="00922C2A"/>
    <w:rsid w:val="0092335E"/>
    <w:rsid w:val="009246A9"/>
    <w:rsid w:val="00926561"/>
    <w:rsid w:val="009266F6"/>
    <w:rsid w:val="00926B20"/>
    <w:rsid w:val="00930487"/>
    <w:rsid w:val="009328E0"/>
    <w:rsid w:val="00933A8E"/>
    <w:rsid w:val="00933AFF"/>
    <w:rsid w:val="00934574"/>
    <w:rsid w:val="009348AB"/>
    <w:rsid w:val="009349C0"/>
    <w:rsid w:val="00935B49"/>
    <w:rsid w:val="009373FC"/>
    <w:rsid w:val="00937D5C"/>
    <w:rsid w:val="00937E79"/>
    <w:rsid w:val="009403DB"/>
    <w:rsid w:val="00941249"/>
    <w:rsid w:val="0094454F"/>
    <w:rsid w:val="009455E9"/>
    <w:rsid w:val="009458A1"/>
    <w:rsid w:val="00946FBB"/>
    <w:rsid w:val="00947195"/>
    <w:rsid w:val="009472C7"/>
    <w:rsid w:val="009505E2"/>
    <w:rsid w:val="00950C0F"/>
    <w:rsid w:val="00952A02"/>
    <w:rsid w:val="00954359"/>
    <w:rsid w:val="009544C4"/>
    <w:rsid w:val="00954867"/>
    <w:rsid w:val="00956486"/>
    <w:rsid w:val="00957D02"/>
    <w:rsid w:val="00957EA2"/>
    <w:rsid w:val="00960169"/>
    <w:rsid w:val="0096069A"/>
    <w:rsid w:val="00963A2F"/>
    <w:rsid w:val="00963A47"/>
    <w:rsid w:val="0096619A"/>
    <w:rsid w:val="00966600"/>
    <w:rsid w:val="00966818"/>
    <w:rsid w:val="00967538"/>
    <w:rsid w:val="00970CB1"/>
    <w:rsid w:val="00971FE6"/>
    <w:rsid w:val="00972BE5"/>
    <w:rsid w:val="00972EC2"/>
    <w:rsid w:val="009735D0"/>
    <w:rsid w:val="009745E8"/>
    <w:rsid w:val="00974837"/>
    <w:rsid w:val="009760A8"/>
    <w:rsid w:val="0097657C"/>
    <w:rsid w:val="00976D89"/>
    <w:rsid w:val="0098140C"/>
    <w:rsid w:val="009870C4"/>
    <w:rsid w:val="009873E9"/>
    <w:rsid w:val="0099382F"/>
    <w:rsid w:val="00994A4F"/>
    <w:rsid w:val="0099558B"/>
    <w:rsid w:val="009955BD"/>
    <w:rsid w:val="00996CF8"/>
    <w:rsid w:val="009A1072"/>
    <w:rsid w:val="009A2727"/>
    <w:rsid w:val="009A2AA5"/>
    <w:rsid w:val="009A3128"/>
    <w:rsid w:val="009A43DF"/>
    <w:rsid w:val="009A603A"/>
    <w:rsid w:val="009A6A54"/>
    <w:rsid w:val="009B175D"/>
    <w:rsid w:val="009B1F95"/>
    <w:rsid w:val="009B2F14"/>
    <w:rsid w:val="009B4CBF"/>
    <w:rsid w:val="009B50BA"/>
    <w:rsid w:val="009B5C5C"/>
    <w:rsid w:val="009B6550"/>
    <w:rsid w:val="009C13FB"/>
    <w:rsid w:val="009C2DD0"/>
    <w:rsid w:val="009C2ECF"/>
    <w:rsid w:val="009C78F7"/>
    <w:rsid w:val="009C7920"/>
    <w:rsid w:val="009D04BB"/>
    <w:rsid w:val="009D21F4"/>
    <w:rsid w:val="009D2662"/>
    <w:rsid w:val="009D27CA"/>
    <w:rsid w:val="009D300F"/>
    <w:rsid w:val="009D5403"/>
    <w:rsid w:val="009D6895"/>
    <w:rsid w:val="009D7E1C"/>
    <w:rsid w:val="009E4B48"/>
    <w:rsid w:val="009E5788"/>
    <w:rsid w:val="009E58B0"/>
    <w:rsid w:val="009E69F9"/>
    <w:rsid w:val="009E6EB9"/>
    <w:rsid w:val="009F1C91"/>
    <w:rsid w:val="009F20A8"/>
    <w:rsid w:val="009F2CDA"/>
    <w:rsid w:val="009F3264"/>
    <w:rsid w:val="009F3361"/>
    <w:rsid w:val="009F3ED3"/>
    <w:rsid w:val="009F4D88"/>
    <w:rsid w:val="009F50CC"/>
    <w:rsid w:val="009F71D1"/>
    <w:rsid w:val="00A01494"/>
    <w:rsid w:val="00A018B1"/>
    <w:rsid w:val="00A04F80"/>
    <w:rsid w:val="00A05ADB"/>
    <w:rsid w:val="00A0668C"/>
    <w:rsid w:val="00A06EE4"/>
    <w:rsid w:val="00A07C67"/>
    <w:rsid w:val="00A10011"/>
    <w:rsid w:val="00A1011D"/>
    <w:rsid w:val="00A103D4"/>
    <w:rsid w:val="00A1043E"/>
    <w:rsid w:val="00A122FF"/>
    <w:rsid w:val="00A1264F"/>
    <w:rsid w:val="00A14ADE"/>
    <w:rsid w:val="00A156DC"/>
    <w:rsid w:val="00A17BEE"/>
    <w:rsid w:val="00A2265F"/>
    <w:rsid w:val="00A2340F"/>
    <w:rsid w:val="00A249FC"/>
    <w:rsid w:val="00A27C64"/>
    <w:rsid w:val="00A302D5"/>
    <w:rsid w:val="00A302E2"/>
    <w:rsid w:val="00A329C7"/>
    <w:rsid w:val="00A33257"/>
    <w:rsid w:val="00A368F1"/>
    <w:rsid w:val="00A377D1"/>
    <w:rsid w:val="00A3791F"/>
    <w:rsid w:val="00A41B58"/>
    <w:rsid w:val="00A447C8"/>
    <w:rsid w:val="00A44C2C"/>
    <w:rsid w:val="00A453DE"/>
    <w:rsid w:val="00A45604"/>
    <w:rsid w:val="00A4773E"/>
    <w:rsid w:val="00A47A24"/>
    <w:rsid w:val="00A503B4"/>
    <w:rsid w:val="00A51470"/>
    <w:rsid w:val="00A522BD"/>
    <w:rsid w:val="00A53574"/>
    <w:rsid w:val="00A535D3"/>
    <w:rsid w:val="00A541EF"/>
    <w:rsid w:val="00A5530F"/>
    <w:rsid w:val="00A55BAE"/>
    <w:rsid w:val="00A5688B"/>
    <w:rsid w:val="00A61323"/>
    <w:rsid w:val="00A61ADE"/>
    <w:rsid w:val="00A6311F"/>
    <w:rsid w:val="00A63DBF"/>
    <w:rsid w:val="00A640FD"/>
    <w:rsid w:val="00A646D7"/>
    <w:rsid w:val="00A64E7F"/>
    <w:rsid w:val="00A65130"/>
    <w:rsid w:val="00A66DB7"/>
    <w:rsid w:val="00A672AB"/>
    <w:rsid w:val="00A67512"/>
    <w:rsid w:val="00A67690"/>
    <w:rsid w:val="00A67B40"/>
    <w:rsid w:val="00A7069C"/>
    <w:rsid w:val="00A70948"/>
    <w:rsid w:val="00A7182B"/>
    <w:rsid w:val="00A71FD1"/>
    <w:rsid w:val="00A72905"/>
    <w:rsid w:val="00A73E68"/>
    <w:rsid w:val="00A74BEC"/>
    <w:rsid w:val="00A74E7D"/>
    <w:rsid w:val="00A7630D"/>
    <w:rsid w:val="00A76F20"/>
    <w:rsid w:val="00A77412"/>
    <w:rsid w:val="00A775DB"/>
    <w:rsid w:val="00A77622"/>
    <w:rsid w:val="00A80A45"/>
    <w:rsid w:val="00A8104A"/>
    <w:rsid w:val="00A8151F"/>
    <w:rsid w:val="00A81825"/>
    <w:rsid w:val="00A82D87"/>
    <w:rsid w:val="00A8344C"/>
    <w:rsid w:val="00A84090"/>
    <w:rsid w:val="00A84805"/>
    <w:rsid w:val="00A868B4"/>
    <w:rsid w:val="00A86D81"/>
    <w:rsid w:val="00A9079D"/>
    <w:rsid w:val="00A907F1"/>
    <w:rsid w:val="00A90F66"/>
    <w:rsid w:val="00A92B00"/>
    <w:rsid w:val="00A93A56"/>
    <w:rsid w:val="00A93B4C"/>
    <w:rsid w:val="00A94316"/>
    <w:rsid w:val="00A96DD0"/>
    <w:rsid w:val="00AA0B03"/>
    <w:rsid w:val="00AA2394"/>
    <w:rsid w:val="00AA240A"/>
    <w:rsid w:val="00AA4106"/>
    <w:rsid w:val="00AB030B"/>
    <w:rsid w:val="00AB0B8E"/>
    <w:rsid w:val="00AB116D"/>
    <w:rsid w:val="00AB25D0"/>
    <w:rsid w:val="00AB5567"/>
    <w:rsid w:val="00AB5CD5"/>
    <w:rsid w:val="00AC0238"/>
    <w:rsid w:val="00AC3789"/>
    <w:rsid w:val="00AC394F"/>
    <w:rsid w:val="00AC46AA"/>
    <w:rsid w:val="00AC5D6D"/>
    <w:rsid w:val="00AD0328"/>
    <w:rsid w:val="00AD4929"/>
    <w:rsid w:val="00AD5E8F"/>
    <w:rsid w:val="00AF3932"/>
    <w:rsid w:val="00AF3E55"/>
    <w:rsid w:val="00AF62F3"/>
    <w:rsid w:val="00B02154"/>
    <w:rsid w:val="00B02B0E"/>
    <w:rsid w:val="00B032AC"/>
    <w:rsid w:val="00B0454E"/>
    <w:rsid w:val="00B05F8A"/>
    <w:rsid w:val="00B06E90"/>
    <w:rsid w:val="00B07D7D"/>
    <w:rsid w:val="00B10BC9"/>
    <w:rsid w:val="00B119B1"/>
    <w:rsid w:val="00B11F81"/>
    <w:rsid w:val="00B12306"/>
    <w:rsid w:val="00B13911"/>
    <w:rsid w:val="00B14381"/>
    <w:rsid w:val="00B15069"/>
    <w:rsid w:val="00B1519C"/>
    <w:rsid w:val="00B16DD1"/>
    <w:rsid w:val="00B16DE0"/>
    <w:rsid w:val="00B17F3E"/>
    <w:rsid w:val="00B20183"/>
    <w:rsid w:val="00B21973"/>
    <w:rsid w:val="00B24087"/>
    <w:rsid w:val="00B24671"/>
    <w:rsid w:val="00B25CE5"/>
    <w:rsid w:val="00B315FB"/>
    <w:rsid w:val="00B32CAD"/>
    <w:rsid w:val="00B33CB5"/>
    <w:rsid w:val="00B34B5F"/>
    <w:rsid w:val="00B35005"/>
    <w:rsid w:val="00B400C0"/>
    <w:rsid w:val="00B41F4F"/>
    <w:rsid w:val="00B4270C"/>
    <w:rsid w:val="00B43E98"/>
    <w:rsid w:val="00B4502F"/>
    <w:rsid w:val="00B45D66"/>
    <w:rsid w:val="00B463AA"/>
    <w:rsid w:val="00B47C68"/>
    <w:rsid w:val="00B51109"/>
    <w:rsid w:val="00B534B2"/>
    <w:rsid w:val="00B53C9C"/>
    <w:rsid w:val="00B54C04"/>
    <w:rsid w:val="00B56330"/>
    <w:rsid w:val="00B61CEC"/>
    <w:rsid w:val="00B62311"/>
    <w:rsid w:val="00B63F38"/>
    <w:rsid w:val="00B67161"/>
    <w:rsid w:val="00B67E1E"/>
    <w:rsid w:val="00B72734"/>
    <w:rsid w:val="00B75EBE"/>
    <w:rsid w:val="00B77C2E"/>
    <w:rsid w:val="00B81982"/>
    <w:rsid w:val="00B83D02"/>
    <w:rsid w:val="00B83F38"/>
    <w:rsid w:val="00B83F99"/>
    <w:rsid w:val="00B8452E"/>
    <w:rsid w:val="00B8532E"/>
    <w:rsid w:val="00B85C46"/>
    <w:rsid w:val="00B85F8B"/>
    <w:rsid w:val="00B8653E"/>
    <w:rsid w:val="00B86573"/>
    <w:rsid w:val="00B86CFD"/>
    <w:rsid w:val="00B9092F"/>
    <w:rsid w:val="00B9111F"/>
    <w:rsid w:val="00B92018"/>
    <w:rsid w:val="00B9412C"/>
    <w:rsid w:val="00B94CD4"/>
    <w:rsid w:val="00B9503F"/>
    <w:rsid w:val="00B95967"/>
    <w:rsid w:val="00B96EFE"/>
    <w:rsid w:val="00B97443"/>
    <w:rsid w:val="00B978D9"/>
    <w:rsid w:val="00BA13FE"/>
    <w:rsid w:val="00BA225E"/>
    <w:rsid w:val="00BA2DBF"/>
    <w:rsid w:val="00BA3741"/>
    <w:rsid w:val="00BA4D16"/>
    <w:rsid w:val="00BA52B4"/>
    <w:rsid w:val="00BA5317"/>
    <w:rsid w:val="00BB1166"/>
    <w:rsid w:val="00BB358E"/>
    <w:rsid w:val="00BB410F"/>
    <w:rsid w:val="00BC1ABF"/>
    <w:rsid w:val="00BC2DE5"/>
    <w:rsid w:val="00BC3233"/>
    <w:rsid w:val="00BC3A0F"/>
    <w:rsid w:val="00BC3D6D"/>
    <w:rsid w:val="00BC42EC"/>
    <w:rsid w:val="00BC4DA0"/>
    <w:rsid w:val="00BC6DA4"/>
    <w:rsid w:val="00BD13CC"/>
    <w:rsid w:val="00BD1757"/>
    <w:rsid w:val="00BD454D"/>
    <w:rsid w:val="00BD5F3B"/>
    <w:rsid w:val="00BD6528"/>
    <w:rsid w:val="00BE0829"/>
    <w:rsid w:val="00BE1647"/>
    <w:rsid w:val="00BE1AC1"/>
    <w:rsid w:val="00BE1C8E"/>
    <w:rsid w:val="00BE1CAE"/>
    <w:rsid w:val="00BE3D59"/>
    <w:rsid w:val="00BE3E4C"/>
    <w:rsid w:val="00BE431F"/>
    <w:rsid w:val="00BE54B0"/>
    <w:rsid w:val="00BE6D77"/>
    <w:rsid w:val="00BE7D13"/>
    <w:rsid w:val="00BF1FA0"/>
    <w:rsid w:val="00BF2551"/>
    <w:rsid w:val="00BF4B9E"/>
    <w:rsid w:val="00BF6BE7"/>
    <w:rsid w:val="00BF715B"/>
    <w:rsid w:val="00C0095B"/>
    <w:rsid w:val="00C011D3"/>
    <w:rsid w:val="00C0165B"/>
    <w:rsid w:val="00C023FF"/>
    <w:rsid w:val="00C037FA"/>
    <w:rsid w:val="00C04FDA"/>
    <w:rsid w:val="00C11BCF"/>
    <w:rsid w:val="00C12301"/>
    <w:rsid w:val="00C14F23"/>
    <w:rsid w:val="00C15669"/>
    <w:rsid w:val="00C158D0"/>
    <w:rsid w:val="00C16408"/>
    <w:rsid w:val="00C169F8"/>
    <w:rsid w:val="00C172C2"/>
    <w:rsid w:val="00C177EE"/>
    <w:rsid w:val="00C17C6F"/>
    <w:rsid w:val="00C215EC"/>
    <w:rsid w:val="00C21C7A"/>
    <w:rsid w:val="00C22580"/>
    <w:rsid w:val="00C23A19"/>
    <w:rsid w:val="00C23E78"/>
    <w:rsid w:val="00C2490E"/>
    <w:rsid w:val="00C25ADA"/>
    <w:rsid w:val="00C26126"/>
    <w:rsid w:val="00C278CD"/>
    <w:rsid w:val="00C3082D"/>
    <w:rsid w:val="00C30C54"/>
    <w:rsid w:val="00C31BC5"/>
    <w:rsid w:val="00C338AF"/>
    <w:rsid w:val="00C33F99"/>
    <w:rsid w:val="00C3542C"/>
    <w:rsid w:val="00C37C95"/>
    <w:rsid w:val="00C40667"/>
    <w:rsid w:val="00C40D56"/>
    <w:rsid w:val="00C40FC5"/>
    <w:rsid w:val="00C41180"/>
    <w:rsid w:val="00C422A2"/>
    <w:rsid w:val="00C50F45"/>
    <w:rsid w:val="00C535A5"/>
    <w:rsid w:val="00C5384B"/>
    <w:rsid w:val="00C53ACD"/>
    <w:rsid w:val="00C53EFC"/>
    <w:rsid w:val="00C56F42"/>
    <w:rsid w:val="00C5794F"/>
    <w:rsid w:val="00C62170"/>
    <w:rsid w:val="00C62632"/>
    <w:rsid w:val="00C636A5"/>
    <w:rsid w:val="00C63DED"/>
    <w:rsid w:val="00C65757"/>
    <w:rsid w:val="00C666F4"/>
    <w:rsid w:val="00C67B10"/>
    <w:rsid w:val="00C70707"/>
    <w:rsid w:val="00C7234C"/>
    <w:rsid w:val="00C72F1F"/>
    <w:rsid w:val="00C752B1"/>
    <w:rsid w:val="00C774FD"/>
    <w:rsid w:val="00C809B2"/>
    <w:rsid w:val="00C829BF"/>
    <w:rsid w:val="00C84E2B"/>
    <w:rsid w:val="00C87230"/>
    <w:rsid w:val="00C8799E"/>
    <w:rsid w:val="00C90940"/>
    <w:rsid w:val="00C918C0"/>
    <w:rsid w:val="00C92801"/>
    <w:rsid w:val="00C933A0"/>
    <w:rsid w:val="00C97118"/>
    <w:rsid w:val="00CA1729"/>
    <w:rsid w:val="00CA18BD"/>
    <w:rsid w:val="00CA1F37"/>
    <w:rsid w:val="00CA3D7D"/>
    <w:rsid w:val="00CA7307"/>
    <w:rsid w:val="00CA7BE1"/>
    <w:rsid w:val="00CB1A50"/>
    <w:rsid w:val="00CB20C5"/>
    <w:rsid w:val="00CB2989"/>
    <w:rsid w:val="00CB37DE"/>
    <w:rsid w:val="00CB756A"/>
    <w:rsid w:val="00CC078F"/>
    <w:rsid w:val="00CC17D6"/>
    <w:rsid w:val="00CC2B49"/>
    <w:rsid w:val="00CC39E6"/>
    <w:rsid w:val="00CC5B98"/>
    <w:rsid w:val="00CD2A89"/>
    <w:rsid w:val="00CD3EAB"/>
    <w:rsid w:val="00CD4D46"/>
    <w:rsid w:val="00CD4FE6"/>
    <w:rsid w:val="00CD54FB"/>
    <w:rsid w:val="00CD6245"/>
    <w:rsid w:val="00CD6FFF"/>
    <w:rsid w:val="00CE00B6"/>
    <w:rsid w:val="00CE1FAC"/>
    <w:rsid w:val="00CE43A2"/>
    <w:rsid w:val="00CE5EF7"/>
    <w:rsid w:val="00CE7B14"/>
    <w:rsid w:val="00CF18D5"/>
    <w:rsid w:val="00CF334B"/>
    <w:rsid w:val="00CF3BDD"/>
    <w:rsid w:val="00CF7552"/>
    <w:rsid w:val="00CF7BE9"/>
    <w:rsid w:val="00D03EE2"/>
    <w:rsid w:val="00D059E4"/>
    <w:rsid w:val="00D061EF"/>
    <w:rsid w:val="00D073DB"/>
    <w:rsid w:val="00D0772F"/>
    <w:rsid w:val="00D108F2"/>
    <w:rsid w:val="00D10B23"/>
    <w:rsid w:val="00D1256B"/>
    <w:rsid w:val="00D13100"/>
    <w:rsid w:val="00D141DA"/>
    <w:rsid w:val="00D1525C"/>
    <w:rsid w:val="00D15FA6"/>
    <w:rsid w:val="00D161D4"/>
    <w:rsid w:val="00D20381"/>
    <w:rsid w:val="00D20413"/>
    <w:rsid w:val="00D21D2A"/>
    <w:rsid w:val="00D24880"/>
    <w:rsid w:val="00D248B0"/>
    <w:rsid w:val="00D317D6"/>
    <w:rsid w:val="00D3205F"/>
    <w:rsid w:val="00D33888"/>
    <w:rsid w:val="00D34FAF"/>
    <w:rsid w:val="00D3516D"/>
    <w:rsid w:val="00D362EB"/>
    <w:rsid w:val="00D36DFA"/>
    <w:rsid w:val="00D371B3"/>
    <w:rsid w:val="00D372CD"/>
    <w:rsid w:val="00D37EAD"/>
    <w:rsid w:val="00D37F2D"/>
    <w:rsid w:val="00D427A7"/>
    <w:rsid w:val="00D42A06"/>
    <w:rsid w:val="00D42F05"/>
    <w:rsid w:val="00D44B6C"/>
    <w:rsid w:val="00D44E0D"/>
    <w:rsid w:val="00D4540D"/>
    <w:rsid w:val="00D46371"/>
    <w:rsid w:val="00D50CAE"/>
    <w:rsid w:val="00D51560"/>
    <w:rsid w:val="00D51B36"/>
    <w:rsid w:val="00D52991"/>
    <w:rsid w:val="00D53039"/>
    <w:rsid w:val="00D5318A"/>
    <w:rsid w:val="00D53EF2"/>
    <w:rsid w:val="00D55D40"/>
    <w:rsid w:val="00D55F94"/>
    <w:rsid w:val="00D571F8"/>
    <w:rsid w:val="00D6126D"/>
    <w:rsid w:val="00D6214D"/>
    <w:rsid w:val="00D631B5"/>
    <w:rsid w:val="00D63D74"/>
    <w:rsid w:val="00D66388"/>
    <w:rsid w:val="00D66707"/>
    <w:rsid w:val="00D709E5"/>
    <w:rsid w:val="00D709F7"/>
    <w:rsid w:val="00D7299A"/>
    <w:rsid w:val="00D72F98"/>
    <w:rsid w:val="00D73A82"/>
    <w:rsid w:val="00D746D0"/>
    <w:rsid w:val="00D74B5F"/>
    <w:rsid w:val="00D755E7"/>
    <w:rsid w:val="00D758B0"/>
    <w:rsid w:val="00D75BF3"/>
    <w:rsid w:val="00D77205"/>
    <w:rsid w:val="00D77422"/>
    <w:rsid w:val="00D77D97"/>
    <w:rsid w:val="00D812EE"/>
    <w:rsid w:val="00D81814"/>
    <w:rsid w:val="00D83AF4"/>
    <w:rsid w:val="00D85DE8"/>
    <w:rsid w:val="00D861CC"/>
    <w:rsid w:val="00D900D6"/>
    <w:rsid w:val="00D93324"/>
    <w:rsid w:val="00D94860"/>
    <w:rsid w:val="00D95A80"/>
    <w:rsid w:val="00D95E6B"/>
    <w:rsid w:val="00D976B8"/>
    <w:rsid w:val="00DA02F7"/>
    <w:rsid w:val="00DA09E1"/>
    <w:rsid w:val="00DA15D6"/>
    <w:rsid w:val="00DA1960"/>
    <w:rsid w:val="00DA3335"/>
    <w:rsid w:val="00DA48F3"/>
    <w:rsid w:val="00DA5D38"/>
    <w:rsid w:val="00DA60BC"/>
    <w:rsid w:val="00DA7817"/>
    <w:rsid w:val="00DB15FC"/>
    <w:rsid w:val="00DB4AA7"/>
    <w:rsid w:val="00DB537C"/>
    <w:rsid w:val="00DB5D21"/>
    <w:rsid w:val="00DB60BD"/>
    <w:rsid w:val="00DC6678"/>
    <w:rsid w:val="00DD0A2C"/>
    <w:rsid w:val="00DD1C37"/>
    <w:rsid w:val="00DD1E61"/>
    <w:rsid w:val="00DD3E54"/>
    <w:rsid w:val="00DD5130"/>
    <w:rsid w:val="00DD586F"/>
    <w:rsid w:val="00DD6233"/>
    <w:rsid w:val="00DD6A8A"/>
    <w:rsid w:val="00DD72E1"/>
    <w:rsid w:val="00DE3F09"/>
    <w:rsid w:val="00DE4C29"/>
    <w:rsid w:val="00DE520E"/>
    <w:rsid w:val="00DE6012"/>
    <w:rsid w:val="00DE60EC"/>
    <w:rsid w:val="00DE77F5"/>
    <w:rsid w:val="00DF0369"/>
    <w:rsid w:val="00DF195D"/>
    <w:rsid w:val="00DF1E10"/>
    <w:rsid w:val="00DF3C93"/>
    <w:rsid w:val="00DF4CBF"/>
    <w:rsid w:val="00DF5537"/>
    <w:rsid w:val="00DF72C9"/>
    <w:rsid w:val="00DF7B38"/>
    <w:rsid w:val="00E00312"/>
    <w:rsid w:val="00E01DEA"/>
    <w:rsid w:val="00E02122"/>
    <w:rsid w:val="00E034D0"/>
    <w:rsid w:val="00E03922"/>
    <w:rsid w:val="00E06714"/>
    <w:rsid w:val="00E0677C"/>
    <w:rsid w:val="00E073C5"/>
    <w:rsid w:val="00E0784D"/>
    <w:rsid w:val="00E10EA4"/>
    <w:rsid w:val="00E11863"/>
    <w:rsid w:val="00E119A8"/>
    <w:rsid w:val="00E1399D"/>
    <w:rsid w:val="00E171D9"/>
    <w:rsid w:val="00E17BD9"/>
    <w:rsid w:val="00E21143"/>
    <w:rsid w:val="00E2250B"/>
    <w:rsid w:val="00E24219"/>
    <w:rsid w:val="00E24406"/>
    <w:rsid w:val="00E260C2"/>
    <w:rsid w:val="00E305FD"/>
    <w:rsid w:val="00E31264"/>
    <w:rsid w:val="00E326D3"/>
    <w:rsid w:val="00E33940"/>
    <w:rsid w:val="00E366DF"/>
    <w:rsid w:val="00E36FBA"/>
    <w:rsid w:val="00E42DA6"/>
    <w:rsid w:val="00E43672"/>
    <w:rsid w:val="00E44C8E"/>
    <w:rsid w:val="00E51FC1"/>
    <w:rsid w:val="00E52040"/>
    <w:rsid w:val="00E54131"/>
    <w:rsid w:val="00E5561A"/>
    <w:rsid w:val="00E56B85"/>
    <w:rsid w:val="00E57706"/>
    <w:rsid w:val="00E6055B"/>
    <w:rsid w:val="00E625CF"/>
    <w:rsid w:val="00E628D9"/>
    <w:rsid w:val="00E63204"/>
    <w:rsid w:val="00E633FA"/>
    <w:rsid w:val="00E6365A"/>
    <w:rsid w:val="00E64F3A"/>
    <w:rsid w:val="00E65823"/>
    <w:rsid w:val="00E707D6"/>
    <w:rsid w:val="00E712CB"/>
    <w:rsid w:val="00E73E4B"/>
    <w:rsid w:val="00E74A20"/>
    <w:rsid w:val="00E7563E"/>
    <w:rsid w:val="00E75666"/>
    <w:rsid w:val="00E81693"/>
    <w:rsid w:val="00E81812"/>
    <w:rsid w:val="00E82158"/>
    <w:rsid w:val="00E82764"/>
    <w:rsid w:val="00E846F2"/>
    <w:rsid w:val="00E84FE0"/>
    <w:rsid w:val="00E85832"/>
    <w:rsid w:val="00E8590E"/>
    <w:rsid w:val="00E903DF"/>
    <w:rsid w:val="00E9109B"/>
    <w:rsid w:val="00E91BE7"/>
    <w:rsid w:val="00E9274D"/>
    <w:rsid w:val="00E929AA"/>
    <w:rsid w:val="00E93FEB"/>
    <w:rsid w:val="00E94236"/>
    <w:rsid w:val="00E96CDC"/>
    <w:rsid w:val="00EA0B89"/>
    <w:rsid w:val="00EA1F10"/>
    <w:rsid w:val="00EA215D"/>
    <w:rsid w:val="00EA4A76"/>
    <w:rsid w:val="00EA5E03"/>
    <w:rsid w:val="00EB0658"/>
    <w:rsid w:val="00EB2137"/>
    <w:rsid w:val="00EB28DD"/>
    <w:rsid w:val="00EB35F8"/>
    <w:rsid w:val="00EB4A97"/>
    <w:rsid w:val="00EB4A9D"/>
    <w:rsid w:val="00EC04F6"/>
    <w:rsid w:val="00EC3002"/>
    <w:rsid w:val="00EC3804"/>
    <w:rsid w:val="00EC560C"/>
    <w:rsid w:val="00EC6B7B"/>
    <w:rsid w:val="00EC729D"/>
    <w:rsid w:val="00ED194B"/>
    <w:rsid w:val="00ED2136"/>
    <w:rsid w:val="00ED2CB0"/>
    <w:rsid w:val="00ED34E5"/>
    <w:rsid w:val="00ED5AF0"/>
    <w:rsid w:val="00ED5D90"/>
    <w:rsid w:val="00ED5DA5"/>
    <w:rsid w:val="00ED6FB6"/>
    <w:rsid w:val="00ED78B1"/>
    <w:rsid w:val="00ED7F59"/>
    <w:rsid w:val="00EE16F6"/>
    <w:rsid w:val="00EE244A"/>
    <w:rsid w:val="00EE2AB0"/>
    <w:rsid w:val="00EE5AA3"/>
    <w:rsid w:val="00EE6DC2"/>
    <w:rsid w:val="00EF2B0C"/>
    <w:rsid w:val="00EF4E5E"/>
    <w:rsid w:val="00EF62F0"/>
    <w:rsid w:val="00F00C94"/>
    <w:rsid w:val="00F0290A"/>
    <w:rsid w:val="00F039BF"/>
    <w:rsid w:val="00F040C4"/>
    <w:rsid w:val="00F061D6"/>
    <w:rsid w:val="00F117FF"/>
    <w:rsid w:val="00F11FA1"/>
    <w:rsid w:val="00F1225E"/>
    <w:rsid w:val="00F1414B"/>
    <w:rsid w:val="00F153AA"/>
    <w:rsid w:val="00F155E1"/>
    <w:rsid w:val="00F17417"/>
    <w:rsid w:val="00F17BCC"/>
    <w:rsid w:val="00F21E0E"/>
    <w:rsid w:val="00F227EF"/>
    <w:rsid w:val="00F22CF7"/>
    <w:rsid w:val="00F234FD"/>
    <w:rsid w:val="00F24287"/>
    <w:rsid w:val="00F2438D"/>
    <w:rsid w:val="00F24491"/>
    <w:rsid w:val="00F2520C"/>
    <w:rsid w:val="00F30056"/>
    <w:rsid w:val="00F3020C"/>
    <w:rsid w:val="00F3063D"/>
    <w:rsid w:val="00F31334"/>
    <w:rsid w:val="00F31DD9"/>
    <w:rsid w:val="00F321A3"/>
    <w:rsid w:val="00F3405F"/>
    <w:rsid w:val="00F3553C"/>
    <w:rsid w:val="00F36469"/>
    <w:rsid w:val="00F36AEB"/>
    <w:rsid w:val="00F37910"/>
    <w:rsid w:val="00F41705"/>
    <w:rsid w:val="00F4191C"/>
    <w:rsid w:val="00F4254C"/>
    <w:rsid w:val="00F43925"/>
    <w:rsid w:val="00F4484C"/>
    <w:rsid w:val="00F45112"/>
    <w:rsid w:val="00F452B3"/>
    <w:rsid w:val="00F476E4"/>
    <w:rsid w:val="00F51597"/>
    <w:rsid w:val="00F52EEC"/>
    <w:rsid w:val="00F53A13"/>
    <w:rsid w:val="00F5498B"/>
    <w:rsid w:val="00F55723"/>
    <w:rsid w:val="00F56E55"/>
    <w:rsid w:val="00F57166"/>
    <w:rsid w:val="00F62938"/>
    <w:rsid w:val="00F62BA6"/>
    <w:rsid w:val="00F64D2E"/>
    <w:rsid w:val="00F66E83"/>
    <w:rsid w:val="00F672C4"/>
    <w:rsid w:val="00F67974"/>
    <w:rsid w:val="00F73DB1"/>
    <w:rsid w:val="00F7403C"/>
    <w:rsid w:val="00F75349"/>
    <w:rsid w:val="00F77A55"/>
    <w:rsid w:val="00F811A9"/>
    <w:rsid w:val="00F8207D"/>
    <w:rsid w:val="00F82269"/>
    <w:rsid w:val="00F83B56"/>
    <w:rsid w:val="00F83D92"/>
    <w:rsid w:val="00F83DCD"/>
    <w:rsid w:val="00F8407C"/>
    <w:rsid w:val="00F852B0"/>
    <w:rsid w:val="00F85C81"/>
    <w:rsid w:val="00F9076A"/>
    <w:rsid w:val="00F92531"/>
    <w:rsid w:val="00F9371C"/>
    <w:rsid w:val="00F9429B"/>
    <w:rsid w:val="00F958F8"/>
    <w:rsid w:val="00F97611"/>
    <w:rsid w:val="00F97AED"/>
    <w:rsid w:val="00FA018E"/>
    <w:rsid w:val="00FA1686"/>
    <w:rsid w:val="00FA2C15"/>
    <w:rsid w:val="00FA41DD"/>
    <w:rsid w:val="00FA4333"/>
    <w:rsid w:val="00FA6242"/>
    <w:rsid w:val="00FA75AB"/>
    <w:rsid w:val="00FB2372"/>
    <w:rsid w:val="00FB3E36"/>
    <w:rsid w:val="00FB6636"/>
    <w:rsid w:val="00FB6882"/>
    <w:rsid w:val="00FC2B14"/>
    <w:rsid w:val="00FC2E9B"/>
    <w:rsid w:val="00FC387B"/>
    <w:rsid w:val="00FC38F8"/>
    <w:rsid w:val="00FC6841"/>
    <w:rsid w:val="00FD110E"/>
    <w:rsid w:val="00FD1CE7"/>
    <w:rsid w:val="00FD2499"/>
    <w:rsid w:val="00FD51A1"/>
    <w:rsid w:val="00FD54CC"/>
    <w:rsid w:val="00FD64B3"/>
    <w:rsid w:val="00FD7CC7"/>
    <w:rsid w:val="00FE1429"/>
    <w:rsid w:val="00FE29C6"/>
    <w:rsid w:val="00FE4314"/>
    <w:rsid w:val="00FE5601"/>
    <w:rsid w:val="00FE6C0F"/>
    <w:rsid w:val="00FE6E86"/>
    <w:rsid w:val="00FF031A"/>
    <w:rsid w:val="00FF1537"/>
    <w:rsid w:val="00FF34FF"/>
    <w:rsid w:val="00FF58F7"/>
    <w:rsid w:val="00FF677D"/>
    <w:rsid w:val="3EE878DE"/>
    <w:rsid w:val="45100D58"/>
    <w:rsid w:val="5846AB0E"/>
    <w:rsid w:val="6EB4A971"/>
    <w:rsid w:val="7779C70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DED9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4C5377"/>
    <w:pPr>
      <w:numPr>
        <w:numId w:val="2"/>
      </w:numPr>
      <w:tabs>
        <w:tab w:val="num" w:pos="360"/>
      </w:tabs>
      <w:ind w:left="0" w:firstLine="0"/>
    </w:pPr>
    <w:rPr>
      <w:rFonts w:eastAsia="Times New Roman"/>
      <w:lang w:eastAsia="de-DE"/>
    </w:rPr>
  </w:style>
  <w:style w:type="paragraph" w:styleId="ListNumber">
    <w:name w:val="List Number"/>
    <w:basedOn w:val="Normal"/>
    <w:rsid w:val="004C5377"/>
    <w:pPr>
      <w:numPr>
        <w:numId w:val="6"/>
      </w:numPr>
    </w:pPr>
    <w:rPr>
      <w:rFonts w:eastAsia="Times New Roman"/>
      <w:lang w:eastAsia="de-DE"/>
    </w:rPr>
  </w:style>
  <w:style w:type="paragraph" w:customStyle="1" w:styleId="ListBullet1">
    <w:name w:val="List Bullet 1"/>
    <w:basedOn w:val="Normal"/>
    <w:rsid w:val="004C5377"/>
    <w:pPr>
      <w:numPr>
        <w:numId w:val="1"/>
      </w:numPr>
    </w:pPr>
    <w:rPr>
      <w:rFonts w:eastAsia="Times New Roman"/>
      <w:lang w:eastAsia="de-DE"/>
    </w:rPr>
  </w:style>
  <w:style w:type="paragraph" w:customStyle="1" w:styleId="ListDash">
    <w:name w:val="List Dash"/>
    <w:basedOn w:val="Normal"/>
    <w:rsid w:val="004C5377"/>
    <w:pPr>
      <w:numPr>
        <w:numId w:val="3"/>
      </w:numPr>
    </w:pPr>
    <w:rPr>
      <w:rFonts w:eastAsia="Times New Roman"/>
      <w:lang w:eastAsia="de-DE"/>
    </w:rPr>
  </w:style>
  <w:style w:type="paragraph" w:customStyle="1" w:styleId="ListDash1">
    <w:name w:val="List Dash 1"/>
    <w:basedOn w:val="Normal"/>
    <w:rsid w:val="004C5377"/>
    <w:pPr>
      <w:numPr>
        <w:numId w:val="4"/>
      </w:numPr>
    </w:pPr>
    <w:rPr>
      <w:rFonts w:eastAsia="Times New Roman"/>
      <w:lang w:eastAsia="de-DE"/>
    </w:rPr>
  </w:style>
  <w:style w:type="paragraph" w:customStyle="1" w:styleId="ListDash2">
    <w:name w:val="List Dash 2"/>
    <w:basedOn w:val="Normal"/>
    <w:rsid w:val="004C5377"/>
    <w:pPr>
      <w:numPr>
        <w:numId w:val="5"/>
      </w:numPr>
    </w:pPr>
    <w:rPr>
      <w:rFonts w:eastAsia="Times New Roman"/>
      <w:lang w:eastAsia="de-DE"/>
    </w:rPr>
  </w:style>
  <w:style w:type="paragraph" w:customStyle="1" w:styleId="ListNumberLevel2">
    <w:name w:val="List Number (Level 2)"/>
    <w:basedOn w:val="Normal"/>
    <w:rsid w:val="004C5377"/>
    <w:pPr>
      <w:tabs>
        <w:tab w:val="num" w:pos="1417"/>
      </w:tabs>
      <w:ind w:left="1417" w:hanging="708"/>
    </w:pPr>
    <w:rPr>
      <w:rFonts w:eastAsia="Times New Roman"/>
      <w:lang w:eastAsia="de-DE"/>
    </w:rPr>
  </w:style>
  <w:style w:type="paragraph" w:customStyle="1" w:styleId="ListNumberLevel3">
    <w:name w:val="List Number (Level 3)"/>
    <w:basedOn w:val="Normal"/>
    <w:rsid w:val="004C5377"/>
    <w:pPr>
      <w:tabs>
        <w:tab w:val="num" w:pos="2126"/>
      </w:tabs>
      <w:ind w:left="2126" w:hanging="709"/>
    </w:pPr>
    <w:rPr>
      <w:rFonts w:eastAsia="Times New Roman"/>
      <w:lang w:eastAsia="de-DE"/>
    </w:rPr>
  </w:style>
  <w:style w:type="paragraph" w:customStyle="1" w:styleId="ListNumberLevel4">
    <w:name w:val="List Number (Level 4)"/>
    <w:basedOn w:val="Normal"/>
    <w:rsid w:val="004C5377"/>
    <w:pPr>
      <w:numPr>
        <w:ilvl w:val="3"/>
        <w:numId w:val="6"/>
      </w:numPr>
    </w:pPr>
    <w:rPr>
      <w:rFonts w:eastAsia="Times New Roman"/>
      <w:lang w:eastAsia="de-DE"/>
    </w:rPr>
  </w:style>
  <w:style w:type="table" w:styleId="TableGrid">
    <w:name w:val="Table Grid"/>
    <w:basedOn w:val="TableNormal"/>
    <w:rsid w:val="004C5377"/>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C5377"/>
    <w:rPr>
      <w:color w:val="0000FF"/>
      <w:u w:val="single"/>
    </w:rPr>
  </w:style>
  <w:style w:type="paragraph" w:styleId="ListBullet">
    <w:name w:val="List Bullet"/>
    <w:basedOn w:val="Normal"/>
    <w:rsid w:val="004C5377"/>
    <w:pPr>
      <w:numPr>
        <w:numId w:val="7"/>
      </w:numPr>
    </w:pPr>
    <w:rPr>
      <w:rFonts w:eastAsia="Times New Roman"/>
      <w:lang w:eastAsia="en-GB"/>
    </w:rPr>
  </w:style>
  <w:style w:type="paragraph" w:styleId="ListBullet2">
    <w:name w:val="List Bullet 2"/>
    <w:basedOn w:val="Normal"/>
    <w:rsid w:val="004C5377"/>
    <w:pPr>
      <w:numPr>
        <w:numId w:val="8"/>
      </w:numPr>
    </w:pPr>
    <w:rPr>
      <w:rFonts w:eastAsia="Times New Roman"/>
      <w:lang w:eastAsia="en-GB"/>
    </w:rPr>
  </w:style>
  <w:style w:type="paragraph" w:styleId="ListBullet3">
    <w:name w:val="List Bullet 3"/>
    <w:basedOn w:val="Normal"/>
    <w:rsid w:val="004C5377"/>
    <w:pPr>
      <w:numPr>
        <w:numId w:val="9"/>
      </w:numPr>
    </w:pPr>
    <w:rPr>
      <w:rFonts w:eastAsia="Times New Roman"/>
      <w:lang w:eastAsia="en-GB"/>
    </w:rPr>
  </w:style>
  <w:style w:type="paragraph" w:styleId="ListNumber2">
    <w:name w:val="List Number 2"/>
    <w:basedOn w:val="Normal"/>
    <w:rsid w:val="004C5377"/>
    <w:pPr>
      <w:numPr>
        <w:numId w:val="13"/>
      </w:numPr>
    </w:pPr>
    <w:rPr>
      <w:rFonts w:eastAsia="Times New Roman"/>
      <w:lang w:eastAsia="en-GB"/>
    </w:rPr>
  </w:style>
  <w:style w:type="paragraph" w:styleId="ListNumber3">
    <w:name w:val="List Number 3"/>
    <w:basedOn w:val="Normal"/>
    <w:rsid w:val="004C5377"/>
    <w:pPr>
      <w:numPr>
        <w:numId w:val="14"/>
      </w:numPr>
    </w:pPr>
    <w:rPr>
      <w:rFonts w:eastAsia="Times New Roman"/>
      <w:lang w:eastAsia="en-GB"/>
    </w:rPr>
  </w:style>
  <w:style w:type="paragraph" w:styleId="ListNumber4">
    <w:name w:val="List Number 4"/>
    <w:basedOn w:val="Normal"/>
    <w:rsid w:val="004C5377"/>
    <w:pPr>
      <w:numPr>
        <w:numId w:val="15"/>
      </w:numPr>
    </w:pPr>
    <w:rPr>
      <w:rFonts w:eastAsia="Times New Roman"/>
      <w:lang w:eastAsia="en-GB"/>
    </w:rPr>
  </w:style>
  <w:style w:type="paragraph" w:customStyle="1" w:styleId="ListDash3">
    <w:name w:val="List Dash 3"/>
    <w:basedOn w:val="Normal"/>
    <w:rsid w:val="004C5377"/>
    <w:pPr>
      <w:numPr>
        <w:numId w:val="10"/>
      </w:numPr>
    </w:pPr>
    <w:rPr>
      <w:rFonts w:eastAsia="Times New Roman"/>
      <w:lang w:eastAsia="en-GB"/>
    </w:rPr>
  </w:style>
  <w:style w:type="paragraph" w:customStyle="1" w:styleId="ListDash4">
    <w:name w:val="List Dash 4"/>
    <w:basedOn w:val="Normal"/>
    <w:rsid w:val="004C5377"/>
    <w:pPr>
      <w:numPr>
        <w:numId w:val="11"/>
      </w:numPr>
    </w:pPr>
    <w:rPr>
      <w:rFonts w:eastAsia="Times New Roman"/>
      <w:lang w:eastAsia="en-GB"/>
    </w:rPr>
  </w:style>
  <w:style w:type="paragraph" w:customStyle="1" w:styleId="ListNumber1">
    <w:name w:val="List Number 1"/>
    <w:basedOn w:val="Text1"/>
    <w:rsid w:val="004C5377"/>
    <w:pPr>
      <w:tabs>
        <w:tab w:val="num" w:pos="1560"/>
      </w:tabs>
      <w:ind w:left="1560" w:hanging="709"/>
    </w:pPr>
    <w:rPr>
      <w:rFonts w:eastAsia="Times New Roman"/>
      <w:lang w:eastAsia="en-GB"/>
    </w:rPr>
  </w:style>
  <w:style w:type="paragraph" w:customStyle="1" w:styleId="ListNumber1Level2">
    <w:name w:val="List Number 1 (Level 2)"/>
    <w:basedOn w:val="Text1"/>
    <w:rsid w:val="004C5377"/>
    <w:pPr>
      <w:numPr>
        <w:ilvl w:val="1"/>
        <w:numId w:val="12"/>
      </w:numPr>
    </w:pPr>
    <w:rPr>
      <w:rFonts w:eastAsia="Times New Roman"/>
      <w:lang w:eastAsia="en-GB"/>
    </w:rPr>
  </w:style>
  <w:style w:type="paragraph" w:customStyle="1" w:styleId="ListNumber2Level2">
    <w:name w:val="List Number 2 (Level 2)"/>
    <w:basedOn w:val="Text2"/>
    <w:rsid w:val="004C5377"/>
    <w:pPr>
      <w:numPr>
        <w:ilvl w:val="1"/>
        <w:numId w:val="13"/>
      </w:numPr>
    </w:pPr>
    <w:rPr>
      <w:rFonts w:eastAsia="Times New Roman"/>
      <w:lang w:eastAsia="en-GB"/>
    </w:rPr>
  </w:style>
  <w:style w:type="paragraph" w:customStyle="1" w:styleId="ListNumber3Level2">
    <w:name w:val="List Number 3 (Level 2)"/>
    <w:basedOn w:val="Text3"/>
    <w:rsid w:val="004C5377"/>
    <w:pPr>
      <w:numPr>
        <w:ilvl w:val="1"/>
        <w:numId w:val="14"/>
      </w:numPr>
    </w:pPr>
    <w:rPr>
      <w:rFonts w:eastAsia="Times New Roman"/>
      <w:lang w:eastAsia="en-GB"/>
    </w:rPr>
  </w:style>
  <w:style w:type="paragraph" w:customStyle="1" w:styleId="ListNumber4Level2">
    <w:name w:val="List Number 4 (Level 2)"/>
    <w:basedOn w:val="Text4"/>
    <w:rsid w:val="004C5377"/>
    <w:pPr>
      <w:numPr>
        <w:ilvl w:val="1"/>
        <w:numId w:val="15"/>
      </w:numPr>
    </w:pPr>
    <w:rPr>
      <w:rFonts w:eastAsia="Times New Roman"/>
      <w:lang w:eastAsia="en-GB"/>
    </w:rPr>
  </w:style>
  <w:style w:type="paragraph" w:customStyle="1" w:styleId="ListNumber1Level3">
    <w:name w:val="List Number 1 (Level 3)"/>
    <w:basedOn w:val="Text1"/>
    <w:rsid w:val="004C5377"/>
    <w:pPr>
      <w:numPr>
        <w:ilvl w:val="2"/>
        <w:numId w:val="12"/>
      </w:numPr>
    </w:pPr>
    <w:rPr>
      <w:rFonts w:eastAsia="Times New Roman"/>
      <w:lang w:eastAsia="en-GB"/>
    </w:rPr>
  </w:style>
  <w:style w:type="paragraph" w:customStyle="1" w:styleId="ListNumber2Level3">
    <w:name w:val="List Number 2 (Level 3)"/>
    <w:basedOn w:val="Text2"/>
    <w:rsid w:val="004C5377"/>
    <w:pPr>
      <w:numPr>
        <w:ilvl w:val="2"/>
        <w:numId w:val="13"/>
      </w:numPr>
    </w:pPr>
    <w:rPr>
      <w:rFonts w:eastAsia="Times New Roman"/>
      <w:lang w:eastAsia="en-GB"/>
    </w:rPr>
  </w:style>
  <w:style w:type="paragraph" w:customStyle="1" w:styleId="ListNumber3Level3">
    <w:name w:val="List Number 3 (Level 3)"/>
    <w:basedOn w:val="Text3"/>
    <w:rsid w:val="004C5377"/>
    <w:pPr>
      <w:numPr>
        <w:ilvl w:val="2"/>
        <w:numId w:val="14"/>
      </w:numPr>
    </w:pPr>
    <w:rPr>
      <w:rFonts w:eastAsia="Times New Roman"/>
      <w:lang w:eastAsia="en-GB"/>
    </w:rPr>
  </w:style>
  <w:style w:type="paragraph" w:customStyle="1" w:styleId="ListNumber4Level3">
    <w:name w:val="List Number 4 (Level 3)"/>
    <w:basedOn w:val="Text4"/>
    <w:rsid w:val="004C5377"/>
    <w:pPr>
      <w:numPr>
        <w:ilvl w:val="2"/>
        <w:numId w:val="15"/>
      </w:numPr>
    </w:pPr>
    <w:rPr>
      <w:rFonts w:eastAsia="Times New Roman"/>
      <w:lang w:eastAsia="en-GB"/>
    </w:rPr>
  </w:style>
  <w:style w:type="paragraph" w:customStyle="1" w:styleId="ListNumber1Level4">
    <w:name w:val="List Number 1 (Level 4)"/>
    <w:basedOn w:val="Text1"/>
    <w:rsid w:val="004C5377"/>
    <w:pPr>
      <w:numPr>
        <w:ilvl w:val="3"/>
        <w:numId w:val="12"/>
      </w:numPr>
    </w:pPr>
    <w:rPr>
      <w:rFonts w:eastAsia="Times New Roman"/>
      <w:lang w:eastAsia="en-GB"/>
    </w:rPr>
  </w:style>
  <w:style w:type="paragraph" w:customStyle="1" w:styleId="ListNumber2Level4">
    <w:name w:val="List Number 2 (Level 4)"/>
    <w:basedOn w:val="Text2"/>
    <w:rsid w:val="004C5377"/>
    <w:pPr>
      <w:numPr>
        <w:ilvl w:val="3"/>
        <w:numId w:val="13"/>
      </w:numPr>
    </w:pPr>
    <w:rPr>
      <w:rFonts w:eastAsia="Times New Roman"/>
      <w:lang w:eastAsia="en-GB"/>
    </w:rPr>
  </w:style>
  <w:style w:type="paragraph" w:customStyle="1" w:styleId="ListNumber3Level4">
    <w:name w:val="List Number 3 (Level 4)"/>
    <w:basedOn w:val="Text3"/>
    <w:rsid w:val="004C5377"/>
    <w:pPr>
      <w:numPr>
        <w:ilvl w:val="3"/>
        <w:numId w:val="14"/>
      </w:numPr>
    </w:pPr>
    <w:rPr>
      <w:rFonts w:eastAsia="Times New Roman"/>
      <w:lang w:eastAsia="en-GB"/>
    </w:rPr>
  </w:style>
  <w:style w:type="paragraph" w:customStyle="1" w:styleId="ListNumber4Level4">
    <w:name w:val="List Number 4 (Level 4)"/>
    <w:basedOn w:val="Text4"/>
    <w:rsid w:val="004C5377"/>
    <w:pPr>
      <w:numPr>
        <w:ilvl w:val="3"/>
        <w:numId w:val="15"/>
      </w:numPr>
    </w:pPr>
    <w:rPr>
      <w:rFonts w:eastAsia="Times New Roman"/>
      <w:lang w:eastAsia="en-GB"/>
    </w:rPr>
  </w:style>
  <w:style w:type="paragraph" w:customStyle="1" w:styleId="Annexetitreacte">
    <w:name w:val="Annexe titre (acte)"/>
    <w:basedOn w:val="Normal"/>
    <w:next w:val="Normal"/>
    <w:rsid w:val="004C5377"/>
    <w:pPr>
      <w:jc w:val="center"/>
    </w:pPr>
    <w:rPr>
      <w:rFonts w:eastAsia="Times New Roman"/>
      <w:b/>
      <w:u w:val="single"/>
      <w:lang w:eastAsia="en-GB"/>
    </w:rPr>
  </w:style>
  <w:style w:type="paragraph" w:customStyle="1" w:styleId="Annexetitreexposglobal">
    <w:name w:val="Annexe titre (exposé global)"/>
    <w:basedOn w:val="Normal"/>
    <w:next w:val="Normal"/>
    <w:rsid w:val="004C5377"/>
    <w:pPr>
      <w:jc w:val="center"/>
    </w:pPr>
    <w:rPr>
      <w:rFonts w:eastAsia="Times New Roman"/>
      <w:b/>
      <w:u w:val="single"/>
      <w:lang w:eastAsia="en-GB"/>
    </w:rPr>
  </w:style>
  <w:style w:type="paragraph" w:customStyle="1" w:styleId="Annexetitrefichefinacte">
    <w:name w:val="Annexe titre (fiche fin. acte)"/>
    <w:basedOn w:val="Normal"/>
    <w:next w:val="Normal"/>
    <w:rsid w:val="004C5377"/>
    <w:pPr>
      <w:jc w:val="center"/>
    </w:pPr>
    <w:rPr>
      <w:rFonts w:eastAsia="Times New Roman"/>
      <w:b/>
      <w:u w:val="single"/>
      <w:lang w:eastAsia="en-GB"/>
    </w:rPr>
  </w:style>
  <w:style w:type="paragraph" w:customStyle="1" w:styleId="Annexetitrefichefinglobale">
    <w:name w:val="Annexe titre (fiche fin. globale)"/>
    <w:basedOn w:val="Normal"/>
    <w:next w:val="Normal"/>
    <w:rsid w:val="004C5377"/>
    <w:pPr>
      <w:jc w:val="center"/>
    </w:pPr>
    <w:rPr>
      <w:rFonts w:eastAsia="Times New Roman"/>
      <w:b/>
      <w:u w:val="single"/>
      <w:lang w:eastAsia="en-GB"/>
    </w:rPr>
  </w:style>
  <w:style w:type="paragraph" w:customStyle="1" w:styleId="Annexetitreglobale">
    <w:name w:val="Annexe titre (globale)"/>
    <w:basedOn w:val="Normal"/>
    <w:next w:val="Normal"/>
    <w:rsid w:val="004C5377"/>
    <w:pPr>
      <w:jc w:val="center"/>
    </w:pPr>
    <w:rPr>
      <w:rFonts w:eastAsia="Times New Roman"/>
      <w:b/>
      <w:u w:val="single"/>
      <w:lang w:eastAsia="en-GB"/>
    </w:rPr>
  </w:style>
  <w:style w:type="paragraph" w:customStyle="1" w:styleId="Exposdesmotifstitreglobal">
    <w:name w:val="Exposé des motifs titre (global)"/>
    <w:basedOn w:val="Normal"/>
    <w:next w:val="Normal"/>
    <w:rsid w:val="004C5377"/>
    <w:pPr>
      <w:jc w:val="center"/>
    </w:pPr>
    <w:rPr>
      <w:rFonts w:eastAsia="Times New Roman"/>
      <w:b/>
      <w:u w:val="single"/>
      <w:lang w:eastAsia="en-GB"/>
    </w:rPr>
  </w:style>
  <w:style w:type="paragraph" w:customStyle="1" w:styleId="Langueoriginale">
    <w:name w:val="Langue originale"/>
    <w:basedOn w:val="Normal"/>
    <w:rsid w:val="004C5377"/>
    <w:pPr>
      <w:spacing w:before="360"/>
      <w:jc w:val="center"/>
    </w:pPr>
    <w:rPr>
      <w:rFonts w:eastAsia="Times New Roman"/>
      <w:caps/>
      <w:lang w:eastAsia="en-GB"/>
    </w:rPr>
  </w:style>
  <w:style w:type="paragraph" w:customStyle="1" w:styleId="Phrasefinale">
    <w:name w:val="Phrase finale"/>
    <w:basedOn w:val="Normal"/>
    <w:next w:val="Normal"/>
    <w:rsid w:val="004C5377"/>
    <w:pPr>
      <w:spacing w:before="360" w:after="0"/>
      <w:jc w:val="center"/>
    </w:pPr>
    <w:rPr>
      <w:rFonts w:eastAsia="Times New Roman"/>
      <w:lang w:eastAsia="en-GB"/>
    </w:rPr>
  </w:style>
  <w:style w:type="paragraph" w:customStyle="1" w:styleId="Prliminairetitre">
    <w:name w:val="Préliminaire titre"/>
    <w:basedOn w:val="Normal"/>
    <w:next w:val="Normal"/>
    <w:rsid w:val="004C5377"/>
    <w:pPr>
      <w:spacing w:before="360" w:after="360"/>
      <w:jc w:val="center"/>
    </w:pPr>
    <w:rPr>
      <w:rFonts w:eastAsia="Times New Roman"/>
      <w:b/>
      <w:lang w:eastAsia="en-GB"/>
    </w:rPr>
  </w:style>
  <w:style w:type="paragraph" w:customStyle="1" w:styleId="Prliminairetype">
    <w:name w:val="Préliminaire type"/>
    <w:basedOn w:val="Normal"/>
    <w:next w:val="Normal"/>
    <w:rsid w:val="004C5377"/>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4C5377"/>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4C5377"/>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4C5377"/>
    <w:pPr>
      <w:spacing w:before="0" w:after="0"/>
      <w:ind w:left="5103"/>
      <w:jc w:val="left"/>
    </w:pPr>
    <w:rPr>
      <w:rFonts w:eastAsia="Times New Roman"/>
      <w:lang w:eastAsia="en-GB"/>
    </w:rPr>
  </w:style>
  <w:style w:type="paragraph" w:customStyle="1" w:styleId="Sous-titreobjetprliminaire">
    <w:name w:val="Sous-titre objet (préliminaire)"/>
    <w:basedOn w:val="Normal"/>
    <w:rsid w:val="004C5377"/>
    <w:pPr>
      <w:spacing w:before="0" w:after="0"/>
      <w:jc w:val="center"/>
    </w:pPr>
    <w:rPr>
      <w:rFonts w:eastAsia="Times New Roman"/>
      <w:b/>
      <w:lang w:eastAsia="en-GB"/>
    </w:rPr>
  </w:style>
  <w:style w:type="paragraph" w:customStyle="1" w:styleId="Statutprliminaire">
    <w:name w:val="Statut (préliminaire)"/>
    <w:basedOn w:val="Normal"/>
    <w:next w:val="Normal"/>
    <w:rsid w:val="004C5377"/>
    <w:pPr>
      <w:spacing w:before="360" w:after="0"/>
      <w:jc w:val="center"/>
    </w:pPr>
    <w:rPr>
      <w:rFonts w:eastAsia="Times New Roman"/>
      <w:lang w:eastAsia="en-GB"/>
    </w:rPr>
  </w:style>
  <w:style w:type="paragraph" w:customStyle="1" w:styleId="Titreobjetprliminaire">
    <w:name w:val="Titre objet (préliminaire)"/>
    <w:basedOn w:val="Normal"/>
    <w:next w:val="Normal"/>
    <w:rsid w:val="004C5377"/>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4C5377"/>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4C5377"/>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4C5377"/>
    <w:pPr>
      <w:jc w:val="center"/>
    </w:pPr>
    <w:rPr>
      <w:rFonts w:eastAsia="Times New Roman"/>
      <w:b/>
      <w:u w:val="single"/>
      <w:lang w:eastAsia="en-GB"/>
    </w:rPr>
  </w:style>
  <w:style w:type="paragraph" w:customStyle="1" w:styleId="Fichefinanciretravailtitre">
    <w:name w:val="Fiche financière (travail) titre"/>
    <w:basedOn w:val="Normal"/>
    <w:next w:val="Normal"/>
    <w:rsid w:val="004C5377"/>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4C5377"/>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4C5377"/>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4C5377"/>
    <w:pPr>
      <w:jc w:val="center"/>
    </w:pPr>
    <w:rPr>
      <w:rFonts w:eastAsia="Times New Roman"/>
      <w:b/>
      <w:u w:val="single"/>
      <w:lang w:eastAsia="en-GB"/>
    </w:rPr>
  </w:style>
  <w:style w:type="character" w:styleId="CommentReference">
    <w:name w:val="annotation reference"/>
    <w:rsid w:val="004C5377"/>
    <w:rPr>
      <w:rFonts w:cs="Times New Roman"/>
      <w:sz w:val="16"/>
      <w:szCs w:val="16"/>
    </w:rPr>
  </w:style>
  <w:style w:type="paragraph" w:styleId="CommentText">
    <w:name w:val="annotation text"/>
    <w:basedOn w:val="Normal"/>
    <w:link w:val="CommentTextChar"/>
    <w:rsid w:val="004C5377"/>
    <w:rPr>
      <w:rFonts w:eastAsia="Times New Roman"/>
      <w:sz w:val="20"/>
      <w:szCs w:val="20"/>
      <w:lang w:eastAsia="en-GB"/>
    </w:rPr>
  </w:style>
  <w:style w:type="character" w:customStyle="1" w:styleId="CommentTextChar">
    <w:name w:val="Comment Text Char"/>
    <w:basedOn w:val="DefaultParagraphFont"/>
    <w:link w:val="CommentText"/>
    <w:rsid w:val="004C5377"/>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4C5377"/>
    <w:rPr>
      <w:b/>
      <w:bCs/>
    </w:rPr>
  </w:style>
  <w:style w:type="character" w:customStyle="1" w:styleId="CommentSubjectChar">
    <w:name w:val="Comment Subject Char"/>
    <w:basedOn w:val="CommentTextChar"/>
    <w:link w:val="CommentSubject"/>
    <w:rsid w:val="004C5377"/>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4C5377"/>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4C5377"/>
    <w:rPr>
      <w:rFonts w:ascii="Tahoma" w:eastAsia="Times New Roman" w:hAnsi="Tahoma" w:cs="Tahoma"/>
      <w:sz w:val="16"/>
      <w:szCs w:val="16"/>
      <w:lang w:val="fr-FR" w:eastAsia="en-GB"/>
    </w:rPr>
  </w:style>
  <w:style w:type="paragraph" w:styleId="Caption">
    <w:name w:val="caption"/>
    <w:basedOn w:val="Normal"/>
    <w:next w:val="Normal"/>
    <w:qFormat/>
    <w:rsid w:val="004C5377"/>
    <w:rPr>
      <w:rFonts w:eastAsia="Times New Roman"/>
      <w:b/>
      <w:bCs/>
      <w:sz w:val="20"/>
      <w:szCs w:val="20"/>
      <w:lang w:eastAsia="en-GB"/>
    </w:rPr>
  </w:style>
  <w:style w:type="paragraph" w:styleId="TableofFigures">
    <w:name w:val="table of figures"/>
    <w:basedOn w:val="Normal"/>
    <w:next w:val="Normal"/>
    <w:rsid w:val="004C5377"/>
    <w:rPr>
      <w:rFonts w:eastAsia="Times New Roman"/>
      <w:lang w:eastAsia="en-GB"/>
    </w:rPr>
  </w:style>
  <w:style w:type="character" w:styleId="PageNumber">
    <w:name w:val="page number"/>
    <w:rsid w:val="004C5377"/>
  </w:style>
  <w:style w:type="character" w:customStyle="1" w:styleId="tw4winMark">
    <w:name w:val="tw4winMark"/>
    <w:rsid w:val="004C5377"/>
    <w:rPr>
      <w:vanish/>
      <w:color w:val="800080"/>
      <w:vertAlign w:val="subscript"/>
    </w:rPr>
  </w:style>
  <w:style w:type="character" w:styleId="FollowedHyperlink">
    <w:name w:val="FollowedHyperlink"/>
    <w:rsid w:val="004C5377"/>
    <w:rPr>
      <w:color w:val="800080"/>
      <w:u w:val="single"/>
    </w:rPr>
  </w:style>
  <w:style w:type="paragraph" w:customStyle="1" w:styleId="Sous-titreobjet">
    <w:name w:val="Sous-titre objet"/>
    <w:basedOn w:val="Normal"/>
    <w:rsid w:val="004C537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4C5377"/>
  </w:style>
  <w:style w:type="paragraph" w:styleId="Revision">
    <w:name w:val="Revision"/>
    <w:hidden/>
    <w:uiPriority w:val="99"/>
    <w:semiHidden/>
    <w:rsid w:val="004C5377"/>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4C537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4C5377"/>
    <w:rPr>
      <w:rFonts w:ascii="Times New Roman" w:hAnsi="Times New Roman" w:cs="Times New Roman"/>
      <w:b/>
      <w:sz w:val="28"/>
      <w:lang w:val="en-GB"/>
    </w:rPr>
  </w:style>
  <w:style w:type="character" w:customStyle="1" w:styleId="FooterCoverPageChar">
    <w:name w:val="Footer Cover Page Char"/>
    <w:link w:val="FooterCoverPage"/>
    <w:rsid w:val="004C5377"/>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4C537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4C5377"/>
    <w:rPr>
      <w:rFonts w:ascii="Times New Roman" w:eastAsia="Calibri" w:hAnsi="Times New Roman" w:cs="Times New Roman"/>
      <w:sz w:val="24"/>
      <w:lang w:val="en-GB" w:eastAsia="en-GB"/>
    </w:rPr>
  </w:style>
  <w:style w:type="character" w:customStyle="1" w:styleId="FooterSensitivityChar">
    <w:name w:val="Footer Sensitivity Char"/>
    <w:rsid w:val="004C5377"/>
    <w:rPr>
      <w:rFonts w:ascii="Times New Roman" w:hAnsi="Times New Roman" w:cs="Times New Roman"/>
      <w:b/>
      <w:sz w:val="32"/>
      <w:lang w:val="en-GB"/>
    </w:rPr>
  </w:style>
  <w:style w:type="character" w:customStyle="1" w:styleId="HeaderSensitivityChar">
    <w:name w:val="Header Sensitivity Char"/>
    <w:rsid w:val="004C5377"/>
    <w:rPr>
      <w:rFonts w:ascii="Times New Roman" w:hAnsi="Times New Roman" w:cs="Times New Roman"/>
      <w:b/>
      <w:sz w:val="32"/>
      <w:lang w:val="en-GB"/>
    </w:rPr>
  </w:style>
  <w:style w:type="character" w:customStyle="1" w:styleId="HeaderSensitivityRightChar">
    <w:name w:val="Header Sensitivity Right Char"/>
    <w:rsid w:val="004C5377"/>
    <w:rPr>
      <w:rFonts w:ascii="Times New Roman" w:hAnsi="Times New Roman" w:cs="Times New Roman"/>
      <w:sz w:val="28"/>
      <w:lang w:val="en-GB"/>
    </w:rPr>
  </w:style>
  <w:style w:type="paragraph" w:customStyle="1" w:styleId="LegalNumPar">
    <w:name w:val="LegalNumPar"/>
    <w:basedOn w:val="Normal"/>
    <w:rsid w:val="004C5377"/>
    <w:pPr>
      <w:spacing w:line="360" w:lineRule="auto"/>
      <w:ind w:left="476" w:hanging="476"/>
    </w:pPr>
    <w:rPr>
      <w:rFonts w:eastAsia="Times New Roman"/>
      <w:lang w:eastAsia="en-GB"/>
    </w:rPr>
  </w:style>
  <w:style w:type="paragraph" w:customStyle="1" w:styleId="LegalNumPar2">
    <w:name w:val="LegalNumPar2"/>
    <w:basedOn w:val="Normal"/>
    <w:rsid w:val="004C5377"/>
    <w:pPr>
      <w:spacing w:line="360" w:lineRule="auto"/>
      <w:ind w:left="953" w:hanging="477"/>
    </w:pPr>
    <w:rPr>
      <w:rFonts w:eastAsia="Times New Roman"/>
      <w:lang w:eastAsia="en-GB"/>
    </w:rPr>
  </w:style>
  <w:style w:type="paragraph" w:customStyle="1" w:styleId="LegalNumPar3">
    <w:name w:val="LegalNumPar3"/>
    <w:basedOn w:val="Normal"/>
    <w:rsid w:val="004C5377"/>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4C5377"/>
    <w:pPr>
      <w:ind w:left="720"/>
      <w:contextualSpacing/>
    </w:pPr>
    <w:rPr>
      <w:rFonts w:eastAsia="Times New Roman"/>
      <w:lang w:eastAsia="en-GB"/>
    </w:rPr>
  </w:style>
  <w:style w:type="character" w:customStyle="1" w:styleId="UnresolvedMention">
    <w:name w:val="Unresolved Mention"/>
    <w:basedOn w:val="DefaultParagraphFont"/>
    <w:uiPriority w:val="99"/>
    <w:unhideWhenUsed/>
    <w:rsid w:val="004C5377"/>
    <w:rPr>
      <w:color w:val="605E5C"/>
      <w:shd w:val="clear" w:color="auto" w:fill="E1DFDD"/>
    </w:rPr>
  </w:style>
  <w:style w:type="character" w:styleId="Strong">
    <w:name w:val="Strong"/>
    <w:basedOn w:val="DefaultParagraphFont"/>
    <w:qFormat/>
    <w:rsid w:val="004C5377"/>
    <w:rPr>
      <w:b/>
      <w:bCs/>
    </w:rPr>
  </w:style>
  <w:style w:type="character" w:styleId="Emphasis">
    <w:name w:val="Emphasis"/>
    <w:basedOn w:val="DefaultParagraphFont"/>
    <w:qFormat/>
    <w:rsid w:val="004C5377"/>
    <w:rPr>
      <w:i/>
      <w:iCs/>
    </w:rPr>
  </w:style>
  <w:style w:type="character" w:customStyle="1" w:styleId="Mention">
    <w:name w:val="Mention"/>
    <w:basedOn w:val="DefaultParagraphFont"/>
    <w:uiPriority w:val="99"/>
    <w:unhideWhenUsed/>
    <w:rsid w:val="004C5377"/>
    <w:rPr>
      <w:color w:val="2B579A"/>
      <w:shd w:val="clear" w:color="auto" w:fill="E1DFDD"/>
    </w:rPr>
  </w:style>
  <w:style w:type="character" w:customStyle="1" w:styleId="normaltextrun">
    <w:name w:val="normaltextrun"/>
    <w:basedOn w:val="DefaultParagraphFont"/>
    <w:rsid w:val="004C5377"/>
  </w:style>
  <w:style w:type="character" w:customStyle="1" w:styleId="eop">
    <w:name w:val="eop"/>
    <w:basedOn w:val="DefaultParagraphFont"/>
    <w:rsid w:val="004C5377"/>
  </w:style>
  <w:style w:type="character" w:customStyle="1" w:styleId="UnresolvedMention1">
    <w:name w:val="Unresolved Mention1"/>
    <w:basedOn w:val="DefaultParagraphFont"/>
    <w:uiPriority w:val="99"/>
    <w:semiHidden/>
    <w:unhideWhenUsed/>
    <w:rsid w:val="004C5377"/>
    <w:rPr>
      <w:color w:val="605E5C"/>
      <w:shd w:val="clear" w:color="auto" w:fill="E1DFDD"/>
    </w:rPr>
  </w:style>
  <w:style w:type="character" w:customStyle="1" w:styleId="Mention1">
    <w:name w:val="Mention1"/>
    <w:basedOn w:val="DefaultParagraphFont"/>
    <w:uiPriority w:val="99"/>
    <w:unhideWhenUsed/>
    <w:rsid w:val="004C5377"/>
    <w:rPr>
      <w:color w:val="2B579A"/>
      <w:shd w:val="clear" w:color="auto" w:fill="E1DFDD"/>
    </w:r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link w:val="FootnoteReference"/>
    <w:uiPriority w:val="99"/>
    <w:qFormat/>
    <w:rsid w:val="004C5377"/>
    <w:pPr>
      <w:spacing w:before="0" w:after="160" w:line="240" w:lineRule="exact"/>
    </w:pPr>
    <w:rPr>
      <w:rFonts w:asciiTheme="minorHAnsi" w:hAnsiTheme="minorHAnsi" w:cstheme="minorBidi"/>
      <w:sz w:val="22"/>
      <w:vertAlign w:val="superscript"/>
      <w:lang w:val="en-US"/>
    </w:rPr>
  </w:style>
  <w:style w:type="paragraph" w:styleId="NormalWeb">
    <w:name w:val="Normal (Web)"/>
    <w:basedOn w:val="Normal"/>
    <w:uiPriority w:val="99"/>
    <w:unhideWhenUsed/>
    <w:rsid w:val="004C5377"/>
    <w:pPr>
      <w:spacing w:before="100" w:beforeAutospacing="1" w:after="100" w:afterAutospacing="1"/>
      <w:jc w:val="left"/>
    </w:pPr>
    <w:rPr>
      <w:rFonts w:eastAsia="Times New Roman"/>
      <w:szCs w:val="24"/>
      <w:lang w:eastAsia="en-GB"/>
    </w:rPr>
  </w:style>
  <w:style w:type="paragraph" w:customStyle="1" w:styleId="oj-sti-art">
    <w:name w:val="oj-sti-art"/>
    <w:basedOn w:val="Normal"/>
    <w:rsid w:val="004C5377"/>
    <w:pPr>
      <w:spacing w:before="100" w:beforeAutospacing="1" w:after="100" w:afterAutospacing="1"/>
      <w:jc w:val="left"/>
    </w:pPr>
    <w:rPr>
      <w:rFonts w:eastAsia="Times New Roman"/>
      <w:szCs w:val="24"/>
      <w:lang w:val="fr-BE" w:eastAsia="fr-BE"/>
    </w:rPr>
  </w:style>
  <w:style w:type="paragraph" w:customStyle="1" w:styleId="oj-normal">
    <w:name w:val="oj-normal"/>
    <w:basedOn w:val="Normal"/>
    <w:rsid w:val="004C5377"/>
    <w:pPr>
      <w:spacing w:before="100" w:beforeAutospacing="1" w:after="100" w:afterAutospacing="1"/>
      <w:jc w:val="left"/>
    </w:pPr>
    <w:rPr>
      <w:rFonts w:eastAsia="Times New Roman"/>
      <w:szCs w:val="24"/>
      <w:lang w:val="fr-BE" w:eastAsia="fr-BE"/>
    </w:rPr>
  </w:style>
  <w:style w:type="paragraph" w:customStyle="1" w:styleId="pf0">
    <w:name w:val="pf0"/>
    <w:basedOn w:val="Normal"/>
    <w:rsid w:val="004C5377"/>
    <w:pPr>
      <w:spacing w:before="100" w:beforeAutospacing="1" w:after="100" w:afterAutospacing="1"/>
    </w:pPr>
    <w:rPr>
      <w:rFonts w:eastAsia="Times New Roman"/>
      <w:szCs w:val="24"/>
      <w:lang w:val="fr-BE" w:eastAsia="fr-BE"/>
    </w:rPr>
  </w:style>
  <w:style w:type="paragraph" w:customStyle="1" w:styleId="pf1">
    <w:name w:val="pf1"/>
    <w:basedOn w:val="Normal"/>
    <w:rsid w:val="004C5377"/>
    <w:pPr>
      <w:spacing w:before="100" w:beforeAutospacing="1" w:after="100" w:afterAutospacing="1"/>
    </w:pPr>
    <w:rPr>
      <w:rFonts w:eastAsia="Times New Roman"/>
      <w:szCs w:val="24"/>
      <w:lang w:val="fr-BE" w:eastAsia="fr-BE"/>
    </w:rPr>
  </w:style>
  <w:style w:type="character" w:customStyle="1" w:styleId="cf01">
    <w:name w:val="cf01"/>
    <w:basedOn w:val="DefaultParagraphFont"/>
    <w:rsid w:val="004C5377"/>
    <w:rPr>
      <w:rFonts w:ascii="Segoe UI" w:hAnsi="Segoe UI" w:cs="Segoe UI" w:hint="default"/>
      <w:sz w:val="18"/>
      <w:szCs w:val="18"/>
    </w:rPr>
  </w:style>
  <w:style w:type="character" w:customStyle="1" w:styleId="cf11">
    <w:name w:val="cf11"/>
    <w:basedOn w:val="DefaultParagraphFont"/>
    <w:rsid w:val="004C5377"/>
    <w:rPr>
      <w:rFonts w:ascii="Segoe UI" w:hAnsi="Segoe UI" w:cs="Segoe UI" w:hint="default"/>
      <w:color w:val="0000FF"/>
      <w:sz w:val="18"/>
      <w:szCs w:val="18"/>
    </w:rPr>
  </w:style>
  <w:style w:type="paragraph" w:customStyle="1" w:styleId="BodytextAgency">
    <w:name w:val="Body text (Agency)"/>
    <w:basedOn w:val="Normal"/>
    <w:link w:val="BodytextAgencyChar"/>
    <w:qFormat/>
    <w:rsid w:val="004C5377"/>
    <w:pPr>
      <w:spacing w:before="0" w:after="140" w:line="280" w:lineRule="atLeast"/>
      <w:jc w:val="left"/>
    </w:pPr>
    <w:rPr>
      <w:rFonts w:ascii="Verdana" w:eastAsia="Verdana" w:hAnsi="Verdana"/>
      <w:sz w:val="18"/>
      <w:szCs w:val="18"/>
      <w:lang w:eastAsia="en-GB"/>
    </w:rPr>
  </w:style>
  <w:style w:type="character" w:customStyle="1" w:styleId="BodytextAgencyChar">
    <w:name w:val="Body text (Agency) Char"/>
    <w:link w:val="BodytextAgency"/>
    <w:rsid w:val="004C5377"/>
    <w:rPr>
      <w:rFonts w:ascii="Verdana" w:eastAsia="Verdana" w:hAnsi="Verdana" w:cs="Times New Roman"/>
      <w:sz w:val="18"/>
      <w:szCs w:val="18"/>
      <w:lang w:val="en-GB" w:eastAsia="en-GB"/>
    </w:rPr>
  </w:style>
  <w:style w:type="paragraph" w:styleId="NoSpacing">
    <w:name w:val="No Spacing"/>
    <w:uiPriority w:val="1"/>
    <w:qFormat/>
    <w:rsid w:val="004C5377"/>
    <w:pPr>
      <w:spacing w:after="0" w:line="240" w:lineRule="auto"/>
      <w:jc w:val="both"/>
    </w:pPr>
    <w:rPr>
      <w:rFonts w:ascii="Times New Roman" w:hAnsi="Times New Roman" w:cs="Times New Roman"/>
      <w:sz w:val="24"/>
      <w:lang w:val="en-GB"/>
    </w:rPr>
  </w:style>
  <w:style w:type="paragraph" w:customStyle="1" w:styleId="paragraph">
    <w:name w:val="paragraph"/>
    <w:basedOn w:val="Normal"/>
    <w:rsid w:val="004C5377"/>
    <w:pPr>
      <w:spacing w:before="100" w:beforeAutospacing="1" w:after="100" w:afterAutospacing="1"/>
      <w:jc w:val="left"/>
    </w:pPr>
    <w:rPr>
      <w:rFonts w:eastAsia="Times New Roman"/>
      <w:szCs w:val="24"/>
      <w:lang w:val="fr-BE" w:eastAsia="fr-BE"/>
    </w:rPr>
  </w:style>
  <w:style w:type="character" w:customStyle="1" w:styleId="HeaderChar">
    <w:name w:val="Header Char"/>
    <w:basedOn w:val="DefaultParagraphFont"/>
    <w:link w:val="Header"/>
    <w:uiPriority w:val="99"/>
    <w:rsid w:val="00492C75"/>
    <w:rPr>
      <w:rFonts w:ascii="Times New Roman" w:hAnsi="Times New Roman" w:cs="Times New Roman"/>
      <w:sz w:val="24"/>
      <w:lang w:val="fr-FR"/>
    </w:rPr>
  </w:style>
  <w:style w:type="character" w:customStyle="1" w:styleId="FooterChar">
    <w:name w:val="Footer Char"/>
    <w:basedOn w:val="DefaultParagraphFont"/>
    <w:link w:val="Footer"/>
    <w:uiPriority w:val="99"/>
    <w:rsid w:val="00492C75"/>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492C7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92C75"/>
    <w:pPr>
      <w:spacing w:before="0"/>
      <w:jc w:val="right"/>
    </w:pPr>
    <w:rPr>
      <w:sz w:val="28"/>
    </w:rPr>
  </w:style>
  <w:style w:type="paragraph" w:customStyle="1" w:styleId="FooterSensitivity">
    <w:name w:val="Footer Sensitivity"/>
    <w:basedOn w:val="Normal"/>
    <w:rsid w:val="00492C7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492C75"/>
    <w:pPr>
      <w:tabs>
        <w:tab w:val="center" w:pos="4535"/>
        <w:tab w:val="right" w:pos="9071"/>
      </w:tabs>
      <w:spacing w:before="0"/>
    </w:pPr>
  </w:style>
  <w:style w:type="paragraph" w:customStyle="1" w:styleId="HeaderLandscape">
    <w:name w:val="HeaderLandscape"/>
    <w:basedOn w:val="Normal"/>
    <w:rsid w:val="00492C75"/>
    <w:pPr>
      <w:tabs>
        <w:tab w:val="center" w:pos="7285"/>
        <w:tab w:val="right" w:pos="14003"/>
      </w:tabs>
      <w:spacing w:before="0"/>
    </w:pPr>
  </w:style>
  <w:style w:type="paragraph" w:styleId="Footer">
    <w:name w:val="footer"/>
    <w:basedOn w:val="Normal"/>
    <w:link w:val="FooterChar"/>
    <w:uiPriority w:val="99"/>
    <w:unhideWhenUsed/>
    <w:rsid w:val="00492C7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92C7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66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image" Target="media/image3.emf"/></Relationships>
</file>

<file path=word/_rels/footnotes.xml.rels><?xml version="1.0" encoding="UTF-8" standalone="yes"?>
<Relationships xmlns="http://schemas.openxmlformats.org/package/2006/relationships"><Relationship Id="rId13" Type="http://schemas.openxmlformats.org/officeDocument/2006/relationships/hyperlink" Target="https://health.ec.europa.eu/system/files/2022-10/mp_vulnerabilities_global-supply_swd_en.pdf" TargetMode="External"/><Relationship Id="rId18" Type="http://schemas.openxmlformats.org/officeDocument/2006/relationships/hyperlink" Target="https://www.ema.europa.eu/en/human-regulatory-overview/post-authorisation/medicine-shortages-availability-issues/availability-medicines-during-crises/union-list-critical-medicines" TargetMode="External"/><Relationship Id="rId26" Type="http://schemas.openxmlformats.org/officeDocument/2006/relationships/hyperlink" Target="https://health.ec.europa.eu/medicinal-products/orphan-medicinal-products_en" TargetMode="External"/><Relationship Id="rId39" Type="http://schemas.openxmlformats.org/officeDocument/2006/relationships/hyperlink" Target="https://health.ec.europa.eu/health-emergency-preparedness-and-response-hera/overview/critical-medicines-alliance_en" TargetMode="External"/><Relationship Id="rId21" Type="http://schemas.openxmlformats.org/officeDocument/2006/relationships/hyperlink" Target="https://health.ec.europa.eu/document/download/3da9dfc0-c5e0-4583-a0f1-1652c7c18c3c_en?filename=hera_cma_strat-report_en.pdf" TargetMode="External"/><Relationship Id="rId34" Type="http://schemas.openxmlformats.org/officeDocument/2006/relationships/hyperlink" Target="https://www.ema.europa.eu/en/human-regulatory-overview/post-authorisation/medicine-shortages-availability-issues/european-shortages-monitoring-platform" TargetMode="External"/><Relationship Id="rId42" Type="http://schemas.openxmlformats.org/officeDocument/2006/relationships/hyperlink" Target="https://eur-lex.europa.eu/legal-content/FR/TXT/PDF/?uri=CELEX:52020DC0761" TargetMode="External"/><Relationship Id="rId47" Type="http://schemas.openxmlformats.org/officeDocument/2006/relationships/hyperlink" Target="https://single-market-economy.ec.europa.eu/news/commission-launches-call-evidence-and-public-consultation-evaluation-public-procurement-directives-2024-12-13_en" TargetMode="External"/><Relationship Id="rId50" Type="http://schemas.openxmlformats.org/officeDocument/2006/relationships/hyperlink" Target="https://eur-lex.europa.eu/legal-content/FR/TXT/?uri=CELEX%3A32022L2555&amp;qid=1718263585642" TargetMode="External"/><Relationship Id="rId55" Type="http://schemas.openxmlformats.org/officeDocument/2006/relationships/hyperlink" Target="https://health.ec.europa.eu/health-emergency-preparedness-and-response-hera/overview/critical-medicines-alliance_en" TargetMode="External"/><Relationship Id="rId63" Type="http://schemas.openxmlformats.org/officeDocument/2006/relationships/hyperlink" Target="https://www.ema.europa.eu/en/human-regulatory-overview/post-authorisation/medicine-shortages-availability-issues/availability-medicines-during-crises/union-list-critical-medicines" TargetMode="External"/><Relationship Id="rId68" Type="http://schemas.openxmlformats.org/officeDocument/2006/relationships/hyperlink" Target="https://www.oecd.org/en/publications/shortages-of-medicines-in-oecd-countries_b5d9e15d-en.html" TargetMode="External"/><Relationship Id="rId76" Type="http://schemas.openxmlformats.org/officeDocument/2006/relationships/hyperlink" Target="http://data.europa.eu/eli/reg/2016/369/oj)." TargetMode="External"/><Relationship Id="rId84" Type="http://schemas.openxmlformats.org/officeDocument/2006/relationships/hyperlink" Target="http://data.europa.eu/eli/reg/2024/2509/oj" TargetMode="External"/><Relationship Id="rId7" Type="http://schemas.openxmlformats.org/officeDocument/2006/relationships/hyperlink" Target="https://single-market-economy.ec.europa.eu/industry/strategy/intellectual-property/patent-protection-eu_en" TargetMode="External"/><Relationship Id="rId71" Type="http://schemas.openxmlformats.org/officeDocument/2006/relationships/hyperlink" Target="http://data.europa.eu/eli/reg/2021/694/2023-09-21" TargetMode="External"/><Relationship Id="rId2" Type="http://schemas.openxmlformats.org/officeDocument/2006/relationships/hyperlink" Target="https://www.iqvia.com/-/media/iqvia/pdfs/library/white-papers/iqvia-true-value-of-generic-medicines-04-24-forweb.pdf" TargetMode="External"/><Relationship Id="rId16" Type="http://schemas.openxmlformats.org/officeDocument/2006/relationships/hyperlink" Target="https://eur-lex.europa.eu/legal-content/FR/TXT/PDF/?uri=CELEX:52023DC0672R(01)" TargetMode="External"/><Relationship Id="rId29" Type="http://schemas.openxmlformats.org/officeDocument/2006/relationships/hyperlink" Target="https://health.ec.europa.eu/medicinal-products/pharmaceutical-strategy-europe_fr" TargetMode="External"/><Relationship Id="rId11" Type="http://schemas.openxmlformats.org/officeDocument/2006/relationships/hyperlink" Target="https://health.ec.europa.eu/medicinal-products/pharmaceutical-strategy-europe_fr" TargetMode="External"/><Relationship Id="rId24" Type="http://schemas.openxmlformats.org/officeDocument/2006/relationships/hyperlink" Target="https://ec.europa.eu/commission/presscorner/detail/fr/ip_23_1661" TargetMode="External"/><Relationship Id="rId32" Type="http://schemas.openxmlformats.org/officeDocument/2006/relationships/hyperlink" Target="https://health.ec.europa.eu/system/files/2022-10/mp_vulnerabilities_global-supply_swd_en.pdf" TargetMode="External"/><Relationship Id="rId37" Type="http://schemas.openxmlformats.org/officeDocument/2006/relationships/hyperlink" Target="https://eur-lex.europa.eu/eli/reg/2022/2372/oj/fra" TargetMode="External"/><Relationship Id="rId40" Type="http://schemas.openxmlformats.org/officeDocument/2006/relationships/hyperlink" Target="https://commission.europa.eu/priorities-2024-2029/competitiveness_fr" TargetMode="External"/><Relationship Id="rId45" Type="http://schemas.openxmlformats.org/officeDocument/2006/relationships/hyperlink" Target="https://commission.europa.eu/topics/eu-competitiveness/clean-industrial-deal_fr" TargetMode="External"/><Relationship Id="rId53" Type="http://schemas.openxmlformats.org/officeDocument/2006/relationships/hyperlink" Target="https://health.ec.europa.eu/medicinal-products/pharmaceutical-strategy-europe/reform-eu-pharmaceutical-legislation_en" TargetMode="External"/><Relationship Id="rId58" Type="http://schemas.openxmlformats.org/officeDocument/2006/relationships/hyperlink" Target="https://health.ec.europa.eu/document/download/bd92f46c-4c55-4fed-8642-81b0aa30ff22_en?filename=structured-dialogue_lp_en.pdf" TargetMode="External"/><Relationship Id="rId66" Type="http://schemas.openxmlformats.org/officeDocument/2006/relationships/hyperlink" Target="https://op.europa.eu/s/z1Rz" TargetMode="External"/><Relationship Id="rId74" Type="http://schemas.openxmlformats.org/officeDocument/2006/relationships/hyperlink" Target="https://op.europa.eu/fr/publication-detail/-/publication/d1d3df9b-03e9-11ed-acce-01aa75ed71a1" TargetMode="External"/><Relationship Id="rId79" Type="http://schemas.openxmlformats.org/officeDocument/2006/relationships/hyperlink" Target="http://data.europa.eu/eli/reg/2021/522/oj)." TargetMode="External"/><Relationship Id="rId5" Type="http://schemas.openxmlformats.org/officeDocument/2006/relationships/hyperlink" Target="https://www.ema.europa.eu/en/human-regulatory-overview/marketing-authorisation/generic-hybrid-medicines" TargetMode="External"/><Relationship Id="rId61" Type="http://schemas.openxmlformats.org/officeDocument/2006/relationships/hyperlink" Target="https://health.ec.europa.eu/health-emergency-preparedness-and-response-hera/overview/critical-medicines-alliance_en" TargetMode="External"/><Relationship Id="rId82" Type="http://schemas.openxmlformats.org/officeDocument/2006/relationships/hyperlink" Target="https://eur-lex.europa.eu/legal-content/FR/AUTO/?uri=OJ:L:2014:094:TOC" TargetMode="External"/><Relationship Id="rId19" Type="http://schemas.openxmlformats.org/officeDocument/2006/relationships/hyperlink" Target="https://health.ec.europa.eu/health-emergency-preparedness-and-response-hera/overview/critical-medicines-alliance_en" TargetMode="External"/><Relationship Id="rId4" Type="http://schemas.openxmlformats.org/officeDocument/2006/relationships/hyperlink" Target="https://www.iqvia.com/-/media/iqvia/pdfs/library/white-papers/iqvia-true-value-of-generic-medicines-04-24-forweb.pdf" TargetMode="External"/><Relationship Id="rId9" Type="http://schemas.openxmlformats.org/officeDocument/2006/relationships/hyperlink" Target="https://www.europarl.europa.eu/doceo/document/TA-8-2017-0061_FR.html" TargetMode="External"/><Relationship Id="rId14" Type="http://schemas.openxmlformats.org/officeDocument/2006/relationships/hyperlink" Target="https://health.ec.europa.eu/medicinal-products/pharmaceutical-strategy-europe/reform-eu-pharmaceutical-legislation_en" TargetMode="External"/><Relationship Id="rId22" Type="http://schemas.openxmlformats.org/officeDocument/2006/relationships/hyperlink" Target="https://commission.europa.eu/document/download/b1817a1b-e62e-4949-bbb8-ebf29b54c8bd_en?filename=Mission%20letter%20-%20VARHELYI.pdf" TargetMode="External"/><Relationship Id="rId27" Type="http://schemas.openxmlformats.org/officeDocument/2006/relationships/hyperlink" Target="https://eur-lex.europa.eu/legal-content/FR/TXT/?uri=oj:JOC_2012_326_R_TOC" TargetMode="External"/><Relationship Id="rId30" Type="http://schemas.openxmlformats.org/officeDocument/2006/relationships/hyperlink" Target="https://eur-lex.europa.eu/legal-content/FR/TXT/?uri=celex:52023PC0193" TargetMode="External"/><Relationship Id="rId35" Type="http://schemas.openxmlformats.org/officeDocument/2006/relationships/hyperlink" Target="https://www.ema.europa.eu/en/human-regulatory-overview/post-authorisation/medicine-shortages-availability-issues/european-shortages-monitoring-platform" TargetMode="External"/><Relationship Id="rId43" Type="http://schemas.openxmlformats.org/officeDocument/2006/relationships/hyperlink" Target="https://eur-lex.europa.eu/eli/reg/2021/695/oj/fra" TargetMode="External"/><Relationship Id="rId48" Type="http://schemas.openxmlformats.org/officeDocument/2006/relationships/hyperlink" Target="https://finance.ec.europa.eu/publications/commission-simplifies-rules-sustainability-and-eu-investments-delivering-over-eu6-billion_en" TargetMode="External"/><Relationship Id="rId56" Type="http://schemas.openxmlformats.org/officeDocument/2006/relationships/hyperlink" Target="https://health.ec.europa.eu/medicinal-products/pharmaceutical-strategy-europe/reform-eu-pharmaceutical-legislation_en" TargetMode="External"/><Relationship Id="rId64" Type="http://schemas.openxmlformats.org/officeDocument/2006/relationships/hyperlink" Target="https://www.ema.europa.eu/en/human-regulatory-overview/post-authorisation/medicine-shortages-availability-issues/availability-medicines-during-crises/union-list-critical-medicines" TargetMode="External"/><Relationship Id="rId69" Type="http://schemas.openxmlformats.org/officeDocument/2006/relationships/hyperlink" Target="http://data.europa.eu/eli/reg/2022/123/oj)." TargetMode="External"/><Relationship Id="rId77" Type="http://schemas.openxmlformats.org/officeDocument/2006/relationships/hyperlink" Target="http://data.europa.eu/eli/reg/2022/2372/oj)." TargetMode="External"/><Relationship Id="rId8" Type="http://schemas.openxmlformats.org/officeDocument/2006/relationships/hyperlink" Target="https://www.ja-chessmen.eu/work-packages" TargetMode="External"/><Relationship Id="rId51" Type="http://schemas.openxmlformats.org/officeDocument/2006/relationships/hyperlink" Target="https://eur-lex.europa.eu/eli/reg/2024/903/oj/fra" TargetMode="External"/><Relationship Id="rId72" Type="http://schemas.openxmlformats.org/officeDocument/2006/relationships/hyperlink" Target="http://data.europa.eu/eli/reg/2021/695/oj)." TargetMode="External"/><Relationship Id="rId80" Type="http://schemas.openxmlformats.org/officeDocument/2006/relationships/hyperlink" Target="http://data.europa.eu/eli/reg/2021/695/oj)." TargetMode="External"/><Relationship Id="rId85" Type="http://schemas.openxmlformats.org/officeDocument/2006/relationships/hyperlink" Target="https://myintracomm.ec.europa.eu/corp/budget/financial-rules/budget-implementation/Pages/implementation-methods.aspx" TargetMode="External"/><Relationship Id="rId3" Type="http://schemas.openxmlformats.org/officeDocument/2006/relationships/hyperlink" Target="https://www.iqvia.com/-/media/iqvia/pdfs/library/white-papers/iqvia-true-value-of-generic-medicines-04-24-forweb.pdf" TargetMode="External"/><Relationship Id="rId12" Type="http://schemas.openxmlformats.org/officeDocument/2006/relationships/hyperlink" Target="https://health.ec.europa.eu/medicinal-products/pharmaceutical-strategy-europe/structured-dialogue-security-medicines-supply_en" TargetMode="External"/><Relationship Id="rId17" Type="http://schemas.openxmlformats.org/officeDocument/2006/relationships/hyperlink" Target="https://www.ema.europa.eu/en/human-regulatory-overview/post-authorisation/medicine-shortages-availability-issues/availability-medicines-during-crises/union-list-critical-medicines" TargetMode="External"/><Relationship Id="rId25" Type="http://schemas.openxmlformats.org/officeDocument/2006/relationships/hyperlink" Target="https://single-market-economy.ec.europa.eu/industry/sustainability/net-zero-industry-act_en" TargetMode="External"/><Relationship Id="rId33" Type="http://schemas.openxmlformats.org/officeDocument/2006/relationships/hyperlink" Target="https://eur-lex.europa.eu/legal-content/FR/TXT/?uri=uriserv%3AOJ.L_.2022.020.01.0001.01.FRA" TargetMode="External"/><Relationship Id="rId38" Type="http://schemas.openxmlformats.org/officeDocument/2006/relationships/hyperlink" Target="https://eur-lex.europa.eu/eli/reg/2021/2282/oj/fra" TargetMode="External"/><Relationship Id="rId46" Type="http://schemas.openxmlformats.org/officeDocument/2006/relationships/hyperlink" Target="https://commission.europa.eu/publications/eu-financial-regulation_fr" TargetMode="External"/><Relationship Id="rId59" Type="http://schemas.openxmlformats.org/officeDocument/2006/relationships/hyperlink" Target="https://health.ec.europa.eu/medicinal-products/pharmaceutical-strategy-europe/reform-eu-pharmaceutical-legislation_en" TargetMode="External"/><Relationship Id="rId67" Type="http://schemas.openxmlformats.org/officeDocument/2006/relationships/hyperlink" Target="https://efcg.cefic.org/wp-content/uploads/2025/01/Advancy-Sicos-report-extract-protected.pdf" TargetMode="External"/><Relationship Id="rId20" Type="http://schemas.openxmlformats.org/officeDocument/2006/relationships/hyperlink" Target="https://ec.europa.eu/commission/presscorner/detail/fr/ip_24_2229" TargetMode="External"/><Relationship Id="rId41" Type="http://schemas.openxmlformats.org/officeDocument/2006/relationships/hyperlink" Target="https://eur-lex.europa.eu/legal-content/FR/TXT/PDF/?uri=CELEX:52020DC0761" TargetMode="External"/><Relationship Id="rId54" Type="http://schemas.openxmlformats.org/officeDocument/2006/relationships/hyperlink" Target="https://health.ec.europa.eu/medicinal-products/pharmaceutical-strategy-europe/structured-dialogue-security-medicines-supply_en" TargetMode="External"/><Relationship Id="rId62" Type="http://schemas.openxmlformats.org/officeDocument/2006/relationships/hyperlink" Target="https://ec.europa.eu/info/law/better-regulation/have-your-say/initiatives/14486-Reglement-sur-les-medicaments-critiques_fr" TargetMode="External"/><Relationship Id="rId70" Type="http://schemas.openxmlformats.org/officeDocument/2006/relationships/hyperlink" Target="http://data.europa.eu/eli/reg/2021/522/oj)." TargetMode="External"/><Relationship Id="rId75" Type="http://schemas.openxmlformats.org/officeDocument/2006/relationships/hyperlink" Target="http://data.europa.eu/eli/reg/2022/2371/oj)." TargetMode="External"/><Relationship Id="rId83" Type="http://schemas.openxmlformats.org/officeDocument/2006/relationships/hyperlink" Target="http://data.europa.eu/eli/dir/2014/24/2024-01-01" TargetMode="External"/><Relationship Id="rId1" Type="http://schemas.openxmlformats.org/officeDocument/2006/relationships/hyperlink" Target="https://health.ec.europa.eu/publications/impact-assessment-report-and-executive-summary-accompanying-revision-general-pharmaceutical_en" TargetMode="External"/><Relationship Id="rId6" Type="http://schemas.openxmlformats.org/officeDocument/2006/relationships/hyperlink" Target="https://www.ema.europa.eu/en/human-regulatory-overview/marketing-authorisation/generic-hybrid-medicines" TargetMode="External"/><Relationship Id="rId15" Type="http://schemas.openxmlformats.org/officeDocument/2006/relationships/hyperlink" Target="https://eur-lex.europa.eu/legal-content/FR/TXT/?uri=uriserv%3AOJ.L_.2022.020.01.0001.01.FRA" TargetMode="External"/><Relationship Id="rId23" Type="http://schemas.openxmlformats.org/officeDocument/2006/relationships/hyperlink" Target="https://commission.europa.eu/strategy-and-policy/priorities-2019-2024/promoting-our-european-way-life/european-health-union_fr" TargetMode="External"/><Relationship Id="rId28" Type="http://schemas.openxmlformats.org/officeDocument/2006/relationships/hyperlink" Target="https://health.ec.europa.eu/medicinal-products/pharmaceutical-strategy-europe/reform-eu-pharmaceutical-legislation_en" TargetMode="External"/><Relationship Id="rId36" Type="http://schemas.openxmlformats.org/officeDocument/2006/relationships/hyperlink" Target="https://eur-lex.europa.eu/eli/reg/2022/2371/oj/fra" TargetMode="External"/><Relationship Id="rId49" Type="http://schemas.openxmlformats.org/officeDocument/2006/relationships/hyperlink" Target="https://eur-lex.europa.eu/eli/reg/2024/1689/oj/fra" TargetMode="External"/><Relationship Id="rId57" Type="http://schemas.openxmlformats.org/officeDocument/2006/relationships/hyperlink" Target="https://op.europa.eu/en/publication-detail/-/publication/1f8185d5-5325-11ec-91ac-01aa75ed71a1/language-en" TargetMode="External"/><Relationship Id="rId10" Type="http://schemas.openxmlformats.org/officeDocument/2006/relationships/hyperlink" Target="https://data.consilium.europa.eu/doc/document/ST-9750-2021-INIT/fr/pdf" TargetMode="External"/><Relationship Id="rId31" Type="http://schemas.openxmlformats.org/officeDocument/2006/relationships/hyperlink" Target="https://health.ec.europa.eu/medicinal-products/pharmaceutical-strategy-europe/structured-dialogue-security-medicines-supply_en" TargetMode="External"/><Relationship Id="rId44" Type="http://schemas.openxmlformats.org/officeDocument/2006/relationships/hyperlink" Target="https://eur-lex.europa.eu/legal-content/FR/TXT/?uri=celex:52020DC0102" TargetMode="External"/><Relationship Id="rId52" Type="http://schemas.openxmlformats.org/officeDocument/2006/relationships/hyperlink" Target="https://ted.europa.eu/fr/" TargetMode="External"/><Relationship Id="rId60" Type="http://schemas.openxmlformats.org/officeDocument/2006/relationships/hyperlink" Target="https://health.ec.europa.eu/document/download/783cdcbd-791e-4a92-ae3e-2cb55b7b4414_en?filename=mp_ia_revision-pharma-legislation_annexes_4-6_9-14_en.pdf" TargetMode="External"/><Relationship Id="rId65" Type="http://schemas.openxmlformats.org/officeDocument/2006/relationships/hyperlink" Target="https://health.ec.europa.eu/latest-updates/commission-assessment-shows-need-reinforce-resilience-critical-medicines-supply-chains-2024-07-10_en" TargetMode="External"/><Relationship Id="rId73" Type="http://schemas.openxmlformats.org/officeDocument/2006/relationships/hyperlink" Target="http://data.europa.eu/eli/reg/2024/795/oj)." TargetMode="External"/><Relationship Id="rId78" Type="http://schemas.openxmlformats.org/officeDocument/2006/relationships/hyperlink" Target="http://data.europa.eu/eli/reg/2020/2093/oj)." TargetMode="External"/><Relationship Id="rId81" Type="http://schemas.openxmlformats.org/officeDocument/2006/relationships/hyperlink" Target="http://data.europa.eu/eli/reg/2021/694/2023-09-2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A097C0D8CB854C8C55A6C28E332560" ma:contentTypeVersion="4" ma:contentTypeDescription="Create a new document." ma:contentTypeScope="" ma:versionID="f548d2d038b955108b4f58ebe2f3a254">
  <xsd:schema xmlns:xsd="http://www.w3.org/2001/XMLSchema" xmlns:xs="http://www.w3.org/2001/XMLSchema" xmlns:p="http://schemas.microsoft.com/office/2006/metadata/properties" xmlns:ns2="f169fe71-bc85-47a7-b401-02373f13cbab" targetNamespace="http://schemas.microsoft.com/office/2006/metadata/properties" ma:root="true" ma:fieldsID="35c02513ffc13f57453046f57696dc4e" ns2:_="">
    <xsd:import namespace="f169fe71-bc85-47a7-b401-02373f13cb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9fe71-bc85-47a7-b401-02373f13cb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F828BA-0761-4D76-BBD0-AFCB167329C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A5C6FA0-E089-4C5C-945D-CC150E9C61E3}">
  <ds:schemaRefs>
    <ds:schemaRef ds:uri="http://schemas.microsoft.com/sharepoint/v3/contenttype/forms"/>
  </ds:schemaRefs>
</ds:datastoreItem>
</file>

<file path=customXml/itemProps3.xml><?xml version="1.0" encoding="utf-8"?>
<ds:datastoreItem xmlns:ds="http://schemas.openxmlformats.org/officeDocument/2006/customXml" ds:itemID="{2EF50C73-E8B0-478C-B0DB-141B016E96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9fe71-bc85-47a7-b401-02373f13cb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2EF82B-C5A3-4659-BEAA-4E46E2008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16</Pages>
  <Words>28186</Words>
  <Characters>160661</Characters>
  <Application>Microsoft Office Word</Application>
  <DocSecurity>0</DocSecurity>
  <Lines>1338</Lines>
  <Paragraphs>376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188471</CharactersWithSpaces>
  <SharedDoc>false</SharedDoc>
  <HLinks>
    <vt:vector size="468" baseType="variant">
      <vt:variant>
        <vt:i4>262150</vt:i4>
      </vt:variant>
      <vt:variant>
        <vt:i4>234</vt:i4>
      </vt:variant>
      <vt:variant>
        <vt:i4>0</vt:i4>
      </vt:variant>
      <vt:variant>
        <vt:i4>5</vt:i4>
      </vt:variant>
      <vt:variant>
        <vt:lpwstr>https://myintracomm.ec.europa.eu/corp/budget/financial-rules/budget-implementation/Pages/implementation-methods.aspx</vt:lpwstr>
      </vt:variant>
      <vt:variant>
        <vt:lpwstr/>
      </vt:variant>
      <vt:variant>
        <vt:i4>7209056</vt:i4>
      </vt:variant>
      <vt:variant>
        <vt:i4>231</vt:i4>
      </vt:variant>
      <vt:variant>
        <vt:i4>0</vt:i4>
      </vt:variant>
      <vt:variant>
        <vt:i4>5</vt:i4>
      </vt:variant>
      <vt:variant>
        <vt:lpwstr>http://data.europa.eu/eli/reg/2024/2509/oj</vt:lpwstr>
      </vt:variant>
      <vt:variant>
        <vt:lpwstr/>
      </vt:variant>
      <vt:variant>
        <vt:i4>1048603</vt:i4>
      </vt:variant>
      <vt:variant>
        <vt:i4>228</vt:i4>
      </vt:variant>
      <vt:variant>
        <vt:i4>0</vt:i4>
      </vt:variant>
      <vt:variant>
        <vt:i4>5</vt:i4>
      </vt:variant>
      <vt:variant>
        <vt:lpwstr>http://data.europa.eu/eli/dir/2014/24/2024-01-01</vt:lpwstr>
      </vt:variant>
      <vt:variant>
        <vt:lpwstr/>
      </vt:variant>
      <vt:variant>
        <vt:i4>7340151</vt:i4>
      </vt:variant>
      <vt:variant>
        <vt:i4>225</vt:i4>
      </vt:variant>
      <vt:variant>
        <vt:i4>0</vt:i4>
      </vt:variant>
      <vt:variant>
        <vt:i4>5</vt:i4>
      </vt:variant>
      <vt:variant>
        <vt:lpwstr>https://eur-lex.europa.eu/legal-content/EN/AUTO/?uri=OJ:L:2014:094:TOC</vt:lpwstr>
      </vt:variant>
      <vt:variant>
        <vt:lpwstr/>
      </vt:variant>
      <vt:variant>
        <vt:i4>524299</vt:i4>
      </vt:variant>
      <vt:variant>
        <vt:i4>222</vt:i4>
      </vt:variant>
      <vt:variant>
        <vt:i4>0</vt:i4>
      </vt:variant>
      <vt:variant>
        <vt:i4>5</vt:i4>
      </vt:variant>
      <vt:variant>
        <vt:lpwstr>http://data.europa.eu/eli/reg/2021/694/2023-09-21</vt:lpwstr>
      </vt:variant>
      <vt:variant>
        <vt:lpwstr/>
      </vt:variant>
      <vt:variant>
        <vt:i4>4194325</vt:i4>
      </vt:variant>
      <vt:variant>
        <vt:i4>219</vt:i4>
      </vt:variant>
      <vt:variant>
        <vt:i4>0</vt:i4>
      </vt:variant>
      <vt:variant>
        <vt:i4>5</vt:i4>
      </vt:variant>
      <vt:variant>
        <vt:lpwstr>http://data.europa.eu/eli/reg/2021/695/oj</vt:lpwstr>
      </vt:variant>
      <vt:variant>
        <vt:lpwstr/>
      </vt:variant>
      <vt:variant>
        <vt:i4>4456478</vt:i4>
      </vt:variant>
      <vt:variant>
        <vt:i4>216</vt:i4>
      </vt:variant>
      <vt:variant>
        <vt:i4>0</vt:i4>
      </vt:variant>
      <vt:variant>
        <vt:i4>5</vt:i4>
      </vt:variant>
      <vt:variant>
        <vt:lpwstr>http://data.europa.eu/eli/reg/2021/522/oj</vt:lpwstr>
      </vt:variant>
      <vt:variant>
        <vt:lpwstr/>
      </vt:variant>
      <vt:variant>
        <vt:i4>6488175</vt:i4>
      </vt:variant>
      <vt:variant>
        <vt:i4>213</vt:i4>
      </vt:variant>
      <vt:variant>
        <vt:i4>0</vt:i4>
      </vt:variant>
      <vt:variant>
        <vt:i4>5</vt:i4>
      </vt:variant>
      <vt:variant>
        <vt:lpwstr>http://data.europa.eu/eli/reg/2020/2093/oj</vt:lpwstr>
      </vt:variant>
      <vt:variant>
        <vt:lpwstr/>
      </vt:variant>
      <vt:variant>
        <vt:i4>7274605</vt:i4>
      </vt:variant>
      <vt:variant>
        <vt:i4>210</vt:i4>
      </vt:variant>
      <vt:variant>
        <vt:i4>0</vt:i4>
      </vt:variant>
      <vt:variant>
        <vt:i4>5</vt:i4>
      </vt:variant>
      <vt:variant>
        <vt:lpwstr>http://data.europa.eu/eli/reg/2022/2372/oj</vt:lpwstr>
      </vt:variant>
      <vt:variant>
        <vt:lpwstr/>
      </vt:variant>
      <vt:variant>
        <vt:i4>5111833</vt:i4>
      </vt:variant>
      <vt:variant>
        <vt:i4>204</vt:i4>
      </vt:variant>
      <vt:variant>
        <vt:i4>0</vt:i4>
      </vt:variant>
      <vt:variant>
        <vt:i4>5</vt:i4>
      </vt:variant>
      <vt:variant>
        <vt:lpwstr>http://data.europa.eu/eli/reg/2016/369/oj</vt:lpwstr>
      </vt:variant>
      <vt:variant>
        <vt:lpwstr/>
      </vt:variant>
      <vt:variant>
        <vt:i4>7274606</vt:i4>
      </vt:variant>
      <vt:variant>
        <vt:i4>201</vt:i4>
      </vt:variant>
      <vt:variant>
        <vt:i4>0</vt:i4>
      </vt:variant>
      <vt:variant>
        <vt:i4>5</vt:i4>
      </vt:variant>
      <vt:variant>
        <vt:lpwstr>http://data.europa.eu/eli/reg/2022/2371/oj</vt:lpwstr>
      </vt:variant>
      <vt:variant>
        <vt:lpwstr/>
      </vt:variant>
      <vt:variant>
        <vt:i4>1769548</vt:i4>
      </vt:variant>
      <vt:variant>
        <vt:i4>198</vt:i4>
      </vt:variant>
      <vt:variant>
        <vt:i4>0</vt:i4>
      </vt:variant>
      <vt:variant>
        <vt:i4>5</vt:i4>
      </vt:variant>
      <vt:variant>
        <vt:lpwstr>https://op.europa.eu/en/publication-detail/-/publication/d1d3df9b-03e9-11ed-acce-01aa75ed71a1/language-en</vt:lpwstr>
      </vt:variant>
      <vt:variant>
        <vt:lpwstr/>
      </vt:variant>
      <vt:variant>
        <vt:i4>4456469</vt:i4>
      </vt:variant>
      <vt:variant>
        <vt:i4>195</vt:i4>
      </vt:variant>
      <vt:variant>
        <vt:i4>0</vt:i4>
      </vt:variant>
      <vt:variant>
        <vt:i4>5</vt:i4>
      </vt:variant>
      <vt:variant>
        <vt:lpwstr>http://data.europa.eu/eli/reg/2024/795/oj</vt:lpwstr>
      </vt:variant>
      <vt:variant>
        <vt:lpwstr/>
      </vt:variant>
      <vt:variant>
        <vt:i4>4194325</vt:i4>
      </vt:variant>
      <vt:variant>
        <vt:i4>192</vt:i4>
      </vt:variant>
      <vt:variant>
        <vt:i4>0</vt:i4>
      </vt:variant>
      <vt:variant>
        <vt:i4>5</vt:i4>
      </vt:variant>
      <vt:variant>
        <vt:lpwstr>http://data.europa.eu/eli/reg/2021/695/oj</vt:lpwstr>
      </vt:variant>
      <vt:variant>
        <vt:lpwstr/>
      </vt:variant>
      <vt:variant>
        <vt:i4>524299</vt:i4>
      </vt:variant>
      <vt:variant>
        <vt:i4>189</vt:i4>
      </vt:variant>
      <vt:variant>
        <vt:i4>0</vt:i4>
      </vt:variant>
      <vt:variant>
        <vt:i4>5</vt:i4>
      </vt:variant>
      <vt:variant>
        <vt:lpwstr>http://data.europa.eu/eli/reg/2021/694/2023-09-21</vt:lpwstr>
      </vt:variant>
      <vt:variant>
        <vt:lpwstr/>
      </vt:variant>
      <vt:variant>
        <vt:i4>4456478</vt:i4>
      </vt:variant>
      <vt:variant>
        <vt:i4>186</vt:i4>
      </vt:variant>
      <vt:variant>
        <vt:i4>0</vt:i4>
      </vt:variant>
      <vt:variant>
        <vt:i4>5</vt:i4>
      </vt:variant>
      <vt:variant>
        <vt:lpwstr>http://data.europa.eu/eli/reg/2021/522/oj</vt:lpwstr>
      </vt:variant>
      <vt:variant>
        <vt:lpwstr/>
      </vt:variant>
      <vt:variant>
        <vt:i4>4325406</vt:i4>
      </vt:variant>
      <vt:variant>
        <vt:i4>183</vt:i4>
      </vt:variant>
      <vt:variant>
        <vt:i4>0</vt:i4>
      </vt:variant>
      <vt:variant>
        <vt:i4>5</vt:i4>
      </vt:variant>
      <vt:variant>
        <vt:lpwstr>http://data.europa.eu/eli/reg/2022/123/oj</vt:lpwstr>
      </vt:variant>
      <vt:variant>
        <vt:lpwstr/>
      </vt:variant>
      <vt:variant>
        <vt:i4>393324</vt:i4>
      </vt:variant>
      <vt:variant>
        <vt:i4>180</vt:i4>
      </vt:variant>
      <vt:variant>
        <vt:i4>0</vt:i4>
      </vt:variant>
      <vt:variant>
        <vt:i4>5</vt:i4>
      </vt:variant>
      <vt:variant>
        <vt:lpwstr>https://www.oecd.org/en/publications/shortages-of-medicines-in-oecd-countries_b5d9e15d-en.html</vt:lpwstr>
      </vt:variant>
      <vt:variant>
        <vt:lpwstr/>
      </vt:variant>
      <vt:variant>
        <vt:i4>5636190</vt:i4>
      </vt:variant>
      <vt:variant>
        <vt:i4>177</vt:i4>
      </vt:variant>
      <vt:variant>
        <vt:i4>0</vt:i4>
      </vt:variant>
      <vt:variant>
        <vt:i4>5</vt:i4>
      </vt:variant>
      <vt:variant>
        <vt:lpwstr>https://efcg.cefic.org/wp-content/uploads/2025/01/Advancy-Sicos-report-extract-protected.pdf</vt:lpwstr>
      </vt:variant>
      <vt:variant>
        <vt:lpwstr/>
      </vt:variant>
      <vt:variant>
        <vt:i4>2490414</vt:i4>
      </vt:variant>
      <vt:variant>
        <vt:i4>174</vt:i4>
      </vt:variant>
      <vt:variant>
        <vt:i4>0</vt:i4>
      </vt:variant>
      <vt:variant>
        <vt:i4>5</vt:i4>
      </vt:variant>
      <vt:variant>
        <vt:lpwstr>https://op.europa.eu/s/z1Rz</vt:lpwstr>
      </vt:variant>
      <vt:variant>
        <vt:lpwstr/>
      </vt:variant>
      <vt:variant>
        <vt:i4>3145805</vt:i4>
      </vt:variant>
      <vt:variant>
        <vt:i4>171</vt:i4>
      </vt:variant>
      <vt:variant>
        <vt:i4>0</vt:i4>
      </vt:variant>
      <vt:variant>
        <vt:i4>5</vt:i4>
      </vt:variant>
      <vt:variant>
        <vt:lpwstr>https://health.ec.europa.eu/latest-updates/commission-assessment-shows-need-reinforce-resilience-critical-medicines-supply-chains-2024-07-10_en</vt:lpwstr>
      </vt:variant>
      <vt:variant>
        <vt:lpwstr/>
      </vt:variant>
      <vt:variant>
        <vt:i4>7340131</vt:i4>
      </vt:variant>
      <vt:variant>
        <vt:i4>168</vt:i4>
      </vt:variant>
      <vt:variant>
        <vt:i4>0</vt:i4>
      </vt:variant>
      <vt:variant>
        <vt:i4>5</vt:i4>
      </vt:variant>
      <vt:variant>
        <vt:lpwstr>https://www.ema.europa.eu/en/human-regulatory-overview/post-authorisation/medicine-shortages-availability-issues/availability-medicines-during-crises/union-list-critical-medicines</vt:lpwstr>
      </vt:variant>
      <vt:variant>
        <vt:lpwstr/>
      </vt:variant>
      <vt:variant>
        <vt:i4>1179705</vt:i4>
      </vt:variant>
      <vt:variant>
        <vt:i4>165</vt:i4>
      </vt:variant>
      <vt:variant>
        <vt:i4>0</vt:i4>
      </vt:variant>
      <vt:variant>
        <vt:i4>5</vt:i4>
      </vt:variant>
      <vt:variant>
        <vt:lpwstr>https://ec.europa.eu/info/law/better-regulation/have-your-say/initiatives/14486-Critical-Medicines-Act_en</vt:lpwstr>
      </vt:variant>
      <vt:variant>
        <vt:lpwstr/>
      </vt:variant>
      <vt:variant>
        <vt:i4>7012354</vt:i4>
      </vt:variant>
      <vt:variant>
        <vt:i4>162</vt:i4>
      </vt:variant>
      <vt:variant>
        <vt:i4>0</vt:i4>
      </vt:variant>
      <vt:variant>
        <vt:i4>5</vt:i4>
      </vt:variant>
      <vt:variant>
        <vt:lpwstr>https://health.ec.europa.eu/health-emergency-preparedness-and-response-hera/overview/critical-medicines-alliance_en</vt:lpwstr>
      </vt:variant>
      <vt:variant>
        <vt:lpwstr>strategic-report</vt:lpwstr>
      </vt:variant>
      <vt:variant>
        <vt:i4>4522017</vt:i4>
      </vt:variant>
      <vt:variant>
        <vt:i4>159</vt:i4>
      </vt:variant>
      <vt:variant>
        <vt:i4>0</vt:i4>
      </vt:variant>
      <vt:variant>
        <vt:i4>5</vt:i4>
      </vt:variant>
      <vt:variant>
        <vt:lpwstr>https://health.ec.europa.eu/document/download/783cdcbd-791e-4a92-ae3e-2cb55b7b4414_en?filename=mp_ia_revision-pharma-legislation_annexes_4-6_9-14_en.pdf</vt:lpwstr>
      </vt:variant>
      <vt:variant>
        <vt:lpwstr/>
      </vt:variant>
      <vt:variant>
        <vt:i4>1704037</vt:i4>
      </vt:variant>
      <vt:variant>
        <vt:i4>156</vt:i4>
      </vt:variant>
      <vt:variant>
        <vt:i4>0</vt:i4>
      </vt:variant>
      <vt:variant>
        <vt:i4>5</vt:i4>
      </vt:variant>
      <vt:variant>
        <vt:lpwstr>https://health.ec.europa.eu/medicinal-products/pharmaceutical-strategy-europe/reform-eu-pharmaceutical-legislation_en</vt:lpwstr>
      </vt:variant>
      <vt:variant>
        <vt:lpwstr/>
      </vt:variant>
      <vt:variant>
        <vt:i4>8060992</vt:i4>
      </vt:variant>
      <vt:variant>
        <vt:i4>153</vt:i4>
      </vt:variant>
      <vt:variant>
        <vt:i4>0</vt:i4>
      </vt:variant>
      <vt:variant>
        <vt:i4>5</vt:i4>
      </vt:variant>
      <vt:variant>
        <vt:lpwstr>https://health.ec.europa.eu/document/download/bd92f46c-4c55-4fed-8642-81b0aa30ff22_en?filename=structured-dialogue_lp_en.pdf</vt:lpwstr>
      </vt:variant>
      <vt:variant>
        <vt:lpwstr/>
      </vt:variant>
      <vt:variant>
        <vt:i4>4915218</vt:i4>
      </vt:variant>
      <vt:variant>
        <vt:i4>150</vt:i4>
      </vt:variant>
      <vt:variant>
        <vt:i4>0</vt:i4>
      </vt:variant>
      <vt:variant>
        <vt:i4>5</vt:i4>
      </vt:variant>
      <vt:variant>
        <vt:lpwstr>https://op.europa.eu/en/publication-detail/-/publication/1f8185d5-5325-11ec-91ac-01aa75ed71a1/language-en</vt:lpwstr>
      </vt:variant>
      <vt:variant>
        <vt:lpwstr/>
      </vt:variant>
      <vt:variant>
        <vt:i4>1704037</vt:i4>
      </vt:variant>
      <vt:variant>
        <vt:i4>147</vt:i4>
      </vt:variant>
      <vt:variant>
        <vt:i4>0</vt:i4>
      </vt:variant>
      <vt:variant>
        <vt:i4>5</vt:i4>
      </vt:variant>
      <vt:variant>
        <vt:lpwstr>https://health.ec.europa.eu/medicinal-products/pharmaceutical-strategy-europe/reform-eu-pharmaceutical-legislation_en</vt:lpwstr>
      </vt:variant>
      <vt:variant>
        <vt:lpwstr/>
      </vt:variant>
      <vt:variant>
        <vt:i4>2162691</vt:i4>
      </vt:variant>
      <vt:variant>
        <vt:i4>144</vt:i4>
      </vt:variant>
      <vt:variant>
        <vt:i4>0</vt:i4>
      </vt:variant>
      <vt:variant>
        <vt:i4>5</vt:i4>
      </vt:variant>
      <vt:variant>
        <vt:lpwstr>https://health.ec.europa.eu/health-emergency-preparedness-and-response-hera/overview/critical-medicines-alliance_en</vt:lpwstr>
      </vt:variant>
      <vt:variant>
        <vt:lpwstr/>
      </vt:variant>
      <vt:variant>
        <vt:i4>7536732</vt:i4>
      </vt:variant>
      <vt:variant>
        <vt:i4>141</vt:i4>
      </vt:variant>
      <vt:variant>
        <vt:i4>0</vt:i4>
      </vt:variant>
      <vt:variant>
        <vt:i4>5</vt:i4>
      </vt:variant>
      <vt:variant>
        <vt:lpwstr>https://health.ec.europa.eu/medicinal-products/pharmaceutical-strategy-europe/structured-dialogue-security-medicines-supply_en</vt:lpwstr>
      </vt:variant>
      <vt:variant>
        <vt:lpwstr>:~:text=the%20preliminary%20conclusions.-,The%20structured%20dialogue%20initiative,compromising%20the%20affordability%20of%20medicines.</vt:lpwstr>
      </vt:variant>
      <vt:variant>
        <vt:i4>1704037</vt:i4>
      </vt:variant>
      <vt:variant>
        <vt:i4>138</vt:i4>
      </vt:variant>
      <vt:variant>
        <vt:i4>0</vt:i4>
      </vt:variant>
      <vt:variant>
        <vt:i4>5</vt:i4>
      </vt:variant>
      <vt:variant>
        <vt:lpwstr>https://health.ec.europa.eu/medicinal-products/pharmaceutical-strategy-europe/reform-eu-pharmaceutical-legislation_en</vt:lpwstr>
      </vt:variant>
      <vt:variant>
        <vt:lpwstr/>
      </vt:variant>
      <vt:variant>
        <vt:i4>327689</vt:i4>
      </vt:variant>
      <vt:variant>
        <vt:i4>135</vt:i4>
      </vt:variant>
      <vt:variant>
        <vt:i4>0</vt:i4>
      </vt:variant>
      <vt:variant>
        <vt:i4>5</vt:i4>
      </vt:variant>
      <vt:variant>
        <vt:lpwstr>https://ted.europa.eu/en/</vt:lpwstr>
      </vt:variant>
      <vt:variant>
        <vt:lpwstr/>
      </vt:variant>
      <vt:variant>
        <vt:i4>1704025</vt:i4>
      </vt:variant>
      <vt:variant>
        <vt:i4>132</vt:i4>
      </vt:variant>
      <vt:variant>
        <vt:i4>0</vt:i4>
      </vt:variant>
      <vt:variant>
        <vt:i4>5</vt:i4>
      </vt:variant>
      <vt:variant>
        <vt:lpwstr>https://eur-lex.europa.eu/eli/reg/2024/903/oj/eng</vt:lpwstr>
      </vt:variant>
      <vt:variant>
        <vt:lpwstr/>
      </vt:variant>
      <vt:variant>
        <vt:i4>6160392</vt:i4>
      </vt:variant>
      <vt:variant>
        <vt:i4>129</vt:i4>
      </vt:variant>
      <vt:variant>
        <vt:i4>0</vt:i4>
      </vt:variant>
      <vt:variant>
        <vt:i4>5</vt:i4>
      </vt:variant>
      <vt:variant>
        <vt:lpwstr>https://eur-lex.europa.eu/legal-content/EN/TXT/?uri=CELEX%3A32022L2555&amp;qid=1718263585642</vt:lpwstr>
      </vt:variant>
      <vt:variant>
        <vt:lpwstr/>
      </vt:variant>
      <vt:variant>
        <vt:i4>7340136</vt:i4>
      </vt:variant>
      <vt:variant>
        <vt:i4>126</vt:i4>
      </vt:variant>
      <vt:variant>
        <vt:i4>0</vt:i4>
      </vt:variant>
      <vt:variant>
        <vt:i4>5</vt:i4>
      </vt:variant>
      <vt:variant>
        <vt:lpwstr>https://eur-lex.europa.eu/eli/reg/2024/1689/oj/eng</vt:lpwstr>
      </vt:variant>
      <vt:variant>
        <vt:lpwstr/>
      </vt:variant>
      <vt:variant>
        <vt:i4>1245308</vt:i4>
      </vt:variant>
      <vt:variant>
        <vt:i4>123</vt:i4>
      </vt:variant>
      <vt:variant>
        <vt:i4>0</vt:i4>
      </vt:variant>
      <vt:variant>
        <vt:i4>5</vt:i4>
      </vt:variant>
      <vt:variant>
        <vt:lpwstr>https://finance.ec.europa.eu/publications/commission-simplifies-rules-sustainability-and-eu-investments-delivering-over-eu6-billion_en</vt:lpwstr>
      </vt:variant>
      <vt:variant>
        <vt:lpwstr/>
      </vt:variant>
      <vt:variant>
        <vt:i4>6422551</vt:i4>
      </vt:variant>
      <vt:variant>
        <vt:i4>120</vt:i4>
      </vt:variant>
      <vt:variant>
        <vt:i4>0</vt:i4>
      </vt:variant>
      <vt:variant>
        <vt:i4>5</vt:i4>
      </vt:variant>
      <vt:variant>
        <vt:lpwstr>https://single-market-economy.ec.europa.eu/news/commission-launches-call-evidence-and-public-consultation-evaluation-public-procurement-directives-2024-12-13_en</vt:lpwstr>
      </vt:variant>
      <vt:variant>
        <vt:lpwstr/>
      </vt:variant>
      <vt:variant>
        <vt:i4>2883658</vt:i4>
      </vt:variant>
      <vt:variant>
        <vt:i4>117</vt:i4>
      </vt:variant>
      <vt:variant>
        <vt:i4>0</vt:i4>
      </vt:variant>
      <vt:variant>
        <vt:i4>5</vt:i4>
      </vt:variant>
      <vt:variant>
        <vt:lpwstr>https://commission.europa.eu/publications/eu-financial-regulation_en</vt:lpwstr>
      </vt:variant>
      <vt:variant>
        <vt:lpwstr/>
      </vt:variant>
      <vt:variant>
        <vt:i4>3801170</vt:i4>
      </vt:variant>
      <vt:variant>
        <vt:i4>114</vt:i4>
      </vt:variant>
      <vt:variant>
        <vt:i4>0</vt:i4>
      </vt:variant>
      <vt:variant>
        <vt:i4>5</vt:i4>
      </vt:variant>
      <vt:variant>
        <vt:lpwstr>https://commission.europa.eu/topics/eu-competitiveness/clean-industrial-deal_en</vt:lpwstr>
      </vt:variant>
      <vt:variant>
        <vt:lpwstr/>
      </vt:variant>
      <vt:variant>
        <vt:i4>21</vt:i4>
      </vt:variant>
      <vt:variant>
        <vt:i4>111</vt:i4>
      </vt:variant>
      <vt:variant>
        <vt:i4>0</vt:i4>
      </vt:variant>
      <vt:variant>
        <vt:i4>5</vt:i4>
      </vt:variant>
      <vt:variant>
        <vt:lpwstr>https://eur-lex.europa.eu/legal-content/EN/TXT/?uri=celex:52020DC0102</vt:lpwstr>
      </vt:variant>
      <vt:variant>
        <vt:lpwstr/>
      </vt:variant>
      <vt:variant>
        <vt:i4>1441872</vt:i4>
      </vt:variant>
      <vt:variant>
        <vt:i4>108</vt:i4>
      </vt:variant>
      <vt:variant>
        <vt:i4>0</vt:i4>
      </vt:variant>
      <vt:variant>
        <vt:i4>5</vt:i4>
      </vt:variant>
      <vt:variant>
        <vt:lpwstr>https://eur-lex.europa.eu/eli/reg/2021/695/oj/eng</vt:lpwstr>
      </vt:variant>
      <vt:variant>
        <vt:lpwstr/>
      </vt:variant>
      <vt:variant>
        <vt:i4>1048664</vt:i4>
      </vt:variant>
      <vt:variant>
        <vt:i4>105</vt:i4>
      </vt:variant>
      <vt:variant>
        <vt:i4>0</vt:i4>
      </vt:variant>
      <vt:variant>
        <vt:i4>5</vt:i4>
      </vt:variant>
      <vt:variant>
        <vt:lpwstr>https://eur-lex.europa.eu/legal-content/EN/TXT/PDF/?uri=CELEX:52020DC0761</vt:lpwstr>
      </vt:variant>
      <vt:variant>
        <vt:lpwstr/>
      </vt:variant>
      <vt:variant>
        <vt:i4>6422547</vt:i4>
      </vt:variant>
      <vt:variant>
        <vt:i4>102</vt:i4>
      </vt:variant>
      <vt:variant>
        <vt:i4>0</vt:i4>
      </vt:variant>
      <vt:variant>
        <vt:i4>5</vt:i4>
      </vt:variant>
      <vt:variant>
        <vt:lpwstr>https://commission.europa.eu/priorities-2024-2029/competitiveness_en</vt:lpwstr>
      </vt:variant>
      <vt:variant>
        <vt:lpwstr/>
      </vt:variant>
      <vt:variant>
        <vt:i4>2162691</vt:i4>
      </vt:variant>
      <vt:variant>
        <vt:i4>99</vt:i4>
      </vt:variant>
      <vt:variant>
        <vt:i4>0</vt:i4>
      </vt:variant>
      <vt:variant>
        <vt:i4>5</vt:i4>
      </vt:variant>
      <vt:variant>
        <vt:lpwstr>https://health.ec.europa.eu/health-emergency-preparedness-and-response-hera/overview/critical-medicines-alliance_en</vt:lpwstr>
      </vt:variant>
      <vt:variant>
        <vt:lpwstr/>
      </vt:variant>
      <vt:variant>
        <vt:i4>7733351</vt:i4>
      </vt:variant>
      <vt:variant>
        <vt:i4>96</vt:i4>
      </vt:variant>
      <vt:variant>
        <vt:i4>0</vt:i4>
      </vt:variant>
      <vt:variant>
        <vt:i4>5</vt:i4>
      </vt:variant>
      <vt:variant>
        <vt:lpwstr>https://eur-lex.europa.eu/eli/reg/2021/2282/oj/eng</vt:lpwstr>
      </vt:variant>
      <vt:variant>
        <vt:lpwstr/>
      </vt:variant>
      <vt:variant>
        <vt:i4>7995494</vt:i4>
      </vt:variant>
      <vt:variant>
        <vt:i4>93</vt:i4>
      </vt:variant>
      <vt:variant>
        <vt:i4>0</vt:i4>
      </vt:variant>
      <vt:variant>
        <vt:i4>5</vt:i4>
      </vt:variant>
      <vt:variant>
        <vt:lpwstr>https://eur-lex.europa.eu/eli/reg/2022/2372/oj/eng</vt:lpwstr>
      </vt:variant>
      <vt:variant>
        <vt:lpwstr/>
      </vt:variant>
      <vt:variant>
        <vt:i4>7995493</vt:i4>
      </vt:variant>
      <vt:variant>
        <vt:i4>90</vt:i4>
      </vt:variant>
      <vt:variant>
        <vt:i4>0</vt:i4>
      </vt:variant>
      <vt:variant>
        <vt:i4>5</vt:i4>
      </vt:variant>
      <vt:variant>
        <vt:lpwstr>https://eur-lex.europa.eu/eli/reg/2022/2371/oj/eng</vt:lpwstr>
      </vt:variant>
      <vt:variant>
        <vt:lpwstr/>
      </vt:variant>
      <vt:variant>
        <vt:i4>3735589</vt:i4>
      </vt:variant>
      <vt:variant>
        <vt:i4>87</vt:i4>
      </vt:variant>
      <vt:variant>
        <vt:i4>0</vt:i4>
      </vt:variant>
      <vt:variant>
        <vt:i4>5</vt:i4>
      </vt:variant>
      <vt:variant>
        <vt:lpwstr>https://www.ema.europa.eu/en/human-regulatory-overview/post-authorisation/medicine-shortages-availability-issues/european-shortages-monitoring-platform</vt:lpwstr>
      </vt:variant>
      <vt:variant>
        <vt:lpwstr/>
      </vt:variant>
      <vt:variant>
        <vt:i4>2883678</vt:i4>
      </vt:variant>
      <vt:variant>
        <vt:i4>84</vt:i4>
      </vt:variant>
      <vt:variant>
        <vt:i4>0</vt:i4>
      </vt:variant>
      <vt:variant>
        <vt:i4>5</vt:i4>
      </vt:variant>
      <vt:variant>
        <vt:lpwstr>https://eur-lex.europa.eu/legal-content/EN/TXT/?uri=uriserv%3AOJ.L_.2022.020.01.0001.01.ENG</vt:lpwstr>
      </vt:variant>
      <vt:variant>
        <vt:lpwstr/>
      </vt:variant>
      <vt:variant>
        <vt:i4>1507405</vt:i4>
      </vt:variant>
      <vt:variant>
        <vt:i4>81</vt:i4>
      </vt:variant>
      <vt:variant>
        <vt:i4>0</vt:i4>
      </vt:variant>
      <vt:variant>
        <vt:i4>5</vt:i4>
      </vt:variant>
      <vt:variant>
        <vt:lpwstr>https://health.ec.europa.eu/system/files/2022-10/mp_vulnerabilities_global-supply_swd_en.pdf</vt:lpwstr>
      </vt:variant>
      <vt:variant>
        <vt:lpwstr/>
      </vt:variant>
      <vt:variant>
        <vt:i4>5439591</vt:i4>
      </vt:variant>
      <vt:variant>
        <vt:i4>78</vt:i4>
      </vt:variant>
      <vt:variant>
        <vt:i4>0</vt:i4>
      </vt:variant>
      <vt:variant>
        <vt:i4>5</vt:i4>
      </vt:variant>
      <vt:variant>
        <vt:lpwstr>https://health.ec.europa.eu/medicinal-products/pharmaceutical-strategy-europe/structured-dialogue-security-medicines-supply_en</vt:lpwstr>
      </vt:variant>
      <vt:variant>
        <vt:lpwstr/>
      </vt:variant>
      <vt:variant>
        <vt:i4>1900566</vt:i4>
      </vt:variant>
      <vt:variant>
        <vt:i4>75</vt:i4>
      </vt:variant>
      <vt:variant>
        <vt:i4>0</vt:i4>
      </vt:variant>
      <vt:variant>
        <vt:i4>5</vt:i4>
      </vt:variant>
      <vt:variant>
        <vt:lpwstr>https://eur-lex.europa.eu/legal-content/EN/TXT/?uri=celex:52023PC0193</vt:lpwstr>
      </vt:variant>
      <vt:variant>
        <vt:lpwstr/>
      </vt:variant>
      <vt:variant>
        <vt:i4>3473493</vt:i4>
      </vt:variant>
      <vt:variant>
        <vt:i4>72</vt:i4>
      </vt:variant>
      <vt:variant>
        <vt:i4>0</vt:i4>
      </vt:variant>
      <vt:variant>
        <vt:i4>5</vt:i4>
      </vt:variant>
      <vt:variant>
        <vt:lpwstr>https://health.ec.europa.eu/medicinal-products/pharmaceutical-strategy-europe_en</vt:lpwstr>
      </vt:variant>
      <vt:variant>
        <vt:lpwstr/>
      </vt:variant>
      <vt:variant>
        <vt:i4>1704037</vt:i4>
      </vt:variant>
      <vt:variant>
        <vt:i4>69</vt:i4>
      </vt:variant>
      <vt:variant>
        <vt:i4>0</vt:i4>
      </vt:variant>
      <vt:variant>
        <vt:i4>5</vt:i4>
      </vt:variant>
      <vt:variant>
        <vt:lpwstr>https://health.ec.europa.eu/medicinal-products/pharmaceutical-strategy-europe/reform-eu-pharmaceutical-legislation_en</vt:lpwstr>
      </vt:variant>
      <vt:variant>
        <vt:lpwstr/>
      </vt:variant>
      <vt:variant>
        <vt:i4>3932257</vt:i4>
      </vt:variant>
      <vt:variant>
        <vt:i4>66</vt:i4>
      </vt:variant>
      <vt:variant>
        <vt:i4>0</vt:i4>
      </vt:variant>
      <vt:variant>
        <vt:i4>5</vt:i4>
      </vt:variant>
      <vt:variant>
        <vt:lpwstr>https://eur-lex.europa.eu/legal-content/EN/TXT/?uri=oj:JOC_2012_326_R_TOC</vt:lpwstr>
      </vt:variant>
      <vt:variant>
        <vt:lpwstr/>
      </vt:variant>
      <vt:variant>
        <vt:i4>3932232</vt:i4>
      </vt:variant>
      <vt:variant>
        <vt:i4>63</vt:i4>
      </vt:variant>
      <vt:variant>
        <vt:i4>0</vt:i4>
      </vt:variant>
      <vt:variant>
        <vt:i4>5</vt:i4>
      </vt:variant>
      <vt:variant>
        <vt:lpwstr>https://health.ec.europa.eu/medicinal-products/orphan-medicinal-products_en</vt:lpwstr>
      </vt:variant>
      <vt:variant>
        <vt:lpwstr/>
      </vt:variant>
      <vt:variant>
        <vt:i4>3538967</vt:i4>
      </vt:variant>
      <vt:variant>
        <vt:i4>60</vt:i4>
      </vt:variant>
      <vt:variant>
        <vt:i4>0</vt:i4>
      </vt:variant>
      <vt:variant>
        <vt:i4>5</vt:i4>
      </vt:variant>
      <vt:variant>
        <vt:lpwstr>https://single-market-economy.ec.europa.eu/industry/sustainability/net-zero-industry-act_en</vt:lpwstr>
      </vt:variant>
      <vt:variant>
        <vt:lpwstr/>
      </vt:variant>
      <vt:variant>
        <vt:i4>7864419</vt:i4>
      </vt:variant>
      <vt:variant>
        <vt:i4>57</vt:i4>
      </vt:variant>
      <vt:variant>
        <vt:i4>0</vt:i4>
      </vt:variant>
      <vt:variant>
        <vt:i4>5</vt:i4>
      </vt:variant>
      <vt:variant>
        <vt:lpwstr>https://ec.europa.eu/commission/presscorner/detail/en/ip_23_1661</vt:lpwstr>
      </vt:variant>
      <vt:variant>
        <vt:lpwstr/>
      </vt:variant>
      <vt:variant>
        <vt:i4>1179753</vt:i4>
      </vt:variant>
      <vt:variant>
        <vt:i4>54</vt:i4>
      </vt:variant>
      <vt:variant>
        <vt:i4>0</vt:i4>
      </vt:variant>
      <vt:variant>
        <vt:i4>5</vt:i4>
      </vt:variant>
      <vt:variant>
        <vt:lpwstr>https://commission.europa.eu/strategy-and-policy/priorities-2019-2024/promoting-our-european-way-life/european-health-union_en</vt:lpwstr>
      </vt:variant>
      <vt:variant>
        <vt:lpwstr/>
      </vt:variant>
      <vt:variant>
        <vt:i4>5767272</vt:i4>
      </vt:variant>
      <vt:variant>
        <vt:i4>51</vt:i4>
      </vt:variant>
      <vt:variant>
        <vt:i4>0</vt:i4>
      </vt:variant>
      <vt:variant>
        <vt:i4>5</vt:i4>
      </vt:variant>
      <vt:variant>
        <vt:lpwstr>https://commission.europa.eu/document/download/b1817a1b-e62e-4949-bbb8-ebf29b54c8bd_en?filename=Mission%20letter%20-%20VARHELYI.pdf</vt:lpwstr>
      </vt:variant>
      <vt:variant>
        <vt:lpwstr/>
      </vt:variant>
      <vt:variant>
        <vt:i4>7471224</vt:i4>
      </vt:variant>
      <vt:variant>
        <vt:i4>48</vt:i4>
      </vt:variant>
      <vt:variant>
        <vt:i4>0</vt:i4>
      </vt:variant>
      <vt:variant>
        <vt:i4>5</vt:i4>
      </vt:variant>
      <vt:variant>
        <vt:lpwstr>https://health.ec.europa.eu/document/download/3da9dfc0-c5e0-4583-a0f1-1652c7c18c3c_en?filename=hera_cma_strat-report_en.pdf</vt:lpwstr>
      </vt:variant>
      <vt:variant>
        <vt:lpwstr/>
      </vt:variant>
      <vt:variant>
        <vt:i4>7602275</vt:i4>
      </vt:variant>
      <vt:variant>
        <vt:i4>45</vt:i4>
      </vt:variant>
      <vt:variant>
        <vt:i4>0</vt:i4>
      </vt:variant>
      <vt:variant>
        <vt:i4>5</vt:i4>
      </vt:variant>
      <vt:variant>
        <vt:lpwstr>https://ec.europa.eu/commission/presscorner/detail/en/ip_24_2229</vt:lpwstr>
      </vt:variant>
      <vt:variant>
        <vt:lpwstr/>
      </vt:variant>
      <vt:variant>
        <vt:i4>2162691</vt:i4>
      </vt:variant>
      <vt:variant>
        <vt:i4>42</vt:i4>
      </vt:variant>
      <vt:variant>
        <vt:i4>0</vt:i4>
      </vt:variant>
      <vt:variant>
        <vt:i4>5</vt:i4>
      </vt:variant>
      <vt:variant>
        <vt:lpwstr>https://health.ec.europa.eu/health-emergency-preparedness-and-response-hera/overview/critical-medicines-alliance_en</vt:lpwstr>
      </vt:variant>
      <vt:variant>
        <vt:lpwstr/>
      </vt:variant>
      <vt:variant>
        <vt:i4>7340131</vt:i4>
      </vt:variant>
      <vt:variant>
        <vt:i4>39</vt:i4>
      </vt:variant>
      <vt:variant>
        <vt:i4>0</vt:i4>
      </vt:variant>
      <vt:variant>
        <vt:i4>5</vt:i4>
      </vt:variant>
      <vt:variant>
        <vt:lpwstr>https://www.ema.europa.eu/en/human-regulatory-overview/post-authorisation/medicine-shortages-availability-issues/availability-medicines-during-crises/union-list-critical-medicines</vt:lpwstr>
      </vt:variant>
      <vt:variant>
        <vt:lpwstr/>
      </vt:variant>
      <vt:variant>
        <vt:i4>3276847</vt:i4>
      </vt:variant>
      <vt:variant>
        <vt:i4>36</vt:i4>
      </vt:variant>
      <vt:variant>
        <vt:i4>0</vt:i4>
      </vt:variant>
      <vt:variant>
        <vt:i4>5</vt:i4>
      </vt:variant>
      <vt:variant>
        <vt:lpwstr>https://commission.europa.eu/system/files/2023-10/Communication_medicines_shortages_EN_0.pdf</vt:lpwstr>
      </vt:variant>
      <vt:variant>
        <vt:lpwstr/>
      </vt:variant>
      <vt:variant>
        <vt:i4>2883678</vt:i4>
      </vt:variant>
      <vt:variant>
        <vt:i4>33</vt:i4>
      </vt:variant>
      <vt:variant>
        <vt:i4>0</vt:i4>
      </vt:variant>
      <vt:variant>
        <vt:i4>5</vt:i4>
      </vt:variant>
      <vt:variant>
        <vt:lpwstr>https://eur-lex.europa.eu/legal-content/EN/TXT/?uri=uriserv%3AOJ.L_.2022.020.01.0001.01.ENG</vt:lpwstr>
      </vt:variant>
      <vt:variant>
        <vt:lpwstr/>
      </vt:variant>
      <vt:variant>
        <vt:i4>1704037</vt:i4>
      </vt:variant>
      <vt:variant>
        <vt:i4>30</vt:i4>
      </vt:variant>
      <vt:variant>
        <vt:i4>0</vt:i4>
      </vt:variant>
      <vt:variant>
        <vt:i4>5</vt:i4>
      </vt:variant>
      <vt:variant>
        <vt:lpwstr>https://health.ec.europa.eu/medicinal-products/pharmaceutical-strategy-europe/reform-eu-pharmaceutical-legislation_en</vt:lpwstr>
      </vt:variant>
      <vt:variant>
        <vt:lpwstr/>
      </vt:variant>
      <vt:variant>
        <vt:i4>1507405</vt:i4>
      </vt:variant>
      <vt:variant>
        <vt:i4>27</vt:i4>
      </vt:variant>
      <vt:variant>
        <vt:i4>0</vt:i4>
      </vt:variant>
      <vt:variant>
        <vt:i4>5</vt:i4>
      </vt:variant>
      <vt:variant>
        <vt:lpwstr>https://health.ec.europa.eu/system/files/2022-10/mp_vulnerabilities_global-supply_swd_en.pdf</vt:lpwstr>
      </vt:variant>
      <vt:variant>
        <vt:lpwstr/>
      </vt:variant>
      <vt:variant>
        <vt:i4>5439591</vt:i4>
      </vt:variant>
      <vt:variant>
        <vt:i4>24</vt:i4>
      </vt:variant>
      <vt:variant>
        <vt:i4>0</vt:i4>
      </vt:variant>
      <vt:variant>
        <vt:i4>5</vt:i4>
      </vt:variant>
      <vt:variant>
        <vt:lpwstr>https://health.ec.europa.eu/medicinal-products/pharmaceutical-strategy-europe/structured-dialogue-security-medicines-supply_en</vt:lpwstr>
      </vt:variant>
      <vt:variant>
        <vt:lpwstr/>
      </vt:variant>
      <vt:variant>
        <vt:i4>3473493</vt:i4>
      </vt:variant>
      <vt:variant>
        <vt:i4>21</vt:i4>
      </vt:variant>
      <vt:variant>
        <vt:i4>0</vt:i4>
      </vt:variant>
      <vt:variant>
        <vt:i4>5</vt:i4>
      </vt:variant>
      <vt:variant>
        <vt:lpwstr>https://health.ec.europa.eu/medicinal-products/pharmaceutical-strategy-europe_en</vt:lpwstr>
      </vt:variant>
      <vt:variant>
        <vt:lpwstr/>
      </vt:variant>
      <vt:variant>
        <vt:i4>6422639</vt:i4>
      </vt:variant>
      <vt:variant>
        <vt:i4>18</vt:i4>
      </vt:variant>
      <vt:variant>
        <vt:i4>0</vt:i4>
      </vt:variant>
      <vt:variant>
        <vt:i4>5</vt:i4>
      </vt:variant>
      <vt:variant>
        <vt:lpwstr>https://data.consilium.europa.eu/doc/document/ST-9750-2021-INIT/en/pdf</vt:lpwstr>
      </vt:variant>
      <vt:variant>
        <vt:lpwstr/>
      </vt:variant>
      <vt:variant>
        <vt:i4>327717</vt:i4>
      </vt:variant>
      <vt:variant>
        <vt:i4>15</vt:i4>
      </vt:variant>
      <vt:variant>
        <vt:i4>0</vt:i4>
      </vt:variant>
      <vt:variant>
        <vt:i4>5</vt:i4>
      </vt:variant>
      <vt:variant>
        <vt:lpwstr>https://www.europarl.europa.eu/doceo/document/TA-8-2017-0061_EN.html</vt:lpwstr>
      </vt:variant>
      <vt:variant>
        <vt:lpwstr/>
      </vt:variant>
      <vt:variant>
        <vt:i4>7471150</vt:i4>
      </vt:variant>
      <vt:variant>
        <vt:i4>12</vt:i4>
      </vt:variant>
      <vt:variant>
        <vt:i4>0</vt:i4>
      </vt:variant>
      <vt:variant>
        <vt:i4>5</vt:i4>
      </vt:variant>
      <vt:variant>
        <vt:lpwstr>https://www.ja-chessmen.eu/work-packages</vt:lpwstr>
      </vt:variant>
      <vt:variant>
        <vt:lpwstr>work-package-5</vt:lpwstr>
      </vt:variant>
      <vt:variant>
        <vt:i4>4325439</vt:i4>
      </vt:variant>
      <vt:variant>
        <vt:i4>9</vt:i4>
      </vt:variant>
      <vt:variant>
        <vt:i4>0</vt:i4>
      </vt:variant>
      <vt:variant>
        <vt:i4>5</vt:i4>
      </vt:variant>
      <vt:variant>
        <vt:lpwstr>https://single-market-economy.ec.europa.eu/industry/strategy/intellectual-property/patent-protection-eu_en</vt:lpwstr>
      </vt:variant>
      <vt:variant>
        <vt:lpwstr/>
      </vt:variant>
      <vt:variant>
        <vt:i4>2097248</vt:i4>
      </vt:variant>
      <vt:variant>
        <vt:i4>6</vt:i4>
      </vt:variant>
      <vt:variant>
        <vt:i4>0</vt:i4>
      </vt:variant>
      <vt:variant>
        <vt:i4>5</vt:i4>
      </vt:variant>
      <vt:variant>
        <vt:lpwstr>https://www.ema.europa.eu/en/human-regulatory-overview/marketing-authorisation/generic-hybrid-medicines</vt:lpwstr>
      </vt:variant>
      <vt:variant>
        <vt:lpwstr/>
      </vt:variant>
      <vt:variant>
        <vt:i4>1245250</vt:i4>
      </vt:variant>
      <vt:variant>
        <vt:i4>3</vt:i4>
      </vt:variant>
      <vt:variant>
        <vt:i4>0</vt:i4>
      </vt:variant>
      <vt:variant>
        <vt:i4>5</vt:i4>
      </vt:variant>
      <vt:variant>
        <vt:lpwstr>https://www.iqvia.com/-/media/iqvia/pdfs/library/white-papers/iqvia-true-value-of-generic-medicines-04-24-forweb.pdf</vt:lpwstr>
      </vt:variant>
      <vt:variant>
        <vt:lpwstr/>
      </vt:variant>
      <vt:variant>
        <vt:i4>3342424</vt:i4>
      </vt:variant>
      <vt:variant>
        <vt:i4>0</vt:i4>
      </vt:variant>
      <vt:variant>
        <vt:i4>0</vt:i4>
      </vt:variant>
      <vt:variant>
        <vt:i4>5</vt:i4>
      </vt:variant>
      <vt:variant>
        <vt:lpwstr>https://health.ec.europa.eu/publications/impact-assessment-report-and-executive-summary-accompanying-revision-general-pharmaceutical_en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2025-05-08T17:28:00Z</dcterms:created>
  <dcterms:modified xsi:type="dcterms:W3CDTF">2025-05-11T19:16:00Z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9.1, Build 20240808</vt:lpwstr>
  </property>
  <property fmtid="{D5CDD505-2E9C-101B-9397-08002B2CF9AE}" pid="3" name="MSIP_Label_6bd9ddd1-4d20-43f6-abfa-fc3c07406f94_Enabled">
    <vt:lpwstr>true</vt:lpwstr>
  </property>
  <property fmtid="{D5CDD505-2E9C-101B-9397-08002B2CF9AE}" pid="4" name="MSIP_Label_6bd9ddd1-4d20-43f6-abfa-fc3c07406f94_SetDate">
    <vt:lpwstr>2025-03-08T11:07:46Z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5250ac7f-6eb5-4a99-bfcf-f4c283c22192</vt:lpwstr>
  </property>
  <property fmtid="{D5CDD505-2E9C-101B-9397-08002B2CF9AE}" pid="9" name="MSIP_Label_6bd9ddd1-4d20-43f6-abfa-fc3c07406f94_ContentBits">
    <vt:lpwstr>0</vt:lpwstr>
  </property>
  <property fmtid="{D5CDD505-2E9C-101B-9397-08002B2CF9AE}" pid="10" name="Category">
    <vt:lpwstr>COM/PL/ORG</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SJ-023</vt:lpwstr>
  </property>
  <property fmtid="{D5CDD505-2E9C-101B-9397-08002B2CF9AE}" pid="15" name="ContentTypeId">
    <vt:lpwstr>0x0101000DA097C0D8CB854C8C55A6C28E332560</vt:lpwstr>
  </property>
  <property fmtid="{D5CDD505-2E9C-101B-9397-08002B2CF9AE}" pid="16" name="DQCStatus">
    <vt:lpwstr>Green (DQC version 03)</vt:lpwstr>
  </property>
</Properties>
</file>