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DD8F5" w14:textId="47FEBBF8" w:rsidR="00F84713" w:rsidRPr="00EC01ED" w:rsidRDefault="00EC0449" w:rsidP="00EC0449">
      <w:pPr>
        <w:pStyle w:val="Pagedecouverture"/>
        <w:rPr>
          <w:noProof/>
        </w:rPr>
      </w:pPr>
      <w:bookmarkStart w:id="0" w:name="LW_BM_COVERPAGE"/>
      <w:r>
        <w:rPr>
          <w:noProof/>
        </w:rPr>
        <w:pict w14:anchorId="3CB8D5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EDC21F-88D0-4198-B357-F61B259A1013" style="width:455.25pt;height:324pt">
            <v:imagedata r:id="rId15" o:title=""/>
          </v:shape>
        </w:pict>
      </w:r>
    </w:p>
    <w:bookmarkEnd w:id="0"/>
    <w:p w14:paraId="06109B4E" w14:textId="77777777" w:rsidR="00F84713" w:rsidRPr="00EC01ED" w:rsidRDefault="00F84713" w:rsidP="00F84713">
      <w:pPr>
        <w:rPr>
          <w:noProof/>
        </w:rPr>
        <w:sectPr w:rsidR="00F84713" w:rsidRPr="00EC01ED" w:rsidSect="00EC0449">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1AC77395" w14:textId="70A9DF9C" w:rsidR="002F252A" w:rsidRPr="002F252A" w:rsidRDefault="002F252A" w:rsidP="002F252A">
      <w:pPr>
        <w:pStyle w:val="Typedudocument"/>
        <w:rPr>
          <w:noProof/>
        </w:rPr>
      </w:pPr>
      <w:bookmarkStart w:id="1" w:name="_GoBack"/>
      <w:bookmarkEnd w:id="1"/>
      <w:r w:rsidRPr="002F252A">
        <w:rPr>
          <w:noProof/>
        </w:rPr>
        <w:lastRenderedPageBreak/>
        <w:t>COMUNICARE A COMISIEI CĂTRE PARLAMENTUL EUROPEAN, CONSILIU, COMITETUL ECONOMIC ȘI SOCIAL EUROPEAN ȘI COMITETUL REGIUNILOR</w:t>
      </w:r>
    </w:p>
    <w:p w14:paraId="64DBBAE4" w14:textId="5C9DB277" w:rsidR="002F252A" w:rsidRPr="002F252A" w:rsidRDefault="002F252A" w:rsidP="002F252A">
      <w:pPr>
        <w:pStyle w:val="Titreobjet"/>
        <w:rPr>
          <w:noProof/>
        </w:rPr>
      </w:pPr>
      <w:r w:rsidRPr="002F252A">
        <w:rPr>
          <w:noProof/>
        </w:rPr>
        <w:t>Un plan de acțiune european privind oțelul și metalele</w:t>
      </w:r>
    </w:p>
    <w:p w14:paraId="598CC65A" w14:textId="2D565A87" w:rsidR="00083F3A" w:rsidRPr="00EC01ED" w:rsidRDefault="3EB83510" w:rsidP="06746406">
      <w:pPr>
        <w:spacing w:line="259" w:lineRule="auto"/>
        <w:rPr>
          <w:noProof/>
        </w:rPr>
      </w:pPr>
      <w:r w:rsidRPr="00EC01ED">
        <w:rPr>
          <w:b/>
          <w:noProof/>
        </w:rPr>
        <w:t xml:space="preserve">Nu este o coincidență faptul că Uniunea Europeană a fost construită cu ajutorul oțelului. </w:t>
      </w:r>
      <w:r w:rsidRPr="00EC01ED">
        <w:rPr>
          <w:noProof/>
        </w:rPr>
        <w:t>Europa are o istorie îndelungată și prestigioasă în ceea ce privește producția de oțel și de metale de bază</w:t>
      </w:r>
      <w:r w:rsidRPr="00EC01ED">
        <w:rPr>
          <w:rStyle w:val="FootnoteReference"/>
          <w:noProof/>
        </w:rPr>
        <w:footnoteReference w:id="2"/>
      </w:r>
      <w:r w:rsidRPr="00EC01ED">
        <w:rPr>
          <w:noProof/>
        </w:rPr>
        <w:t>. Avantajul Europei în ceea ce privește produsele de înaltă valoare și alte produse din oțel și metale de bază este un atu esențial pentru multe industrii și produse din aval. Aceste sectoare sunt vitale pentru securitatea economică și stabilitatea socială a UE. Recunoscând importanța lor strategică, Busola pentru competitivitate</w:t>
      </w:r>
      <w:r w:rsidRPr="00EC01ED">
        <w:rPr>
          <w:rStyle w:val="FootnoteReference"/>
          <w:noProof/>
        </w:rPr>
        <w:footnoteReference w:id="3"/>
      </w:r>
      <w:r w:rsidRPr="00EC01ED">
        <w:rPr>
          <w:noProof/>
        </w:rPr>
        <w:t xml:space="preserve"> a identificat oțelul și metalele ca fiind un domeniu-cheie de acțiune.</w:t>
      </w:r>
    </w:p>
    <w:p w14:paraId="490B4F21" w14:textId="50CC83A1" w:rsidR="008F1576" w:rsidRPr="00EC01ED" w:rsidRDefault="60F9E594" w:rsidP="06746406">
      <w:pPr>
        <w:rPr>
          <w:noProof/>
        </w:rPr>
      </w:pPr>
      <w:r w:rsidRPr="00EC01ED">
        <w:rPr>
          <w:b/>
          <w:noProof/>
        </w:rPr>
        <w:t xml:space="preserve">Toate aceste sectoare se confruntă cu provocări comune majore în ceea ce privește competitivitatea lor: </w:t>
      </w:r>
      <w:r w:rsidRPr="00EC01ED">
        <w:rPr>
          <w:noProof/>
        </w:rPr>
        <w:t>costuri ridicate ale energiei, expunere la condiții de concurență inechitabile la scară internațională, nevoi de investiții în materie de decarbonizare și o sarcină de reglementare împovărătoare. În ultimul deceniu, ponderea UE în producția mondială de oțel a scăzut la 7-8 %, în timp ce producția de aluminiu primar reprezintă 3,8 %</w:t>
      </w:r>
      <w:r w:rsidRPr="00EC01ED">
        <w:rPr>
          <w:rStyle w:val="FootnoteReference"/>
          <w:noProof/>
        </w:rPr>
        <w:footnoteReference w:id="4"/>
      </w:r>
      <w:r w:rsidRPr="00EC01ED">
        <w:rPr>
          <w:noProof/>
        </w:rPr>
        <w:t>. În paralel, alte țări, în special China și, în ultimii ani, India, precum și alte câteva țări din Asia și Orientul Mijlociu și-au extins masiv capacitatea de producție, fiind adesea sprijinite de subvenții care denaturează concurența. Prin urmare, doar în ceea ce privește oțelul, în 2024, supracapacitatea mondială a fost estimată a fi de peste patru ori și jumătate mai mare decât consumul anual al UE</w:t>
      </w:r>
      <w:r w:rsidRPr="00EC01ED">
        <w:rPr>
          <w:rStyle w:val="FootnoteReference"/>
          <w:noProof/>
        </w:rPr>
        <w:footnoteReference w:id="5"/>
      </w:r>
      <w:r w:rsidRPr="00EC01ED">
        <w:rPr>
          <w:noProof/>
        </w:rPr>
        <w:t xml:space="preserve">. </w:t>
      </w:r>
    </w:p>
    <w:p w14:paraId="28A1E5FC" w14:textId="1F2D5258" w:rsidR="008F1576" w:rsidRPr="00EC01ED" w:rsidRDefault="07DEB0F9" w:rsidP="06746406">
      <w:pPr>
        <w:rPr>
          <w:noProof/>
        </w:rPr>
      </w:pPr>
      <w:r w:rsidRPr="00EC01ED">
        <w:rPr>
          <w:b/>
          <w:noProof/>
        </w:rPr>
        <w:t>Deși producția UE este încă în măsură să acopere cea mai mare parte a cererii interne a UE de oțel (90 %)</w:t>
      </w:r>
      <w:r w:rsidRPr="00EC01ED">
        <w:rPr>
          <w:rStyle w:val="FootnoteReference"/>
          <w:b/>
          <w:bCs/>
          <w:noProof/>
        </w:rPr>
        <w:footnoteReference w:id="6"/>
      </w:r>
      <w:r w:rsidRPr="00EC01ED">
        <w:rPr>
          <w:b/>
          <w:noProof/>
        </w:rPr>
        <w:t xml:space="preserve"> și cupru (83 %)</w:t>
      </w:r>
      <w:r w:rsidRPr="00EC01ED">
        <w:rPr>
          <w:rStyle w:val="FootnoteReference"/>
          <w:b/>
          <w:bCs/>
          <w:noProof/>
        </w:rPr>
        <w:footnoteReference w:id="7"/>
      </w:r>
      <w:r w:rsidRPr="00EC01ED">
        <w:rPr>
          <w:b/>
          <w:noProof/>
        </w:rPr>
        <w:t>, situația este mai îngrijorătoare în ceea ce privește aluminiul (46 %)</w:t>
      </w:r>
      <w:r w:rsidRPr="00EC01ED">
        <w:rPr>
          <w:rStyle w:val="FootnoteReference"/>
          <w:b/>
          <w:bCs/>
          <w:noProof/>
        </w:rPr>
        <w:footnoteReference w:id="8"/>
      </w:r>
      <w:r w:rsidRPr="00EC01ED">
        <w:rPr>
          <w:b/>
          <w:noProof/>
        </w:rPr>
        <w:t xml:space="preserve"> și nichelul (25 %)</w:t>
      </w:r>
      <w:r w:rsidRPr="00EC01ED">
        <w:rPr>
          <w:rStyle w:val="FootnoteReference"/>
          <w:b/>
          <w:bCs/>
          <w:noProof/>
        </w:rPr>
        <w:footnoteReference w:id="9"/>
      </w:r>
      <w:r w:rsidRPr="00EC01ED">
        <w:rPr>
          <w:noProof/>
        </w:rPr>
        <w:t xml:space="preserve">, în special având în vedere creșterea ridicată așteptată a cererii de aluminiu, cupru și nichel până în 2030. În plus, toate aceste metale sunt esențiale pentru apărare. De exemplu, un tanc principal de luptă conține între 50 și 60 de tone de oțel de înaltă calitate, un sistem de artilerie autopropulsat, conține până la 100 de tone, iar o aeronavă de luptă conține 3 de tone de aluminiu </w:t>
      </w:r>
      <w:r w:rsidRPr="00EC01ED">
        <w:rPr>
          <w:rStyle w:val="FootnoteReference"/>
          <w:noProof/>
        </w:rPr>
        <w:footnoteReference w:id="10"/>
      </w:r>
      <w:r w:rsidRPr="00EC01ED">
        <w:rPr>
          <w:noProof/>
        </w:rPr>
        <w:t xml:space="preserve">. Asigurarea unui lanț de aprovizionare stabil și rezilient în ceea ce privește aceste materiale este esențială </w:t>
      </w:r>
      <w:r w:rsidRPr="00EC01ED">
        <w:rPr>
          <w:noProof/>
        </w:rPr>
        <w:lastRenderedPageBreak/>
        <w:t xml:space="preserve">pentru consolidarea bazei industriale și tehnologice de apărare europene, pentru asigurarea pregătirii și a securității interne a UE, pentru satisfacerea nevoilor de apărare și aerospațiale ale UE și pentru asigurarea suveranității tehnologice. </w:t>
      </w:r>
    </w:p>
    <w:p w14:paraId="3FA35C8E" w14:textId="21DC9B7E" w:rsidR="008F1576" w:rsidRPr="00EC01ED" w:rsidRDefault="768E15CE" w:rsidP="06746406">
      <w:pPr>
        <w:spacing w:line="259" w:lineRule="auto"/>
        <w:rPr>
          <w:noProof/>
        </w:rPr>
      </w:pPr>
      <w:r w:rsidRPr="00EC01ED">
        <w:rPr>
          <w:b/>
          <w:noProof/>
        </w:rPr>
        <w:t>Industriile europene ale metalelor s-au angajat să investească în tehnologii de decarbonizare și de depoluare</w:t>
      </w:r>
      <w:r w:rsidRPr="00EC01ED">
        <w:rPr>
          <w:noProof/>
        </w:rPr>
        <w:t xml:space="preserve"> și să contribuie la obiectivele ambițioase ale UE în materie de climă și mediu, industria metalelor</w:t>
      </w:r>
      <w:r w:rsidRPr="00EC01ED">
        <w:rPr>
          <w:rStyle w:val="FootnoteReference"/>
          <w:noProof/>
        </w:rPr>
        <w:footnoteReference w:id="11"/>
      </w:r>
      <w:r w:rsidRPr="00EC01ED">
        <w:rPr>
          <w:noProof/>
        </w:rPr>
        <w:t xml:space="preserve"> reprezentând 8,1 % din totalul emisiilor de gaze cu efect de seră din UE în 2022</w:t>
      </w:r>
      <w:r w:rsidRPr="00EC01ED">
        <w:rPr>
          <w:rStyle w:val="FootnoteReference"/>
          <w:noProof/>
        </w:rPr>
        <w:footnoteReference w:id="12"/>
      </w:r>
      <w:r w:rsidRPr="00EC01ED">
        <w:rPr>
          <w:noProof/>
        </w:rPr>
        <w:t xml:space="preserve"> și constituind o sursă majoră de poluanți atmosferici</w:t>
      </w:r>
      <w:r w:rsidRPr="00EC01ED">
        <w:rPr>
          <w:rStyle w:val="FootnoteReference"/>
          <w:noProof/>
        </w:rPr>
        <w:footnoteReference w:id="13"/>
      </w:r>
      <w:r w:rsidRPr="00EC01ED">
        <w:rPr>
          <w:noProof/>
        </w:rPr>
        <w:t xml:space="preserve">. Cu toate acestea, contextul economic actual – caracterizat de profituri scăzute, de recenta comprimare a marjelor ca urmare a supracapacității mondiale, de lipsa de voință a clienților de a plăti o primă curată și de stimulentele insuficiente prin intervenții în materie de reglementare – îngreunează investițiile în decarbonizare ale industriilor UE ale metalelor. Prin urmare, </w:t>
      </w:r>
      <w:r w:rsidRPr="00EC01ED">
        <w:rPr>
          <w:b/>
          <w:noProof/>
        </w:rPr>
        <w:t>argumentele comerciale și financiare nu sunt suficiente</w:t>
      </w:r>
      <w:r w:rsidRPr="00EC01ED">
        <w:rPr>
          <w:noProof/>
        </w:rPr>
        <w:t xml:space="preserve"> pentru a atrage investitori și clienți. Fără acțiuni și investiții solide, riscul de închidere a fabricilor și de declin al industriei rămâne real, cu consecințe grave pentru principalele regiuni economice din întreaga Europă, precum și pentru sectoarele noastre strategice, cum ar fi industria de apărare și industria spațială, limitând capacitatea acestora de a furniza capabilități și echipamente critice cu flexibilitatea și rapiditatea necesare într-un context geopolitic în schimbare rapidă.</w:t>
      </w:r>
    </w:p>
    <w:p w14:paraId="4F394E44" w14:textId="623B34DF" w:rsidR="00C759C8" w:rsidRPr="00EC01ED" w:rsidRDefault="00EC01ED" w:rsidP="06746406">
      <w:pPr>
        <w:pStyle w:val="Text1"/>
        <w:keepNext/>
        <w:ind w:left="0"/>
        <w:jc w:val="center"/>
        <w:rPr>
          <w:noProof/>
        </w:rPr>
      </w:pPr>
      <w:r>
        <w:rPr>
          <w:noProof/>
          <w:lang w:val="en-GB" w:eastAsia="en-GB"/>
        </w:rPr>
        <w:drawing>
          <wp:inline distT="0" distB="0" distL="0" distR="0" wp14:anchorId="146847B9" wp14:editId="27C3BFF2">
            <wp:extent cx="3714750" cy="3694921"/>
            <wp:effectExtent l="0" t="0" r="0" b="1270"/>
            <wp:docPr id="56221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18872" name=""/>
                    <pic:cNvPicPr/>
                  </pic:nvPicPr>
                  <pic:blipFill>
                    <a:blip r:embed="rId22"/>
                    <a:stretch>
                      <a:fillRect/>
                    </a:stretch>
                  </pic:blipFill>
                  <pic:spPr>
                    <a:xfrm>
                      <a:off x="0" y="0"/>
                      <a:ext cx="3717941" cy="3698095"/>
                    </a:xfrm>
                    <a:prstGeom prst="rect">
                      <a:avLst/>
                    </a:prstGeom>
                  </pic:spPr>
                </pic:pic>
              </a:graphicData>
            </a:graphic>
          </wp:inline>
        </w:drawing>
      </w:r>
    </w:p>
    <w:p w14:paraId="3A4F00EC" w14:textId="2A3E264A" w:rsidR="7D2D179E" w:rsidRPr="00EC01ED" w:rsidRDefault="7D2D179E" w:rsidP="06746406">
      <w:pPr>
        <w:pStyle w:val="Caption"/>
        <w:spacing w:before="0"/>
        <w:jc w:val="center"/>
        <w:rPr>
          <w:noProof/>
        </w:rPr>
      </w:pPr>
      <w:r w:rsidRPr="00EC01ED">
        <w:rPr>
          <w:noProof/>
        </w:rPr>
        <w:t>„Location of steel and non-ferrous metals sites among the top 100 greenhouse gas emitting sites in the EU” (Amplasarea siturilor de oțel și metale neferoase care figurează printre primele cele mai mari 100 de situri cu emisii de gaze cu efect de seră din UE). Sursă: JRC, Energy and Industry Geography Lab</w:t>
      </w:r>
    </w:p>
    <w:p w14:paraId="62321E20" w14:textId="1125872B" w:rsidR="7363A42C" w:rsidRPr="00EC01ED" w:rsidRDefault="1260C8AD">
      <w:pPr>
        <w:rPr>
          <w:noProof/>
        </w:rPr>
      </w:pPr>
      <w:r w:rsidRPr="00EC01ED">
        <w:rPr>
          <w:noProof/>
        </w:rPr>
        <w:t>De exemplu, în decembrie 2024, ThyssenKrupp a anunțat planuri pentru 11 000 de concedieri în Germania. În noiembrie 2024, ArcelorMittal și-a amânat investițiile în decarbonizare în întreaga Europă. În plus, în iunie 2024, Liberty Ostrava și-a anunțat falimentul în Republica Cehă. Sectorul aluminiului constituie un semnal de avertizare cu privire la riscul de dezindustrializare, deoarece acesta a pierdut permanent o parte semnificativă din capacitatea sa de producție europeană. Mai mult, peste 50 % din capacitatea de producție primară a fost epuizată începând cu 2021. În același timp, producția de oțel a UE a scăzut începând cu 2017, de la 160 milioane de tone la 126 milioane de tone în 2023. Rata actuală de utilizare a capacității de producție a oțelului, de aproximativ 65 %, nu este sustenabilă pe termen lung, deoarece astfel de industrii cu utilizare intensivă a capitalului trebuie să funcționeze la o capacitate de peste 85 % pentru a fi competitive în condiții de piață.</w:t>
      </w:r>
    </w:p>
    <w:p w14:paraId="609CB54C" w14:textId="1A20D336" w:rsidR="003F5D57" w:rsidRPr="00EC01ED" w:rsidRDefault="40001D3E" w:rsidP="006D6F84">
      <w:pPr>
        <w:rPr>
          <w:noProof/>
        </w:rPr>
      </w:pPr>
      <w:r w:rsidRPr="00EC01ED">
        <w:rPr>
          <w:b/>
          <w:noProof/>
        </w:rPr>
        <w:t>Pactul pentru o industrie curată</w:t>
      </w:r>
      <w:r w:rsidRPr="00EC01ED">
        <w:rPr>
          <w:rStyle w:val="FootnoteReference"/>
          <w:b/>
          <w:bCs/>
          <w:noProof/>
        </w:rPr>
        <w:footnoteReference w:id="14"/>
      </w:r>
      <w:r w:rsidRPr="00EC01ED">
        <w:rPr>
          <w:b/>
          <w:noProof/>
        </w:rPr>
        <w:t xml:space="preserve"> și Planul de acțiune pentru o energie la prețuri accesibile</w:t>
      </w:r>
      <w:r w:rsidRPr="00EC01ED">
        <w:rPr>
          <w:rStyle w:val="FootnoteReference"/>
          <w:b/>
          <w:bCs/>
          <w:noProof/>
        </w:rPr>
        <w:footnoteReference w:id="15"/>
      </w:r>
      <w:r w:rsidRPr="00EC01ED">
        <w:rPr>
          <w:noProof/>
        </w:rPr>
        <w:t xml:space="preserve"> au anunțat o serie de măsuri și necesitatea unui plan de acțiune concret pentru sectorul metalelor. Accentul se pune pe principalele provocări în materie de competitivitate legate de reducerea costurilor energiei, crearea de piețe-lider pentru produsele cu emisii scăzute de dioxid de carbon, creșterea circularității, asigurarea unor condiții de concurență echitabile la nivel internațional, crearea de locuri de muncă de calitate și mobilizarea investițiilor. UE va continua să se bazeze pe parteneriate globale puternice pentru a-și atinge obiectivele industriale curate.</w:t>
      </w:r>
    </w:p>
    <w:p w14:paraId="00559389" w14:textId="28BCC56C" w:rsidR="00E60F7F" w:rsidRPr="00EC01ED" w:rsidRDefault="5E0018E1" w:rsidP="00B00CB3">
      <w:pPr>
        <w:rPr>
          <w:noProof/>
        </w:rPr>
      </w:pPr>
      <w:r w:rsidRPr="00EC01ED">
        <w:rPr>
          <w:b/>
          <w:noProof/>
        </w:rPr>
        <w:t xml:space="preserve">Prezentul plan de acțiune vine în completarea acestor inițiative mai ample și stabilește un program de lucru cuprinzător pe termen scurt și mediu. </w:t>
      </w:r>
      <w:r w:rsidRPr="00EC01ED">
        <w:rPr>
          <w:noProof/>
        </w:rPr>
        <w:t>Acesta se bazează pe dialogul privind oțelul convocat de președintele Comisiei la 4 martie și pe o serie mai largă de consultări.</w:t>
      </w:r>
      <w:r w:rsidRPr="00EC01ED">
        <w:rPr>
          <w:bCs/>
          <w:noProof/>
        </w:rPr>
        <w:t xml:space="preserve"> </w:t>
      </w:r>
      <w:r w:rsidRPr="00EC01ED">
        <w:rPr>
          <w:noProof/>
        </w:rPr>
        <w:t>El abordează unele dintre principalele aspecte sectoriale care împiedică industriile europene ale metalelor să prospere și să realizeze decarbonizarea. Prezentul plan de acțiune stabilește măsuri concrete care – combinate – pot oferi un ajutor imediat industriilor metalelor, oferindu-le totodată garanții în ceea ce privește traiectoriile de decarbonizare și deciziile lor în materie de investiții. Parcursul de tranziție pentru sectoarele metalelor</w:t>
      </w:r>
      <w:r w:rsidRPr="00EC01ED">
        <w:rPr>
          <w:rStyle w:val="FootnoteReference"/>
          <w:noProof/>
        </w:rPr>
        <w:footnoteReference w:id="16"/>
      </w:r>
      <w:r w:rsidRPr="00EC01ED">
        <w:rPr>
          <w:noProof/>
        </w:rPr>
        <w:t xml:space="preserve">, publicat împreună cu prezentul plan de acțiune, oferă un context suplimentar și o analiză ascendentă a nevoilor și a provocărilor din industriile metalelor, precum și a opiniilor exprimate de diferitele părți interesate. Prezentul plan de acțiune va lua în considerare </w:t>
      </w:r>
      <w:r w:rsidRPr="00EC01ED">
        <w:rPr>
          <w:b/>
          <w:noProof/>
        </w:rPr>
        <w:t>parteneriatele în curs ale UE cu țările terțe, în special cu țările candidate</w:t>
      </w:r>
      <w:r w:rsidRPr="00EC01ED">
        <w:rPr>
          <w:noProof/>
        </w:rPr>
        <w:t>, pe măsură ce acestea se integrează pe piața unică și se îndreaptă către aderarea la UE. O abordare strategică în ceea ce privește consolidarea rezilienței lanțului de aprovizionare ar putea implica investiții în țările partenere și redefinirea colaborărilor industriale pentru a crea un ecosistem de producție a oțelului mai durabil și mai rezilient.</w:t>
      </w:r>
    </w:p>
    <w:p w14:paraId="7EAAFC39" w14:textId="076F5F3D" w:rsidR="000D0764" w:rsidRPr="00EC01ED" w:rsidRDefault="6266CE38" w:rsidP="00404719">
      <w:pPr>
        <w:rPr>
          <w:noProof/>
        </w:rPr>
      </w:pPr>
      <w:r w:rsidRPr="00EC01ED">
        <w:rPr>
          <w:noProof/>
        </w:rPr>
        <w:t xml:space="preserve">Acest plan de acțiune este construit în jurul a șase piloni principali: asigurarea unei </w:t>
      </w:r>
      <w:r w:rsidRPr="00EC01ED">
        <w:rPr>
          <w:b/>
          <w:noProof/>
        </w:rPr>
        <w:t>energii</w:t>
      </w:r>
      <w:r w:rsidRPr="00EC01ED">
        <w:rPr>
          <w:noProof/>
        </w:rPr>
        <w:t xml:space="preserve"> curate din abundență și la prețuri accesibile; prevenirea </w:t>
      </w:r>
      <w:r w:rsidRPr="00EC01ED">
        <w:rPr>
          <w:b/>
          <w:bCs/>
          <w:noProof/>
        </w:rPr>
        <w:t>relocării emisiilor de dioxid de carbon</w:t>
      </w:r>
      <w:r w:rsidRPr="00EC01ED">
        <w:rPr>
          <w:noProof/>
        </w:rPr>
        <w:t xml:space="preserve">; promovarea și protejarea </w:t>
      </w:r>
      <w:r w:rsidRPr="00EC01ED">
        <w:rPr>
          <w:b/>
          <w:bCs/>
          <w:noProof/>
        </w:rPr>
        <w:t>capacităților</w:t>
      </w:r>
      <w:r w:rsidRPr="00EC01ED">
        <w:rPr>
          <w:noProof/>
        </w:rPr>
        <w:t xml:space="preserve"> industriale europene; promovarea </w:t>
      </w:r>
      <w:r w:rsidRPr="00EC01ED">
        <w:rPr>
          <w:b/>
          <w:bCs/>
          <w:noProof/>
        </w:rPr>
        <w:t>circularității</w:t>
      </w:r>
      <w:r w:rsidRPr="00EC01ED">
        <w:rPr>
          <w:noProof/>
        </w:rPr>
        <w:t xml:space="preserve"> metalelor; apărarea </w:t>
      </w:r>
      <w:r w:rsidRPr="00EC01ED">
        <w:rPr>
          <w:b/>
          <w:bCs/>
          <w:noProof/>
        </w:rPr>
        <w:t>locurilor de muncă industriale</w:t>
      </w:r>
      <w:r w:rsidRPr="00EC01ED">
        <w:rPr>
          <w:noProof/>
        </w:rPr>
        <w:t xml:space="preserve"> de calitate;</w:t>
      </w:r>
      <w:r w:rsidRPr="00EC01ED">
        <w:rPr>
          <w:bCs/>
          <w:noProof/>
        </w:rPr>
        <w:t xml:space="preserve"> </w:t>
      </w:r>
      <w:r w:rsidRPr="00EC01ED">
        <w:rPr>
          <w:noProof/>
        </w:rPr>
        <w:t xml:space="preserve">și reducerea riscurilor prin intermediul </w:t>
      </w:r>
      <w:r w:rsidRPr="00EC01ED">
        <w:rPr>
          <w:b/>
          <w:bCs/>
          <w:noProof/>
        </w:rPr>
        <w:t>piețelor-lider</w:t>
      </w:r>
      <w:r w:rsidRPr="00EC01ED">
        <w:rPr>
          <w:noProof/>
        </w:rPr>
        <w:t xml:space="preserve"> și sprijinirea </w:t>
      </w:r>
      <w:r w:rsidRPr="00EC01ED">
        <w:rPr>
          <w:b/>
          <w:bCs/>
          <w:noProof/>
        </w:rPr>
        <w:t>investițiilor</w:t>
      </w:r>
      <w:r w:rsidRPr="00EC01ED">
        <w:rPr>
          <w:noProof/>
        </w:rPr>
        <w:t>.</w:t>
      </w:r>
      <w:r w:rsidRPr="00EC01ED">
        <w:rPr>
          <w:b/>
          <w:noProof/>
        </w:rPr>
        <w:t xml:space="preserve"> </w:t>
      </w:r>
    </w:p>
    <w:p w14:paraId="5F2F9472" w14:textId="442904A5" w:rsidR="003D0CCE" w:rsidRPr="00EC01ED" w:rsidRDefault="003D0CCE" w:rsidP="006D6F84">
      <w:pPr>
        <w:pStyle w:val="Heading1"/>
        <w:spacing w:before="0"/>
        <w:rPr>
          <w:noProof/>
        </w:rPr>
      </w:pPr>
      <w:r w:rsidRPr="00EC01ED">
        <w:rPr>
          <w:noProof/>
        </w:rPr>
        <w:t>Asigurarea accesului la energie curată și la prețuri accesibile pentru industriile metalelor</w:t>
      </w:r>
    </w:p>
    <w:p w14:paraId="54821D8A" w14:textId="2588B902" w:rsidR="00EE5976" w:rsidRPr="00EC01ED" w:rsidRDefault="6E0A174E" w:rsidP="006D6F84">
      <w:pPr>
        <w:pStyle w:val="Text1"/>
        <w:ind w:left="0"/>
        <w:rPr>
          <w:noProof/>
        </w:rPr>
      </w:pPr>
      <w:r w:rsidRPr="00EC01ED">
        <w:rPr>
          <w:b/>
          <w:bCs/>
          <w:noProof/>
        </w:rPr>
        <w:t>Costurile energiei rămân principalul factor determinant al competitivității industriilor metalelor</w:t>
      </w:r>
      <w:r w:rsidRPr="00EC01ED">
        <w:rPr>
          <w:noProof/>
        </w:rPr>
        <w:t xml:space="preserve">. Costurile energiei reprezintă o pondere mai importantă a costurilor de producție pentru sectoarele metalelor și ale oțelului decât pentru alte sectoare. Deja înainte de criza energetică, această pondere se ridica la aproximativ 17 % pentru sectorul oțelului, </w:t>
      </w:r>
      <w:r w:rsidRPr="00EC01ED">
        <w:rPr>
          <w:rStyle w:val="FootnoteReference"/>
          <w:noProof/>
        </w:rPr>
        <w:footnoteReference w:id="17"/>
      </w:r>
      <w:r w:rsidRPr="00EC01ED">
        <w:rPr>
          <w:noProof/>
        </w:rPr>
        <w:t xml:space="preserve"> și la 40 % pentru sectorul aluminiului</w:t>
      </w:r>
      <w:r w:rsidRPr="00EC01ED">
        <w:rPr>
          <w:rStyle w:val="FootnoteReference"/>
          <w:noProof/>
        </w:rPr>
        <w:footnoteReference w:id="18"/>
      </w:r>
      <w:r w:rsidRPr="00EC01ED">
        <w:rPr>
          <w:noProof/>
        </w:rPr>
        <w:t>. În timpul crizei energetice din 2022, aceste cifre au ajuns la 80 %</w:t>
      </w:r>
      <w:r w:rsidRPr="00EC01ED">
        <w:rPr>
          <w:rStyle w:val="FootnoteReference"/>
          <w:noProof/>
        </w:rPr>
        <w:footnoteReference w:id="19"/>
      </w:r>
      <w:r w:rsidRPr="00EC01ED">
        <w:rPr>
          <w:noProof/>
        </w:rPr>
        <w:t>. În 2025, deși prețurile la energie au scăzut față de vârful din 2022, acestea rămân mai ridicate comparativ cu nivelurile istorice, precum și comparativ cu alți producători internaționali. Prețurile energiei electrice sunt de 2-3 ori mai mari în UE decât în SUA</w:t>
      </w:r>
      <w:r w:rsidRPr="00EC01ED">
        <w:rPr>
          <w:rStyle w:val="FootnoteReference"/>
          <w:noProof/>
        </w:rPr>
        <w:footnoteReference w:id="20"/>
      </w:r>
      <w:r w:rsidRPr="00EC01ED">
        <w:rPr>
          <w:noProof/>
        </w:rPr>
        <w:t>, în timp ce prețurile gazelor naturale sunt de aproape cinci ori mai mari decât cele din SUA</w:t>
      </w:r>
      <w:r w:rsidRPr="00EC01ED">
        <w:rPr>
          <w:rStyle w:val="FootnoteReference"/>
          <w:noProof/>
        </w:rPr>
        <w:footnoteReference w:id="21"/>
      </w:r>
      <w:r w:rsidRPr="00EC01ED">
        <w:rPr>
          <w:noProof/>
        </w:rPr>
        <w:t>. Electrificarea directă rămâne cel mai eficient parcurs de decarbonizare a mai multor forme de producție de oțel și metale, în timp ce alte parcursuri vor depinde de metodele indirecte de electrificare, cum ar fi hidrogenul produs prin electroliză, crescând ponderea costurilor energiei în costurile totale de producție comparativ cu tehnologiile bazate pe combustibili fosili. Ca atare, asigurarea accesului la energie electrică la prețuri mai mici este esențială pentru sprijinirea acestei tranziții. În plus, tehnologiile precum captarea și stocarea dioxidului de carbon și utilizarea circulară a materiilor prime sunt, de asemenea, relevante.</w:t>
      </w:r>
    </w:p>
    <w:p w14:paraId="022E6371" w14:textId="01DBED39" w:rsidR="0035380E" w:rsidRPr="00EC01ED" w:rsidRDefault="00D87202" w:rsidP="00404719">
      <w:pPr>
        <w:pStyle w:val="Text1"/>
        <w:ind w:left="0" w:firstLine="720"/>
        <w:rPr>
          <w:i/>
          <w:iCs/>
          <w:noProof/>
        </w:rPr>
      </w:pPr>
      <w:r w:rsidRPr="00EC01ED">
        <w:rPr>
          <w:i/>
          <w:noProof/>
        </w:rPr>
        <w:t>Scăderea prețurilor la energie pentru industriile mari consumatoare de energie</w:t>
      </w:r>
    </w:p>
    <w:p w14:paraId="3F7300EE" w14:textId="184F8D4B" w:rsidR="005F7E6C" w:rsidRPr="00EC01ED" w:rsidRDefault="00AB4FE8" w:rsidP="00404719">
      <w:pPr>
        <w:pStyle w:val="Text1"/>
        <w:ind w:left="0"/>
        <w:rPr>
          <w:noProof/>
        </w:rPr>
      </w:pPr>
      <w:r w:rsidRPr="00EC01ED">
        <w:rPr>
          <w:noProof/>
        </w:rPr>
        <w:t xml:space="preserve">Pentru a depăși această situație dificilă, energia trebuie să devină mai accesibilă ca preț. </w:t>
      </w:r>
      <w:r w:rsidRPr="00EC01ED">
        <w:rPr>
          <w:b/>
          <w:bCs/>
          <w:noProof/>
        </w:rPr>
        <w:t>Planul de acțiune privind energia la prețuri accesibile</w:t>
      </w:r>
      <w:r w:rsidRPr="00EC01ED">
        <w:rPr>
          <w:noProof/>
        </w:rPr>
        <w:t xml:space="preserve"> oferă elemente importante de soluționare, în special prin anunțarea unor măsuri menite să eficientizeze taxele de rețea, să reducă taxele și impozitele pe energie, să faciliteze contractele de achiziție de energie electrică (PPA), să accelereze procesul de autorizare, să extindă și să modernizeze rețelele și să stimuleze flexibilitatea sistemului de energie electrică. În plus, industriile mari consumatoare de energie vor fi principalii beneficiari ai programului-pilot al BEI privind PPA-urile corporative. </w:t>
      </w:r>
    </w:p>
    <w:p w14:paraId="324A38BF" w14:textId="4B5EC627" w:rsidR="00B542D8" w:rsidRPr="00EC01ED" w:rsidRDefault="3AABFE1A" w:rsidP="06746406">
      <w:pPr>
        <w:pStyle w:val="Text1"/>
        <w:ind w:left="0"/>
        <w:rPr>
          <w:noProof/>
        </w:rPr>
      </w:pPr>
      <w:r w:rsidRPr="00EC01ED">
        <w:rPr>
          <w:noProof/>
        </w:rPr>
        <w:t xml:space="preserve">Soluțiile suplimentare </w:t>
      </w:r>
      <w:r w:rsidRPr="00EC01ED">
        <w:rPr>
          <w:b/>
          <w:bCs/>
          <w:noProof/>
        </w:rPr>
        <w:t>care vizează în mod specific industriile mari consumatoare de energie</w:t>
      </w:r>
      <w:r w:rsidRPr="00EC01ED">
        <w:rPr>
          <w:noProof/>
        </w:rPr>
        <w:t xml:space="preserve"> ar trebui să fie proporționale cu rolul primordial jucat de costurile energiei în ceea ce privește competitivitatea și decarbonizarea acestor industrii. Comisia se consultă cu statele membre în privința unui instrument de ajutor de stat pentru o flexibilitate curată bazat pe PPA-uri și pe angajamentul industriei de a consuma energie electrică curată. În plus, Comisia va oferi orientări statelor membre cu privire la conceperea schemelor de sprijin public pentru energia curată prin contracte bidirecționale pentru diferență, inclusiv combinarea acestora cu PPA-uri, în vederea asigurării unei reduceri temporare a prețurilor pentru industriile mari consumatoare de energie, cu scopul de a permite investițiile în decarbonizare în UE. Sprijinul public în sectorul energetic ar trebui să acorde o atenție deosebită </w:t>
      </w:r>
      <w:r w:rsidRPr="00EC01ED">
        <w:rPr>
          <w:b/>
          <w:noProof/>
        </w:rPr>
        <w:t>industriilor mari consumatoare de energie și sectorului metalelor</w:t>
      </w:r>
      <w:r w:rsidRPr="00EC01ED">
        <w:rPr>
          <w:noProof/>
        </w:rPr>
        <w:t>, în special acolo unde sunt disponibile tehnologii de electrificare, iar întreprinderile pot beneficia de aceste acorduri contractuale pe termen lung pentru a atenua impactul fluctuațiilor prețurilor energiei electrice.</w:t>
      </w:r>
      <w:r w:rsidRPr="00EC01ED">
        <w:rPr>
          <w:bCs/>
          <w:noProof/>
        </w:rPr>
        <w:t xml:space="preserve"> </w:t>
      </w:r>
      <w:r w:rsidRPr="00EC01ED">
        <w:rPr>
          <w:noProof/>
        </w:rPr>
        <w:t>În acest sens, vor trebui luate în considerare toate obstacolele potențiale în calea utilizării PP-urilor, inclusiv impactul potențial asupra bilanțurilor întreprinderilor</w:t>
      </w:r>
      <w:r w:rsidRPr="00EC01ED">
        <w:rPr>
          <w:rStyle w:val="FootnoteReference"/>
          <w:noProof/>
        </w:rPr>
        <w:footnoteReference w:id="22"/>
      </w:r>
      <w:r w:rsidRPr="00EC01ED">
        <w:rPr>
          <w:noProof/>
        </w:rPr>
        <w:t xml:space="preserve">. Comisia va analiza disfuncționalitățile pieței sau ale reglementărilor care împiedică utilizarea optimă a unor astfel de contracte pentru industriile mari consumatoare de energie și, dacă este necesar, le va remedia. </w:t>
      </w:r>
      <w:bookmarkStart w:id="2" w:name="_Hlk192151590"/>
      <w:bookmarkStart w:id="3" w:name="_Hlk192151565"/>
      <w:bookmarkEnd w:id="2"/>
      <w:bookmarkEnd w:id="3"/>
    </w:p>
    <w:p w14:paraId="48B53AEB" w14:textId="14D015F0" w:rsidR="00F77F73" w:rsidRPr="00EC01ED" w:rsidRDefault="7A29C4D8" w:rsidP="06746406">
      <w:pPr>
        <w:spacing w:line="259" w:lineRule="auto"/>
        <w:rPr>
          <w:noProof/>
        </w:rPr>
      </w:pPr>
      <w:r w:rsidRPr="00EC01ED">
        <w:rPr>
          <w:noProof/>
        </w:rPr>
        <w:t xml:space="preserve">Pe termen scurt, </w:t>
      </w:r>
      <w:r w:rsidRPr="00EC01ED">
        <w:rPr>
          <w:b/>
          <w:noProof/>
        </w:rPr>
        <w:t>statele membre sunt invitate, de asemenea, să pună rapid în aplicare și să utilizeze toate flexibilitățile</w:t>
      </w:r>
      <w:r w:rsidRPr="00EC01ED">
        <w:rPr>
          <w:noProof/>
        </w:rPr>
        <w:t xml:space="preserve"> prevăzute de legislația europeană în domeniul energiei și de normele privind ajutoarele de stat pentru a reduce costurile pentru industriile mari consumatoare de energie. Secțiunea 4.7.1 din Orientările privind ajutoarele de stat pentru climă, protecția mediului și energie permite reducerea nivelului taxelor de mediu și al taxelor parafiscale pentru sectoarele care nu ar fi în măsură să își desfășoare activitățile economice în mod durabil fără această reducere, iar secțiunea 4.11 permite reducerea taxelor la energia electrică pentru utilizatorii mari consumatori de energie </w:t>
      </w:r>
      <w:r w:rsidRPr="00EC01ED">
        <w:rPr>
          <w:rStyle w:val="FootnoteReference"/>
          <w:noProof/>
        </w:rPr>
        <w:footnoteReference w:id="23"/>
      </w:r>
      <w:r w:rsidRPr="00EC01ED">
        <w:rPr>
          <w:noProof/>
        </w:rPr>
        <w:t>. Industriile oțelului și ale metalelor îndeplinesc, în general, aceste condiții. De asemenea, Directiva privind impozitarea energiei permite reducerea la zero a impozitării energiei electrice pentru industriile mari consumatoare de energie în anumite condiții, ceea ce creează un stimulent pentru decarbonizarea sectorului prin electrificare și poate sprijini competitivitatea sa mai largă. Statele membre sunt, de asemenea, încurajate să încheie de urgență negocierile referitoare la Directiva privind impozitarea energiei</w:t>
      </w:r>
      <w:r w:rsidRPr="00EC01ED">
        <w:rPr>
          <w:rStyle w:val="FootnoteReference"/>
          <w:noProof/>
        </w:rPr>
        <w:footnoteReference w:id="24"/>
      </w:r>
      <w:r w:rsidRPr="00EC01ED">
        <w:rPr>
          <w:noProof/>
        </w:rPr>
        <w:t xml:space="preserve"> pentru a face cadrul fiscal mai favorabil electrificării și pentru a facilita abandonarea progresivă a utilizării combustibililor fosili.</w:t>
      </w:r>
    </w:p>
    <w:p w14:paraId="6A77AA8B" w14:textId="0DE66059" w:rsidR="00EE3C76" w:rsidRPr="00EC01ED" w:rsidRDefault="038C8CDE" w:rsidP="006D6F84">
      <w:pPr>
        <w:rPr>
          <w:noProof/>
        </w:rPr>
      </w:pPr>
      <w:r w:rsidRPr="00EC01ED">
        <w:rPr>
          <w:b/>
          <w:noProof/>
        </w:rPr>
        <w:t>Cadrul privind ajutoarele de stat din cadrul Pactului pentru o industrie curată</w:t>
      </w:r>
      <w:r w:rsidRPr="00EC01ED">
        <w:rPr>
          <w:noProof/>
        </w:rPr>
        <w:t>, care urmează să fie adoptat în al doilea trimestru al anului 2025, după o perioadă de consultare</w:t>
      </w:r>
      <w:r w:rsidRPr="00EC01ED">
        <w:rPr>
          <w:rStyle w:val="FootnoteReference"/>
          <w:noProof/>
        </w:rPr>
        <w:footnoteReference w:id="25"/>
      </w:r>
      <w:r w:rsidRPr="00EC01ED">
        <w:rPr>
          <w:noProof/>
        </w:rPr>
        <w:t>, va oferi flexibilități și simplificări suplimentare pentru a permite statelor membre să accelereze sprijinul pentru decarbonizarea industrială. Acesta ține seama de faptul că semnalele de piață și de reglementare, cum ar fi prețul actual și cel preconizat al ETS, sunt adesea insuficiente în sine pentru a depăși diferențele de cost dintre metodele de producție tradiționale și decarbonizate în această etapă. Conform proiectului care face în prezent obiectul consultării publice</w:t>
      </w:r>
      <w:r w:rsidRPr="00EC01ED">
        <w:rPr>
          <w:rStyle w:val="FootnoteReference"/>
          <w:noProof/>
        </w:rPr>
        <w:footnoteReference w:id="26"/>
      </w:r>
      <w:r w:rsidRPr="00EC01ED">
        <w:rPr>
          <w:noProof/>
        </w:rPr>
        <w:t>, sprijinului public i se vor aplica condiții de compatibilitate simplificate pentru toate tehnologiile de decarbonizare, inclusiv pentru măsurile de eficiență energetică. Se preconizează că acest lucru va duce la reduceri ale costurilor și va spori competitivitatea, reducând în același timp emisiile de gaze cu efect de seră. Vor fi permise scheme simplificate bazate pe intensități autorizate ale ajutoarelor, pe lângă schemele bazate pe calcule ale deficitului de finanțare sau pe ofertare concurențială. Deși aceste scheme includ plafoane ale ajutoarelor, proiectele de anvergură pot fi, de asemenea, aprobate printr-o procedură simplificată. Investițiile în decarbonizare vor fi privite într-un mod neutru din punct de vedere tehnologic, fiind axate pe reducerea emisiilor, inclusiv acolo unde acestea sunt realizate în timp. Pe lângă sprijinul direct pentru investiții în decarbonizare, noul cadru va facilita amortizarea accelerată a activelor de tehnologie curată, cum ar fi electrolizoarele sau echipamentele de captare, de utilizare și de stocare a dioxidului de carbon.</w:t>
      </w:r>
    </w:p>
    <w:p w14:paraId="1BA48A59" w14:textId="6A2DFDE2" w:rsidR="00611844" w:rsidRPr="00EC01ED" w:rsidRDefault="1F7DF415" w:rsidP="06746406">
      <w:pPr>
        <w:rPr>
          <w:noProof/>
        </w:rPr>
      </w:pPr>
      <w:r w:rsidRPr="00EC01ED">
        <w:rPr>
          <w:b/>
          <w:noProof/>
        </w:rPr>
        <w:t>Orientările privind ajutoarele de stat destinate compensării costurilor indirecte ale schemei de comercializare a certificatelor de emisii (ETS)</w:t>
      </w:r>
      <w:r w:rsidRPr="00EC01ED">
        <w:rPr>
          <w:noProof/>
        </w:rPr>
        <w:t xml:space="preserve"> oferă statelor membre posibilitatea de a compensa costurile emisiilor de dioxid de carbon repercutate în facturile la energie electrică, în favoarea anumitor sectoare cu miză comercială și cu emisii ridicate de dioxid de carbon, care includ industriile oțelului și alte industrii ale metalelor. Statele membre sunt încurajate să utilizeze în continuare această posibilitate sau să ia în considerare utilizarea acesteia acolo unde este relevant pentru industria lor (în prezent, numai 14 state membre recurg la această posibilitate). În contextul revizuirilor ETS și CBAM din 2026, Comisia va depune eforturi pentru a asigura măsuri adecvate (sub formă de orientări sau sub altă formă) pentru compensarea costurilor indirecte ale ETS după 2030, asigurându-se, în același timp, că nu există nicio suprapunere cu alte mijloace de combatere a realocării emisiilor de dioxid de carbon. </w:t>
      </w:r>
    </w:p>
    <w:p w14:paraId="1FB873A4" w14:textId="00ECFB92" w:rsidR="006E12D1" w:rsidRPr="00EC01ED" w:rsidRDefault="4D4B5C05" w:rsidP="00404719">
      <w:pPr>
        <w:rPr>
          <w:noProof/>
        </w:rPr>
      </w:pPr>
      <w:r w:rsidRPr="00EC01ED">
        <w:rPr>
          <w:noProof/>
        </w:rPr>
        <w:t xml:space="preserve">În plus, Regulamentul UE privind energia oferă un cadru pentru stabilirea </w:t>
      </w:r>
      <w:r w:rsidRPr="00EC01ED">
        <w:rPr>
          <w:b/>
          <w:noProof/>
        </w:rPr>
        <w:t>tarifelor de rețea</w:t>
      </w:r>
      <w:r w:rsidRPr="00EC01ED">
        <w:rPr>
          <w:noProof/>
        </w:rPr>
        <w:t xml:space="preserve"> pe baza principiilor reflectării costurilor, transparenței și nediscriminării, ținând seama, în același timp, de nevoia de securitate și flexibilitate a rețelei. Statele membre își pot concepe propriile tarife de rețea într-un mod care să aducă beneficii industriilor mari consumatoare de energie. În acest scop, Orientările privind stabilirea tarifelor de rețea anunțate în Planul de acțiune privind energia la prețuri accesibile pentru al doilea trimestru al anului 2025 vor oferi detalii suplimentare cu privire la soluțiile de reducere a costurilor sistemului în beneficiul tuturor utilizatorilor, inclusiv pentru sectoarele mari consumatoare de energie.</w:t>
      </w:r>
    </w:p>
    <w:p w14:paraId="6A582649" w14:textId="07C0407E" w:rsidR="00125ACB" w:rsidRPr="00EC01ED" w:rsidRDefault="767FD081" w:rsidP="1620BDFC">
      <w:pPr>
        <w:pStyle w:val="Text1"/>
        <w:ind w:left="720"/>
        <w:rPr>
          <w:i/>
          <w:iCs/>
          <w:noProof/>
        </w:rPr>
      </w:pPr>
      <w:r w:rsidRPr="00EC01ED">
        <w:rPr>
          <w:i/>
          <w:noProof/>
        </w:rPr>
        <w:t xml:space="preserve">Accelerarea racordurilor la rețea și utilizarea hidrogenului produs din surse regenerabile și cu emisii scăzute de dioxid de carbon </w:t>
      </w:r>
    </w:p>
    <w:p w14:paraId="1E0842CA" w14:textId="5C698E3D" w:rsidR="00125ACB" w:rsidRPr="00EC01ED" w:rsidRDefault="62E53AC8" w:rsidP="00404719">
      <w:pPr>
        <w:pStyle w:val="Text1"/>
        <w:ind w:left="0"/>
        <w:rPr>
          <w:noProof/>
        </w:rPr>
      </w:pPr>
      <w:r w:rsidRPr="00EC01ED">
        <w:rPr>
          <w:noProof/>
        </w:rPr>
        <w:t>Pe măsură ce tot mai multe sectoare se electrifică și dat fiind că multe proiecte de extindere a rețelelor prezintă întârzieri, sectorul metalelor se confruntă adesea cu perioade lungi de așteptare pentru obținerea sau extinderea unui racord la rețea, adesea de mai mulți ani. Astfel de întârzieri riscă să ducă la deraierea tuturor investițiilor în electrificare.</w:t>
      </w:r>
    </w:p>
    <w:p w14:paraId="1D5824BE" w14:textId="530AAFD1" w:rsidR="00B46BFD" w:rsidRPr="00EC01ED" w:rsidRDefault="5078DB6D" w:rsidP="06746406">
      <w:pPr>
        <w:pStyle w:val="Text1"/>
        <w:ind w:left="0"/>
        <w:rPr>
          <w:noProof/>
        </w:rPr>
      </w:pPr>
      <w:r w:rsidRPr="00EC01ED">
        <w:rPr>
          <w:b/>
          <w:noProof/>
        </w:rPr>
        <w:t>Comisia va colabora cu statele membre pentru a aborda problemele care stau la baza perioadelor lungi de așteptare în ceea ce privește racordarea la rețea.</w:t>
      </w:r>
      <w:r w:rsidRPr="00EC01ED">
        <w:rPr>
          <w:noProof/>
        </w:rPr>
        <w:t xml:space="preserve"> Comisia va emite orientări și recomandări adresate statelor membre cu privire la reducerea timpului de așteptare în ceea ce privește racordurile la rețea. Aceste documente vor include măsuri posibile în cadrul juridic existent și vor ajuta statele membre să elimine de pe lista de așteptare cererile speculative sau imature și să se abată, după caz, de la principiul „primul venit, primul servit”, pe baza unor criterii obiective, în favoarea unor investiții benefice pentru tranziția către o energie curată și eficiența sistemului energetic. Acest lucru se va baza pe exemplele pozitive existente în unele state membre și se va realiza în urma dialogului cu autoritățile statelor membre.</w:t>
      </w:r>
      <w:r w:rsidRPr="00EC01ED">
        <w:rPr>
          <w:bCs/>
          <w:noProof/>
        </w:rPr>
        <w:t xml:space="preserve"> </w:t>
      </w:r>
      <w:r w:rsidRPr="00EC01ED">
        <w:rPr>
          <w:noProof/>
        </w:rPr>
        <w:t>Totodată, Comisia va emite principii directoare în al doilea trimestru al anului 2025, identificând condițiile în care ar trebui realizate investiții anticipative</w:t>
      </w:r>
      <w:r w:rsidRPr="00EC01ED">
        <w:rPr>
          <w:rStyle w:val="FootnoteReference"/>
          <w:noProof/>
        </w:rPr>
        <w:footnoteReference w:id="27"/>
      </w:r>
      <w:r w:rsidRPr="00EC01ED">
        <w:rPr>
          <w:noProof/>
        </w:rPr>
        <w:t xml:space="preserve"> în proiecte de rețea. Acordurile de racordare flexibile pot oferi, de asemenea, industriilor mari consumatoare de energie un mijloc de a avea acces la rețea până când aceste investiții în rețea au loc. Mai mult, Comisia va propune măsuri suplimentare pentru a facilita și a accelera accesul la infrastructura de rețea pentru proiectele de electrificare a industriilor mari consumatoare de energie. </w:t>
      </w:r>
    </w:p>
    <w:p w14:paraId="5DD27B1D" w14:textId="52B72962" w:rsidR="00B46BFD" w:rsidRPr="00EC01ED" w:rsidRDefault="27987914" w:rsidP="00404719">
      <w:pPr>
        <w:pStyle w:val="Text1"/>
        <w:ind w:left="0"/>
        <w:rPr>
          <w:noProof/>
        </w:rPr>
      </w:pPr>
      <w:r w:rsidRPr="00EC01ED">
        <w:rPr>
          <w:b/>
          <w:noProof/>
        </w:rPr>
        <w:t>Întrucât electrificarea directă nu este întotdeauna posibilă sau eficientă din punctul de vedere al costurilor, hidrogenul este un factor-cheie al decarbonizării în industriile oțelului și ale metalelor.</w:t>
      </w:r>
      <w:r w:rsidRPr="00EC01ED">
        <w:rPr>
          <w:noProof/>
        </w:rPr>
        <w:t xml:space="preserve"> De exemplu, reducerea directă cu ajutorul hidrogenului este cea mai promițătoare opțiune de decarbonizare a producției de oțel primar, iar hidrogenul este cel mai bine plasat pentru a înlocui gazele naturale ca sursă de căldură la temperatură înaltă, inclusiv în alte industrii ale metalelor. Pentru a realiza o tranziție competitivă, este necesară o aprovizionare abundentă și la prețuri accesibile cu hidrogen din surse regenerabile și cu emisii scăzute de dioxid de carbon. Comisia a anunțat, de asemenea, în Pactul pentru o industrie curată, că va adopta în săptămânile următoare actul delegat privind </w:t>
      </w:r>
      <w:r w:rsidRPr="00EC01ED">
        <w:rPr>
          <w:b/>
          <w:noProof/>
        </w:rPr>
        <w:t>hidrogenul cu emisii scăzute de dioxid de carbon</w:t>
      </w:r>
      <w:r w:rsidRPr="00EC01ED">
        <w:rPr>
          <w:noProof/>
        </w:rPr>
        <w:t>, pentru a oferi claritate furnizorilor, achizitorilor și investitorilor. Acest act delegat va prezenta norme cât mai flexibile pentru a atinge obiectivele dorite de reducere a emisiilor de gaze cu efect de seră pentru producția de combustibili cu emisii scăzute de dioxid de carbon într-un mod neutru din punct de vedere tehnologic.</w:t>
      </w:r>
    </w:p>
    <w:p w14:paraId="56040A89" w14:textId="5C07C1F3" w:rsidR="002F055F" w:rsidRPr="00EC01ED" w:rsidRDefault="3E0FF328" w:rsidP="7F7C3B5C">
      <w:pPr>
        <w:spacing w:line="259" w:lineRule="auto"/>
        <w:rPr>
          <w:i/>
          <w:iCs/>
          <w:noProof/>
        </w:rPr>
      </w:pPr>
      <w:r w:rsidRPr="00EC01ED">
        <w:rPr>
          <w:noProof/>
        </w:rPr>
        <w:t>Mai mult,</w:t>
      </w:r>
      <w:r w:rsidRPr="00EC01ED">
        <w:rPr>
          <w:b/>
          <w:noProof/>
        </w:rPr>
        <w:t xml:space="preserve"> a treia cerere de propuneri care va fi lansată în cadrul Băncii Europene pentru Hidrogen</w:t>
      </w:r>
      <w:r w:rsidRPr="00EC01ED">
        <w:rPr>
          <w:noProof/>
        </w:rPr>
        <w:t xml:space="preserve">, anunțată pentru al treilea trimestru al anului 2025 în Pactul pentru o industrie curată, va continua să sprijine producția și, prin urmare, să faciliteze accesul diferiților achizitori industriali, inclusiv al oțelăriilor. </w:t>
      </w:r>
    </w:p>
    <w:p w14:paraId="41DDF155" w14:textId="5B74457A" w:rsidR="002F055F" w:rsidRPr="00EC01ED" w:rsidRDefault="3E0FF328" w:rsidP="1620BDFC">
      <w:pPr>
        <w:spacing w:line="259" w:lineRule="auto"/>
        <w:rPr>
          <w:i/>
          <w:iCs/>
          <w:noProof/>
        </w:rPr>
      </w:pPr>
      <w:r w:rsidRPr="00EC01ED">
        <w:rPr>
          <w:noProof/>
        </w:rPr>
        <w:t xml:space="preserve">În plus, Comisia va redefini prioritățile mandatului </w:t>
      </w:r>
      <w:r w:rsidRPr="00EC01ED">
        <w:rPr>
          <w:b/>
          <w:bCs/>
          <w:noProof/>
        </w:rPr>
        <w:t>Alianței europene pentru hidrogen curat</w:t>
      </w:r>
      <w:r w:rsidRPr="00EC01ED">
        <w:rPr>
          <w:noProof/>
        </w:rPr>
        <w:t xml:space="preserve"> în legătură cu sectoarele în care hidrogenul este cel mai important pentru eforturile de decarbonizare. Comisia Europeană va monitoriza și va actualiza anual progresele rezervei de proiecte a acestei alianțe, pentru a urmări extinderea pieței hidrogenului și pentru a oferi achizitorilor industriali, printre altele, certitudinea necesară pentru planurile lor de decarbonizare. </w:t>
      </w:r>
    </w:p>
    <w:p w14:paraId="33E39013" w14:textId="135E4A8F" w:rsidR="002F055F" w:rsidRPr="00EC01ED" w:rsidRDefault="4D8E3ECA" w:rsidP="06746406">
      <w:pPr>
        <w:spacing w:line="259" w:lineRule="auto"/>
        <w:rPr>
          <w:i/>
          <w:iCs/>
          <w:noProof/>
        </w:rPr>
      </w:pPr>
      <w:r w:rsidRPr="00EC01ED">
        <w:rPr>
          <w:i/>
          <w:noProof/>
        </w:rPr>
        <w:t>Accelerarea recuperării căldurii excedentare și a utilizării energiei curate</w:t>
      </w:r>
    </w:p>
    <w:p w14:paraId="3F6DA03C" w14:textId="1D41B80C" w:rsidR="002F055F" w:rsidRPr="00EC01ED" w:rsidRDefault="4D8E3ECA" w:rsidP="006D6F84">
      <w:pPr>
        <w:rPr>
          <w:noProof/>
        </w:rPr>
      </w:pPr>
      <w:r w:rsidRPr="00EC01ED">
        <w:rPr>
          <w:noProof/>
        </w:rPr>
        <w:t xml:space="preserve">Creșterea eficienței energetice și promovarea electrificării și a utilizării energiei curate în sectorul oțelului și al metalelor pot aduce beneficii sistemului energetic al UE, reducând în același timp costurile pentru aceste sectoare. Sectoarele oțelului și ale metalelor sunt sectoarele industriale cu cel mai mare potențial de recuperare a căldurii reziduale din UE, în special în ceea ce privește resursele de căldură de temperatură înaltă care pot fi gaze de ardere recuperate, lichide de înaltă temperatură și deșeuri. Pompele de căldură cu temperatură înaltă devin o opțiune din ce în ce mai versatilă de utilizare a căldurii industriale excedentare, reducând astfel nevoile energetice globale ale sectorului. Căldura reziduală poate fi, de asemenea, recuperată și utilizată în rețelele de termoficare. </w:t>
      </w:r>
      <w:r w:rsidRPr="00EC01ED">
        <w:rPr>
          <w:b/>
          <w:noProof/>
        </w:rPr>
        <w:t>Comisia va elabora și va promova abordări standardizate în ceea ce privește recuperarea căldurii reziduale</w:t>
      </w:r>
      <w:r w:rsidRPr="00EC01ED">
        <w:rPr>
          <w:noProof/>
        </w:rPr>
        <w:t>, inclusiv pentru a reproduce modele precum contractele de achiziție de energie termică și pentru a extinde cele mai bune practici privind planificarea integrată a infrastructurii de energie termică, ca parte a strategiei pentru încălzire și răcire anunțate în Planul de acțiune privind energia la prețuri accesibile.</w:t>
      </w:r>
    </w:p>
    <w:tbl>
      <w:tblPr>
        <w:tblStyle w:val="TableGrid"/>
        <w:tblW w:w="0" w:type="auto"/>
        <w:tblLook w:val="04A0" w:firstRow="1" w:lastRow="0" w:firstColumn="1" w:lastColumn="0" w:noHBand="0" w:noVBand="1"/>
      </w:tblPr>
      <w:tblGrid>
        <w:gridCol w:w="8602"/>
      </w:tblGrid>
      <w:tr w:rsidR="00E36DC6" w:rsidRPr="00EC01ED" w14:paraId="38D565AD" w14:textId="77777777" w:rsidTr="7F7C3B5C">
        <w:tc>
          <w:tcPr>
            <w:tcW w:w="8602" w:type="dxa"/>
          </w:tcPr>
          <w:p w14:paraId="529853D8" w14:textId="0B4A7669" w:rsidR="00E36DC6" w:rsidRPr="00EC01ED" w:rsidRDefault="52034058" w:rsidP="1620BDFC">
            <w:pPr>
              <w:pStyle w:val="Text1"/>
              <w:spacing w:after="0" w:afterAutospacing="1"/>
              <w:ind w:left="0"/>
              <w:rPr>
                <w:b/>
                <w:bCs/>
                <w:noProof/>
              </w:rPr>
            </w:pPr>
            <w:r w:rsidRPr="00EC01ED">
              <w:rPr>
                <w:b/>
                <w:noProof/>
              </w:rPr>
              <w:t>Acțiuni:</w:t>
            </w:r>
          </w:p>
        </w:tc>
      </w:tr>
      <w:tr w:rsidR="00E36DC6" w:rsidRPr="00EC01ED" w14:paraId="410BDD9C" w14:textId="77777777" w:rsidTr="7F7C3B5C">
        <w:trPr>
          <w:trHeight w:val="300"/>
        </w:trPr>
        <w:tc>
          <w:tcPr>
            <w:tcW w:w="8602" w:type="dxa"/>
          </w:tcPr>
          <w:p w14:paraId="6DAA8060" w14:textId="15E68136" w:rsidR="00E36DC6" w:rsidRPr="00EC01ED" w:rsidRDefault="45139F2C" w:rsidP="06746406">
            <w:pPr>
              <w:pStyle w:val="Text1"/>
              <w:spacing w:after="0" w:afterAutospacing="1"/>
              <w:ind w:left="360"/>
              <w:rPr>
                <w:noProof/>
              </w:rPr>
            </w:pPr>
            <w:r w:rsidRPr="00EC01ED">
              <w:rPr>
                <w:noProof/>
              </w:rPr>
              <w:t xml:space="preserve">În săptămânile următoare, Comisia va adopta actul delegat privind </w:t>
            </w:r>
            <w:r w:rsidRPr="00EC01ED">
              <w:rPr>
                <w:b/>
                <w:bCs/>
                <w:noProof/>
              </w:rPr>
              <w:t>hidrogenul cu emisii scăzute de dioxid de carbon</w:t>
            </w:r>
            <w:r w:rsidRPr="00EC01ED">
              <w:rPr>
                <w:noProof/>
              </w:rPr>
              <w:t xml:space="preserve">. </w:t>
            </w:r>
          </w:p>
        </w:tc>
      </w:tr>
      <w:tr w:rsidR="1CFBB703" w:rsidRPr="00EC01ED" w14:paraId="0D982F1C" w14:textId="77777777" w:rsidTr="00EC01ED">
        <w:trPr>
          <w:trHeight w:val="849"/>
        </w:trPr>
        <w:tc>
          <w:tcPr>
            <w:tcW w:w="8602" w:type="dxa"/>
          </w:tcPr>
          <w:p w14:paraId="3FE031B4" w14:textId="33D74137" w:rsidR="1CFBB703" w:rsidRPr="00EC01ED" w:rsidRDefault="1CFBB703" w:rsidP="1CFBB703">
            <w:pPr>
              <w:pStyle w:val="Text1"/>
              <w:spacing w:afterAutospacing="1"/>
              <w:ind w:left="360"/>
              <w:rPr>
                <w:b/>
                <w:bCs/>
                <w:noProof/>
              </w:rPr>
            </w:pPr>
            <w:r w:rsidRPr="00EC01ED">
              <w:rPr>
                <w:noProof/>
              </w:rPr>
              <w:t xml:space="preserve">Până în T2 2025, Comisia va publica un ghid privind stabilirea tarifelor de rețea, care va oferi posibilități, printre altele, de a reduce </w:t>
            </w:r>
            <w:r w:rsidRPr="00EC01ED">
              <w:rPr>
                <w:b/>
                <w:bCs/>
                <w:noProof/>
              </w:rPr>
              <w:t>tarifele de rețea pentru sectorul metalelor și pentru alte industrii mari consumatoare de energie</w:t>
            </w:r>
            <w:r w:rsidRPr="00EC01ED">
              <w:rPr>
                <w:noProof/>
              </w:rPr>
              <w:t xml:space="preserve">. </w:t>
            </w:r>
          </w:p>
        </w:tc>
      </w:tr>
      <w:tr w:rsidR="1CFBB703" w:rsidRPr="00EC01ED" w14:paraId="7619A642" w14:textId="77777777" w:rsidTr="00EC01ED">
        <w:trPr>
          <w:trHeight w:val="609"/>
        </w:trPr>
        <w:tc>
          <w:tcPr>
            <w:tcW w:w="8602" w:type="dxa"/>
          </w:tcPr>
          <w:p w14:paraId="07AB42C8" w14:textId="77777777" w:rsidR="1CFBB703" w:rsidRPr="00EC01ED" w:rsidRDefault="178B9961" w:rsidP="7F7C3B5C">
            <w:pPr>
              <w:pStyle w:val="Text1"/>
              <w:spacing w:afterAutospacing="1"/>
              <w:ind w:left="360"/>
              <w:rPr>
                <w:noProof/>
              </w:rPr>
            </w:pPr>
            <w:r w:rsidRPr="00EC01ED">
              <w:rPr>
                <w:noProof/>
              </w:rPr>
              <w:t xml:space="preserve">Până în T2 2025, Comisia va emite principii directoare care să identifice condițiile în care ar trebui acordate </w:t>
            </w:r>
            <w:r w:rsidRPr="00EC01ED">
              <w:rPr>
                <w:b/>
                <w:bCs/>
                <w:noProof/>
              </w:rPr>
              <w:t>investițiile anticipative</w:t>
            </w:r>
            <w:r w:rsidRPr="00EC01ED">
              <w:rPr>
                <w:noProof/>
              </w:rPr>
              <w:t xml:space="preserve"> în proiectele de rețea</w:t>
            </w:r>
          </w:p>
        </w:tc>
      </w:tr>
      <w:tr w:rsidR="00831978" w:rsidRPr="00EC01ED" w14:paraId="7E2EAB6E" w14:textId="77777777" w:rsidTr="7F7C3B5C">
        <w:tc>
          <w:tcPr>
            <w:tcW w:w="8602" w:type="dxa"/>
          </w:tcPr>
          <w:p w14:paraId="753B4764" w14:textId="50C7EE17" w:rsidR="00831978" w:rsidRPr="00EC01ED" w:rsidRDefault="430E06D4" w:rsidP="06746406">
            <w:pPr>
              <w:pStyle w:val="Text1"/>
              <w:spacing w:after="0" w:afterAutospacing="1"/>
              <w:ind w:left="360"/>
              <w:rPr>
                <w:noProof/>
                <w:szCs w:val="24"/>
              </w:rPr>
            </w:pPr>
            <w:r w:rsidRPr="00EC01ED">
              <w:rPr>
                <w:noProof/>
              </w:rPr>
              <w:t xml:space="preserve">Până în T3 2025, Comisia va lansa </w:t>
            </w:r>
            <w:r w:rsidRPr="00EC01ED">
              <w:rPr>
                <w:b/>
                <w:bCs/>
                <w:noProof/>
              </w:rPr>
              <w:t>cea de a treia cerere de propuneri în cadrul Băncii Europene pentru Hidrogen</w:t>
            </w:r>
            <w:r w:rsidRPr="00EC01ED">
              <w:rPr>
                <w:noProof/>
              </w:rPr>
              <w:t xml:space="preserve">, concepută să sprijine producția și să faciliteze accesul achizitorilor industriali, inclusiv al oțelăriilor. </w:t>
            </w:r>
          </w:p>
        </w:tc>
      </w:tr>
      <w:tr w:rsidR="00831978" w:rsidRPr="00EC01ED" w14:paraId="11CA17B3" w14:textId="77777777" w:rsidTr="7F7C3B5C">
        <w:tc>
          <w:tcPr>
            <w:tcW w:w="8602" w:type="dxa"/>
          </w:tcPr>
          <w:p w14:paraId="73835E6B" w14:textId="61C88F4B" w:rsidR="00831978" w:rsidRPr="00EC01ED" w:rsidRDefault="430E06D4" w:rsidP="06746406">
            <w:pPr>
              <w:pStyle w:val="Text1"/>
              <w:spacing w:after="0" w:afterAutospacing="1"/>
              <w:ind w:left="360"/>
              <w:rPr>
                <w:noProof/>
              </w:rPr>
            </w:pPr>
            <w:r w:rsidRPr="00EC01ED">
              <w:rPr>
                <w:noProof/>
              </w:rPr>
              <w:t xml:space="preserve">Până în T4 2025, Comisia va propune </w:t>
            </w:r>
            <w:r w:rsidRPr="00EC01ED">
              <w:rPr>
                <w:b/>
                <w:bCs/>
                <w:noProof/>
              </w:rPr>
              <w:t>facilitarea accesului la rețea</w:t>
            </w:r>
            <w:r w:rsidRPr="00EC01ED">
              <w:rPr>
                <w:noProof/>
              </w:rPr>
              <w:t xml:space="preserve"> la proiectele de electrificare a industriilor mari consumatoare de energie.</w:t>
            </w:r>
          </w:p>
        </w:tc>
      </w:tr>
      <w:tr w:rsidR="00A060B4" w:rsidRPr="00EC01ED" w14:paraId="2310358F" w14:textId="77777777" w:rsidTr="7F7C3B5C">
        <w:tc>
          <w:tcPr>
            <w:tcW w:w="8602" w:type="dxa"/>
          </w:tcPr>
          <w:p w14:paraId="2ECA5449" w14:textId="521F8BC4" w:rsidR="00A060B4" w:rsidRPr="00EC01ED" w:rsidRDefault="00A060B4" w:rsidP="06746406">
            <w:pPr>
              <w:pStyle w:val="Text1"/>
              <w:spacing w:after="0" w:afterAutospacing="1"/>
              <w:ind w:left="360"/>
              <w:rPr>
                <w:noProof/>
              </w:rPr>
            </w:pPr>
            <w:r w:rsidRPr="00EC01ED">
              <w:rPr>
                <w:noProof/>
              </w:rPr>
              <w:t>Până în T4 2025, Comisia va oferi orientări statelor membre cu privire la stabilirea contractelor pentru diferență, inclusiv cu privire la combinarea acestora cu contractele de achiziție de energie electrică (PPA).</w:t>
            </w:r>
          </w:p>
        </w:tc>
      </w:tr>
      <w:tr w:rsidR="00831978" w:rsidRPr="00EC01ED" w14:paraId="0A3C8315" w14:textId="77777777" w:rsidTr="7F7C3B5C">
        <w:tc>
          <w:tcPr>
            <w:tcW w:w="8602" w:type="dxa"/>
          </w:tcPr>
          <w:p w14:paraId="416CE93C" w14:textId="5D4D35C6" w:rsidR="00831978" w:rsidRPr="00EC01ED" w:rsidRDefault="00BB7D05" w:rsidP="06746406">
            <w:pPr>
              <w:pStyle w:val="Text1"/>
              <w:spacing w:after="0" w:afterAutospacing="1"/>
              <w:ind w:left="360"/>
              <w:rPr>
                <w:noProof/>
              </w:rPr>
            </w:pPr>
            <w:r w:rsidRPr="00EC01ED">
              <w:rPr>
                <w:noProof/>
              </w:rPr>
              <w:t xml:space="preserve">În contextul revizuirilor ETS și CBAM din 2026, Comisia va depune eforturi pentru a asigura măsuri adecvate (sub formă de orientări sau sub altă formă) pentru compensarea costurilor indirecte ale ETS după 2030. </w:t>
            </w:r>
          </w:p>
        </w:tc>
      </w:tr>
    </w:tbl>
    <w:p w14:paraId="2BF670C5" w14:textId="63F9BD38" w:rsidR="1DA8B235" w:rsidRPr="00EC01ED" w:rsidRDefault="0DB8FE44" w:rsidP="06746406">
      <w:pPr>
        <w:pStyle w:val="Heading1"/>
        <w:spacing w:line="259" w:lineRule="auto"/>
        <w:rPr>
          <w:noProof/>
        </w:rPr>
      </w:pPr>
      <w:r w:rsidRPr="00EC01ED">
        <w:rPr>
          <w:noProof/>
        </w:rPr>
        <w:t>Prevenirea relocării emisiilor de dioxid de carbon</w:t>
      </w:r>
    </w:p>
    <w:p w14:paraId="16EF6329" w14:textId="2B1A5BA7" w:rsidR="2BF50EF3" w:rsidRPr="00EC01ED" w:rsidRDefault="2BF50EF3" w:rsidP="06746406">
      <w:pPr>
        <w:pStyle w:val="Text1"/>
        <w:ind w:left="0"/>
        <w:rPr>
          <w:noProof/>
        </w:rPr>
      </w:pPr>
      <w:r w:rsidRPr="00EC01ED">
        <w:rPr>
          <w:noProof/>
        </w:rPr>
        <w:t xml:space="preserve">Pentru a-și atinge pe deplin potențialul de prevenire a relocării emisiilor de dioxid de carbon, </w:t>
      </w:r>
      <w:r w:rsidRPr="00EC01ED">
        <w:rPr>
          <w:b/>
          <w:bCs/>
          <w:noProof/>
        </w:rPr>
        <w:t>obligațiile financiare ale mecanismului de ajustare a carbonului la frontieră (CBAM) vor intra în vigoare în 2026, în paralel cu eliminarea treptată a certificatelor gratuite în cadrul EU ETS până în 2034.</w:t>
      </w:r>
      <w:r w:rsidRPr="00EC01ED">
        <w:rPr>
          <w:noProof/>
        </w:rPr>
        <w:t xml:space="preserve"> Deși CBAM se aplică mărfurilor importate, acesta nu abordează posibilele riscuri de relocare a emisiilor de dioxid de carbon pentru metalele produse în UE care fac obiectul prețului EU ETS și care sunt exportate către țări terțe, la concurență cu producători cu sediul în țări cu ambiții climatice mai scăzute. Prin urmare, pentru a aborda acest dezavantaj, Comisia va propune o soluție pentru a aborda riscul de relocare a emisiilor de dioxid de carbon pentru mărfurile pentru export produse în UE de sectoarele CBAM.</w:t>
      </w:r>
      <w:r w:rsidR="00EC01ED">
        <w:rPr>
          <w:b/>
          <w:noProof/>
        </w:rPr>
        <w:t xml:space="preserve"> </w:t>
      </w:r>
    </w:p>
    <w:p w14:paraId="6E29CF0B" w14:textId="0D6430AC" w:rsidR="2BF50EF3" w:rsidRPr="00EC01ED" w:rsidRDefault="2BF50EF3" w:rsidP="06746406">
      <w:pPr>
        <w:pStyle w:val="Text1"/>
        <w:ind w:left="0"/>
        <w:rPr>
          <w:noProof/>
        </w:rPr>
      </w:pPr>
      <w:r w:rsidRPr="00EC01ED">
        <w:rPr>
          <w:b/>
          <w:noProof/>
        </w:rPr>
        <w:t>În al doilea rând, există riscul ca relocarea emisiilor de dioxid de carbon în ceea ce privește mărfurile acoperite de CBAM să aibă loc mai departe în aval în cadrul lanțului valoric.</w:t>
      </w:r>
      <w:r w:rsidRPr="00EC01ED">
        <w:rPr>
          <w:noProof/>
        </w:rPr>
        <w:t xml:space="preserve"> Acest lucru se poate întâmpla prin eludare – și anume prin evitarea obligațiilor CBAM ca urmare a efectuării unor mici modificări ale mărfurilor de bază CBAM – sau în cazul în care consumatorii din UE încep să favorizeze mărfuri din aval importate de la producători din țări terțe cu politici climatice mai puțin ambițioase. În plus, întreprinderile care fabrică sau prelucrează în prezent mărfuri CBAM în UE și-ar putea muta operațiunile în aceste țări. În prezent, Comisia cuantifică aceste riscuri și, pentru a le aborda, va prezenta o propunere de extindere a CBAM la anumite </w:t>
      </w:r>
      <w:r w:rsidRPr="00EC01ED">
        <w:rPr>
          <w:b/>
          <w:bCs/>
          <w:noProof/>
        </w:rPr>
        <w:t>produse din aval</w:t>
      </w:r>
      <w:r w:rsidRPr="00EC01ED">
        <w:rPr>
          <w:noProof/>
        </w:rPr>
        <w:t>, ținând seama, în același timp, de necesitatea de a reduce la minimum sarcina administrativă.</w:t>
      </w:r>
    </w:p>
    <w:p w14:paraId="38C2D988" w14:textId="49595C05" w:rsidR="7825720E" w:rsidRPr="00EC01ED" w:rsidRDefault="2BF50EF3" w:rsidP="06746406">
      <w:pPr>
        <w:pStyle w:val="Text1"/>
        <w:spacing w:line="259" w:lineRule="auto"/>
        <w:ind w:left="0"/>
        <w:rPr>
          <w:noProof/>
        </w:rPr>
      </w:pPr>
      <w:r w:rsidRPr="00EC01ED">
        <w:rPr>
          <w:noProof/>
        </w:rPr>
        <w:t xml:space="preserve">În al treilea rând, </w:t>
      </w:r>
      <w:r w:rsidRPr="00EC01ED">
        <w:rPr>
          <w:b/>
          <w:bCs/>
          <w:noProof/>
        </w:rPr>
        <w:t>există un risc de eludare a obiectivelor CBAM</w:t>
      </w:r>
      <w:r w:rsidRPr="00EC01ED">
        <w:rPr>
          <w:noProof/>
        </w:rPr>
        <w:t xml:space="preserve"> atunci când mărfurile produse în instalații de producție cu emisii scăzute de dioxid de carbon din țări terțe sunt redirecționate către clienții europeni, în timp ce producția cu emisii ridicate de dioxid de carbon este menținută pentru alte piețe (așa-numita „</w:t>
      </w:r>
      <w:r w:rsidRPr="00EC01ED">
        <w:rPr>
          <w:i/>
          <w:iCs/>
          <w:noProof/>
        </w:rPr>
        <w:t>shuffling</w:t>
      </w:r>
      <w:r w:rsidRPr="00EC01ED">
        <w:rPr>
          <w:noProof/>
        </w:rPr>
        <w:t>”). În mod similar, dezinformarea ecologică poate avea loc prin practici de contabilizare a carbonului, cum ar fi producția de metale mare consumatoare de energie care beneficiază de instrumente de piață pentru a părea ca emite puțin dioxid de carbon, bazându-se totodată pe surse de energie cu emisii ridicate sau pe practici de contabilizare înșelătoare a conținutului de deșeuri</w:t>
      </w:r>
      <w:r w:rsidRPr="00EC01ED">
        <w:rPr>
          <w:rStyle w:val="FootnoteReference"/>
          <w:noProof/>
        </w:rPr>
        <w:footnoteReference w:id="28"/>
      </w:r>
      <w:r w:rsidRPr="00EC01ED">
        <w:rPr>
          <w:noProof/>
        </w:rPr>
        <w:t>. Pentru a aborda ambele aspecte și pentru a asigura integritatea CBAM, Comisia va prezenta o strategie de combatere a eludării. Această strategie va evalua cu atenție aceste riscuri și va propune soluții pentru abordarea lor, inclusiv modificări legislative.</w:t>
      </w:r>
      <w:r w:rsidR="00EC01ED">
        <w:rPr>
          <w:noProof/>
        </w:rPr>
        <w:t xml:space="preserve"> </w:t>
      </w:r>
    </w:p>
    <w:p w14:paraId="4EFBF334" w14:textId="4122E34E" w:rsidR="2BF50EF3" w:rsidRPr="00EC01ED" w:rsidRDefault="2BF50EF3" w:rsidP="06746406">
      <w:pPr>
        <w:pStyle w:val="Text1"/>
        <w:ind w:left="0"/>
        <w:rPr>
          <w:noProof/>
        </w:rPr>
      </w:pPr>
      <w:r w:rsidRPr="00EC01ED">
        <w:rPr>
          <w:noProof/>
        </w:rPr>
        <w:t xml:space="preserve">Având în vedere necesitatea urgentă de claritate în acest domeniu, Comisia va accelera lucrările privind extinderea și consolidarea CBAM și se va concentra mai întâi pe elementele-cheie ale reformei. </w:t>
      </w:r>
    </w:p>
    <w:tbl>
      <w:tblPr>
        <w:tblStyle w:val="TableGrid"/>
        <w:tblW w:w="0" w:type="auto"/>
        <w:tblLook w:val="04A0" w:firstRow="1" w:lastRow="0" w:firstColumn="1" w:lastColumn="0" w:noHBand="0" w:noVBand="1"/>
      </w:tblPr>
      <w:tblGrid>
        <w:gridCol w:w="8602"/>
      </w:tblGrid>
      <w:tr w:rsidR="06746406" w:rsidRPr="00EC01ED" w14:paraId="0EFF37F0" w14:textId="77777777" w:rsidTr="7F7C3B5C">
        <w:trPr>
          <w:trHeight w:val="300"/>
        </w:trPr>
        <w:tc>
          <w:tcPr>
            <w:tcW w:w="8602" w:type="dxa"/>
          </w:tcPr>
          <w:p w14:paraId="355FD595" w14:textId="4DB3F96E" w:rsidR="06746406" w:rsidRPr="00EC01ED" w:rsidRDefault="06746406" w:rsidP="06746406">
            <w:pPr>
              <w:spacing w:after="0"/>
              <w:rPr>
                <w:b/>
                <w:noProof/>
              </w:rPr>
            </w:pPr>
            <w:r w:rsidRPr="00EC01ED">
              <w:rPr>
                <w:b/>
                <w:noProof/>
              </w:rPr>
              <w:t xml:space="preserve">Acțiuni: </w:t>
            </w:r>
          </w:p>
        </w:tc>
      </w:tr>
      <w:tr w:rsidR="06746406" w:rsidRPr="00EC01ED" w14:paraId="08A84997" w14:textId="77777777" w:rsidTr="7F7C3B5C">
        <w:trPr>
          <w:trHeight w:val="300"/>
        </w:trPr>
        <w:tc>
          <w:tcPr>
            <w:tcW w:w="8602" w:type="dxa"/>
          </w:tcPr>
          <w:p w14:paraId="27B69EF0" w14:textId="374CA529" w:rsidR="06746406" w:rsidRPr="00EC01ED" w:rsidRDefault="00A060B4" w:rsidP="06746406">
            <w:pPr>
              <w:pStyle w:val="Text1"/>
              <w:spacing w:after="0"/>
              <w:ind w:left="360"/>
              <w:rPr>
                <w:b/>
                <w:bCs/>
                <w:noProof/>
                <w:color w:val="008080"/>
                <w:u w:val="single"/>
              </w:rPr>
            </w:pPr>
            <w:r w:rsidRPr="00EC01ED">
              <w:rPr>
                <w:noProof/>
              </w:rPr>
              <w:t xml:space="preserve">Până în T2 2025, Comisia va publica o </w:t>
            </w:r>
            <w:r w:rsidRPr="00EC01ED">
              <w:rPr>
                <w:b/>
                <w:noProof/>
              </w:rPr>
              <w:t>comunicare</w:t>
            </w:r>
            <w:r w:rsidRPr="00EC01ED">
              <w:rPr>
                <w:noProof/>
              </w:rPr>
              <w:t xml:space="preserve"> care va oferi analize și opțiuni privind modul de abordare a problemei relocării emisiilor de dioxid de carbon </w:t>
            </w:r>
            <w:r w:rsidRPr="00EC01ED">
              <w:rPr>
                <w:b/>
                <w:bCs/>
                <w:noProof/>
              </w:rPr>
              <w:t>pentru mărfurile CBAM exportate din UE către țări terțe</w:t>
            </w:r>
            <w:r w:rsidRPr="00EC01ED">
              <w:rPr>
                <w:noProof/>
              </w:rPr>
              <w:t>.</w:t>
            </w:r>
            <w:r w:rsidRPr="00EC01ED">
              <w:rPr>
                <w:b/>
                <w:noProof/>
              </w:rPr>
              <w:t xml:space="preserve"> </w:t>
            </w:r>
          </w:p>
        </w:tc>
      </w:tr>
      <w:tr w:rsidR="06746406" w:rsidRPr="00EC01ED" w14:paraId="7BCE34E3" w14:textId="77777777" w:rsidTr="7F7C3B5C">
        <w:trPr>
          <w:trHeight w:val="300"/>
        </w:trPr>
        <w:tc>
          <w:tcPr>
            <w:tcW w:w="8602" w:type="dxa"/>
          </w:tcPr>
          <w:p w14:paraId="12DD6ADA" w14:textId="1268EAA4" w:rsidR="00583068" w:rsidRPr="00EC01ED" w:rsidRDefault="00A060B4" w:rsidP="06746406">
            <w:pPr>
              <w:pStyle w:val="Text1"/>
              <w:spacing w:after="0"/>
              <w:ind w:left="360"/>
              <w:rPr>
                <w:noProof/>
              </w:rPr>
            </w:pPr>
            <w:r w:rsidRPr="00EC01ED">
              <w:rPr>
                <w:noProof/>
              </w:rPr>
              <w:t xml:space="preserve">Până în T4 2025, Comisia va efectua o revizuire cuprinzătoare a CBAM, însoțită de </w:t>
            </w:r>
            <w:r w:rsidRPr="00EC01ED">
              <w:rPr>
                <w:b/>
                <w:bCs/>
                <w:noProof/>
              </w:rPr>
              <w:t>o strategie de combatere a eludării</w:t>
            </w:r>
            <w:r w:rsidRPr="00EC01ED">
              <w:rPr>
                <w:noProof/>
              </w:rPr>
              <w:t xml:space="preserve"> și de </w:t>
            </w:r>
            <w:r w:rsidRPr="00EC01ED">
              <w:rPr>
                <w:b/>
                <w:bCs/>
                <w:noProof/>
              </w:rPr>
              <w:t>o primă propunere legislativă</w:t>
            </w:r>
            <w:r w:rsidRPr="00EC01ED">
              <w:rPr>
                <w:noProof/>
              </w:rPr>
              <w:t xml:space="preserve">: </w:t>
            </w:r>
          </w:p>
          <w:p w14:paraId="79E01ED5" w14:textId="29408504" w:rsidR="00583068" w:rsidRPr="00EC01ED" w:rsidRDefault="00641761" w:rsidP="00583068">
            <w:pPr>
              <w:pStyle w:val="Text1"/>
              <w:numPr>
                <w:ilvl w:val="0"/>
                <w:numId w:val="58"/>
              </w:numPr>
              <w:spacing w:after="0"/>
              <w:rPr>
                <w:noProof/>
              </w:rPr>
            </w:pPr>
            <w:r w:rsidRPr="00EC01ED">
              <w:rPr>
                <w:b/>
                <w:bCs/>
                <w:noProof/>
              </w:rPr>
              <w:t>extinderea domeniului de aplicare al CBAM la anumite produse din aval cu utilizare intensivă a oțelului și aluminiului</w:t>
            </w:r>
            <w:r w:rsidRPr="00EC01ED">
              <w:rPr>
                <w:noProof/>
              </w:rPr>
              <w:t xml:space="preserve"> și </w:t>
            </w:r>
          </w:p>
          <w:p w14:paraId="5DA1958F" w14:textId="01C672EC" w:rsidR="06746406" w:rsidRPr="00EC01ED" w:rsidRDefault="00641761" w:rsidP="00583068">
            <w:pPr>
              <w:pStyle w:val="Text1"/>
              <w:numPr>
                <w:ilvl w:val="0"/>
                <w:numId w:val="58"/>
              </w:numPr>
              <w:spacing w:after="0"/>
              <w:rPr>
                <w:noProof/>
              </w:rPr>
            </w:pPr>
            <w:r w:rsidRPr="00EC01ED">
              <w:rPr>
                <w:noProof/>
              </w:rPr>
              <w:t xml:space="preserve">prevăzând </w:t>
            </w:r>
            <w:r w:rsidRPr="00EC01ED">
              <w:rPr>
                <w:b/>
                <w:bCs/>
                <w:noProof/>
              </w:rPr>
              <w:t>măsuri</w:t>
            </w:r>
            <w:r w:rsidRPr="00EC01ED">
              <w:rPr>
                <w:noProof/>
              </w:rPr>
              <w:t xml:space="preserve"> </w:t>
            </w:r>
            <w:r w:rsidRPr="00EC01ED">
              <w:rPr>
                <w:b/>
                <w:bCs/>
                <w:noProof/>
              </w:rPr>
              <w:t xml:space="preserve">împotriva eludării </w:t>
            </w:r>
            <w:r w:rsidRPr="00EC01ED">
              <w:rPr>
                <w:noProof/>
              </w:rPr>
              <w:t xml:space="preserve">suplimentare. </w:t>
            </w:r>
          </w:p>
        </w:tc>
      </w:tr>
    </w:tbl>
    <w:p w14:paraId="00E5C5CA" w14:textId="77777777" w:rsidR="006337E4" w:rsidRPr="00EC01ED" w:rsidRDefault="006337E4" w:rsidP="00AD7603">
      <w:pPr>
        <w:rPr>
          <w:noProof/>
        </w:rPr>
      </w:pPr>
    </w:p>
    <w:p w14:paraId="0663D057" w14:textId="2688DF39" w:rsidR="00846E24" w:rsidRPr="00EC01ED" w:rsidRDefault="3BDD50E4" w:rsidP="006D6F84">
      <w:pPr>
        <w:pStyle w:val="Heading1"/>
        <w:spacing w:before="0"/>
        <w:rPr>
          <w:noProof/>
        </w:rPr>
      </w:pPr>
      <w:r w:rsidRPr="00EC01ED">
        <w:rPr>
          <w:noProof/>
        </w:rPr>
        <w:t xml:space="preserve">Promovarea și protejarea </w:t>
      </w:r>
      <w:r w:rsidRPr="00EC01ED">
        <w:rPr>
          <w:bCs/>
          <w:noProof/>
        </w:rPr>
        <w:t>capacităților</w:t>
      </w:r>
      <w:r w:rsidRPr="00EC01ED">
        <w:rPr>
          <w:noProof/>
        </w:rPr>
        <w:t xml:space="preserve"> industriale europene</w:t>
      </w:r>
      <w:r w:rsidR="00EC01ED">
        <w:rPr>
          <w:noProof/>
        </w:rPr>
        <w:t xml:space="preserve"> </w:t>
      </w:r>
    </w:p>
    <w:p w14:paraId="03711641" w14:textId="245E1752" w:rsidR="00323364" w:rsidRPr="00EC01ED" w:rsidRDefault="00323364" w:rsidP="00AD7603">
      <w:pPr>
        <w:rPr>
          <w:noProof/>
        </w:rPr>
      </w:pPr>
      <w:r w:rsidRPr="00EC01ED">
        <w:rPr>
          <w:b/>
          <w:noProof/>
        </w:rPr>
        <w:t>Supracapacitățile mondiale amenință grav rentabilitatea și competitivitatea industriilor europene. UE a adoptat deja mai multe măsuri de apărare comercială în sectorul metalelor împotriva concurenței neloiale la nivel mondial.</w:t>
      </w:r>
      <w:r w:rsidRPr="00EC01ED">
        <w:rPr>
          <w:noProof/>
        </w:rPr>
        <w:t xml:space="preserve"> În prezent, fierul și oțelul reprezintă sectoarele cu cele mai multe măsuri de apărare comercială în vigoare, urmate de sectorul metalelor neferoase și de cel al mineralelor. Cu toate acestea, industria rămâne amenințată de supracapacitățile mondiale și de distorsiunile la nivel mondial provocate de China și de alte țări care își sprijină în mod artificial industriile naționale sau care eludează măsurile de apărare comercială și sancțiunile UE. UE este singura regiune siderurgică majoră care înregistrează o scădere de capacitate. </w:t>
      </w:r>
    </w:p>
    <w:p w14:paraId="6424F594" w14:textId="6ED55DE6" w:rsidR="00323364" w:rsidRPr="00EC01ED" w:rsidRDefault="00323364" w:rsidP="00AD7603">
      <w:pPr>
        <w:rPr>
          <w:noProof/>
        </w:rPr>
      </w:pPr>
      <w:r w:rsidRPr="00EC01ED">
        <w:rPr>
          <w:b/>
          <w:bCs/>
          <w:noProof/>
        </w:rPr>
        <w:t>În plus, introducerea de către SUA a taxelor vamale la import de 25 % pentru oțel și aluminiu</w:t>
      </w:r>
      <w:r w:rsidRPr="00EC01ED">
        <w:rPr>
          <w:noProof/>
        </w:rPr>
        <w:t xml:space="preserve"> la 12 martie 2025 nu numai că va avea un impact negativ asupra producătorilor din UE, prin limitarea accesului la piața SUA, inclusiv în ceea ce privește metalele de bază transformate din aval, ci va crește și presiunea creată de exporturile destinate anterior către SUA și care ar putea fi redirecționate către UE. </w:t>
      </w:r>
    </w:p>
    <w:p w14:paraId="78EE0A96" w14:textId="77777777" w:rsidR="00323364" w:rsidRPr="00EC01ED" w:rsidRDefault="00323364" w:rsidP="00AD7603">
      <w:pPr>
        <w:rPr>
          <w:noProof/>
        </w:rPr>
      </w:pPr>
      <w:r w:rsidRPr="00EC01ED">
        <w:rPr>
          <w:i/>
          <w:noProof/>
        </w:rPr>
        <w:t>Instrumente de apărare comercială și alte măsuri comerciale</w:t>
      </w:r>
      <w:r w:rsidRPr="00EC01ED">
        <w:rPr>
          <w:noProof/>
        </w:rPr>
        <w:t xml:space="preserve"> </w:t>
      </w:r>
    </w:p>
    <w:p w14:paraId="620143E3" w14:textId="36065FD8" w:rsidR="00323364" w:rsidRPr="00EC01ED" w:rsidRDefault="00323364" w:rsidP="00AD7603">
      <w:pPr>
        <w:rPr>
          <w:noProof/>
        </w:rPr>
      </w:pPr>
      <w:r w:rsidRPr="00EC01ED">
        <w:rPr>
          <w:b/>
          <w:bCs/>
          <w:noProof/>
        </w:rPr>
        <w:t>UE a revizuit măsura de salvgardare existentă privind oțelul</w:t>
      </w:r>
      <w:r w:rsidRPr="00EC01ED">
        <w:rPr>
          <w:noProof/>
        </w:rPr>
        <w:t xml:space="preserve"> pentru a aborda cele mai recente evoluții ale pieței și pentru a asigura eficacitatea măsurii. Comisia a efectuat o investigație detaliată a actualei măsuri de salvgardare privind oțelul și a prezentat statelor membre propuneri de ajustare a acesteia pentru a aborda situația dificilă cu care se confruntă sectorul oțelului din UE. Ajustările propuse vor aduce producătorilor de oțel din UE o ușurare considerabilă pe termen scurt, prin asigurarea eficacității măsurii, în special în categoriile în care presiunea importurilor este cea mai acută. În special, a fost luată în considerare creșterea semnificativă a importurilor, combinată cu o scădere a cererii pentru anumite categorii. </w:t>
      </w:r>
    </w:p>
    <w:p w14:paraId="538CA933" w14:textId="4D26FF8D" w:rsidR="00323364" w:rsidRPr="00EC01ED" w:rsidRDefault="00323364" w:rsidP="00AD7603">
      <w:pPr>
        <w:rPr>
          <w:noProof/>
        </w:rPr>
      </w:pPr>
      <w:r w:rsidRPr="00EC01ED">
        <w:rPr>
          <w:noProof/>
        </w:rPr>
        <w:t>Măsura de salvgardare va expira din punct de vedere juridic la 30 iunie 2026, dar nu este rezonabil să se presupună că supracapacitățile structurale mondiale și impactul lor comercial negativ asupra industriei oțelului a UE, care au declanșat utilizarea măsurii de salvgardare, vor dispărea la 1 iulie 2026. Dimpotrivă, este probabil ca efectele comerciale negative să fie exacerbate, deoarece un număr tot mai mare de țări terțe adoptă măsuri menite să limiteze importurile pe piețele lor, ceea ce face ca piața UE să devină principalul beneficiar al supracapacităților mondiale.</w:t>
      </w:r>
      <w:r w:rsidR="00EC01ED">
        <w:rPr>
          <w:noProof/>
        </w:rPr>
        <w:t xml:space="preserve"> </w:t>
      </w:r>
    </w:p>
    <w:p w14:paraId="054B40C4" w14:textId="24834DA8" w:rsidR="00323364" w:rsidRPr="00EC01ED" w:rsidRDefault="00323364" w:rsidP="00AD7603">
      <w:pPr>
        <w:rPr>
          <w:noProof/>
        </w:rPr>
      </w:pPr>
      <w:r w:rsidRPr="00EC01ED">
        <w:rPr>
          <w:b/>
          <w:noProof/>
        </w:rPr>
        <w:t>Prin urmare, având în vedere această situație excepțională, este necesar să se introducă măsuri de protecție adecvate și eficace după 30 iunie 2026</w:t>
      </w:r>
      <w:r w:rsidRPr="00EC01ED">
        <w:rPr>
          <w:noProof/>
        </w:rPr>
        <w:t>, care să contribuie la menținerea unei industrii a oțelului competitive și durabile în UE. Acesta este motivul pentru care, până cel târziu în cel de al treilea trimestru al anului 2025, Comisia va propune o măsură pe termen lung care să ofere un nivel de protecție extrem de eficace sectorului oțelului din UE. Comisia va depune eforturi astfel încât să se garanteze că noua măsură este în vigoare în timp util pentru a înlocui actuala garanție și pentru a oferi un grad eficace de apărare împotriva efectelor comerciale negative cauzate de supracapacitățile mondiale. Aceasta va ține seama de modificările cererii în UE, precum și de considerente de securitate și reziliență, menținând în același timp un anumit nivel de deschidere pe piața UE. Această abordare echilibrată va proteja interesul Uniunii, inclusiv producătorii și utilizatorii, precum și importatorii și consumatorii. În același timp, UE, în conformitate cu obligațiile sale internaționale, va continua să colaboreze cu țările terțe și cu partenerii săi multilaterali pentru a aborda supracapacitățile la nivel mondial</w:t>
      </w:r>
      <w:r w:rsidRPr="00EC01ED">
        <w:rPr>
          <w:rStyle w:val="FootnoteReference"/>
          <w:noProof/>
        </w:rPr>
        <w:footnoteReference w:id="29"/>
      </w:r>
      <w:r w:rsidRPr="00EC01ED">
        <w:rPr>
          <w:noProof/>
        </w:rPr>
        <w:t xml:space="preserve">. </w:t>
      </w:r>
    </w:p>
    <w:p w14:paraId="2C236965" w14:textId="6164C7BB" w:rsidR="00323364" w:rsidRPr="00EC01ED" w:rsidRDefault="00323364" w:rsidP="00AD7603">
      <w:pPr>
        <w:rPr>
          <w:noProof/>
        </w:rPr>
      </w:pPr>
      <w:r w:rsidRPr="00EC01ED">
        <w:rPr>
          <w:noProof/>
        </w:rPr>
        <w:t xml:space="preserve">În plus, în decembrie 2024, Comisia a lansat o </w:t>
      </w:r>
      <w:r w:rsidRPr="00EC01ED">
        <w:rPr>
          <w:b/>
          <w:noProof/>
        </w:rPr>
        <w:t>anchetă de salvgardare privind importurile de anumite elemente de aliere</w:t>
      </w:r>
      <w:r w:rsidRPr="00EC01ED">
        <w:rPr>
          <w:noProof/>
        </w:rPr>
        <w:t>, un sector esențial pentru economia UE deoarece aliajele sunt utilizate pentru a îmbunătăți rezistența, durabilitatea și calitatea oțelului sau a aluminiului, care va fi finalizată la 18 noiembrie 2025. Comisia nu va ezita să ia măsuri suplimentare de protecție, în cazul în care acestea sunt considerate necesare ca urmare a anchetei in cauză.</w:t>
      </w:r>
    </w:p>
    <w:p w14:paraId="3F148F6F" w14:textId="291AA885" w:rsidR="00323364" w:rsidRPr="00EC01ED" w:rsidRDefault="00323364" w:rsidP="00AD7603">
      <w:pPr>
        <w:rPr>
          <w:noProof/>
        </w:rPr>
      </w:pPr>
      <w:r w:rsidRPr="00EC01ED">
        <w:rPr>
          <w:b/>
          <w:bCs/>
          <w:noProof/>
        </w:rPr>
        <w:t>Situația se deteriorează și în sectorul aluminiului</w:t>
      </w:r>
      <w:r w:rsidRPr="00EC01ED">
        <w:rPr>
          <w:noProof/>
        </w:rPr>
        <w:t xml:space="preserve">. Producătorii din UE au pierdut o cotă de piață substanțială în ultimul deceniu și, în plus, începând din 2021, aproximativ 50 % din capacitatea de producție primară rămâne restrânsă. Este probabil ca tarifele pe aluminiu, recent anunțate de Statele Unite, să agraveze și mai mult situația, având în vedere amenințarea semnificativă reprezentată de reorientarea schimburilor comerciale dinspre mai multe destinații. </w:t>
      </w:r>
      <w:r w:rsidRPr="00EC01ED">
        <w:rPr>
          <w:b/>
          <w:noProof/>
        </w:rPr>
        <w:t>Acesta este motivul pentru care Comisia a început să colecteze dovezi relevante pentru a putea recurge la utilizarea instrumentelor de apărare comercială, inclusiv lansarea unei anchete privind măsurile de salvgardare imediat după introducerea unei cereri motivate.</w:t>
      </w:r>
    </w:p>
    <w:p w14:paraId="37C0B445" w14:textId="5AB7277B" w:rsidR="00323364" w:rsidRPr="00EC01ED" w:rsidRDefault="00323364" w:rsidP="00AD7603">
      <w:pPr>
        <w:rPr>
          <w:noProof/>
        </w:rPr>
      </w:pPr>
      <w:r w:rsidRPr="00EC01ED">
        <w:rPr>
          <w:b/>
          <w:bCs/>
          <w:noProof/>
        </w:rPr>
        <w:t>Comisia a observat o tendință în creștere prin care producătorii-exportatori încearcă să eludeze măsurile de apărare comercială.</w:t>
      </w:r>
      <w:r w:rsidRPr="00EC01ED">
        <w:rPr>
          <w:noProof/>
        </w:rPr>
        <w:t xml:space="preserve"> Acest comportament riscă să submineze eficacitatea măsurilor noastre de apărare comercială (IAC). Aceasta înseamnă că, deși măsura antidumping sau antisubvenție specifică abordează în mod adecvat importurile directe, acestea din urmă pot fi înlocuite cu importuri indirecte, în care etapa finală a procesului de producție are loc într-o țară terță care nu face obiectul măsurilor, înainte de expedierea către UE, evitându-se astfel plata taxelor. Pentru a asigura eficacitatea măsurilor sale de apărare comercială, ca una din acțiunile prioritare, </w:t>
      </w:r>
      <w:r w:rsidRPr="00EC01ED">
        <w:rPr>
          <w:b/>
          <w:bCs/>
          <w:noProof/>
        </w:rPr>
        <w:t>Comisia va evalua dacă trebuie să își adapteze practicile prin introducerea regulii „topit și turnat”</w:t>
      </w:r>
      <w:r w:rsidRPr="00EC01ED">
        <w:rPr>
          <w:noProof/>
        </w:rPr>
        <w:t>, care ar permite Comisiei să ia măsuri împotriva țării în care metalul a fost topit inițial, indiferent de locul transformării ulterioare și de originea produsului, astfel cum este stabilită de regulile de origine nepreferențiale tradiționale. Aplicarea acestei reguli ar elimina posibilitatea de a schimba originea produsului metalic prin efectuarea unei transformări minime și ar oferi mai multă certitudine în ceea ce privește trasabilitatea originii produsului. În orice caz, Comisia va rămâne vigilentă, deoarece supracapacitățile generate în alte condiții decât cele de piață pot avea, de asemenea, efectul de a-i face pe producătorii independenți de pe piață din alte țări terțe să exporte către UE cantități care sunt dislocate de pe piețele lor interne sau de pe alte piețe tradiționale din afara Europei.</w:t>
      </w:r>
    </w:p>
    <w:p w14:paraId="3BED2E72" w14:textId="5C46F96D" w:rsidR="00323364" w:rsidRPr="00EC01ED" w:rsidRDefault="00323364" w:rsidP="00AD7603">
      <w:pPr>
        <w:rPr>
          <w:noProof/>
        </w:rPr>
      </w:pPr>
      <w:r w:rsidRPr="00EC01ED">
        <w:rPr>
          <w:noProof/>
        </w:rPr>
        <w:t xml:space="preserve">Pentru a aborda </w:t>
      </w:r>
      <w:r w:rsidRPr="00EC01ED">
        <w:rPr>
          <w:b/>
          <w:noProof/>
        </w:rPr>
        <w:t>evoluțiile rapide de pe piețele mondiale și pentru a proteja industria, Comisia va consolida monitorizarea fluxurilor comerciale</w:t>
      </w:r>
      <w:r w:rsidRPr="00EC01ED">
        <w:rPr>
          <w:noProof/>
        </w:rPr>
        <w:t xml:space="preserve"> și va deschide în mod proactiv anchete bazate pe un „risc de prejudiciu”, fără a aștepta producerea unui prejudiciu important. În ceea ce privește metalele care fac obiectul domeniului de aplicare al prezentului plan de acțiune, altele decât oțelul și aluminiul, până în cel de al treilea trimestru al anului 2025, Comisia va prezenta un raport privind monitorizarea consolidată a situației pieței pentru aceste sectoare și va fi pregătită să propună o acțiune comercială, dacă va fi necesar. Astfel cum s-a anunțat în Pactul pentru o industrie curată, Comisia va depune eforturi în vederea consolidării instrumentelor de apărare comercială existente. </w:t>
      </w:r>
      <w:r w:rsidRPr="00EC01ED">
        <w:rPr>
          <w:b/>
          <w:bCs/>
          <w:noProof/>
        </w:rPr>
        <w:t>În acest context, Comisia va evalua, de asemenea, dacă actualul regim al taxei celei mai mici necesită modificări</w:t>
      </w:r>
      <w:r w:rsidRPr="00EC01ED">
        <w:rPr>
          <w:noProof/>
        </w:rPr>
        <w:t>. UE își va continua și își va intensifica eforturile în context multilateral, pentru a aborda provocările globale cu care se confruntă aceste sectoare. Situația din sectorul cuprului va face obiectul unei monitorizări atente, întrucât, în februarie 2025, SUA a deschis o anchetă, în temeiul secțiunii 232 din Legea din 1962 privind extinderea comerțului, cu privire la importurile de cupru, ceea ce ar putea duce la măsuri tarifare suplimentare și la perturbarea piețelor mondiale. Ca atare, statele membre europene, deși nu sunt furnizori importanți pe piața SUA, ar putea suferi un impact indirect.</w:t>
      </w:r>
    </w:p>
    <w:p w14:paraId="151B8F61" w14:textId="6B34835D" w:rsidR="00323364" w:rsidRPr="00EC01ED" w:rsidRDefault="00323364" w:rsidP="00AD7603">
      <w:pPr>
        <w:rPr>
          <w:noProof/>
        </w:rPr>
      </w:pPr>
      <w:r w:rsidRPr="00EC01ED">
        <w:rPr>
          <w:b/>
          <w:bCs/>
          <w:noProof/>
        </w:rPr>
        <w:t>Începând din martie 2022, UE a adoptat o gamă largă de sancțiuni împotriva Rusiei ca răspuns la războiul de agresiune împotriva Ucrainei</w:t>
      </w:r>
      <w:r w:rsidRPr="00EC01ED">
        <w:rPr>
          <w:noProof/>
        </w:rPr>
        <w:t xml:space="preserve">, cu scopul de a slăbi baza economică a Rusiei, de a o priva de tehnologii și piețe critice și de a-i reduce în mod semnificativ capacitatea de a purta război. Printre aceste sancțiuni se numără restricțiile la importul de fier și oțel, care reprezintă unul dintre cele mai stricte seturi de sancțiuni sectoriale aplicabile Rusiei. Pe lângă interdicția, deja în vigoare, privind importurile de produse din aluminiu prelucrate de proveniență din Rusia, cel de al 16-lea pachet de sancțiuni împotriva Rusiei (adoptat la 24 februarie 2025) include o interdicție privind importurile UE de aluminiu primar din Rusia, prevăzută cu un mecanism de cote pentru a asigura o tranziție lină pentru întreprinderi. Comisia va asigura punerea în aplicare efectivă a acestor sancțiuni și, dacă este necesar, UE va impune măsuri suplimentare pentru a combate eludarea acestora. </w:t>
      </w:r>
    </w:p>
    <w:p w14:paraId="5D58260C" w14:textId="1E8534C4" w:rsidR="00323364" w:rsidRPr="00EC01ED" w:rsidRDefault="00323364" w:rsidP="00AD7603">
      <w:pPr>
        <w:rPr>
          <w:noProof/>
        </w:rPr>
      </w:pPr>
      <w:r w:rsidRPr="00EC01ED">
        <w:rPr>
          <w:noProof/>
        </w:rPr>
        <w:t>Revizuirea specifică a normelor UE privind substanțele chimice (REACH), în cel de al patrulea trimestru al anului 2025, va contribui la simplificarea normelor pentru industria chimică, fără a compromite siguranța și protecția mediului. Procedând astfel, această revizuire va contribui la asigurarea unui mediu de reglementare stabil și previzibil pentru metalele care urmează să fie produse în UE și introduse pe piața UE.</w:t>
      </w:r>
      <w:r w:rsidR="00EC01ED">
        <w:rPr>
          <w:noProof/>
        </w:rPr>
        <w:t xml:space="preserve"> </w:t>
      </w:r>
    </w:p>
    <w:tbl>
      <w:tblPr>
        <w:tblW w:w="8637" w:type="dxa"/>
        <w:tblCellMar>
          <w:left w:w="0" w:type="dxa"/>
          <w:right w:w="0" w:type="dxa"/>
        </w:tblCellMar>
        <w:tblLook w:val="04A0" w:firstRow="1" w:lastRow="0" w:firstColumn="1" w:lastColumn="0" w:noHBand="0" w:noVBand="1"/>
      </w:tblPr>
      <w:tblGrid>
        <w:gridCol w:w="8637"/>
      </w:tblGrid>
      <w:tr w:rsidR="00323364" w:rsidRPr="00EC01ED" w14:paraId="4C8DB804" w14:textId="77777777" w:rsidTr="001068B5">
        <w:tc>
          <w:tcPr>
            <w:tcW w:w="86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659C2A9" w14:textId="77777777" w:rsidR="00323364" w:rsidRPr="00EC01ED" w:rsidRDefault="00323364" w:rsidP="007A76A1">
            <w:pPr>
              <w:rPr>
                <w:b/>
                <w:bCs/>
                <w:noProof/>
              </w:rPr>
            </w:pPr>
            <w:r w:rsidRPr="00EC01ED">
              <w:rPr>
                <w:b/>
                <w:noProof/>
              </w:rPr>
              <w:t>Acțiuni:</w:t>
            </w:r>
          </w:p>
        </w:tc>
      </w:tr>
      <w:tr w:rsidR="00A83CA1" w:rsidRPr="00EC01ED" w14:paraId="534A5F2E" w14:textId="77777777" w:rsidTr="001068B5">
        <w:tc>
          <w:tcPr>
            <w:tcW w:w="863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0074E0F" w14:textId="2095932D" w:rsidR="00A83CA1" w:rsidRPr="00EC01ED" w:rsidRDefault="00A83CA1" w:rsidP="007A76A1">
            <w:pPr>
              <w:rPr>
                <w:noProof/>
              </w:rPr>
            </w:pPr>
            <w:r w:rsidRPr="00EC01ED">
              <w:rPr>
                <w:b/>
                <w:bCs/>
                <w:noProof/>
              </w:rPr>
              <w:t>Comisia a propus ajustări ale măsurii de salvgardare privind oțelul, care urmează să intre în vigoare la 1 aprilie 2025</w:t>
            </w:r>
            <w:r w:rsidRPr="00EC01ED">
              <w:rPr>
                <w:noProof/>
              </w:rPr>
              <w:t>. Măsura va fi înăsprită pentru a asigura eficacitatea acesteia și pentru a aborda cele mai recente evoluții ale pieței.</w:t>
            </w:r>
          </w:p>
        </w:tc>
      </w:tr>
      <w:tr w:rsidR="00323364" w:rsidRPr="00EC01ED" w14:paraId="74E4CE7D" w14:textId="77777777" w:rsidTr="001068B5">
        <w:tc>
          <w:tcPr>
            <w:tcW w:w="863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3D95D7F" w14:textId="53F82D28" w:rsidR="00323364" w:rsidRPr="00EC01ED" w:rsidRDefault="00323364" w:rsidP="007A76A1">
            <w:pPr>
              <w:rPr>
                <w:noProof/>
              </w:rPr>
            </w:pPr>
            <w:r w:rsidRPr="00EC01ED">
              <w:rPr>
                <w:noProof/>
              </w:rPr>
              <w:t xml:space="preserve">Comisia este pregătită să utilizeze instrumentele de apărare comercială și să lanseze o </w:t>
            </w:r>
            <w:r w:rsidRPr="00EC01ED">
              <w:rPr>
                <w:b/>
                <w:bCs/>
                <w:noProof/>
              </w:rPr>
              <w:t>anchetă privind garanțiile în sectorul aluminiului</w:t>
            </w:r>
            <w:r w:rsidRPr="00EC01ED">
              <w:rPr>
                <w:noProof/>
              </w:rPr>
              <w:t xml:space="preserve"> imediat după depunerea cererii justificate în mod corespunzător.</w:t>
            </w:r>
            <w:r w:rsidR="00EC01ED">
              <w:rPr>
                <w:noProof/>
                <w:color w:val="000000" w:themeColor="text1"/>
              </w:rPr>
              <w:t xml:space="preserve"> </w:t>
            </w:r>
          </w:p>
        </w:tc>
      </w:tr>
      <w:tr w:rsidR="00323364" w:rsidRPr="00EC01ED" w14:paraId="10824D49" w14:textId="77777777" w:rsidTr="001068B5">
        <w:tc>
          <w:tcPr>
            <w:tcW w:w="863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8D28D45" w14:textId="4A8D84B8" w:rsidR="00323364" w:rsidRPr="00EC01ED" w:rsidRDefault="00323364" w:rsidP="007A76A1">
            <w:pPr>
              <w:rPr>
                <w:i/>
                <w:iCs/>
                <w:noProof/>
              </w:rPr>
            </w:pPr>
          </w:p>
        </w:tc>
      </w:tr>
      <w:tr w:rsidR="00323364" w:rsidRPr="00EC01ED" w14:paraId="206A9E05" w14:textId="77777777" w:rsidTr="001068B5">
        <w:tc>
          <w:tcPr>
            <w:tcW w:w="863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9CEDFC0" w14:textId="4A2D1A4B" w:rsidR="00323364" w:rsidRPr="00EC01ED" w:rsidRDefault="00323364" w:rsidP="007A76A1">
            <w:pPr>
              <w:rPr>
                <w:noProof/>
              </w:rPr>
            </w:pPr>
            <w:r w:rsidRPr="00EC01ED">
              <w:rPr>
                <w:noProof/>
              </w:rPr>
              <w:t xml:space="preserve">Până cel târziu în T3 2025, Comisia va propune o măsură comercială care </w:t>
            </w:r>
            <w:r w:rsidRPr="00EC01ED">
              <w:rPr>
                <w:b/>
                <w:bCs/>
                <w:noProof/>
              </w:rPr>
              <w:t>să înlocuiască măsurile de salvgardare privind oțelul începând cu 1 iulie 2026</w:t>
            </w:r>
            <w:r w:rsidRPr="00EC01ED">
              <w:rPr>
                <w:noProof/>
              </w:rPr>
              <w:t xml:space="preserve">, oferind un nivel de protecție extrem de eficace împotriva efectelor comerciale negative cauzate de supracapacitățile mondiale. </w:t>
            </w:r>
          </w:p>
        </w:tc>
      </w:tr>
      <w:tr w:rsidR="00323364" w:rsidRPr="00EC01ED" w14:paraId="7E797519" w14:textId="77777777" w:rsidTr="00F427EC">
        <w:tc>
          <w:tcPr>
            <w:tcW w:w="8637"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353CF46B" w14:textId="55A8780C" w:rsidR="00323364" w:rsidRPr="00EC01ED" w:rsidRDefault="00323364" w:rsidP="007A76A1">
            <w:pPr>
              <w:rPr>
                <w:b/>
                <w:bCs/>
                <w:noProof/>
              </w:rPr>
            </w:pPr>
            <w:r w:rsidRPr="00EC01ED">
              <w:rPr>
                <w:noProof/>
              </w:rPr>
              <w:t xml:space="preserve">Comisia va efectua cu promptitudine ancheta privind </w:t>
            </w:r>
            <w:r w:rsidRPr="00EC01ED">
              <w:rPr>
                <w:b/>
                <w:bCs/>
                <w:noProof/>
              </w:rPr>
              <w:t>garanțiile referitoare la feroaliaje</w:t>
            </w:r>
            <w:r w:rsidRPr="00EC01ED">
              <w:rPr>
                <w:noProof/>
              </w:rPr>
              <w:t>, cel târziu până la 18 noiembrie 2025.</w:t>
            </w:r>
          </w:p>
        </w:tc>
      </w:tr>
      <w:tr w:rsidR="00A83CA1" w:rsidRPr="00EC01ED" w14:paraId="55D4407C" w14:textId="77777777" w:rsidTr="0052682A">
        <w:tc>
          <w:tcPr>
            <w:tcW w:w="8637"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03DD24AA" w14:textId="2DEAC636" w:rsidR="00A83CA1" w:rsidRPr="00EC01ED" w:rsidRDefault="00A83CA1" w:rsidP="00A83CA1">
            <w:pPr>
              <w:rPr>
                <w:noProof/>
              </w:rPr>
            </w:pPr>
            <w:r w:rsidRPr="00EC01ED">
              <w:rPr>
                <w:noProof/>
              </w:rPr>
              <w:t>Comisia va evalua introducerea regulii „</w:t>
            </w:r>
            <w:r w:rsidRPr="00EC01ED">
              <w:rPr>
                <w:b/>
                <w:bCs/>
                <w:noProof/>
              </w:rPr>
              <w:t>topit și turnat</w:t>
            </w:r>
            <w:r w:rsidRPr="00EC01ED">
              <w:rPr>
                <w:noProof/>
              </w:rPr>
              <w:t>” pentru a identifica țara în care produsul metalic a fost topit și turnat inițial.</w:t>
            </w:r>
          </w:p>
        </w:tc>
      </w:tr>
    </w:tbl>
    <w:p w14:paraId="46440FEA" w14:textId="77777777" w:rsidR="0052682A" w:rsidRPr="00EC01ED" w:rsidRDefault="0052682A" w:rsidP="00877125">
      <w:pPr>
        <w:pStyle w:val="Heading1"/>
        <w:numPr>
          <w:ilvl w:val="0"/>
          <w:numId w:val="0"/>
        </w:numPr>
        <w:spacing w:before="0"/>
        <w:ind w:left="482"/>
        <w:rPr>
          <w:noProof/>
        </w:rPr>
      </w:pPr>
    </w:p>
    <w:p w14:paraId="13B9008C" w14:textId="664D8068" w:rsidR="035E31F5" w:rsidRPr="00EC01ED" w:rsidRDefault="2979480F" w:rsidP="006D6F84">
      <w:pPr>
        <w:pStyle w:val="Heading1"/>
        <w:spacing w:before="0"/>
        <w:rPr>
          <w:noProof/>
        </w:rPr>
      </w:pPr>
      <w:r w:rsidRPr="00EC01ED">
        <w:rPr>
          <w:noProof/>
        </w:rPr>
        <w:t xml:space="preserve">Promovarea </w:t>
      </w:r>
      <w:r w:rsidRPr="00EC01ED">
        <w:rPr>
          <w:bCs/>
          <w:noProof/>
        </w:rPr>
        <w:t>circularității</w:t>
      </w:r>
      <w:r w:rsidRPr="00EC01ED">
        <w:rPr>
          <w:noProof/>
        </w:rPr>
        <w:t xml:space="preserve"> metalelor</w:t>
      </w:r>
    </w:p>
    <w:p w14:paraId="34C6F261" w14:textId="76C75ECD" w:rsidR="00E42F48" w:rsidRPr="00EC01ED" w:rsidRDefault="02A0BC2B" w:rsidP="00404719">
      <w:pPr>
        <w:pStyle w:val="Text1"/>
        <w:ind w:left="0"/>
        <w:rPr>
          <w:noProof/>
        </w:rPr>
      </w:pPr>
      <w:r w:rsidRPr="00EC01ED">
        <w:rPr>
          <w:b/>
          <w:bCs/>
          <w:noProof/>
        </w:rPr>
        <w:t>Consolidarea circularității este o cale importantă pentru decarbonizarea industriilor metalelor</w:t>
      </w:r>
      <w:r w:rsidRPr="00EC01ED">
        <w:rPr>
          <w:noProof/>
        </w:rPr>
        <w:t>. De exemplu, reciclarea poate duce la economii de până la 95 % din energia necesară pentru producția de aluminiu primar și de 80 % din energia necesară pentru producția de oțel. Reciclarea deșeurilor generate în UE permite, de asemenea, reducerea dependențelor industriei UE de materiile prime principale importate, cum ar fi bauxita/alumina/aluminiul recunoscută ca o materie primă strategică a UE, și în cazul cărora se preconizează o creștere semnificativă a cererii.</w:t>
      </w:r>
      <w:r w:rsidR="00EC01ED">
        <w:rPr>
          <w:noProof/>
        </w:rPr>
        <w:t xml:space="preserve"> </w:t>
      </w:r>
    </w:p>
    <w:p w14:paraId="7C63A919" w14:textId="1ACD454A" w:rsidR="035E31F5" w:rsidRPr="00EC01ED" w:rsidRDefault="718EC5AD" w:rsidP="006D6F84">
      <w:pPr>
        <w:pStyle w:val="Text1"/>
        <w:ind w:left="0"/>
        <w:rPr>
          <w:noProof/>
        </w:rPr>
      </w:pPr>
      <w:r w:rsidRPr="00EC01ED">
        <w:rPr>
          <w:b/>
          <w:noProof/>
        </w:rPr>
        <w:t xml:space="preserve">Cu toate acestea, volumul de deșeuri utilizate în vederea reciclării în UE este în scădere. </w:t>
      </w:r>
      <w:r w:rsidRPr="00EC01ED">
        <w:rPr>
          <w:noProof/>
        </w:rPr>
        <w:t xml:space="preserve">Acest fapt se datorează următorilor doi factori: o lipsă a cererii din partea industriei UE (în special în ceea ce privește oțelul) și creșterea prețurilor pentru deșeuri plătite de producătorii de oțel și aluminiu din țări terțe, adesea din cauza distorsiunilor comerciale, cum ar fi subvențiile, sau a condițiilor de piață neloiale. Prin urmare, exporturile de deșeuri de fier au crescut de peste două ori în ultimii ani, ajungând la maximum 19,43 milioane de tone în 2021 (aproximativ 20 % din totalul deșeurilor generate în UE). Se preconizează că în 2024 se va stabili un nou record pentru deșeurile de aluminiu din Europa, exporturile de deșeuri de aluminiu urmând să depășească 1,3 milioane de tone. </w:t>
      </w:r>
    </w:p>
    <w:p w14:paraId="07392387" w14:textId="7680817D" w:rsidR="00C41DC8" w:rsidRPr="00EC01ED" w:rsidRDefault="00F74ED2" w:rsidP="06746406">
      <w:pPr>
        <w:pStyle w:val="Text1"/>
        <w:ind w:left="0"/>
        <w:rPr>
          <w:noProof/>
        </w:rPr>
      </w:pPr>
      <w:r w:rsidRPr="00EC01ED">
        <w:rPr>
          <w:noProof/>
        </w:rPr>
        <w:t xml:space="preserve">Pentru a inversa această tendință, </w:t>
      </w:r>
      <w:r w:rsidRPr="00EC01ED">
        <w:rPr>
          <w:b/>
          <w:noProof/>
        </w:rPr>
        <w:t>primul obiectiv este de a stimula cererea, prin creșterea utilizării acestor resurse în UE</w:t>
      </w:r>
      <w:r w:rsidRPr="00EC01ED">
        <w:rPr>
          <w:noProof/>
        </w:rPr>
        <w:t>. Pentru a realiza acest lucru, deșeurile ar trebui să fie mai bine sortate și tratate pentru a se asigura utilizarea lor în aplicații de înaltă calitate, cum ar fi automobilele. Această schimbare necesită investiții din partea reciclatorilor și a achizitorilor, stimulente atât la nivelul UE</w:t>
      </w:r>
      <w:r w:rsidRPr="00EC01ED">
        <w:rPr>
          <w:rStyle w:val="FootnoteReference"/>
          <w:noProof/>
        </w:rPr>
        <w:footnoteReference w:id="30"/>
      </w:r>
      <w:r w:rsidRPr="00EC01ED">
        <w:rPr>
          <w:noProof/>
        </w:rPr>
        <w:t xml:space="preserve">, cât și la nivel național, precum și cerințe de proiectare pentru grupele de produse relevante. Pentru a facilita adoptarea conținuturilor secundare în astfel de sectoare care depind în mod tradițional de metalele primare, Comisia va pregăti stabilirea de obiective pentru oțelul și aluminiul reciclat în sectoarele-cheie într-un mod eficient din punctul de vedere al costurilor, ținând seama de capacitatea diferită de a transfera costurile către clienți și de concurența la nivel mondial. Studiul de fezabilitate pentru o astfel de adoptare în sectorul autovehiculelor va fi finalizat la sfârșitul anului 2026, ca parte a Regulamentului privind vehiculele scoase din uz, aflat în prezent în curs de codecizie. </w:t>
      </w:r>
    </w:p>
    <w:p w14:paraId="0B5D849E" w14:textId="2669DC58" w:rsidR="00C41DC8" w:rsidRPr="00EC01ED" w:rsidRDefault="023838DF" w:rsidP="06746406">
      <w:pPr>
        <w:pStyle w:val="Text1"/>
        <w:ind w:left="0"/>
        <w:rPr>
          <w:noProof/>
        </w:rPr>
      </w:pPr>
      <w:r w:rsidRPr="00EC01ED">
        <w:rPr>
          <w:noProof/>
        </w:rPr>
        <w:t xml:space="preserve">Comisia va evalua, de asemenea, necesitatea unor cerințe privind </w:t>
      </w:r>
      <w:r w:rsidRPr="00EC01ED">
        <w:rPr>
          <w:b/>
          <w:noProof/>
        </w:rPr>
        <w:t>posibilitatea de reciclare și/sau conținutul reciclat</w:t>
      </w:r>
      <w:r w:rsidRPr="00EC01ED">
        <w:rPr>
          <w:noProof/>
        </w:rPr>
        <w:t xml:space="preserve"> pentru alte grupe de produse, precum și necesitatea de a acorda prioritate caracteristicilor de proiectare a produselor și de tratare a deșeurilor care facilitează separarea componentelor din cupru de fracțiunile de oțel și aluminiu. Acest aspect va fi abordat prin intermediul cerințelor din actele delegate pentru grupele de produse relevante în temeiul Regulamentului privind proiectarea ecologică a produselor sustenabile și al altor acte legislative relevante (Regulamentul privind produsele pentru construcții, Regulamentul privind vehiculele scoase din uz, Actul legislativ privind economia circulară). </w:t>
      </w:r>
    </w:p>
    <w:p w14:paraId="292F58E1" w14:textId="517BF437" w:rsidR="00C41DC8" w:rsidRPr="00EC01ED" w:rsidRDefault="2C357863" w:rsidP="06746406">
      <w:pPr>
        <w:pStyle w:val="Text1"/>
        <w:spacing w:line="259" w:lineRule="auto"/>
        <w:ind w:left="0"/>
        <w:rPr>
          <w:noProof/>
        </w:rPr>
      </w:pPr>
      <w:r w:rsidRPr="00EC01ED">
        <w:rPr>
          <w:b/>
          <w:noProof/>
        </w:rPr>
        <w:t>Creșterea ponderii producției de metale secundare implică o schimbare a anumitor paradigme de producție și modele de afaceri.</w:t>
      </w:r>
      <w:r w:rsidRPr="00EC01ED">
        <w:rPr>
          <w:noProof/>
        </w:rPr>
        <w:t xml:space="preserve"> În conformitate cu normele antitrust, actorii de-a lungul lanțului valoric ar trebui să colaboreze mai bine pentru ca acest lucru să devină realitate și pentru a depăși dependența de modelele de afaceri consacrate. Prin urmare, Comisia va implica toate părțile interesate relevante pentru a discuta obligațiile privind posibilitatea de reciclare și conținutul reciclat, precum și alte aspecte conexe. Acest dialog va permite Comisiei să sprijine pregătirea Actului legislativ privind economia circulară, planificată pentru al patrulea trimestru al anului 2026, precum și, după caz, punerea în aplicare a Regulamentului privind proiectarea ecologică a produselor sustenabile</w:t>
      </w:r>
      <w:r w:rsidRPr="00EC01ED">
        <w:rPr>
          <w:rStyle w:val="FootnoteReference"/>
          <w:noProof/>
        </w:rPr>
        <w:footnoteReference w:id="31"/>
      </w:r>
      <w:r w:rsidRPr="00EC01ED">
        <w:rPr>
          <w:noProof/>
        </w:rPr>
        <w:t xml:space="preserve"> și a altor cadre adecvate.</w:t>
      </w:r>
    </w:p>
    <w:p w14:paraId="6F160497" w14:textId="0C476499" w:rsidR="00D6375D" w:rsidRPr="00EC01ED" w:rsidRDefault="00D6375D" w:rsidP="00AD7603">
      <w:pPr>
        <w:pStyle w:val="Text1"/>
        <w:spacing w:line="259" w:lineRule="auto"/>
        <w:ind w:left="0"/>
        <w:rPr>
          <w:noProof/>
        </w:rPr>
      </w:pPr>
      <w:r w:rsidRPr="00EC01ED">
        <w:rPr>
          <w:noProof/>
        </w:rPr>
        <w:t xml:space="preserve">În al doilea rând, eforturile de creștere a cererii interne de deșeuri metalice pot fi eficace numai dacă condițiile de concurență la nivel internațional rămân echitabile. </w:t>
      </w:r>
      <w:r w:rsidRPr="00EC01ED">
        <w:rPr>
          <w:b/>
          <w:noProof/>
        </w:rPr>
        <w:t xml:space="preserve">Luarea de măsuri în ceea ce privește aprovizionarea este, de asemenea, necesară pentru a asigura accesul la deșeuri pentru producătorii din UE, menținând, în același timp, argumentele economice pentru reciclatori. </w:t>
      </w:r>
      <w:r w:rsidRPr="00EC01ED">
        <w:rPr>
          <w:noProof/>
        </w:rPr>
        <w:t>Regulamentul revizuit privind transferurile de deșeuri</w:t>
      </w:r>
      <w:r w:rsidRPr="00EC01ED">
        <w:rPr>
          <w:rStyle w:val="FootnoteReference"/>
          <w:noProof/>
        </w:rPr>
        <w:footnoteReference w:id="32"/>
      </w:r>
      <w:r w:rsidRPr="00EC01ED">
        <w:rPr>
          <w:noProof/>
        </w:rPr>
        <w:t xml:space="preserve"> prevede noi instrumente care garantează că exportul de deșeuri, inclusiv de deșeuri metalice, nu cauzează daune mediului și sănătății umane în țările terțe, iar Comisia va utiliza astfel de instrumente pentru deșeurile metalice.</w:t>
      </w:r>
      <w:r w:rsidR="00EC01ED">
        <w:rPr>
          <w:noProof/>
        </w:rPr>
        <w:t xml:space="preserve"> </w:t>
      </w:r>
    </w:p>
    <w:p w14:paraId="3ABAFE94" w14:textId="36C226DF" w:rsidR="00D6375D" w:rsidRPr="00EC01ED" w:rsidRDefault="00D6375D" w:rsidP="00AD7603">
      <w:pPr>
        <w:pStyle w:val="Text1"/>
        <w:spacing w:line="259" w:lineRule="auto"/>
        <w:ind w:left="0"/>
        <w:rPr>
          <w:noProof/>
        </w:rPr>
      </w:pPr>
      <w:r w:rsidRPr="00EC01ED">
        <w:rPr>
          <w:noProof/>
        </w:rPr>
        <w:t>Un număr important de țări terțe nu permit exportul de deșeuri metalice către UE, reducând astfel accesul la această materie primă secundară strategică. Anumite țări aplică, de asemenea, subvenții neloiale pentru a-și sprijini industriile de reciclare și de producție a metalelor. Acesta este motivul pentru care Comisia monitorizează situația și, dacă va fi necesar, va lua în considerare posibilitatea de a propune, până cel târziu în al treilea trimestru al anului 2025, o măsură comercială pentru a asigura o disponibilitate suficientă a deșeurilor în UE, iar în cadrul acestui proces va evalua, de asemenea, justificarea și posibilitatea introducerii unei reguli de reciprocitate care să fie conformă cu obligațiile internaționale ale UE.</w:t>
      </w:r>
      <w:r w:rsidR="00EC01ED">
        <w:rPr>
          <w:noProof/>
        </w:rPr>
        <w:t xml:space="preserve"> </w:t>
      </w:r>
    </w:p>
    <w:p w14:paraId="32C558FF" w14:textId="4B44988F" w:rsidR="00D6375D" w:rsidRPr="00EC01ED" w:rsidRDefault="00D6375D" w:rsidP="00AD7603">
      <w:pPr>
        <w:pStyle w:val="Text1"/>
        <w:spacing w:line="259" w:lineRule="auto"/>
        <w:ind w:left="0"/>
        <w:rPr>
          <w:noProof/>
        </w:rPr>
      </w:pPr>
      <w:r w:rsidRPr="00EC01ED">
        <w:rPr>
          <w:noProof/>
        </w:rPr>
        <w:t xml:space="preserve">În cadrul </w:t>
      </w:r>
      <w:r w:rsidRPr="00EC01ED">
        <w:rPr>
          <w:b/>
          <w:bCs/>
          <w:noProof/>
        </w:rPr>
        <w:t>pieței unice, deșeurile metalice ar trebui să circule liber</w:t>
      </w:r>
      <w:r w:rsidRPr="00EC01ED">
        <w:rPr>
          <w:noProof/>
        </w:rPr>
        <w:t xml:space="preserve">, pentru a se asigura că ele pot fi reciclate în instalațiile cele mai performante și pentru a beneficia de economiile de scară. Cu toate acestea, pentru anumite tipuri de deșeuri, persistă bariere din cauza sistemelor nearmonizate de clasificare a deșeurilor. Legea privind economia circulară, anunțată pentru al patrulea trimestru al anului 2026, va îmbunătăți și mai mult funcționarea piețelor materiilor prime secundare și va crea o piață unică pentru deșeuri. În acest context, Comisia va examina, de asemenea, dacă sunt necesare măsuri suplimentare, cum ar fi taxele de export sau taxele la export, pentru a promova disponibilitatea deșeurilor în UE generate cu standarde sociale și de mediu ridicate și pentru a preveni eventuala „scurgere de deșeuri” către țări terțe cu standarde mai scăzute. </w:t>
      </w:r>
    </w:p>
    <w:p w14:paraId="6E2B8A7B" w14:textId="316C1BED" w:rsidR="2209F2A5" w:rsidRPr="00EC01ED" w:rsidRDefault="2209F2A5" w:rsidP="7F7C3B5C">
      <w:pPr>
        <w:pStyle w:val="Text1"/>
        <w:spacing w:line="259" w:lineRule="auto"/>
        <w:ind w:left="0"/>
        <w:rPr>
          <w:noProof/>
        </w:rPr>
      </w:pPr>
      <w:r w:rsidRPr="00EC01ED">
        <w:rPr>
          <w:noProof/>
        </w:rPr>
        <w:t xml:space="preserve">Îmbunătățirea funcționării pieței unice pentru sectorul metalelor necesită, de asemenea, îmbunătățirea </w:t>
      </w:r>
      <w:r w:rsidRPr="00EC01ED">
        <w:rPr>
          <w:b/>
          <w:bCs/>
          <w:noProof/>
        </w:rPr>
        <w:t>rolului standardizării</w:t>
      </w:r>
      <w:r w:rsidRPr="00EC01ED">
        <w:rPr>
          <w:noProof/>
        </w:rPr>
        <w:t>. De exemplu, prin standardizare, ar putea fi facilitate promovarea oțelului de înaltă rezistență, reutilizarea oțelului structural sau valorificarea subproduselor din oțel. Clasificările calităților deșeurilor ar trebui, de asemenea, să fie îmbunătățite pentru a facilita o mai bună corelare a ofertei de materii prime secundare cu cererea din UE.</w:t>
      </w:r>
    </w:p>
    <w:tbl>
      <w:tblPr>
        <w:tblStyle w:val="TableGrid"/>
        <w:tblW w:w="0" w:type="auto"/>
        <w:tblLook w:val="04A0" w:firstRow="1" w:lastRow="0" w:firstColumn="1" w:lastColumn="0" w:noHBand="0" w:noVBand="1"/>
      </w:tblPr>
      <w:tblGrid>
        <w:gridCol w:w="8602"/>
      </w:tblGrid>
      <w:tr w:rsidR="00280438" w:rsidRPr="00EC01ED" w14:paraId="2FF09EF9" w14:textId="77777777" w:rsidTr="0143D47A">
        <w:tc>
          <w:tcPr>
            <w:tcW w:w="8602" w:type="dxa"/>
          </w:tcPr>
          <w:p w14:paraId="124303AC" w14:textId="77777777" w:rsidR="00280438" w:rsidRPr="00EC01ED" w:rsidRDefault="594D10D8" w:rsidP="06746406">
            <w:pPr>
              <w:pStyle w:val="Text1"/>
              <w:spacing w:afterAutospacing="1"/>
              <w:ind w:left="0"/>
              <w:rPr>
                <w:noProof/>
              </w:rPr>
            </w:pPr>
            <w:r w:rsidRPr="00EC01ED">
              <w:rPr>
                <w:b/>
                <w:bCs/>
                <w:noProof/>
              </w:rPr>
              <w:t>Acțiuni</w:t>
            </w:r>
            <w:r w:rsidRPr="00EC01ED">
              <w:rPr>
                <w:noProof/>
              </w:rPr>
              <w:t>:</w:t>
            </w:r>
          </w:p>
        </w:tc>
      </w:tr>
      <w:tr w:rsidR="00280438" w:rsidRPr="00EC01ED" w14:paraId="196E91BA" w14:textId="77777777" w:rsidTr="0143D47A">
        <w:tc>
          <w:tcPr>
            <w:tcW w:w="8602" w:type="dxa"/>
          </w:tcPr>
          <w:p w14:paraId="3D0F925B" w14:textId="7CCCD4B7" w:rsidR="00280438" w:rsidRPr="00EC01ED" w:rsidRDefault="6CA330CB" w:rsidP="06746406">
            <w:pPr>
              <w:pStyle w:val="Text1"/>
              <w:spacing w:afterAutospacing="1"/>
              <w:ind w:left="720"/>
              <w:rPr>
                <w:noProof/>
              </w:rPr>
            </w:pPr>
            <w:r w:rsidRPr="00EC01ED">
              <w:rPr>
                <w:noProof/>
              </w:rPr>
              <w:t xml:space="preserve">Până cel târziu în T3 2025, Comisia va lua în considerare măsuri comerciale pentru a asigura disponibilitatea suficientă a deșeurilor. </w:t>
            </w:r>
          </w:p>
        </w:tc>
      </w:tr>
      <w:tr w:rsidR="00280438" w:rsidRPr="00EC01ED" w14:paraId="37BA6331" w14:textId="77777777" w:rsidTr="0143D47A">
        <w:tc>
          <w:tcPr>
            <w:tcW w:w="8602" w:type="dxa"/>
          </w:tcPr>
          <w:p w14:paraId="0BBB9E73" w14:textId="5C1DF69C" w:rsidR="00280438" w:rsidRPr="00EC01ED" w:rsidRDefault="6CA330CB" w:rsidP="1029B744">
            <w:pPr>
              <w:pStyle w:val="Text1"/>
              <w:spacing w:afterAutospacing="1"/>
              <w:ind w:left="720"/>
              <w:rPr>
                <w:noProof/>
              </w:rPr>
            </w:pPr>
            <w:r w:rsidRPr="00EC01ED">
              <w:rPr>
                <w:noProof/>
              </w:rPr>
              <w:t xml:space="preserve">Până în T4 2026, Comisia va prezenta studiul de fezabilitate referitor la obligațiile privind </w:t>
            </w:r>
            <w:r w:rsidRPr="00EC01ED">
              <w:rPr>
                <w:b/>
                <w:bCs/>
                <w:noProof/>
              </w:rPr>
              <w:t>conținutul reciclat</w:t>
            </w:r>
            <w:r w:rsidRPr="00EC01ED">
              <w:rPr>
                <w:noProof/>
              </w:rPr>
              <w:t xml:space="preserve"> pentru oțel și aluminiu în temeiul </w:t>
            </w:r>
            <w:r w:rsidRPr="00EC01ED">
              <w:rPr>
                <w:b/>
                <w:bCs/>
                <w:noProof/>
              </w:rPr>
              <w:t>Regulamentului privind vehiculele scoase din uz</w:t>
            </w:r>
            <w:r w:rsidRPr="00EC01ED">
              <w:rPr>
                <w:noProof/>
              </w:rPr>
              <w:t>.</w:t>
            </w:r>
          </w:p>
        </w:tc>
      </w:tr>
      <w:tr w:rsidR="00831978" w:rsidRPr="00EC01ED" w14:paraId="780A2AB9" w14:textId="77777777" w:rsidTr="0143D47A">
        <w:tc>
          <w:tcPr>
            <w:tcW w:w="8602" w:type="dxa"/>
          </w:tcPr>
          <w:p w14:paraId="5C9916BD" w14:textId="0F8E877E" w:rsidR="00831978" w:rsidRPr="00EC01ED" w:rsidRDefault="430E06D4" w:rsidP="06746406">
            <w:pPr>
              <w:pStyle w:val="Text1"/>
              <w:spacing w:afterAutospacing="1"/>
              <w:ind w:left="720"/>
              <w:rPr>
                <w:noProof/>
              </w:rPr>
            </w:pPr>
            <w:r w:rsidRPr="00EC01ED">
              <w:rPr>
                <w:noProof/>
              </w:rPr>
              <w:t xml:space="preserve">Până în T4 2026, Comisia va pregăti introducerea obligațiilor privind </w:t>
            </w:r>
            <w:r w:rsidRPr="00EC01ED">
              <w:rPr>
                <w:b/>
                <w:bCs/>
                <w:noProof/>
              </w:rPr>
              <w:t>conținutul reciclat</w:t>
            </w:r>
            <w:r w:rsidRPr="00EC01ED">
              <w:rPr>
                <w:noProof/>
              </w:rPr>
              <w:t xml:space="preserve"> de aluminiu în </w:t>
            </w:r>
            <w:r w:rsidRPr="00EC01ED">
              <w:rPr>
                <w:b/>
                <w:bCs/>
                <w:noProof/>
              </w:rPr>
              <w:t>produsele pentru construcții</w:t>
            </w:r>
            <w:r w:rsidRPr="00EC01ED">
              <w:rPr>
                <w:noProof/>
              </w:rPr>
              <w:t xml:space="preserve"> relevante și va consolida piața materiilor prime secundare în UE, ca parte a Actului legislativ privind economia circulară.</w:t>
            </w:r>
          </w:p>
        </w:tc>
      </w:tr>
      <w:tr w:rsidR="00E74519" w:rsidRPr="00EC01ED" w14:paraId="742F6777" w14:textId="77777777" w:rsidTr="0143D47A">
        <w:tc>
          <w:tcPr>
            <w:tcW w:w="8602" w:type="dxa"/>
          </w:tcPr>
          <w:p w14:paraId="4317694C" w14:textId="31E31E11" w:rsidR="00E74519" w:rsidRPr="00EC01ED" w:rsidRDefault="4563EB19" w:rsidP="0143D47A">
            <w:pPr>
              <w:pStyle w:val="Text1"/>
              <w:spacing w:afterAutospacing="1"/>
              <w:ind w:left="720"/>
              <w:rPr>
                <w:noProof/>
              </w:rPr>
            </w:pPr>
            <w:r w:rsidRPr="00EC01ED">
              <w:rPr>
                <w:noProof/>
              </w:rPr>
              <w:t xml:space="preserve">Până în T4 2026, Comisia va propune </w:t>
            </w:r>
            <w:r w:rsidRPr="00EC01ED">
              <w:rPr>
                <w:b/>
                <w:bCs/>
                <w:noProof/>
              </w:rPr>
              <w:t>Actul legislativ privind economia circulară</w:t>
            </w:r>
            <w:r w:rsidRPr="00EC01ED">
              <w:rPr>
                <w:noProof/>
              </w:rPr>
              <w:t>, cu scopul de a îmbunătăți și mai mult funcționarea piețelor materiilor prime secundare și va crea o piață unică pentru deșeuri.</w:t>
            </w:r>
          </w:p>
        </w:tc>
      </w:tr>
      <w:tr w:rsidR="00280438" w:rsidRPr="00EC01ED" w14:paraId="27BA6993" w14:textId="77777777" w:rsidTr="0143D47A">
        <w:tc>
          <w:tcPr>
            <w:tcW w:w="8602" w:type="dxa"/>
          </w:tcPr>
          <w:p w14:paraId="047C183C" w14:textId="14AA6C6F" w:rsidR="00280438" w:rsidRPr="00EC01ED" w:rsidRDefault="594D10D8" w:rsidP="06746406">
            <w:pPr>
              <w:pStyle w:val="Text1"/>
              <w:spacing w:afterAutospacing="1"/>
              <w:ind w:left="720"/>
              <w:rPr>
                <w:noProof/>
              </w:rPr>
            </w:pPr>
            <w:r w:rsidRPr="00EC01ED">
              <w:rPr>
                <w:noProof/>
              </w:rPr>
              <w:t xml:space="preserve">Comisia va evalua fezabilitatea introducerii unor </w:t>
            </w:r>
            <w:r w:rsidRPr="00EC01ED">
              <w:rPr>
                <w:b/>
                <w:bCs/>
                <w:noProof/>
              </w:rPr>
              <w:t>cerințe privind posibilitatea de reciclare și/sau conținutul reciclat</w:t>
            </w:r>
            <w:r w:rsidRPr="00EC01ED">
              <w:rPr>
                <w:noProof/>
              </w:rPr>
              <w:t xml:space="preserve"> pentru oțel, aluminiu și cupru în anumite produse în temeiul Regulamentului privind proiectarea ecologică a produselor sustenabile (ESPR).</w:t>
            </w:r>
          </w:p>
        </w:tc>
      </w:tr>
    </w:tbl>
    <w:p w14:paraId="11DF62A9" w14:textId="1B3E0D34" w:rsidR="665FD849" w:rsidRPr="00EC01ED" w:rsidRDefault="665FD849" w:rsidP="06746406">
      <w:pPr>
        <w:pStyle w:val="Heading1"/>
        <w:spacing w:before="0"/>
        <w:rPr>
          <w:noProof/>
        </w:rPr>
      </w:pPr>
      <w:r w:rsidRPr="00EC01ED">
        <w:rPr>
          <w:noProof/>
        </w:rPr>
        <w:t xml:space="preserve">Apărarea </w:t>
      </w:r>
      <w:r w:rsidRPr="00EC01ED">
        <w:rPr>
          <w:bCs/>
          <w:noProof/>
        </w:rPr>
        <w:t>locurilor de muncă industriale</w:t>
      </w:r>
      <w:r w:rsidRPr="00EC01ED">
        <w:rPr>
          <w:noProof/>
        </w:rPr>
        <w:t xml:space="preserve"> de calitate </w:t>
      </w:r>
    </w:p>
    <w:p w14:paraId="3CAFB370" w14:textId="710531DD" w:rsidR="2B1C9AD2" w:rsidRPr="00EC01ED" w:rsidRDefault="2B1C9AD2" w:rsidP="06746406">
      <w:pPr>
        <w:rPr>
          <w:noProof/>
        </w:rPr>
      </w:pPr>
      <w:r w:rsidRPr="00EC01ED">
        <w:rPr>
          <w:noProof/>
        </w:rPr>
        <w:t xml:space="preserve">Prin prezentul plan de acțiune, Comisia Europeană își mobilizează toate instrumentele în serviciul unui sector al oțelului și al metalelor puternic, prosper și rezilient, asigurând sustenabilitatea și prosperitatea pe termen lung a forței sale de muncă. Acest lucru are scopul de a promova și de a proteja locurile de muncă industriale de calitate, cu salarii decente, condiții de muncă transparente și previzibile și standarde ridicate de sănătate și siguranță. </w:t>
      </w:r>
    </w:p>
    <w:p w14:paraId="6947D12A" w14:textId="0583FE8A" w:rsidR="665FD849" w:rsidRPr="00EC01ED" w:rsidRDefault="665FD849" w:rsidP="06746406">
      <w:pPr>
        <w:rPr>
          <w:noProof/>
        </w:rPr>
      </w:pPr>
      <w:r w:rsidRPr="00EC01ED">
        <w:rPr>
          <w:noProof/>
        </w:rPr>
        <w:t>Europa are o tradiție îndelungată în ceea ce privește producția de oțel, lucrătorii din sectorul oțelului jucând un rol esențial în crearea industriei manufacturiere europene. Menținerea acestor locuri de muncă de înaltă calificare de calitate, care oferă salarii decente, o protecție solidă a forței de muncă și standarde înalte de sănătate și siguranță, este esențială pentru a susține competitivitatea sectorului și valoarea socială ridicată.</w:t>
      </w:r>
      <w:r w:rsidR="00EC01ED">
        <w:rPr>
          <w:noProof/>
        </w:rPr>
        <w:t xml:space="preserve"> </w:t>
      </w:r>
    </w:p>
    <w:p w14:paraId="354F1037" w14:textId="4FFAA853" w:rsidR="665FD849" w:rsidRPr="00EC01ED" w:rsidRDefault="665FD849" w:rsidP="06746406">
      <w:pPr>
        <w:rPr>
          <w:noProof/>
        </w:rPr>
      </w:pPr>
      <w:r w:rsidRPr="00EC01ED">
        <w:rPr>
          <w:noProof/>
        </w:rPr>
        <w:t xml:space="preserve">Respectarea legislației UE privind drepturile lucrătorilor, în special în ceea ce privește informarea și consultarea, este esențială, cu atât mai mult cu cât sectorul oțelului suferă transformări profunde ca urmare a dublei tranziții verzi și digitale. Sprijinirea și consolidarea continuă a </w:t>
      </w:r>
      <w:r w:rsidRPr="00EC01ED">
        <w:rPr>
          <w:b/>
          <w:bCs/>
          <w:noProof/>
        </w:rPr>
        <w:t>dialogului social</w:t>
      </w:r>
      <w:r w:rsidRPr="00EC01ED">
        <w:rPr>
          <w:noProof/>
        </w:rPr>
        <w:t xml:space="preserve"> sunt esențiale pentru gestionarea eficace a tranziției, pentru a se asigura că sindicatele și organizațiile patronale au un rol central, pentru a promova un proces decizional favorabil incluziunii și pentru a asigura un viitor echitabil și durabil atât pentru lucrători, cât și pentru industrie. </w:t>
      </w:r>
    </w:p>
    <w:p w14:paraId="6409BB04" w14:textId="7DDE75A2" w:rsidR="00747C23" w:rsidRPr="00EC01ED" w:rsidRDefault="665FD849" w:rsidP="06746406">
      <w:pPr>
        <w:rPr>
          <w:noProof/>
        </w:rPr>
      </w:pPr>
      <w:r w:rsidRPr="00EC01ED">
        <w:rPr>
          <w:noProof/>
        </w:rPr>
        <w:t xml:space="preserve">În plus, </w:t>
      </w:r>
      <w:r w:rsidRPr="00EC01ED">
        <w:rPr>
          <w:b/>
          <w:noProof/>
        </w:rPr>
        <w:t>politicile active în domeniul pieței forței de muncă ar trebui, de asemenea, să joace un rol esențial în asigurarea unei tranziții juste</w:t>
      </w:r>
      <w:r w:rsidRPr="00EC01ED">
        <w:rPr>
          <w:noProof/>
        </w:rPr>
        <w:t xml:space="preserve"> prin dotarea lucrătorilor cu competențele necesare pentru industriile emergente, prin facilitarea tranzițiilor de la un loc de muncă la altul prin intermediul unor servicii specifice de recalificare și plasare, precum și prin sprijinirea antreprenoriatului, în special pentru lucrătorii tineri, femei, angajații în vârstă și cei din regiunile subreprezentate. Comisia a prezentat recent </w:t>
      </w:r>
      <w:r w:rsidRPr="00EC01ED">
        <w:rPr>
          <w:b/>
          <w:bCs/>
          <w:noProof/>
        </w:rPr>
        <w:t>uniunea competențelor</w:t>
      </w:r>
      <w:r w:rsidRPr="00EC01ED">
        <w:rPr>
          <w:noProof/>
        </w:rPr>
        <w:t>, care vizează crearea de competențe pentru locuri de muncă de calitate, încurajarea perfecționării și a recalificării forței de muncă pe măsură ce cerințele locului de muncă evoluează, precum și difuzarea competențelor în întreaga UE. Pactul privind competențele, în special Parteneriatul la scară largă pentru industriile mari consumatoare de energie (inclusiv oțelul și metalele) (</w:t>
      </w:r>
      <w:r w:rsidRPr="00EC01ED">
        <w:rPr>
          <w:rStyle w:val="FootnoteReference"/>
          <w:noProof/>
        </w:rPr>
        <w:footnoteReference w:id="33"/>
      </w:r>
      <w:r w:rsidRPr="00EC01ED">
        <w:rPr>
          <w:noProof/>
        </w:rPr>
        <w:t>), va fi de asemenea relevant în acest context.</w:t>
      </w:r>
    </w:p>
    <w:p w14:paraId="626794F8" w14:textId="3965B7C2" w:rsidR="665FD849" w:rsidRPr="00EC01ED" w:rsidRDefault="665FD849" w:rsidP="06746406">
      <w:pPr>
        <w:rPr>
          <w:noProof/>
        </w:rPr>
      </w:pPr>
      <w:r w:rsidRPr="00EC01ED">
        <w:rPr>
          <w:noProof/>
        </w:rPr>
        <w:t xml:space="preserve">În plus, pentru a asigura un sprijin mai bun pentru lucrătorii afectați de aceste tranziții, și astfel cum s-a anunțat deja în Planul de acțiune pentru sectorul autovehiculelor, Comisia va propune în primăvara anului 2025 o </w:t>
      </w:r>
      <w:r w:rsidRPr="00EC01ED">
        <w:rPr>
          <w:b/>
          <w:bCs/>
          <w:noProof/>
        </w:rPr>
        <w:t>modificare specifică a Regulamentului privind Fondul european de ajustare la globalizare</w:t>
      </w:r>
      <w:r w:rsidRPr="00EC01ED">
        <w:rPr>
          <w:noProof/>
        </w:rPr>
        <w:t xml:space="preserve">, cu scopul de a extinde posibilitatea de a sprijini întreprinderile aflate în procese de restructurare pentru a proteja angajații împotriva riscului de șomaj. De asemenea, pentru a ajuta statele membre și partenerii sectoriali să utilizeze și mai bine oportunitățile oferite de Fondul social european+, Comisia va colabora activ cu acestea pentru a atrage atenția asupra oportunităților oferite de FSE+ și pentru a reuni părțile interesate. </w:t>
      </w:r>
    </w:p>
    <w:p w14:paraId="1272B1C2" w14:textId="59A221D7" w:rsidR="665FD849" w:rsidRPr="00EC01ED" w:rsidRDefault="665FD849" w:rsidP="06746406">
      <w:pPr>
        <w:rPr>
          <w:noProof/>
        </w:rPr>
      </w:pPr>
      <w:bookmarkStart w:id="4" w:name="_Hlk192923062"/>
      <w:r w:rsidRPr="00EC01ED">
        <w:rPr>
          <w:noProof/>
        </w:rPr>
        <w:t xml:space="preserve">În sens mai larg, Comisia Europeană va continua să sprijine partenerii sociali pentru a asigura o </w:t>
      </w:r>
      <w:r w:rsidRPr="00EC01ED">
        <w:rPr>
          <w:b/>
          <w:bCs/>
          <w:noProof/>
        </w:rPr>
        <w:t>tranziție justă și echitabilă</w:t>
      </w:r>
      <w:r w:rsidRPr="00EC01ED">
        <w:rPr>
          <w:noProof/>
        </w:rPr>
        <w:t xml:space="preserve"> a sectoarelor oțelului și ale metalelor, în special în regiunile cele mai afectate, pe baza lecțiilor învățate și a succesului Fondului pentru o tranziție justă. Acest lucru necesită o abordare atotcuprinzătoare, flexibilă și integrată pentru a ajuta lucrătorii, familiile acestora și comunitățile lor să se asigure că niciun lucrător sau regiune din UE nu este lăsat(ă) în urmă, o condiție esențială pentru menținerea sprijinului public pentru tranziția curată. </w:t>
      </w:r>
    </w:p>
    <w:bookmarkEnd w:id="4"/>
    <w:p w14:paraId="2F5BE73F" w14:textId="0ABFF115" w:rsidR="665FD849" w:rsidRPr="00EC01ED" w:rsidRDefault="665FD849" w:rsidP="06746406">
      <w:pPr>
        <w:rPr>
          <w:noProof/>
        </w:rPr>
      </w:pPr>
      <w:r w:rsidRPr="00EC01ED">
        <w:rPr>
          <w:b/>
          <w:noProof/>
        </w:rPr>
        <w:t>Observatorul european al tranziției echitabile și Foaia de parcurs privind locurile de muncă de calitate</w:t>
      </w:r>
      <w:r w:rsidRPr="00EC01ED">
        <w:rPr>
          <w:noProof/>
        </w:rPr>
        <w:t xml:space="preserve">, anunțate în Pactul pentru o industrie curată, vor juca un rol esențial în monitorizarea impactului tranziției asupra ocupării forței de muncă. Pentru a asigura un proces echitabil și favorabil incluziunii, angajatorii trebuie să integreze principiile tranziției juste în toate proiectele de transformare industrială, protejând drepturile lucrătorilor și asigurând locuri de muncă de calitate pentru viitor. </w:t>
      </w:r>
    </w:p>
    <w:tbl>
      <w:tblPr>
        <w:tblStyle w:val="TableGrid"/>
        <w:tblW w:w="0" w:type="auto"/>
        <w:tblLook w:val="04A0" w:firstRow="1" w:lastRow="0" w:firstColumn="1" w:lastColumn="0" w:noHBand="0" w:noVBand="1"/>
      </w:tblPr>
      <w:tblGrid>
        <w:gridCol w:w="8602"/>
      </w:tblGrid>
      <w:tr w:rsidR="06746406" w:rsidRPr="00EC01ED" w14:paraId="279AAD63" w14:textId="77777777" w:rsidTr="0143D47A">
        <w:trPr>
          <w:trHeight w:val="300"/>
        </w:trPr>
        <w:tc>
          <w:tcPr>
            <w:tcW w:w="8602" w:type="dxa"/>
          </w:tcPr>
          <w:p w14:paraId="1CC686C2" w14:textId="4815C721" w:rsidR="06746406" w:rsidRPr="00EC01ED" w:rsidRDefault="06746406" w:rsidP="06746406">
            <w:pPr>
              <w:spacing w:afterAutospacing="1"/>
              <w:rPr>
                <w:b/>
                <w:bCs/>
                <w:noProof/>
              </w:rPr>
            </w:pPr>
            <w:r w:rsidRPr="00EC01ED">
              <w:rPr>
                <w:b/>
                <w:noProof/>
              </w:rPr>
              <w:t xml:space="preserve">Acțiuni: </w:t>
            </w:r>
          </w:p>
        </w:tc>
      </w:tr>
      <w:tr w:rsidR="06746406" w:rsidRPr="00EC01ED" w14:paraId="5B62A7F3" w14:textId="77777777" w:rsidTr="0143D47A">
        <w:trPr>
          <w:trHeight w:val="300"/>
        </w:trPr>
        <w:tc>
          <w:tcPr>
            <w:tcW w:w="8602" w:type="dxa"/>
          </w:tcPr>
          <w:p w14:paraId="52406517" w14:textId="64ADB77B" w:rsidR="430E06D4" w:rsidRPr="00EC01ED" w:rsidRDefault="7FBE8F3A" w:rsidP="7F7C3B5C">
            <w:pPr>
              <w:pStyle w:val="Text1"/>
              <w:spacing w:afterAutospacing="1"/>
              <w:ind w:left="360"/>
              <w:rPr>
                <w:noProof/>
              </w:rPr>
            </w:pPr>
            <w:r w:rsidRPr="00EC01ED">
              <w:rPr>
                <w:noProof/>
              </w:rPr>
              <w:t xml:space="preserve">În primăvara anului 2025, modificarea </w:t>
            </w:r>
            <w:r w:rsidRPr="00EC01ED">
              <w:rPr>
                <w:b/>
                <w:bCs/>
                <w:noProof/>
              </w:rPr>
              <w:t>Regulamentului privind Fondul european de ajustare la globalizare.</w:t>
            </w:r>
          </w:p>
        </w:tc>
      </w:tr>
      <w:tr w:rsidR="06746406" w:rsidRPr="00EC01ED" w14:paraId="7CEB259B" w14:textId="77777777" w:rsidTr="0143D47A">
        <w:trPr>
          <w:trHeight w:val="300"/>
        </w:trPr>
        <w:tc>
          <w:tcPr>
            <w:tcW w:w="8602" w:type="dxa"/>
          </w:tcPr>
          <w:p w14:paraId="636B8D0E" w14:textId="3AE95C0A" w:rsidR="06746406" w:rsidRPr="00EC01ED" w:rsidRDefault="06746406" w:rsidP="06746406">
            <w:pPr>
              <w:pStyle w:val="Text1"/>
              <w:spacing w:afterAutospacing="1"/>
              <w:ind w:left="360"/>
              <w:rPr>
                <w:noProof/>
              </w:rPr>
            </w:pPr>
            <w:r w:rsidRPr="00EC01ED">
              <w:rPr>
                <w:b/>
                <w:bCs/>
                <w:noProof/>
              </w:rPr>
              <w:t>Observatorul european al tranziției echitabile</w:t>
            </w:r>
            <w:r w:rsidRPr="00EC01ED">
              <w:rPr>
                <w:noProof/>
              </w:rPr>
              <w:t xml:space="preserve"> va monitoriza impactul tranziției asupra ocupării forței de muncă. </w:t>
            </w:r>
          </w:p>
        </w:tc>
      </w:tr>
    </w:tbl>
    <w:p w14:paraId="2633C11C" w14:textId="5E185031" w:rsidR="00E60F7F" w:rsidRPr="00EC01ED" w:rsidRDefault="00E60F7F" w:rsidP="00F427EC">
      <w:pPr>
        <w:pStyle w:val="Heading1"/>
        <w:numPr>
          <w:ilvl w:val="0"/>
          <w:numId w:val="0"/>
        </w:numPr>
        <w:spacing w:before="0"/>
        <w:ind w:left="482"/>
        <w:rPr>
          <w:noProof/>
        </w:rPr>
      </w:pPr>
    </w:p>
    <w:p w14:paraId="1AD9ABE4" w14:textId="31CA94C1" w:rsidR="001733F7" w:rsidRPr="00EC01ED" w:rsidRDefault="4748F00A" w:rsidP="00DC53F2">
      <w:pPr>
        <w:pStyle w:val="Heading1"/>
        <w:spacing w:before="0"/>
        <w:rPr>
          <w:noProof/>
        </w:rPr>
      </w:pPr>
      <w:r w:rsidRPr="00EC01ED">
        <w:rPr>
          <w:noProof/>
        </w:rPr>
        <w:t>Reducerea riscurilor pentru proiectele de decarbonizare prin intermediul piețelor-lider și al sprijinului public</w:t>
      </w:r>
      <w:r w:rsidR="00EC01ED">
        <w:rPr>
          <w:noProof/>
        </w:rPr>
        <w:t xml:space="preserve"> </w:t>
      </w:r>
    </w:p>
    <w:p w14:paraId="3680FF5B" w14:textId="7794B619" w:rsidR="00821DDC" w:rsidRPr="00EC01ED" w:rsidRDefault="17EAB5E2" w:rsidP="001733F7">
      <w:pPr>
        <w:pStyle w:val="Text1"/>
        <w:ind w:left="0"/>
        <w:rPr>
          <w:noProof/>
        </w:rPr>
      </w:pPr>
      <w:r w:rsidRPr="00EC01ED">
        <w:rPr>
          <w:noProof/>
        </w:rPr>
        <w:t xml:space="preserve">Multe investiții în decarbonizarea industriei metalelor nu sunt în prezent profitabile din punct de vedere economic. Economiile pe termen scurt în ceea ce privește costurile carbonului sunt, în general, compensate de cheltuielile de capital și operaționale mai mari, din cauza costurilor ridicate ale tehnologiei și a costurilor mai ridicate ale purtătorilor de energie, cum ar fi hidrogenul din surse regenerabile și cu emisii scăzute de dioxid de carbon. Metalele cu emisii scăzute de dioxid de carbon vor rămâne mai scumpe decât alternativele produse în mod convențional în viitorul apropiat. Pentru a reduce la minimum nevoile de sprijin public, este esențial ca producătorii de metale să obțină o primă ecologică. </w:t>
      </w:r>
    </w:p>
    <w:p w14:paraId="35B74745" w14:textId="636D3FE9" w:rsidR="653A95D9" w:rsidRPr="00EC01ED" w:rsidRDefault="653A95D9" w:rsidP="7F7C3B5C">
      <w:pPr>
        <w:pStyle w:val="Text1"/>
        <w:ind w:left="0"/>
        <w:rPr>
          <w:i/>
          <w:iCs/>
          <w:noProof/>
        </w:rPr>
      </w:pPr>
      <w:r w:rsidRPr="00EC01ED">
        <w:rPr>
          <w:i/>
          <w:noProof/>
        </w:rPr>
        <w:t>Lucrul pe piețele-lider</w:t>
      </w:r>
    </w:p>
    <w:p w14:paraId="2BA3F9C9" w14:textId="65C9520C" w:rsidR="001733F7" w:rsidRPr="00EC01ED" w:rsidRDefault="00DE1BBC" w:rsidP="001733F7">
      <w:pPr>
        <w:pStyle w:val="Text1"/>
        <w:ind w:left="0"/>
        <w:rPr>
          <w:noProof/>
        </w:rPr>
      </w:pPr>
      <w:r w:rsidRPr="00EC01ED">
        <w:rPr>
          <w:b/>
          <w:bCs/>
          <w:noProof/>
        </w:rPr>
        <w:t>Piețele-lider, atât publice, cât și private, vor arăta calea pentru o adoptare la scară mai largă a metalelor cu emisii scăzute de dioxid de carbon, care vor deveni</w:t>
      </w:r>
      <w:r w:rsidRPr="00EC01ED">
        <w:rPr>
          <w:noProof/>
        </w:rPr>
        <w:t xml:space="preserve"> </w:t>
      </w:r>
      <w:r w:rsidRPr="00EC01ED">
        <w:rPr>
          <w:b/>
          <w:bCs/>
          <w:noProof/>
        </w:rPr>
        <w:t>standardul de piață</w:t>
      </w:r>
      <w:r w:rsidRPr="00EC01ED">
        <w:rPr>
          <w:noProof/>
        </w:rPr>
        <w:t xml:space="preserve">. În cadrul acestor segmente de piață, în special cele în care achizițiile publice, subvențiile sau stimulentele în materie de reglementare joacă un rol în modelarea pieței, cerințele sau stimulentele specifice vor crea o cerere fiabilă care poate fi deservită de metalele cu emisii scăzute de dioxid de carbon produse în Europa. </w:t>
      </w:r>
    </w:p>
    <w:p w14:paraId="4CB25116" w14:textId="4FE36DD9" w:rsidR="001733F7" w:rsidRPr="00EC01ED" w:rsidRDefault="001733F7" w:rsidP="001733F7">
      <w:pPr>
        <w:pStyle w:val="Text1"/>
        <w:ind w:left="0"/>
        <w:rPr>
          <w:noProof/>
        </w:rPr>
      </w:pPr>
      <w:r w:rsidRPr="00EC01ED">
        <w:rPr>
          <w:noProof/>
        </w:rPr>
        <w:t xml:space="preserve">Astfel cum s-a anunțat în Pactul pentru o industrie curată, </w:t>
      </w:r>
      <w:r w:rsidRPr="00EC01ED">
        <w:rPr>
          <w:b/>
          <w:bCs/>
          <w:noProof/>
        </w:rPr>
        <w:t>Comisia va propune, ca parte a Actului legislativ privind accelerarea decarbonizării industriale, introducerea unor criterii de reziliență și durabilitate menite să promoveze o aprovizionare europeană curată pentru sectoarele mari consumatoare de energie</w:t>
      </w:r>
      <w:r w:rsidRPr="00EC01ED">
        <w:rPr>
          <w:noProof/>
        </w:rPr>
        <w:t xml:space="preserve">. Aceste criterii (de exemplu, ca produsele să fie curate, reziliente, circulare, sigure din punct de vedere cibernetic) vor consolida cererea de produse curate fabricate în UE, valorificând experiența Actului privind industria „zero net” în ceea ce privește tehnologiile curate, promovând inovarea, precum și standardele sociale și de mediu ale UE și asigurând condiții de concurență echitabile. Acest lucru ar putea extinde aplicarea criteriilor nelegate de preț la bugetul UE, la programele naționale de sprijin, precum și la achizițiile publice (și, în anumite circumstanțe, private), în beneficiul industriilor mari consumatoare de energie. Industriile oțelului și ale metalelor, precum și industriile din aval – industriile autovehiculelor, construcțiilor, utilajelor – vor fi luate în considerare printre sectoarele de aplicare, iar competitivitatea întregului lanț de aprovizionare va fi, de asemenea, luată în considerare la elaborarea programelor de sprijin ale UE și naționale. </w:t>
      </w:r>
    </w:p>
    <w:p w14:paraId="6FDD9441" w14:textId="68E8CFD3" w:rsidR="001733F7" w:rsidRPr="00EC01ED" w:rsidRDefault="001733F7" w:rsidP="001733F7">
      <w:pPr>
        <w:pStyle w:val="Text1"/>
        <w:ind w:left="0"/>
        <w:rPr>
          <w:noProof/>
          <w:color w:val="000000" w:themeColor="text1"/>
        </w:rPr>
      </w:pPr>
      <w:r w:rsidRPr="00EC01ED">
        <w:rPr>
          <w:noProof/>
        </w:rPr>
        <w:t xml:space="preserve">Pentru a permite industriilor care investesc în decarbonizare să beneficieze de „prima ecologică”, Actul legislativ privind accelerarea decarbonizării industriale </w:t>
      </w:r>
      <w:r w:rsidRPr="00EC01ED">
        <w:rPr>
          <w:b/>
          <w:bCs/>
          <w:noProof/>
        </w:rPr>
        <w:t>va elabora o etichetă voluntară privind intensitatea emisiilor de dioxid de carbon ale produselor industriale</w:t>
      </w:r>
      <w:r w:rsidRPr="00EC01ED">
        <w:rPr>
          <w:noProof/>
        </w:rPr>
        <w:t>, evitând în același timp duplicarea, pe baza unei metodologii simple cu ajutorul datelor ETS și pe baza metodologiei CBAM.</w:t>
      </w:r>
      <w:r w:rsidRPr="00EC01ED">
        <w:rPr>
          <w:noProof/>
          <w:color w:val="000000"/>
        </w:rPr>
        <w:t xml:space="preserve"> Acest lucru ar trebui să stea la baza continuării colaborării cu activitățile internaționale de măsurare a intensității carbonului. Din motive de rapiditate, Comisia va începe cu oțelul în 2025. </w:t>
      </w:r>
      <w:r w:rsidRPr="00EC01ED">
        <w:rPr>
          <w:noProof/>
        </w:rPr>
        <w:t>Acest lucru se va baza pe raportarea existentă din partea sectorului de activitate sau, dacă este disponibilă, pe metodologia comună.</w:t>
      </w:r>
    </w:p>
    <w:p w14:paraId="228D6498" w14:textId="77777777" w:rsidR="001733F7" w:rsidRPr="00EC01ED" w:rsidRDefault="001733F7" w:rsidP="001733F7">
      <w:pPr>
        <w:pStyle w:val="Text1"/>
        <w:ind w:left="0"/>
        <w:rPr>
          <w:bCs/>
          <w:noProof/>
          <w:color w:val="000000"/>
          <w:kern w:val="2"/>
          <w:szCs w:val="24"/>
          <w14:ligatures w14:val="standardContextual"/>
        </w:rPr>
      </w:pPr>
      <w:r w:rsidRPr="00EC01ED">
        <w:rPr>
          <w:noProof/>
          <w:color w:val="000000" w:themeColor="text1"/>
        </w:rPr>
        <w:t xml:space="preserve">În paralel, Comisia va continua să lucreze la elaborarea unor </w:t>
      </w:r>
      <w:r w:rsidRPr="00EC01ED">
        <w:rPr>
          <w:b/>
          <w:bCs/>
          <w:noProof/>
          <w:color w:val="000000" w:themeColor="text1"/>
        </w:rPr>
        <w:t>evaluări cuprinzătoare ale ciclului de viață pentru a îmbunătăți sustenabilitatea produselor</w:t>
      </w:r>
      <w:r w:rsidRPr="00EC01ED">
        <w:rPr>
          <w:noProof/>
          <w:color w:val="000000" w:themeColor="text1"/>
        </w:rPr>
        <w:t xml:space="preserve">. </w:t>
      </w:r>
      <w:r w:rsidRPr="00EC01ED">
        <w:rPr>
          <w:noProof/>
        </w:rPr>
        <w:t>În ceea ce privește oțelul, Regulamentul privind proiectarea ecologică a produselor sustenabile va veni în completarea etichetei Actului legislativ privind accelerarea decarbonizării industriale prin elaborarea de cerințe pentru produsele cu conținut ridicat de oțel și va adăuga criterii de mediu relevante dincolo de amprenta de carbon.</w:t>
      </w:r>
      <w:r w:rsidRPr="00EC01ED">
        <w:rPr>
          <w:noProof/>
          <w:color w:val="000000" w:themeColor="text1"/>
        </w:rPr>
        <w:t xml:space="preserve"> </w:t>
      </w:r>
      <w:r w:rsidRPr="00EC01ED">
        <w:rPr>
          <w:noProof/>
        </w:rPr>
        <w:t>Acest lucru le-ar permite consumatorilor să cunoască amprenta de mediu a produselor relevante.</w:t>
      </w:r>
    </w:p>
    <w:p w14:paraId="4C191D00" w14:textId="042C0DD4" w:rsidR="002745BB" w:rsidRPr="00EC01ED" w:rsidRDefault="002745BB" w:rsidP="0143D47A">
      <w:pPr>
        <w:pStyle w:val="Text1"/>
        <w:ind w:left="0" w:firstLine="720"/>
        <w:rPr>
          <w:i/>
          <w:iCs/>
          <w:noProof/>
        </w:rPr>
      </w:pPr>
      <w:r w:rsidRPr="00EC01ED">
        <w:rPr>
          <w:i/>
          <w:noProof/>
        </w:rPr>
        <w:t>Reducerea riscurilor în ceea ce privește proiectele cu costuri ridicate de investiții</w:t>
      </w:r>
    </w:p>
    <w:p w14:paraId="0F889F59" w14:textId="3CA9ACF2" w:rsidR="00661AD2" w:rsidRPr="00EC01ED" w:rsidRDefault="002070A1" w:rsidP="00AD7603">
      <w:pPr>
        <w:pStyle w:val="Text1"/>
        <w:spacing w:line="259" w:lineRule="auto"/>
        <w:ind w:left="0"/>
        <w:rPr>
          <w:noProof/>
        </w:rPr>
      </w:pPr>
      <w:r w:rsidRPr="00EC01ED">
        <w:rPr>
          <w:noProof/>
        </w:rPr>
        <w:t>Luarea de măsuri cu privire la toate barierele de mai sus va face ca argumentele în favoarea acestui model economic să devină mai convingătoare. Cu toate acestea, este nevoie atât de sprijin public, cât și de sprijin privat pentru investiții pentru a asigura tranziția, pentru a stimula competitivitatea și pentru a asigura reziliența lanțului valoric. Acest lucru este necesar pentru a remedia efectul de foarfecă legat de supracapacitatea mondială declanșată adesea de practici comerciale neloiale, precum și de costurile</w:t>
      </w:r>
      <w:r w:rsidR="00EC01ED">
        <w:rPr>
          <w:noProof/>
        </w:rPr>
        <w:t xml:space="preserve"> </w:t>
      </w:r>
      <w:r w:rsidRPr="00EC01ED">
        <w:rPr>
          <w:noProof/>
        </w:rPr>
        <w:t xml:space="preserve">ale energiei mai mari decât pentru majoritatea concurenților internaționali. În anumite cazuri, cum ar fi cazul nichelului, fluctuațiile prețurilor determinate de influența concurenților geopolitici reprezintă o amenințare la adresa securității investițiilor. Pentru a preveni acest lucru și pentru a ne asigura că industria europeană beneficiază de materii prime critice produse în mod sustenabil, vom urmări punerea în aplicare a dispozițiilor relevante ale Actului privind materiile prime critice și vom colabora îndeaproape cu țările terțe partenere pentru a pune în aplicare pilonul legat de ESG din cadrul parteneriatelor noastre strategice privind lanțurile valorice ale materiilor prime. Vom continua activitatea comună în cadrul forurilor internaționale, cum ar fi G7, cu privire la promovarea standardelor de securitate economică pentru materiile prime critice și, în special, pentru nichel. </w:t>
      </w:r>
    </w:p>
    <w:p w14:paraId="7EE55721" w14:textId="45241F66" w:rsidR="00EC4E3C" w:rsidRPr="00EC01ED" w:rsidRDefault="0DFEF841" w:rsidP="06746406">
      <w:pPr>
        <w:pStyle w:val="Text1"/>
        <w:ind w:left="0"/>
        <w:rPr>
          <w:noProof/>
        </w:rPr>
      </w:pPr>
      <w:r w:rsidRPr="00EC01ED">
        <w:rPr>
          <w:b/>
          <w:bCs/>
          <w:noProof/>
        </w:rPr>
        <w:t>Costurile de capital ridicate sunt adesea combinate cu costuri de exploatare semnificativ mai mari pentru procesele de producție cu emisii scăzute de dioxid de carbon și pentru energia curată</w:t>
      </w:r>
      <w:r w:rsidRPr="00EC01ED">
        <w:rPr>
          <w:noProof/>
        </w:rPr>
        <w:t>. Potrivit estimărilor industriei, nevoile financiare anuale pentru decarbonizarea industriei oțelului sunt estimate la 5,2 miliarde EUR pentru cheltuielile de capital și la 9 miliarde EUR pentru cheltuielile operaționale până în 2030</w:t>
      </w:r>
      <w:r w:rsidRPr="00EC01ED">
        <w:rPr>
          <w:rStyle w:val="FootnoteReference"/>
          <w:noProof/>
        </w:rPr>
        <w:footnoteReference w:id="34"/>
      </w:r>
      <w:r w:rsidRPr="00EC01ED">
        <w:rPr>
          <w:noProof/>
        </w:rPr>
        <w:t>. În ceea ce privește metalele neferoase, industria aluminiului estimează că nevoile de investiții anuale se ridică la aproximativ 1,3 miliarde EUR până în 2050 pentru decarbonizarea sectorului, în timp ce pentru cupru, aceasta corespunde unei sume de aproximativ 211,5 de milioane EUR până în 2050. Este probabil ca majoritatea acestor proiecte să nu fie fezabile din punct de vedere economic în mediul actual și ca ele să necesite finanțare publică pentru a depăși externalitățile tehnologice și de mediu.</w:t>
      </w:r>
    </w:p>
    <w:p w14:paraId="1F3BCD29" w14:textId="1B1D1A05" w:rsidR="002D4213" w:rsidRPr="00EC01ED" w:rsidRDefault="5E251A84" w:rsidP="002D4213">
      <w:pPr>
        <w:rPr>
          <w:noProof/>
        </w:rPr>
      </w:pPr>
      <w:r w:rsidRPr="00EC01ED">
        <w:rPr>
          <w:b/>
          <w:noProof/>
        </w:rPr>
        <w:t>UE a fost deja foarte activă în sprijinirea unor astfel de proiecte.</w:t>
      </w:r>
      <w:r w:rsidRPr="00EC01ED">
        <w:rPr>
          <w:noProof/>
        </w:rPr>
        <w:t xml:space="preserve"> Din octombrie 2022 până în februarie 2025, Comisia a aprobat ajutoare de stat în valoare de aproape 9 miliarde EUR pentru 10 proiecte individuale de decarbonizare a oțelului. Mai multe proiecte de decarbonizare a oțelului au primit, de asemenea, sprijin prin intermediul Fondului UE pentru inovare. Alte proiecte au primit sprijin pe baza schemelor de sprijin pentru decarbonizare deschise participării tuturor sectoarelor mari consumatoare de energie. Comisia a aprobat o serie de astfel de scheme de sprijin pentru decarbonizarea industrială, inclusiv sub formă de contracte pe diferență privind emisiile de carbon</w:t>
      </w:r>
      <w:r w:rsidRPr="00EC01ED">
        <w:rPr>
          <w:rStyle w:val="FootnoteReference"/>
          <w:noProof/>
        </w:rPr>
        <w:footnoteReference w:id="35"/>
      </w:r>
      <w:r w:rsidRPr="00EC01ED">
        <w:rPr>
          <w:noProof/>
        </w:rPr>
        <w:t xml:space="preserve"> pentru mai multe state membre, iar Comisia va oferi orientări cu privire la modul în care un astfel de tip de scheme de sprijin poate fi structurat cel mai bine în conformitate cu normele privind ajutoarele de stat. Printre exemplele recente de scheme aprobate care vor aduce sau care pot aduce beneficii industriei oțelului se numără două scheme slovace cu un buget total de 1,1 miliarde EUR, o schemă italiană în valoare de 550 de milioane EUR, o schemă germană în valoare de 4 miliarde EUR, o schemă franceză în valoare de 3 miliarde EUR, o schemă austriacă în valoare de 2,7 miliarde EUR și o schemă cehă în valoare de 2,5 miliarde EUR. În plus, UE a finanțat proiecte suplimentare</w:t>
      </w:r>
      <w:r w:rsidRPr="00EC01ED">
        <w:rPr>
          <w:rStyle w:val="FootnoteReference"/>
          <w:noProof/>
        </w:rPr>
        <w:footnoteReference w:id="36"/>
      </w:r>
      <w:r w:rsidRPr="00EC01ED">
        <w:rPr>
          <w:noProof/>
        </w:rPr>
        <w:t>, inclusiv în vederea creșterii eficienței în utilizarea materiilor prime și a energiei.</w:t>
      </w:r>
    </w:p>
    <w:p w14:paraId="6B4EB2B6" w14:textId="06179C5B" w:rsidR="00170877" w:rsidRPr="00EC01ED" w:rsidRDefault="03A020B5" w:rsidP="7F7C3B5C">
      <w:pPr>
        <w:pStyle w:val="Text1"/>
        <w:ind w:left="0"/>
        <w:rPr>
          <w:noProof/>
        </w:rPr>
      </w:pPr>
      <w:r w:rsidRPr="00EC01ED">
        <w:rPr>
          <w:noProof/>
        </w:rPr>
        <w:t xml:space="preserve">Pentru a atrage mai multă finanțare privată, va fi necesar un sprijin public suplimentar, de la inovare la extindere și implementare, menținând în același timp condiții de concurență echitabile pe piața unică. </w:t>
      </w:r>
    </w:p>
    <w:p w14:paraId="79FAE110" w14:textId="467C024A" w:rsidR="00170877" w:rsidRPr="00EC01ED" w:rsidRDefault="753DEF26" w:rsidP="7F7C3B5C">
      <w:pPr>
        <w:pStyle w:val="Text1"/>
        <w:ind w:left="0"/>
        <w:rPr>
          <w:noProof/>
        </w:rPr>
      </w:pPr>
      <w:r w:rsidRPr="00EC01ED">
        <w:rPr>
          <w:b/>
          <w:bCs/>
          <w:noProof/>
        </w:rPr>
        <w:t>În etapa de inovare</w:t>
      </w:r>
      <w:r w:rsidRPr="00EC01ED">
        <w:rPr>
          <w:noProof/>
        </w:rPr>
        <w:t xml:space="preserve">, Fondul de cercetare pentru cărbune și oțel (FCCO) oferă o finanțare importantă pentru sectorul oțelului, sprijinind tranziția către un oțel curat și decarbonizarea industrială generală a sectorului. Comisia va lansa inițiative emblematice care ar urma să mobilizeze 150 de milioane EUR în 2026 și 2027 și care ar putea contribui, de asemenea, la consolidarea dimensiunii europene a cercetării în domeniul apărării în acest sector. Mai mult, Comisia va propune o </w:t>
      </w:r>
      <w:r w:rsidRPr="00EC01ED">
        <w:rPr>
          <w:b/>
          <w:bCs/>
          <w:noProof/>
        </w:rPr>
        <w:t>reformă generală a Fondului de cercetare pentru cărbune și oțel</w:t>
      </w:r>
      <w:r w:rsidRPr="00EC01ED">
        <w:rPr>
          <w:noProof/>
        </w:rPr>
        <w:t>, pentru a simplifica și a accelera în continuare investițiile în cercetarea în domeniul oțelului, inclusiv în cercetarea privind materialele cu aplicații în domeniul apărării.</w:t>
      </w:r>
    </w:p>
    <w:p w14:paraId="2651A315" w14:textId="31600957" w:rsidR="00BE1392" w:rsidRPr="00EC01ED" w:rsidRDefault="5E6D65EE" w:rsidP="00404719">
      <w:pPr>
        <w:pStyle w:val="Text1"/>
        <w:ind w:left="0"/>
        <w:rPr>
          <w:noProof/>
        </w:rPr>
      </w:pPr>
      <w:r w:rsidRPr="00EC01ED">
        <w:rPr>
          <w:noProof/>
        </w:rPr>
        <w:t xml:space="preserve">În plus, astfel cum s-a anunțat în Pactul pentru o industrie curată, va exista o cerere de propuneri emblematică în contextul programului Orizont Europa, în valoare de aproximativ 600 de milioane EUR în cadrul programului de lucru pentru perioada 2026-2027, pentru a sprijini proiectele adecvate pentru implementare, inclusiv în industria oțelului și a metalelor. </w:t>
      </w:r>
    </w:p>
    <w:p w14:paraId="2E42C88A" w14:textId="6D86AE88" w:rsidR="00BB4F68" w:rsidRPr="00EC01ED" w:rsidRDefault="0086750D" w:rsidP="00404719">
      <w:pPr>
        <w:pStyle w:val="Text1"/>
        <w:ind w:left="0"/>
        <w:rPr>
          <w:noProof/>
        </w:rPr>
      </w:pPr>
      <w:r w:rsidRPr="00EC01ED">
        <w:rPr>
          <w:noProof/>
        </w:rPr>
        <w:t xml:space="preserve">Această cerere de propuneri va completa eforturile de cercetare în curs referitoare la decarbonizare finanțate în cadrul programului Orizont Europa, inclusiv tehnologiile de reciclare, pentru a îmbunătăți circularitatea metalelor în UE. </w:t>
      </w:r>
    </w:p>
    <w:p w14:paraId="5A4449E3" w14:textId="00F0625D" w:rsidR="00BB4F68" w:rsidRPr="00EC01ED" w:rsidRDefault="4FCF19DC" w:rsidP="00404719">
      <w:pPr>
        <w:pStyle w:val="Text1"/>
        <w:ind w:left="0"/>
        <w:rPr>
          <w:noProof/>
        </w:rPr>
      </w:pPr>
      <w:r w:rsidRPr="00EC01ED">
        <w:rPr>
          <w:b/>
          <w:bCs/>
          <w:noProof/>
        </w:rPr>
        <w:t>Centrul european de inovare pentru transformare industrială și emisii</w:t>
      </w:r>
      <w:r w:rsidRPr="00EC01ED">
        <w:rPr>
          <w:noProof/>
        </w:rPr>
        <w:t xml:space="preserve"> (INCITE), înființat în temeiul Directivei UE privind emisiile industriale, va accelera adoptarea tehnologiilor verzi pentru transformarea industrială.</w:t>
      </w:r>
      <w:r w:rsidR="00EC01ED">
        <w:rPr>
          <w:noProof/>
        </w:rPr>
        <w:t xml:space="preserve"> </w:t>
      </w:r>
      <w:r w:rsidRPr="00EC01ED">
        <w:rPr>
          <w:noProof/>
        </w:rPr>
        <w:t>Concluziile INCITE vor fi concepute astfel încât să stea la baza sprijinului financiar și a deciziilor de investiții ale autorităților publice, ale sectorului financiar și ale investitorilor privați.</w:t>
      </w:r>
    </w:p>
    <w:p w14:paraId="74511CEA" w14:textId="71037461" w:rsidR="00A627C5" w:rsidRPr="00EC01ED" w:rsidRDefault="47345B9C" w:rsidP="00404719">
      <w:pPr>
        <w:pStyle w:val="Text1"/>
        <w:ind w:left="0"/>
        <w:rPr>
          <w:noProof/>
        </w:rPr>
      </w:pPr>
      <w:r w:rsidRPr="00EC01ED">
        <w:rPr>
          <w:b/>
          <w:bCs/>
          <w:noProof/>
        </w:rPr>
        <w:t>În etapa de extindere, Comisia a anunțat, ca parte a Pactului pentru o industrie curată, o Bancă de Decarbonizare Industrială</w:t>
      </w:r>
      <w:r w:rsidRPr="00EC01ED">
        <w:rPr>
          <w:noProof/>
        </w:rPr>
        <w:t xml:space="preserve">, care vizează o finanțare în valoare de 100 de miliarde EUR pe baza fondurilor disponibile în Fondul pentru inovare, a veniturilor suplimentare rezultate din părți ale ETS, precum și a revizuirii InvestEU. În 2025, Comisia va lansa o licitație-pilot în valoare de 1 miliard EUR pentru decarbonizarea proceselor industriale esențiale în diferite sectoare, inclusiv în sectorul oțelului și al metalelor, sprijinind decarbonizarea și electrificarea industriei cu ajutorul resurselor existente în cadrul Fondului pentru inovare. Statele membre sunt încurajate să combine sprijinul acordat în cadrul Fondului pentru inovare cu mecanismul de licitații ca serviciu. </w:t>
      </w:r>
    </w:p>
    <w:p w14:paraId="22D355B6" w14:textId="7F2BCDBA" w:rsidR="00CA54CE" w:rsidRPr="00EC01ED" w:rsidRDefault="00F436E4" w:rsidP="00404719">
      <w:pPr>
        <w:pStyle w:val="Text1"/>
        <w:ind w:left="0"/>
        <w:rPr>
          <w:noProof/>
        </w:rPr>
      </w:pPr>
      <w:r w:rsidRPr="00EC01ED">
        <w:rPr>
          <w:noProof/>
        </w:rPr>
        <w:t xml:space="preserve">În cadrul programelor de finanțare, se va acorda atenție simplificării condițiilor de finanțare, pentru a reduce efortul și expertiza necesare solicitării de sprijin public. Acest lucru va ajuta întreprinderile mici și mijlocii (IMM-urile) din cadrul sectorului să aibă, de asemenea, acces la programele respective de finanțare. </w:t>
      </w:r>
    </w:p>
    <w:p w14:paraId="78AC3DF6" w14:textId="668FFE86" w:rsidR="00B55183" w:rsidRPr="00EC01ED" w:rsidRDefault="00B55183" w:rsidP="00404719">
      <w:pPr>
        <w:pStyle w:val="Text1"/>
        <w:ind w:left="0"/>
        <w:rPr>
          <w:i/>
          <w:iCs/>
          <w:noProof/>
        </w:rPr>
      </w:pPr>
      <w:r w:rsidRPr="00EC01ED">
        <w:rPr>
          <w:i/>
          <w:noProof/>
        </w:rPr>
        <w:t>Sprijinirea de proiecte concrete prin intermediul Actului privind materiile prime critice</w:t>
      </w:r>
    </w:p>
    <w:p w14:paraId="45C20BE1" w14:textId="608368CE" w:rsidR="00D54D09" w:rsidRPr="00EC01ED" w:rsidRDefault="29DAF4B0" w:rsidP="00404719">
      <w:pPr>
        <w:pStyle w:val="Text1"/>
        <w:ind w:left="0"/>
        <w:rPr>
          <w:noProof/>
        </w:rPr>
      </w:pPr>
      <w:r w:rsidRPr="00EC01ED">
        <w:rPr>
          <w:noProof/>
        </w:rPr>
        <w:t xml:space="preserve">Aluminiul, cuprul și nichelul, precum și multe elemente de aliere din oțel sunt, în același timp, materii prime critice. Prin urmare, ele beneficiază de dispozițiile Actului privind materiile prime critice, care urmărește să deblocheze potențialul UE în ceea ce privește materiile prime de-a lungul întregului lanț valoric, de la explorare la extracție, la prelucrare și reciclare. Comisia va anunța, </w:t>
      </w:r>
      <w:r w:rsidRPr="00EC01ED">
        <w:rPr>
          <w:b/>
          <w:bCs/>
          <w:noProof/>
        </w:rPr>
        <w:t>în martie 2025, prima rundă de proiecte strategice selectate, inclusiv pentru aluminiu, cupru și nichel, în statele membre ale UE și în țările terțe partenere</w:t>
      </w:r>
      <w:r w:rsidRPr="00EC01ED">
        <w:rPr>
          <w:noProof/>
        </w:rPr>
        <w:t xml:space="preserve">. Acestea vor beneficia de proceduri de autorizare simplificate, iar Comisia va colabora cu statele membre, cu instituțiile financiare publice și private pentru a asigura accesul la finanțare pentru astfel de proiecte, precum și pentru a identifica achizitorii, atunci când este cazul. </w:t>
      </w:r>
    </w:p>
    <w:p w14:paraId="7606BD69" w14:textId="77777777" w:rsidR="004F43A6" w:rsidRPr="00EC01ED" w:rsidRDefault="00D54D09" w:rsidP="00404719">
      <w:pPr>
        <w:pStyle w:val="Text1"/>
        <w:ind w:left="0"/>
        <w:rPr>
          <w:noProof/>
        </w:rPr>
      </w:pPr>
      <w:r w:rsidRPr="00EC01ED">
        <w:rPr>
          <w:noProof/>
        </w:rPr>
        <w:t xml:space="preserve">Mai mult, Comisia urmărește să sporească stabilitatea piețelor materiilor prime, pentru a preveni fluctuațiile excesive ale prețurilor care ar putea pune în pericol proiectele europene. </w:t>
      </w:r>
      <w:r w:rsidRPr="00EC01ED">
        <w:rPr>
          <w:b/>
          <w:bCs/>
          <w:noProof/>
        </w:rPr>
        <w:t>Platforma de agregare și de echilibrare a cererii și ofertei</w:t>
      </w:r>
      <w:r w:rsidRPr="00EC01ED">
        <w:rPr>
          <w:noProof/>
        </w:rPr>
        <w:t xml:space="preserve">, care urmează să fie lansată în acest an, ar putea, de asemenea, să aducă beneficii sectoarelor metalelor de bază, sporind oportunitățile de afaceri și oferind o certitudine suplimentară pe termen lung pentru tranzacții. </w:t>
      </w:r>
    </w:p>
    <w:p w14:paraId="3104A1F5" w14:textId="2716FE03" w:rsidR="004F43A6" w:rsidRPr="00EC01ED" w:rsidRDefault="781DA185" w:rsidP="06746406">
      <w:pPr>
        <w:pStyle w:val="Text1"/>
        <w:ind w:left="0"/>
        <w:rPr>
          <w:i/>
          <w:iCs/>
          <w:noProof/>
        </w:rPr>
      </w:pPr>
      <w:r w:rsidRPr="00EC01ED">
        <w:rPr>
          <w:i/>
          <w:noProof/>
        </w:rPr>
        <w:t>Activitatea de simplificare a reglementărilor</w:t>
      </w:r>
    </w:p>
    <w:p w14:paraId="3ACD2E5D" w14:textId="5C624FB9" w:rsidR="06746406" w:rsidRPr="00EC01ED" w:rsidRDefault="781DA185" w:rsidP="06746406">
      <w:pPr>
        <w:pStyle w:val="Text1"/>
        <w:ind w:left="0"/>
        <w:rPr>
          <w:noProof/>
        </w:rPr>
      </w:pPr>
      <w:r w:rsidRPr="00EC01ED">
        <w:rPr>
          <w:noProof/>
        </w:rPr>
        <w:t>În plus, sectoarele oțelului și metalelor se numără printre sectoarele industriale cele mai reglementate din UE. Sarcina de reglementare cu care se confruntă întreprinderile din aceste sectoare exercită presiuni importante asupra resurselor lor, reducând timpul pe care acestea îl au la dispoziție pentru a se consacra obiectivelor lor principale de afaceri, acest lucru fiind mai ales valabil în cazul IMM-urilor. Soluționarea acestei constrângeri este importantă pentru competitivitatea sectorului oțelului și sectorului metalelor din UE. La 26 februarie 2025, Comisia a adoptat primele două noi propuneri, așa-numitele pachete Omnibus, de măsuri de simplificare care vor reduce birocrația și vor simplifica normele UE. Alte propuneri suplimentare vor fi adoptate în acest an.</w:t>
      </w:r>
      <w:r w:rsidR="00EC01ED">
        <w:rPr>
          <w:noProof/>
        </w:rPr>
        <w:t xml:space="preserve"> </w:t>
      </w:r>
    </w:p>
    <w:tbl>
      <w:tblPr>
        <w:tblStyle w:val="TableGrid"/>
        <w:tblW w:w="0" w:type="auto"/>
        <w:tblLook w:val="04A0" w:firstRow="1" w:lastRow="0" w:firstColumn="1" w:lastColumn="0" w:noHBand="0" w:noVBand="1"/>
      </w:tblPr>
      <w:tblGrid>
        <w:gridCol w:w="8602"/>
      </w:tblGrid>
      <w:tr w:rsidR="00D35FF2" w:rsidRPr="00EC01ED" w14:paraId="5F8C6A81" w14:textId="77777777" w:rsidTr="0143D47A">
        <w:tc>
          <w:tcPr>
            <w:tcW w:w="8602" w:type="dxa"/>
          </w:tcPr>
          <w:p w14:paraId="2F07F69B" w14:textId="109F1727" w:rsidR="00D35FF2" w:rsidRPr="00EC01ED" w:rsidRDefault="5F766719" w:rsidP="06746406">
            <w:pPr>
              <w:pStyle w:val="Text1"/>
              <w:spacing w:afterAutospacing="1"/>
              <w:ind w:left="0"/>
              <w:rPr>
                <w:noProof/>
              </w:rPr>
            </w:pPr>
            <w:r w:rsidRPr="00EC01ED">
              <w:rPr>
                <w:b/>
                <w:bCs/>
                <w:noProof/>
              </w:rPr>
              <w:t>Acțiuni</w:t>
            </w:r>
            <w:r w:rsidRPr="00EC01ED">
              <w:rPr>
                <w:noProof/>
              </w:rPr>
              <w:t>:</w:t>
            </w:r>
          </w:p>
        </w:tc>
      </w:tr>
      <w:tr w:rsidR="00DC53F2" w:rsidRPr="00EC01ED" w14:paraId="20DB5DFB" w14:textId="77777777" w:rsidTr="0143D47A">
        <w:tc>
          <w:tcPr>
            <w:tcW w:w="8602" w:type="dxa"/>
          </w:tcPr>
          <w:p w14:paraId="2EF24F5D" w14:textId="7F7DBD05" w:rsidR="00DC53F2" w:rsidRPr="00EC01ED" w:rsidRDefault="4654C634" w:rsidP="00413434">
            <w:pPr>
              <w:pStyle w:val="Text1"/>
              <w:spacing w:afterAutospacing="1" w:line="259" w:lineRule="auto"/>
              <w:ind w:left="720"/>
              <w:rPr>
                <w:noProof/>
              </w:rPr>
            </w:pPr>
            <w:r w:rsidRPr="00EC01ED">
              <w:rPr>
                <w:noProof/>
              </w:rPr>
              <w:t xml:space="preserve">În T4 2025, Comisia va propune, ca parte a Actului legislativ privind accelerarea decarbonizării industriale, introducerea unor criterii de </w:t>
            </w:r>
            <w:r w:rsidRPr="00EC01ED">
              <w:rPr>
                <w:b/>
                <w:bCs/>
                <w:noProof/>
              </w:rPr>
              <w:t>reziliență și durabilitate</w:t>
            </w:r>
            <w:r w:rsidRPr="00EC01ED">
              <w:rPr>
                <w:noProof/>
              </w:rPr>
              <w:t xml:space="preserve"> pentru a consolida producția de produse curate fabricate în UE.</w:t>
            </w:r>
          </w:p>
        </w:tc>
      </w:tr>
      <w:tr w:rsidR="00890B66" w:rsidRPr="00EC01ED" w14:paraId="534E79C7" w14:textId="77777777" w:rsidTr="0143D47A">
        <w:trPr>
          <w:trHeight w:val="300"/>
        </w:trPr>
        <w:tc>
          <w:tcPr>
            <w:tcW w:w="8602" w:type="dxa"/>
          </w:tcPr>
          <w:p w14:paraId="7A7AC7C3" w14:textId="286BA629" w:rsidR="00890B66" w:rsidRPr="00EC01ED" w:rsidRDefault="4B767528" w:rsidP="06746406">
            <w:pPr>
              <w:pStyle w:val="Text1"/>
              <w:spacing w:afterAutospacing="1"/>
              <w:ind w:left="720"/>
              <w:rPr>
                <w:noProof/>
              </w:rPr>
            </w:pPr>
            <w:r w:rsidRPr="00EC01ED">
              <w:rPr>
                <w:noProof/>
              </w:rPr>
              <w:t xml:space="preserve">În T4 2025, Comisia va propune o </w:t>
            </w:r>
            <w:r w:rsidRPr="00EC01ED">
              <w:rPr>
                <w:b/>
                <w:bCs/>
                <w:noProof/>
              </w:rPr>
              <w:t>reformă a Fondului de cercetare pentru cărbune și oțel</w:t>
            </w:r>
            <w:r w:rsidRPr="00EC01ED">
              <w:rPr>
                <w:noProof/>
              </w:rPr>
              <w:t>.</w:t>
            </w:r>
          </w:p>
        </w:tc>
      </w:tr>
      <w:tr w:rsidR="00890B66" w:rsidRPr="00EC01ED" w14:paraId="28C55E13" w14:textId="77777777" w:rsidTr="0143D47A">
        <w:tc>
          <w:tcPr>
            <w:tcW w:w="8602" w:type="dxa"/>
          </w:tcPr>
          <w:p w14:paraId="594AE1CD" w14:textId="2C949816" w:rsidR="00890B66" w:rsidRPr="00EC01ED" w:rsidRDefault="2F325536" w:rsidP="0143D47A">
            <w:pPr>
              <w:pStyle w:val="Text1"/>
              <w:spacing w:afterAutospacing="1"/>
              <w:ind w:left="720"/>
              <w:rPr>
                <w:noProof/>
              </w:rPr>
            </w:pPr>
            <w:r w:rsidRPr="00EC01ED">
              <w:rPr>
                <w:noProof/>
              </w:rPr>
              <w:t xml:space="preserve">În 2025, în vederea viitoarei Bănci de Decarbonizare Industrială, Comisia va lansa o </w:t>
            </w:r>
            <w:r w:rsidRPr="00EC01ED">
              <w:rPr>
                <w:b/>
                <w:bCs/>
                <w:noProof/>
              </w:rPr>
              <w:t>licitație-pilot</w:t>
            </w:r>
            <w:r w:rsidRPr="00EC01ED">
              <w:rPr>
                <w:noProof/>
              </w:rPr>
              <w:t xml:space="preserve"> în valoare de 1 miliard EUR pentru sprijinirea decarbonizării industriale și a electrificării proceselor industriale esențiale din diferite sectoare, utilizând o combinație a resurselor existente în cadrul Fondului pentru inovare, facilitând astfel și electrificarea proceselor industriale în sectoarele oțelului și metalelor. Statele membre sunt încurajate să combine sprijinul acordat în cadrul Fondului pentru inovare cu mecanismul de licitații ca serviciu.</w:t>
            </w:r>
          </w:p>
        </w:tc>
      </w:tr>
      <w:tr w:rsidR="7F7C3B5C" w:rsidRPr="00EC01ED" w14:paraId="1B3782D9" w14:textId="77777777" w:rsidTr="0143D47A">
        <w:trPr>
          <w:trHeight w:val="300"/>
        </w:trPr>
        <w:tc>
          <w:tcPr>
            <w:tcW w:w="8602" w:type="dxa"/>
          </w:tcPr>
          <w:p w14:paraId="311703D9" w14:textId="53F16471" w:rsidR="433FA338" w:rsidRPr="00EC01ED" w:rsidRDefault="433FA338" w:rsidP="7F7C3B5C">
            <w:pPr>
              <w:pStyle w:val="Text1"/>
              <w:spacing w:afterAutospacing="1"/>
              <w:ind w:left="720"/>
              <w:rPr>
                <w:noProof/>
              </w:rPr>
            </w:pPr>
            <w:r w:rsidRPr="00EC01ED">
              <w:rPr>
                <w:noProof/>
              </w:rPr>
              <w:t xml:space="preserve">În 2026 și 2027, Comisia va lansa cereri de propuneri emblematice în cadrul </w:t>
            </w:r>
            <w:r w:rsidRPr="00EC01ED">
              <w:rPr>
                <w:b/>
                <w:bCs/>
                <w:noProof/>
              </w:rPr>
              <w:t>Fondului de cercetare pentru cărbune și oțel</w:t>
            </w:r>
            <w:r w:rsidRPr="00EC01ED">
              <w:rPr>
                <w:noProof/>
              </w:rPr>
              <w:t>.</w:t>
            </w:r>
          </w:p>
        </w:tc>
      </w:tr>
    </w:tbl>
    <w:p w14:paraId="18499C60" w14:textId="77777777" w:rsidR="00E60F7F" w:rsidRPr="00EC01ED" w:rsidRDefault="00E60F7F" w:rsidP="00F427EC">
      <w:pPr>
        <w:pStyle w:val="Heading1"/>
        <w:numPr>
          <w:ilvl w:val="0"/>
          <w:numId w:val="0"/>
        </w:numPr>
        <w:spacing w:before="0"/>
        <w:ind w:left="482" w:hanging="482"/>
        <w:rPr>
          <w:noProof/>
        </w:rPr>
      </w:pPr>
    </w:p>
    <w:p w14:paraId="11FF9742" w14:textId="66A275E8" w:rsidR="54C8D64B" w:rsidRPr="00EC01ED" w:rsidRDefault="54C8D64B" w:rsidP="006D6F84">
      <w:pPr>
        <w:pStyle w:val="Heading1"/>
        <w:spacing w:before="0"/>
        <w:rPr>
          <w:noProof/>
        </w:rPr>
      </w:pPr>
      <w:r w:rsidRPr="00EC01ED">
        <w:rPr>
          <w:noProof/>
        </w:rPr>
        <w:t>Colaborarea în vederea implementării pentru o tranziție echitabilă</w:t>
      </w:r>
      <w:r w:rsidR="00EC01ED">
        <w:rPr>
          <w:noProof/>
        </w:rPr>
        <w:t xml:space="preserve"> </w:t>
      </w:r>
    </w:p>
    <w:p w14:paraId="57FCED79" w14:textId="2C68ACD2" w:rsidR="4D150C5B" w:rsidRPr="00EC01ED" w:rsidRDefault="008A27D3" w:rsidP="00404719">
      <w:pPr>
        <w:rPr>
          <w:noProof/>
        </w:rPr>
      </w:pPr>
      <w:r w:rsidRPr="00EC01ED">
        <w:rPr>
          <w:noProof/>
        </w:rPr>
        <w:t xml:space="preserve">Abordarea provocărilor în materie de competitivitate, societate și decarbonizare pentru industria metalelor va necesita o interacțiune strânsă și mai intensă între toate părțile interesate. Comisia va </w:t>
      </w:r>
      <w:r w:rsidRPr="00EC01ED">
        <w:rPr>
          <w:b/>
          <w:bCs/>
          <w:noProof/>
        </w:rPr>
        <w:t>monitoriza</w:t>
      </w:r>
      <w:r w:rsidRPr="00EC01ED">
        <w:rPr>
          <w:noProof/>
        </w:rPr>
        <w:t xml:space="preserve"> în permanență situația din sector, reziliența acestuia și decarbonizarea în curs, precum și posibilele ajustări de politică necesare, în dialog cu sectorul, cu partenerii sociali și cu colegiuitorii. </w:t>
      </w:r>
    </w:p>
    <w:p w14:paraId="7EC2FFDC" w14:textId="2536653D" w:rsidR="4D150C5B" w:rsidRPr="00EC01ED" w:rsidRDefault="3C999449" w:rsidP="00404719">
      <w:pPr>
        <w:rPr>
          <w:strike/>
          <w:noProof/>
        </w:rPr>
      </w:pPr>
      <w:r w:rsidRPr="00EC01ED">
        <w:rPr>
          <w:b/>
          <w:bCs/>
          <w:noProof/>
        </w:rPr>
        <w:t>Implementarea parcursului de tranziție pentru sectoarele metalelor</w:t>
      </w:r>
      <w:r w:rsidRPr="00EC01ED">
        <w:rPr>
          <w:noProof/>
        </w:rPr>
        <w:t xml:space="preserve"> va oferi un spațiu constant de dialog între industrie, sindicate și alte părți interesate. Mandatul Grupului la nivel înalt pentru industriile mari consumatoare de energie va fi reînnoit pentru o nouă perioadă de 4 ani, pentru a permite această implementare. Acesta va oferi o platformă pentru monitorizarea celor mai recente evoluții cu privire la aspecte legate de competitivitatea și decarbonizarea industriei metalelor, cum ar fi costurile energiei, nevoile în materie de competențe și supracapacitățile mondiale.</w:t>
      </w:r>
    </w:p>
    <w:p w14:paraId="22EF81E0" w14:textId="5D72AD03" w:rsidR="00FB0706" w:rsidRPr="00EC01ED" w:rsidRDefault="1B903661" w:rsidP="00404719">
      <w:pPr>
        <w:rPr>
          <w:noProof/>
        </w:rPr>
      </w:pPr>
      <w:r w:rsidRPr="00EC01ED">
        <w:rPr>
          <w:noProof/>
        </w:rPr>
        <w:t xml:space="preserve">Sectoarele oțelului și metalelor sunt indispensabile pentru structura industrială a Europei, pentru reziliența, securitatea economică, apărarea și stabilitatea noastră socială. Comisia invită Parlamentul European, Consiliul și toate părțile interesate relevante să colaboreze la implementarea prezentului plan de acțiune pentru a asigura menținerea și consolidarea capacităților de producție în Europa, precum și o aprovizionare constantă și fiabilă pentru industriile-cheie, inclusiv pentru apărare. </w:t>
      </w:r>
    </w:p>
    <w:sectPr w:rsidR="00FB0706" w:rsidRPr="00EC01ED" w:rsidSect="00F84713">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6A485" w14:textId="77777777" w:rsidR="00FC440C" w:rsidRDefault="00FC440C">
      <w:pPr>
        <w:spacing w:after="0"/>
      </w:pPr>
      <w:r>
        <w:separator/>
      </w:r>
    </w:p>
  </w:endnote>
  <w:endnote w:type="continuationSeparator" w:id="0">
    <w:p w14:paraId="47465115" w14:textId="77777777" w:rsidR="00FC440C" w:rsidRDefault="00FC440C">
      <w:pPr>
        <w:spacing w:after="0"/>
      </w:pPr>
      <w:r>
        <w:continuationSeparator/>
      </w:r>
    </w:p>
  </w:endnote>
  <w:endnote w:type="continuationNotice" w:id="1">
    <w:p w14:paraId="20775600" w14:textId="77777777" w:rsidR="00FC440C" w:rsidRDefault="00FC440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45FF0" w14:textId="1E4A0EE5" w:rsidR="00EC0449" w:rsidRPr="00EC0449" w:rsidRDefault="00EC0449" w:rsidP="00EC0449">
    <w:pPr>
      <w:pStyle w:val="FooterCoverPage"/>
      <w:rPr>
        <w:rFonts w:ascii="Arial" w:hAnsi="Arial" w:cs="Arial"/>
        <w:b/>
        <w:sz w:val="48"/>
      </w:rPr>
    </w:pPr>
    <w:r w:rsidRPr="00EC0449">
      <w:rPr>
        <w:rFonts w:ascii="Arial" w:hAnsi="Arial" w:cs="Arial"/>
        <w:b/>
        <w:sz w:val="48"/>
      </w:rPr>
      <w:t>RO</w:t>
    </w:r>
    <w:r w:rsidRPr="00EC0449">
      <w:rPr>
        <w:rFonts w:ascii="Arial" w:hAnsi="Arial" w:cs="Arial"/>
        <w:b/>
        <w:sz w:val="48"/>
      </w:rPr>
      <w:tab/>
    </w:r>
    <w:r w:rsidRPr="00EC0449">
      <w:rPr>
        <w:rFonts w:ascii="Arial" w:hAnsi="Arial" w:cs="Arial"/>
        <w:b/>
        <w:sz w:val="48"/>
      </w:rPr>
      <w:tab/>
    </w:r>
    <w:r w:rsidRPr="00EC0449">
      <w:tab/>
    </w:r>
    <w:r w:rsidRPr="00EC044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02F4C" w14:textId="2F5BF188" w:rsidR="00EC0449" w:rsidRPr="00EC0449" w:rsidRDefault="00EC0449" w:rsidP="00EC0449">
    <w:pPr>
      <w:pStyle w:val="FooterCoverPage"/>
      <w:rPr>
        <w:rFonts w:ascii="Arial" w:hAnsi="Arial" w:cs="Arial"/>
        <w:b/>
        <w:sz w:val="48"/>
      </w:rPr>
    </w:pPr>
    <w:r w:rsidRPr="00EC0449">
      <w:rPr>
        <w:rFonts w:ascii="Arial" w:hAnsi="Arial" w:cs="Arial"/>
        <w:b/>
        <w:sz w:val="48"/>
      </w:rPr>
      <w:t>RO</w:t>
    </w:r>
    <w:r w:rsidRPr="00EC0449">
      <w:rPr>
        <w:rFonts w:ascii="Arial" w:hAnsi="Arial" w:cs="Arial"/>
        <w:b/>
        <w:sz w:val="48"/>
      </w:rPr>
      <w:tab/>
    </w:r>
    <w:r w:rsidRPr="00EC0449">
      <w:rPr>
        <w:rFonts w:ascii="Arial" w:hAnsi="Arial" w:cs="Arial"/>
        <w:b/>
        <w:sz w:val="48"/>
      </w:rPr>
      <w:tab/>
    </w:r>
    <w:r w:rsidRPr="00EC0449">
      <w:tab/>
    </w:r>
    <w:r w:rsidRPr="00EC044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2BFA8" w14:textId="77777777" w:rsidR="00EC0449" w:rsidRPr="00EC0449" w:rsidRDefault="00EC0449" w:rsidP="00EC044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1D59C" w14:textId="77777777" w:rsidR="00F84713" w:rsidRPr="00F84713" w:rsidRDefault="00F84713" w:rsidP="00F84713">
    <w:pPr>
      <w:pStyle w:val="FooterCoverPage"/>
      <w:rPr>
        <w:rFonts w:ascii="Arial" w:hAnsi="Arial" w:cs="Arial"/>
        <w:b/>
        <w:sz w:val="48"/>
      </w:rPr>
    </w:pPr>
    <w:r>
      <w:rPr>
        <w:rFonts w:ascii="Arial" w:hAnsi="Arial"/>
        <w:b/>
        <w:sz w:val="48"/>
      </w:rPr>
      <w:t>EN</w:t>
    </w:r>
    <w:r>
      <w:tab/>
    </w:r>
    <w: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EFAFE" w14:textId="22A78C71" w:rsidR="00F84713" w:rsidRDefault="00F84713">
    <w:pPr>
      <w:pStyle w:val="FooterLine"/>
      <w:jc w:val="center"/>
    </w:pPr>
    <w:r>
      <w:fldChar w:fldCharType="begin"/>
    </w:r>
    <w:r>
      <w:instrText>PAGE   \* MERGEFORMAT</w:instrText>
    </w:r>
    <w:r>
      <w:fldChar w:fldCharType="separate"/>
    </w:r>
    <w:r w:rsidR="00EC0449">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7608195"/>
      <w:docPartObj>
        <w:docPartGallery w:val="Page Numbers (Bottom of Page)"/>
        <w:docPartUnique/>
      </w:docPartObj>
    </w:sdtPr>
    <w:sdtEndPr>
      <w:rPr>
        <w:noProof/>
      </w:rPr>
    </w:sdtEndPr>
    <w:sdtContent>
      <w:p w14:paraId="4CDE9F6B" w14:textId="140CD2AC" w:rsidR="00D518D5" w:rsidRDefault="00D518D5">
        <w:pPr>
          <w:pStyle w:val="Footer"/>
          <w:jc w:val="center"/>
        </w:pPr>
        <w:r>
          <w:fldChar w:fldCharType="begin"/>
        </w:r>
        <w:r>
          <w:instrText xml:space="preserve"> PAGE   \* MERGEFORMAT </w:instrText>
        </w:r>
        <w:r>
          <w:fldChar w:fldCharType="separate"/>
        </w:r>
        <w:r w:rsidR="00EC0449">
          <w:rPr>
            <w:noProof/>
          </w:rPr>
          <w:t>1</w:t>
        </w:r>
        <w:r>
          <w:fldChar w:fldCharType="end"/>
        </w:r>
      </w:p>
    </w:sdtContent>
  </w:sdt>
  <w:p w14:paraId="183CDB22" w14:textId="77777777" w:rsidR="00F84713" w:rsidRDefault="00F84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B640A" w14:textId="77777777" w:rsidR="00FC440C" w:rsidRDefault="00FC440C">
      <w:pPr>
        <w:spacing w:after="0"/>
      </w:pPr>
      <w:r>
        <w:separator/>
      </w:r>
    </w:p>
  </w:footnote>
  <w:footnote w:type="continuationSeparator" w:id="0">
    <w:p w14:paraId="6D825878" w14:textId="77777777" w:rsidR="00FC440C" w:rsidRDefault="00FC440C">
      <w:pPr>
        <w:spacing w:after="0"/>
      </w:pPr>
      <w:r>
        <w:continuationSeparator/>
      </w:r>
    </w:p>
  </w:footnote>
  <w:footnote w:type="continuationNotice" w:id="1">
    <w:p w14:paraId="6990F260" w14:textId="77777777" w:rsidR="00FC440C" w:rsidRDefault="00FC440C">
      <w:pPr>
        <w:spacing w:after="0"/>
      </w:pPr>
    </w:p>
  </w:footnote>
  <w:footnote w:id="2">
    <w:p w14:paraId="76DE665C" w14:textId="53277A17" w:rsidR="00750B29" w:rsidRPr="00D478DB" w:rsidRDefault="00750B29" w:rsidP="00896AAF">
      <w:pPr>
        <w:pStyle w:val="FootnoteText"/>
        <w:spacing w:after="0"/>
      </w:pPr>
      <w:r>
        <w:t>(</w:t>
      </w:r>
      <w:r>
        <w:rPr>
          <w:rStyle w:val="FootnoteReference"/>
        </w:rPr>
        <w:footnoteRef/>
      </w:r>
      <w:r>
        <w:t>)</w:t>
      </w:r>
      <w:r>
        <w:tab/>
        <w:t>Pe lângă fier și oțel, metalele de bază includ feroaliajele, strâns legate de lanțul valoric al oțelului, precum și metalele neferoase, aluminiul, cuprul și nichelul. În cadrul prezentului plan de acțiune, accentul se pune pe metalele de bază care sunt produse și comercializate în cantități mari, nu pe metalele tehnologice sau pe metalele prețioase produse și comercializate în cantități mai mici, care sunt adesea materii prime critice și, prin urmare, beneficiază de dispozițiile Actului privind materiile prime critice.</w:t>
      </w:r>
    </w:p>
  </w:footnote>
  <w:footnote w:id="3">
    <w:p w14:paraId="1ED4DD1D" w14:textId="3C5D370A" w:rsidR="06746406" w:rsidRDefault="00AB4E9D" w:rsidP="00896AAF">
      <w:pPr>
        <w:pStyle w:val="FootnoteText"/>
        <w:spacing w:after="0"/>
      </w:pPr>
      <w:r>
        <w:t>(</w:t>
      </w:r>
      <w:r>
        <w:rPr>
          <w:rStyle w:val="FootnoteReference"/>
        </w:rPr>
        <w:footnoteRef/>
      </w:r>
      <w:r>
        <w:t xml:space="preserve">) </w:t>
      </w:r>
      <w:r>
        <w:tab/>
        <w:t xml:space="preserve">COM(2025) 30 </w:t>
      </w:r>
      <w:hyperlink r:id="rId1">
        <w:r>
          <w:rPr>
            <w:rStyle w:val="Hyperlink"/>
          </w:rPr>
          <w:t>10017eb1-4722-4333-add2-e0ed18105a34_en</w:t>
        </w:r>
      </w:hyperlink>
      <w:r w:rsidR="000B167C" w:rsidRPr="000B167C">
        <w:rPr>
          <w:rStyle w:val="Hyperlink"/>
          <w:u w:val="none"/>
        </w:rPr>
        <w:t>.</w:t>
      </w:r>
    </w:p>
  </w:footnote>
  <w:footnote w:id="4">
    <w:p w14:paraId="3F218C38" w14:textId="2C0901F3" w:rsidR="003A3D0C" w:rsidRPr="00DE0D6D" w:rsidRDefault="003A3D0C" w:rsidP="00896AAF">
      <w:pPr>
        <w:pStyle w:val="FootnoteText"/>
        <w:spacing w:after="0"/>
      </w:pPr>
      <w:r>
        <w:t>(</w:t>
      </w:r>
      <w:r>
        <w:rPr>
          <w:rStyle w:val="FootnoteReference"/>
        </w:rPr>
        <w:footnoteRef/>
      </w:r>
      <w:r>
        <w:t>)</w:t>
      </w:r>
      <w:r>
        <w:tab/>
      </w:r>
      <w:hyperlink r:id="rId2" w:history="1">
        <w:r>
          <w:rPr>
            <w:rStyle w:val="Hyperlink"/>
          </w:rPr>
          <w:t>https://international-aluminium.org/statistics/primary-aluminium-production/</w:t>
        </w:r>
      </w:hyperlink>
      <w:r w:rsidR="000B167C">
        <w:t>.</w:t>
      </w:r>
    </w:p>
  </w:footnote>
  <w:footnote w:id="5">
    <w:p w14:paraId="3CC02803" w14:textId="5F153CCB" w:rsidR="204CAC2F" w:rsidRDefault="00AB4E9D" w:rsidP="00896AAF">
      <w:pPr>
        <w:pStyle w:val="FootnoteText"/>
        <w:spacing w:after="0"/>
      </w:pPr>
      <w:r>
        <w:t>(</w:t>
      </w:r>
      <w:r>
        <w:rPr>
          <w:rStyle w:val="FootnoteReference"/>
        </w:rPr>
        <w:footnoteRef/>
      </w:r>
      <w:r>
        <w:t xml:space="preserve">) </w:t>
      </w:r>
      <w:r>
        <w:tab/>
        <w:t xml:space="preserve">Sursă: Comitetul pentru oțel al OCDE: A 96-a sesiune a Comitetului pentru oțel: Declarația Președintelui | OCDE </w:t>
      </w:r>
      <w:hyperlink r:id="rId3" w:history="1">
        <w:r>
          <w:rPr>
            <w:rStyle w:val="Hyperlink"/>
          </w:rPr>
          <w:t>https://www.oecd.org/en/about/news/speech-statements/2024/11/96th-session-of-the-steel-committee-statement-by-the-chair.html</w:t>
        </w:r>
      </w:hyperlink>
      <w:r w:rsidR="000B167C" w:rsidRPr="000B167C">
        <w:rPr>
          <w:rStyle w:val="Hyperlink"/>
          <w:u w:val="none"/>
        </w:rPr>
        <w:t>.</w:t>
      </w:r>
      <w:r>
        <w:t xml:space="preserve"> </w:t>
      </w:r>
    </w:p>
  </w:footnote>
  <w:footnote w:id="6">
    <w:p w14:paraId="40B391DF" w14:textId="4CCA207F" w:rsidR="06746406" w:rsidRDefault="06746406" w:rsidP="00896AAF">
      <w:pPr>
        <w:pStyle w:val="FootnoteText"/>
        <w:spacing w:after="0"/>
      </w:pPr>
      <w:r>
        <w:t>(</w:t>
      </w:r>
      <w:r>
        <w:rPr>
          <w:rStyle w:val="FootnoteReference"/>
        </w:rPr>
        <w:footnoteRef/>
      </w:r>
      <w:r>
        <w:t>)</w:t>
      </w:r>
      <w:r>
        <w:tab/>
        <w:t>Sursă: Eurofer, 126 milioane de tone produse / 138 milioane de tone consumate în mod real în 2023</w:t>
      </w:r>
      <w:r w:rsidR="000B167C">
        <w:t>.</w:t>
      </w:r>
    </w:p>
  </w:footnote>
  <w:footnote w:id="7">
    <w:p w14:paraId="79DFE43B" w14:textId="014D7F6F" w:rsidR="06746406" w:rsidRDefault="06746406" w:rsidP="00896AAF">
      <w:pPr>
        <w:pStyle w:val="FootnoteText"/>
        <w:spacing w:after="0"/>
      </w:pPr>
      <w:r>
        <w:t>(</w:t>
      </w:r>
      <w:r>
        <w:rPr>
          <w:rStyle w:val="FootnoteReference"/>
        </w:rPr>
        <w:footnoteRef/>
      </w:r>
      <w:r>
        <w:t>)</w:t>
      </w:r>
      <w:r>
        <w:tab/>
        <w:t>Sursă: fișa informativă SCREEN din 2023 privind cuprul</w:t>
      </w:r>
      <w:r w:rsidR="000B167C">
        <w:t>.</w:t>
      </w:r>
    </w:p>
  </w:footnote>
  <w:footnote w:id="8">
    <w:p w14:paraId="7517EB58" w14:textId="4AD11BE2" w:rsidR="06746406" w:rsidRDefault="06746406" w:rsidP="00896AAF">
      <w:pPr>
        <w:pStyle w:val="FootnoteText"/>
        <w:spacing w:after="0"/>
      </w:pPr>
      <w:r>
        <w:t>(</w:t>
      </w:r>
      <w:r>
        <w:rPr>
          <w:rStyle w:val="FootnoteReference"/>
        </w:rPr>
        <w:footnoteRef/>
      </w:r>
      <w:r>
        <w:t>)</w:t>
      </w:r>
      <w:r>
        <w:tab/>
        <w:t>Sursă: Asociația Europeană a Aluminiului: 7 % producție primară internă + 39 % reciclare internă în 2023</w:t>
      </w:r>
      <w:r w:rsidR="000B167C">
        <w:t>.</w:t>
      </w:r>
    </w:p>
  </w:footnote>
  <w:footnote w:id="9">
    <w:p w14:paraId="757EB0A4" w14:textId="2C83A35E" w:rsidR="06746406" w:rsidRDefault="06746406" w:rsidP="00896AAF">
      <w:pPr>
        <w:pStyle w:val="FootnoteText"/>
        <w:spacing w:after="0"/>
      </w:pPr>
      <w:r>
        <w:t>(</w:t>
      </w:r>
      <w:r>
        <w:rPr>
          <w:rStyle w:val="FootnoteReference"/>
        </w:rPr>
        <w:footnoteRef/>
      </w:r>
      <w:r>
        <w:t>)</w:t>
      </w:r>
      <w:r>
        <w:tab/>
        <w:t>Sursă: Fișa informativă SCREEN din 2023 privind nichelul</w:t>
      </w:r>
      <w:r w:rsidR="000B167C">
        <w:t>.</w:t>
      </w:r>
    </w:p>
  </w:footnote>
  <w:footnote w:id="10">
    <w:p w14:paraId="4566A460" w14:textId="511F0CE9" w:rsidR="0004104D" w:rsidRPr="00AD7603" w:rsidRDefault="0004104D" w:rsidP="001068B5">
      <w:pPr>
        <w:pStyle w:val="FootnoteText"/>
        <w:spacing w:after="0"/>
      </w:pPr>
      <w:r>
        <w:t>(</w:t>
      </w:r>
      <w:r>
        <w:rPr>
          <w:rStyle w:val="FootnoteReference"/>
        </w:rPr>
        <w:footnoteRef/>
      </w:r>
      <w:r>
        <w:t>)</w:t>
      </w:r>
      <w:r>
        <w:tab/>
      </w:r>
      <w:hyperlink r:id="rId4" w:history="1">
        <w:r w:rsidRPr="00EC01ED">
          <w:rPr>
            <w:rStyle w:val="Hyperlink"/>
            <w:i/>
            <w:iCs/>
          </w:rPr>
          <w:t>JRC Publications Repository - Raw materials in the European defence industry</w:t>
        </w:r>
        <w:r>
          <w:rPr>
            <w:rStyle w:val="Hyperlink"/>
          </w:rPr>
          <w:t xml:space="preserve"> (Registrul de publicații al JRC – Materii prime în industria europeană de apărare)</w:t>
        </w:r>
      </w:hyperlink>
      <w:r w:rsidR="000B167C" w:rsidRPr="000B167C">
        <w:rPr>
          <w:rStyle w:val="Hyperlink"/>
          <w:u w:val="none"/>
        </w:rPr>
        <w:t>.</w:t>
      </w:r>
    </w:p>
  </w:footnote>
  <w:footnote w:id="11">
    <w:p w14:paraId="2E0557B2" w14:textId="2F3F3697" w:rsidR="00AB4E9D" w:rsidRPr="00E47795" w:rsidRDefault="00AB4E9D" w:rsidP="00896AAF">
      <w:pPr>
        <w:pStyle w:val="FootnoteText"/>
        <w:spacing w:after="0"/>
      </w:pPr>
      <w:r>
        <w:t>(</w:t>
      </w:r>
      <w:r>
        <w:rPr>
          <w:rStyle w:val="FootnoteReference"/>
        </w:rPr>
        <w:footnoteRef/>
      </w:r>
      <w:r>
        <w:t>)</w:t>
      </w:r>
      <w:r>
        <w:tab/>
        <w:t>În acest caz, termenul „metale” include, de asemenea, utilizări importante ale metalelor ca și compuși anorganici ai acestora, inclusiv (de exemplu) materiile prime pentru baterii, pentru energia fotovoltaică și semiconductorii</w:t>
      </w:r>
      <w:r w:rsidR="000B167C">
        <w:t>.</w:t>
      </w:r>
    </w:p>
  </w:footnote>
  <w:footnote w:id="12">
    <w:p w14:paraId="47116661" w14:textId="271E0092" w:rsidR="008062F2" w:rsidRPr="00E47795" w:rsidRDefault="008062F2" w:rsidP="00896AAF">
      <w:pPr>
        <w:pStyle w:val="FootnoteText"/>
        <w:spacing w:after="0"/>
      </w:pPr>
      <w:r>
        <w:t>(</w:t>
      </w:r>
      <w:r>
        <w:rPr>
          <w:rStyle w:val="FootnoteReference"/>
        </w:rPr>
        <w:footnoteRef/>
      </w:r>
      <w:r>
        <w:t>)</w:t>
      </w:r>
      <w:r>
        <w:tab/>
        <w:t>Sursă – Eurostat, include mineritul, fabricarea metalelor de bază și prelucrarea metalelor</w:t>
      </w:r>
      <w:r w:rsidR="000B167C">
        <w:t>.</w:t>
      </w:r>
    </w:p>
  </w:footnote>
  <w:footnote w:id="13">
    <w:p w14:paraId="27BFF7B0" w14:textId="76EE29D6" w:rsidR="00CE36F9" w:rsidRPr="00C6199D" w:rsidRDefault="204CAC2F" w:rsidP="00896AAF">
      <w:pPr>
        <w:pStyle w:val="FootnoteText"/>
        <w:spacing w:after="0"/>
      </w:pPr>
      <w:r>
        <w:t>(</w:t>
      </w:r>
      <w:r>
        <w:rPr>
          <w:rStyle w:val="FootnoteReference"/>
        </w:rPr>
        <w:footnoteRef/>
      </w:r>
      <w:r>
        <w:t>)</w:t>
      </w:r>
      <w:r w:rsidR="000B167C">
        <w:tab/>
      </w:r>
      <w:r>
        <w:t>Sursă: Industrial Emissions Portal, 2022.</w:t>
      </w:r>
    </w:p>
  </w:footnote>
  <w:footnote w:id="14">
    <w:p w14:paraId="5AD7481D" w14:textId="18BD21AA" w:rsidR="5B7F4486" w:rsidRPr="00CE36F9" w:rsidRDefault="00AB4E9D" w:rsidP="00896AAF">
      <w:pPr>
        <w:pStyle w:val="FootnoteText"/>
        <w:spacing w:after="0"/>
      </w:pPr>
      <w:r>
        <w:t>(</w:t>
      </w:r>
      <w:r>
        <w:rPr>
          <w:rStyle w:val="FootnoteReference"/>
        </w:rPr>
        <w:footnoteRef/>
      </w:r>
      <w:r>
        <w:t>)</w:t>
      </w:r>
      <w:r w:rsidR="000B167C">
        <w:tab/>
      </w:r>
      <w:r>
        <w:t>https://commission.europa.eu/topics/eu-competitiveness/clean-industrial-deal_ro</w:t>
      </w:r>
      <w:r w:rsidR="000B167C">
        <w:t>.</w:t>
      </w:r>
    </w:p>
  </w:footnote>
  <w:footnote w:id="15">
    <w:p w14:paraId="614CA253" w14:textId="55A5F3FD" w:rsidR="5B7F4486" w:rsidRPr="00E0295C" w:rsidRDefault="00AB4E9D" w:rsidP="00896AAF">
      <w:pPr>
        <w:pStyle w:val="FootnoteText"/>
        <w:spacing w:after="0"/>
      </w:pPr>
      <w:r>
        <w:t>(</w:t>
      </w:r>
      <w:r>
        <w:rPr>
          <w:rStyle w:val="FootnoteReference"/>
        </w:rPr>
        <w:footnoteRef/>
      </w:r>
      <w:r>
        <w:t>)</w:t>
      </w:r>
      <w:r w:rsidR="000B167C">
        <w:tab/>
      </w:r>
      <w:r>
        <w:t>https://energy.ec.europa.eu/strategy/affordable-energy_en</w:t>
      </w:r>
      <w:r w:rsidR="000B167C">
        <w:t>.</w:t>
      </w:r>
    </w:p>
  </w:footnote>
  <w:footnote w:id="16">
    <w:p w14:paraId="24A83E5E" w14:textId="711D9293" w:rsidR="204CAC2F" w:rsidRPr="00F427EC" w:rsidRDefault="00AB4E9D" w:rsidP="00896AAF">
      <w:pPr>
        <w:pStyle w:val="FootnoteText"/>
        <w:spacing w:after="0"/>
      </w:pPr>
      <w:r>
        <w:t>(</w:t>
      </w:r>
      <w:r>
        <w:rPr>
          <w:rStyle w:val="FootnoteReference"/>
        </w:rPr>
        <w:footnoteRef/>
      </w:r>
      <w:r>
        <w:t>)</w:t>
      </w:r>
      <w:r w:rsidR="000B167C">
        <w:tab/>
      </w:r>
      <w:hyperlink r:id="rId5" w:history="1">
        <w:r>
          <w:rPr>
            <w:rStyle w:val="Hyperlink"/>
          </w:rPr>
          <w:t>https://single-market-economy.ec.europa.eu/document/download/fe4b7a0b-cfb9-49fd-9d37-139c1e23832d_en</w:t>
        </w:r>
      </w:hyperlink>
      <w:r w:rsidR="000B167C" w:rsidRPr="000B167C">
        <w:rPr>
          <w:rStyle w:val="Hyperlink"/>
          <w:u w:val="none"/>
        </w:rPr>
        <w:t>.</w:t>
      </w:r>
    </w:p>
  </w:footnote>
  <w:footnote w:id="17">
    <w:p w14:paraId="3BFF4BDD" w14:textId="39A79E90" w:rsidR="00341966" w:rsidRPr="00F427EC" w:rsidRDefault="06746406" w:rsidP="00896AAF">
      <w:pPr>
        <w:pStyle w:val="FootnoteText"/>
        <w:spacing w:after="0"/>
      </w:pPr>
      <w:r>
        <w:t>(</w:t>
      </w:r>
      <w:r>
        <w:rPr>
          <w:rStyle w:val="FootnoteReference"/>
        </w:rPr>
        <w:footnoteRef/>
      </w:r>
      <w:r>
        <w:t>)</w:t>
      </w:r>
      <w:r>
        <w:tab/>
      </w:r>
      <w:hyperlink r:id="rId6" w:history="1">
        <w:r>
          <w:rPr>
            <w:rStyle w:val="Hyperlink"/>
          </w:rPr>
          <w:t>https://publications.jrc.ec.europa.eu/repository/handle/JRC121276</w:t>
        </w:r>
      </w:hyperlink>
      <w:r w:rsidR="000B167C" w:rsidRPr="000B167C">
        <w:rPr>
          <w:rStyle w:val="Hyperlink"/>
          <w:u w:val="none"/>
        </w:rPr>
        <w:t>.</w:t>
      </w:r>
    </w:p>
  </w:footnote>
  <w:footnote w:id="18">
    <w:p w14:paraId="227FC243" w14:textId="75443AB7" w:rsidR="00341966" w:rsidRPr="00F427EC" w:rsidRDefault="06746406" w:rsidP="00896AAF">
      <w:pPr>
        <w:pStyle w:val="FootnoteText"/>
        <w:spacing w:after="0"/>
      </w:pPr>
      <w:r>
        <w:t>(</w:t>
      </w:r>
      <w:r>
        <w:rPr>
          <w:rStyle w:val="FootnoteReference"/>
        </w:rPr>
        <w:footnoteRef/>
      </w:r>
      <w:r>
        <w:t>)</w:t>
      </w:r>
      <w:r>
        <w:tab/>
      </w:r>
      <w:hyperlink r:id="rId7" w:history="1">
        <w:r>
          <w:rPr>
            <w:rStyle w:val="Hyperlink"/>
          </w:rPr>
          <w:t>https://www.reuters.com/markets/commodities/sky-high-energy-costs-fan-fire-under-aluminium-zinc-prices-2022-08-12/</w:t>
        </w:r>
      </w:hyperlink>
      <w:r w:rsidR="000B167C" w:rsidRPr="000B167C">
        <w:rPr>
          <w:rStyle w:val="Hyperlink"/>
          <w:u w:val="none"/>
        </w:rPr>
        <w:t>.</w:t>
      </w:r>
    </w:p>
  </w:footnote>
  <w:footnote w:id="19">
    <w:p w14:paraId="356D82E7" w14:textId="709C9041" w:rsidR="00B35335" w:rsidRPr="00F427EC" w:rsidRDefault="06746406" w:rsidP="00896AAF">
      <w:pPr>
        <w:pStyle w:val="FootnoteText"/>
        <w:spacing w:after="0"/>
      </w:pPr>
      <w:r>
        <w:t>(</w:t>
      </w:r>
      <w:r>
        <w:rPr>
          <w:rStyle w:val="FootnoteReference"/>
        </w:rPr>
        <w:footnoteRef/>
      </w:r>
      <w:r>
        <w:t>)</w:t>
      </w:r>
      <w:r>
        <w:tab/>
      </w:r>
      <w:hyperlink r:id="rId8" w:history="1">
        <w:r>
          <w:rPr>
            <w:rStyle w:val="Hyperlink"/>
          </w:rPr>
          <w:t>https://www.reuters.com/markets/commodities/sky-high-energy-costs-fan-fire-under-aluminium-zinc-prices-2022-08-12/</w:t>
        </w:r>
      </w:hyperlink>
      <w:r w:rsidR="000B167C" w:rsidRPr="000B167C">
        <w:rPr>
          <w:rStyle w:val="Hyperlink"/>
          <w:u w:val="none"/>
        </w:rPr>
        <w:t>.</w:t>
      </w:r>
    </w:p>
  </w:footnote>
  <w:footnote w:id="20">
    <w:p w14:paraId="63940C90" w14:textId="4341221B" w:rsidR="00E92217" w:rsidRPr="00DE0D6D" w:rsidRDefault="00E92217" w:rsidP="00896AAF">
      <w:pPr>
        <w:pStyle w:val="FootnoteText"/>
        <w:spacing w:after="0"/>
      </w:pPr>
      <w:r>
        <w:t>(</w:t>
      </w:r>
      <w:r>
        <w:rPr>
          <w:rStyle w:val="FootnoteReference"/>
        </w:rPr>
        <w:footnoteRef/>
      </w:r>
      <w:r>
        <w:t>)</w:t>
      </w:r>
      <w:r>
        <w:tab/>
        <w:t>Prețurile energiei electrice sunt de 2-3 ori mai mari decât nivelurile din SUA: 0,16 EUR per KWh în UE față de 0,07 EUR în SUA în prima jumătate a anului 2024, în pofida faptului că ele au scăzut în UE (cu 0,04 EUR) și au rămas stabile în SUA (+0,01 EUR) comparativ cu prima jumătate a anului 2023 și în pofida nevoilor de energie în scădere.</w:t>
      </w:r>
      <w:r w:rsidR="00EC01ED">
        <w:t xml:space="preserve"> </w:t>
      </w:r>
      <w:hyperlink r:id="rId9">
        <w:r>
          <w:rPr>
            <w:rStyle w:val="Hyperlink"/>
          </w:rPr>
          <w:t>https://www.bruegel.org/policy-brief/decarbonising-competitiveness-four-ways-reduce-european-energy-prices</w:t>
        </w:r>
      </w:hyperlink>
      <w:r w:rsidR="000B167C">
        <w:t>.</w:t>
      </w:r>
    </w:p>
  </w:footnote>
  <w:footnote w:id="21">
    <w:p w14:paraId="69079C82" w14:textId="267EA809" w:rsidR="00222778" w:rsidRDefault="00AB4E9D" w:rsidP="00896AAF">
      <w:pPr>
        <w:pStyle w:val="FootnoteText"/>
        <w:spacing w:after="0"/>
      </w:pPr>
      <w:r>
        <w:t>(</w:t>
      </w:r>
      <w:r>
        <w:rPr>
          <w:rStyle w:val="FootnoteReference"/>
        </w:rPr>
        <w:footnoteRef/>
      </w:r>
      <w:r>
        <w:t>)</w:t>
      </w:r>
      <w:r w:rsidR="000B167C">
        <w:tab/>
      </w:r>
      <w:r>
        <w:t>Plan de acțiune privind energia la prețuri accesibile</w:t>
      </w:r>
      <w:r w:rsidR="000B167C">
        <w:t>.</w:t>
      </w:r>
    </w:p>
  </w:footnote>
  <w:footnote w:id="22">
    <w:p w14:paraId="310DDFA7" w14:textId="1DF84830" w:rsidR="001C0C0E" w:rsidRPr="00AD7603" w:rsidRDefault="001C0C0E" w:rsidP="001068B5">
      <w:pPr>
        <w:pStyle w:val="FootnoteText"/>
        <w:spacing w:after="0"/>
      </w:pPr>
      <w:r>
        <w:t>(</w:t>
      </w:r>
      <w:r>
        <w:rPr>
          <w:rStyle w:val="FootnoteReference"/>
        </w:rPr>
        <w:footnoteRef/>
      </w:r>
      <w:r>
        <w:t>)</w:t>
      </w:r>
      <w:r>
        <w:tab/>
        <w:t xml:space="preserve">Inițiativele în curs de desfășurare își propun să abordeze unele dintre aceste aspecte: </w:t>
      </w:r>
      <w:hyperlink r:id="rId10" w:history="1">
        <w:r>
          <w:rPr>
            <w:rStyle w:val="Hyperlink"/>
          </w:rPr>
          <w:t>https://www.ifrs.org/projects/completed-projects/2024/power-purchase-agreements/</w:t>
        </w:r>
      </w:hyperlink>
      <w:r>
        <w:t xml:space="preserve">; </w:t>
      </w:r>
      <w:hyperlink r:id="rId11" w:history="1">
        <w:r>
          <w:rPr>
            <w:rStyle w:val="Hyperlink"/>
          </w:rPr>
          <w:t>Power Purchase Agreements, Endorsement consultation |</w:t>
        </w:r>
      </w:hyperlink>
      <w:hyperlink r:id="rId12" w:history="1">
        <w:r>
          <w:rPr>
            <w:rStyle w:val="Hyperlink"/>
          </w:rPr>
          <w:t xml:space="preserve"> EFRAG</w:t>
        </w:r>
      </w:hyperlink>
      <w:r>
        <w:t>.</w:t>
      </w:r>
    </w:p>
  </w:footnote>
  <w:footnote w:id="23">
    <w:p w14:paraId="78172D16" w14:textId="640118CA" w:rsidR="0046734F" w:rsidRPr="00AD7603" w:rsidRDefault="0046734F" w:rsidP="001068B5">
      <w:pPr>
        <w:pStyle w:val="FootnoteText"/>
        <w:spacing w:after="0"/>
      </w:pPr>
      <w:r>
        <w:t>(</w:t>
      </w:r>
      <w:r>
        <w:rPr>
          <w:rStyle w:val="FootnoteReference"/>
        </w:rPr>
        <w:footnoteRef/>
      </w:r>
      <w:r>
        <w:t>)</w:t>
      </w:r>
      <w:r>
        <w:tab/>
        <w:t>Pentru sectoarele care riscă să se mute în afara Uniunii în locații în care disciplinele de mediu sunt inexistente sau mai puțin ambițioase</w:t>
      </w:r>
      <w:r w:rsidR="000B167C">
        <w:t>.</w:t>
      </w:r>
    </w:p>
  </w:footnote>
  <w:footnote w:id="24">
    <w:p w14:paraId="7D7682E2" w14:textId="61EDC647" w:rsidR="00071965" w:rsidRDefault="00AB4E9D" w:rsidP="00896AAF">
      <w:pPr>
        <w:pStyle w:val="FootnoteText"/>
        <w:spacing w:after="0"/>
      </w:pPr>
      <w:r>
        <w:t>(</w:t>
      </w:r>
      <w:r>
        <w:rPr>
          <w:rStyle w:val="FootnoteReference"/>
        </w:rPr>
        <w:footnoteRef/>
      </w:r>
      <w:r>
        <w:t>)</w:t>
      </w:r>
      <w:r w:rsidR="000B167C">
        <w:tab/>
      </w:r>
      <w:r>
        <w:t>COM/2021/563 final</w:t>
      </w:r>
      <w:r w:rsidR="000B167C">
        <w:t>.</w:t>
      </w:r>
    </w:p>
  </w:footnote>
  <w:footnote w:id="25">
    <w:p w14:paraId="12722A60" w14:textId="4264C73D" w:rsidR="00381BFA" w:rsidRDefault="00381BFA" w:rsidP="00896AAF">
      <w:pPr>
        <w:pStyle w:val="FootnoteText"/>
        <w:spacing w:after="0"/>
        <w:rPr>
          <w:rStyle w:val="Hyperlink"/>
        </w:rPr>
      </w:pPr>
      <w:r>
        <w:t>(</w:t>
      </w:r>
      <w:r>
        <w:rPr>
          <w:rStyle w:val="FootnoteReference"/>
        </w:rPr>
        <w:footnoteRef/>
      </w:r>
      <w:r>
        <w:t>)</w:t>
      </w:r>
      <w:r w:rsidR="000B167C">
        <w:tab/>
      </w:r>
      <w:r>
        <w:t>https://competition-policy.ec.europa.eu/public-consultations/2025-cisaf_en</w:t>
      </w:r>
      <w:r w:rsidR="000B167C">
        <w:t>.</w:t>
      </w:r>
    </w:p>
  </w:footnote>
  <w:footnote w:id="26">
    <w:p w14:paraId="290C74E4" w14:textId="373971A1" w:rsidR="204CAC2F" w:rsidRDefault="00AB4E9D" w:rsidP="00896AAF">
      <w:pPr>
        <w:pStyle w:val="FootnoteText"/>
        <w:spacing w:after="0"/>
      </w:pPr>
      <w:r>
        <w:t>(</w:t>
      </w:r>
      <w:r>
        <w:rPr>
          <w:rStyle w:val="FootnoteReference"/>
        </w:rPr>
        <w:footnoteRef/>
      </w:r>
      <w:r>
        <w:t>)</w:t>
      </w:r>
      <w:r w:rsidR="000B167C">
        <w:tab/>
      </w:r>
      <w:hyperlink r:id="rId13" w:history="1">
        <w:r>
          <w:rPr>
            <w:rStyle w:val="Hyperlink"/>
          </w:rPr>
          <w:t>https://competition-policy.ec.europa.eu/document/download/45b532ce-53fb-4907-975c-79edaa31a166_en?filename=2025_CISAF_draft_EC_communication.pdf</w:t>
        </w:r>
      </w:hyperlink>
      <w:r>
        <w:t>.</w:t>
      </w:r>
    </w:p>
  </w:footnote>
  <w:footnote w:id="27">
    <w:p w14:paraId="5337D29C" w14:textId="6B4BABD3" w:rsidR="0143D47A" w:rsidRDefault="0046734F" w:rsidP="00896AAF">
      <w:pPr>
        <w:pStyle w:val="FootnoteText"/>
        <w:spacing w:after="0"/>
      </w:pPr>
      <w:r>
        <w:t>(</w:t>
      </w:r>
      <w:r>
        <w:rPr>
          <w:rStyle w:val="FootnoteReference"/>
        </w:rPr>
        <w:footnoteRef/>
      </w:r>
      <w:r>
        <w:t>)</w:t>
      </w:r>
      <w:r w:rsidR="008E21F3">
        <w:tab/>
      </w:r>
      <w:r>
        <w:t>Aceasta înseamnă investiții care anticipează o creștere incertă a cererii viitoare de energie electrică ca urmare a electrificării. Pentru astfel de investiții, perceperea costurilor totale de la utilizatorii actuali ar putea împovăra în mod injust utilizatorii precoce, ceea ce ar duce la încetinirea electrificării. Prin urmare, Planul de acțiune privind energia la prețuri accesibile anunță orientări menite să explice modul în care, acolo unde este relevant în cazuri specifice, statele membre ar putea utiliza bugetul lor public pentru a reduce taxele de rețea cu scopul de a acoperi costurile suplimentare care rezultă din măsurile de accelerare a decarbonizării și a integrării pieței.</w:t>
      </w:r>
    </w:p>
  </w:footnote>
  <w:footnote w:id="28">
    <w:p w14:paraId="7ADC608F" w14:textId="3DA34914" w:rsidR="00D5098D" w:rsidRPr="00AD7603" w:rsidRDefault="00D5098D" w:rsidP="001068B5">
      <w:pPr>
        <w:pStyle w:val="FootnoteText"/>
        <w:spacing w:after="0"/>
      </w:pPr>
      <w:r>
        <w:t>(</w:t>
      </w:r>
      <w:r>
        <w:rPr>
          <w:rStyle w:val="FootnoteReference"/>
        </w:rPr>
        <w:footnoteRef/>
      </w:r>
      <w:r>
        <w:t>)</w:t>
      </w:r>
      <w:r>
        <w:tab/>
        <w:t>În actuala perioadă de tranziție a CBAM, emisiile indirecte sunt contabilizate în toate sectoarele CBAM. În faza definitivă, acestea sunt contabilizate numai pentru îngrășăminte și ciment.</w:t>
      </w:r>
    </w:p>
  </w:footnote>
  <w:footnote w:id="29">
    <w:p w14:paraId="581D1FED" w14:textId="40553420" w:rsidR="00AD7603" w:rsidRPr="00AA3888" w:rsidRDefault="00AD7603" w:rsidP="001068B5">
      <w:pPr>
        <w:pStyle w:val="FootnoteText"/>
        <w:spacing w:after="0"/>
      </w:pPr>
      <w:r>
        <w:t>(</w:t>
      </w:r>
      <w:r>
        <w:rPr>
          <w:rStyle w:val="FootnoteReference"/>
        </w:rPr>
        <w:footnoteRef/>
      </w:r>
      <w:r>
        <w:t>)</w:t>
      </w:r>
      <w:r>
        <w:tab/>
        <w:t xml:space="preserve">De exemplu, ca parte a Forumului mondial privind supracapacitatea producției siderurgice, o platformă esențială care reunește 28 de membri, care s-au angajat să elaboreze și să pună în aplicare soluții colective la provocarea reprezentată de supracapacitate și să consolideze funcționarea pieței în sectorul oțelului. </w:t>
      </w:r>
    </w:p>
  </w:footnote>
  <w:footnote w:id="30">
    <w:p w14:paraId="5B713700" w14:textId="489F41D4" w:rsidR="00325AC5" w:rsidRPr="00F427EC" w:rsidRDefault="00325AC5">
      <w:pPr>
        <w:pStyle w:val="FootnoteText"/>
      </w:pPr>
      <w:r>
        <w:t>(</w:t>
      </w:r>
      <w:r>
        <w:rPr>
          <w:rStyle w:val="FootnoteReference"/>
        </w:rPr>
        <w:footnoteRef/>
      </w:r>
      <w:r>
        <w:t>)</w:t>
      </w:r>
      <w:r>
        <w:tab/>
        <w:t>Secțiunea 4.4 din Orientările privind ajutoarele de stat pentru climă, protecția mediului și energie permite acordarea de ajutoare de stat pentru utilizarea eficientă a resurselor și pentru o economie circulară: EUR-Lex - 52022XC0218(03) - EN - EUR-Lex</w:t>
      </w:r>
      <w:r w:rsidR="008E21F3">
        <w:t>.</w:t>
      </w:r>
    </w:p>
  </w:footnote>
  <w:footnote w:id="31">
    <w:p w14:paraId="1D7D7998" w14:textId="3073B704" w:rsidR="06746406" w:rsidRDefault="00AB4E9D" w:rsidP="00896AAF">
      <w:pPr>
        <w:pStyle w:val="FootnoteText"/>
        <w:spacing w:after="0"/>
      </w:pPr>
      <w:r>
        <w:t>(</w:t>
      </w:r>
      <w:r>
        <w:rPr>
          <w:rStyle w:val="FootnoteReference"/>
        </w:rPr>
        <w:footnoteRef/>
      </w:r>
      <w:r>
        <w:t>)</w:t>
      </w:r>
      <w:r w:rsidR="008E21F3">
        <w:tab/>
      </w:r>
      <w:r>
        <w:t xml:space="preserve">Se preconizează că primul program de lucru privind proiectarea ecologică a produselor sustenabile va fi adoptat în săptămânile următoare. </w:t>
      </w:r>
    </w:p>
  </w:footnote>
  <w:footnote w:id="32">
    <w:p w14:paraId="4B280E6B" w14:textId="19B6C7B5" w:rsidR="00F36B78" w:rsidRPr="00F427EC" w:rsidRDefault="00F36B78">
      <w:pPr>
        <w:pStyle w:val="FootnoteText"/>
      </w:pPr>
      <w:r>
        <w:t>(</w:t>
      </w:r>
      <w:r>
        <w:rPr>
          <w:rStyle w:val="FootnoteReference"/>
        </w:rPr>
        <w:footnoteRef/>
      </w:r>
      <w:r>
        <w:t>)</w:t>
      </w:r>
      <w:r>
        <w:tab/>
        <w:t xml:space="preserve">REGULAMENTUL (UE) 2024/1157, disponibil la adresa: </w:t>
      </w:r>
      <w:hyperlink r:id="rId14" w:history="1">
        <w:r>
          <w:rPr>
            <w:rStyle w:val="Hyperlink"/>
          </w:rPr>
          <w:t>Regulament - UE - 2024/1157 - RO - EUR-Lex</w:t>
        </w:r>
      </w:hyperlink>
      <w:r w:rsidR="008E21F3" w:rsidRPr="008E21F3">
        <w:rPr>
          <w:rStyle w:val="Hyperlink"/>
          <w:u w:val="none"/>
        </w:rPr>
        <w:t>.</w:t>
      </w:r>
    </w:p>
  </w:footnote>
  <w:footnote w:id="33">
    <w:p w14:paraId="490BA1F2" w14:textId="141817DD" w:rsidR="00747C23" w:rsidRPr="00BB6ECC" w:rsidRDefault="00747C23" w:rsidP="00747C23">
      <w:pPr>
        <w:pStyle w:val="FootnoteText"/>
        <w:spacing w:after="0"/>
      </w:pPr>
      <w:r>
        <w:t>(</w:t>
      </w:r>
      <w:r>
        <w:rPr>
          <w:rStyle w:val="FootnoteReference"/>
        </w:rPr>
        <w:footnoteRef/>
      </w:r>
      <w:r>
        <w:t>)</w:t>
      </w:r>
      <w:r>
        <w:tab/>
      </w:r>
      <w:hyperlink r:id="rId15" w:history="1">
        <w:r>
          <w:rPr>
            <w:rStyle w:val="Hyperlink"/>
          </w:rPr>
          <w:t>https://pact-for-skills.ec.europa.eu/about/industrial-ecosystems-and-partnerships/energy-intensive-industries-large-scale-partnerships_en</w:t>
        </w:r>
      </w:hyperlink>
      <w:r w:rsidR="008E21F3" w:rsidRPr="008E21F3">
        <w:rPr>
          <w:rStyle w:val="Hyperlink"/>
          <w:u w:val="none"/>
        </w:rPr>
        <w:t>.</w:t>
      </w:r>
    </w:p>
  </w:footnote>
  <w:footnote w:id="34">
    <w:p w14:paraId="2C5680F8" w14:textId="7B583A18" w:rsidR="00424029" w:rsidRPr="00BB6ECC" w:rsidRDefault="00424029" w:rsidP="00896AAF">
      <w:pPr>
        <w:pStyle w:val="FootnoteText"/>
        <w:spacing w:after="0"/>
      </w:pPr>
      <w:r>
        <w:t>(</w:t>
      </w:r>
      <w:r>
        <w:rPr>
          <w:rStyle w:val="FootnoteReference"/>
        </w:rPr>
        <w:footnoteRef/>
      </w:r>
      <w:r>
        <w:t>)</w:t>
      </w:r>
      <w:r>
        <w:tab/>
      </w:r>
      <w:hyperlink r:id="rId16" w:history="1">
        <w:r>
          <w:rPr>
            <w:rStyle w:val="Hyperlink"/>
          </w:rPr>
          <w:t>https://www.eurofer.eu/issues/climate-and-energy/maps-of-key-low-carbon-steel-projects</w:t>
        </w:r>
      </w:hyperlink>
      <w:r w:rsidR="008E21F3" w:rsidRPr="008E21F3">
        <w:rPr>
          <w:rStyle w:val="Hyperlink"/>
          <w:u w:val="none"/>
        </w:rPr>
        <w:t>.</w:t>
      </w:r>
      <w:r>
        <w:t xml:space="preserve"> </w:t>
      </w:r>
    </w:p>
  </w:footnote>
  <w:footnote w:id="35">
    <w:p w14:paraId="1EBBA01D" w14:textId="02B9AF7F" w:rsidR="00B55183" w:rsidRPr="006D6F84" w:rsidRDefault="00B55183" w:rsidP="00896AAF">
      <w:pPr>
        <w:pStyle w:val="FootnoteText"/>
        <w:spacing w:after="0"/>
      </w:pPr>
      <w:r>
        <w:t>(</w:t>
      </w:r>
      <w:r>
        <w:rPr>
          <w:rStyle w:val="FootnoteReference"/>
        </w:rPr>
        <w:footnoteRef/>
      </w:r>
      <w:r>
        <w:t>)</w:t>
      </w:r>
      <w:r>
        <w:tab/>
        <w:t>În cadrul cărora se plătește sprijin pe tonă de gaze cu efect de seră evitată în timpul exploatării unei instalații cu emisii scăzute de dioxid de carbon după deducerea prețului carbonului</w:t>
      </w:r>
      <w:r w:rsidR="008E21F3">
        <w:t>.</w:t>
      </w:r>
    </w:p>
  </w:footnote>
  <w:footnote w:id="36">
    <w:p w14:paraId="53D66221" w14:textId="2B092595" w:rsidR="006558AC" w:rsidRPr="00C6199D" w:rsidRDefault="06746406" w:rsidP="00896AAF">
      <w:pPr>
        <w:pStyle w:val="FootnoteText"/>
        <w:spacing w:after="0"/>
      </w:pPr>
      <w:r>
        <w:t>(</w:t>
      </w:r>
      <w:r>
        <w:rPr>
          <w:rStyle w:val="FootnoteReference"/>
        </w:rPr>
        <w:footnoteRef/>
      </w:r>
      <w:r>
        <w:t>)</w:t>
      </w:r>
      <w:r w:rsidR="008E21F3">
        <w:tab/>
      </w:r>
      <w:r>
        <w:t>de exemplu LIFE16 ENV/ES/000242 LIFE-2-ACID, LIFE16 ENV/IT/000231 LIFE 4GreenSteel, LIFE19 CCM/IT/001334 LIFE HEATLEAP</w:t>
      </w:r>
      <w:r w:rsidR="008E21F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AE28B" w14:textId="77777777" w:rsidR="00EC0449" w:rsidRPr="00EC0449" w:rsidRDefault="00EC0449" w:rsidP="00EC044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ED1E3" w14:textId="77777777" w:rsidR="00EC0449" w:rsidRPr="00EC0449" w:rsidRDefault="00EC0449" w:rsidP="00EC044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95EA1" w14:textId="77777777" w:rsidR="00EC0449" w:rsidRPr="00EC0449" w:rsidRDefault="00EC0449" w:rsidP="00EC044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C0AAD" w14:textId="77777777" w:rsidR="00F84713" w:rsidRPr="00F84713" w:rsidRDefault="00F84713" w:rsidP="00F84713">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E36E7" w14:textId="77777777" w:rsidR="00F84713" w:rsidRDefault="00F847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AFDFB" w14:textId="77777777" w:rsidR="00F84713" w:rsidRDefault="00F847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3FD6"/>
    <w:multiLevelType w:val="hybridMultilevel"/>
    <w:tmpl w:val="2F6C9B76"/>
    <w:lvl w:ilvl="0" w:tplc="7A6E37F8">
      <w:numFmt w:val="bullet"/>
      <w:lvlText w:val="-"/>
      <w:lvlJc w:val="left"/>
      <w:pPr>
        <w:ind w:left="720" w:hanging="360"/>
      </w:pPr>
      <w:rPr>
        <w:rFonts w:ascii="Times New Roman" w:hAnsi="Times New Roman" w:hint="default"/>
      </w:rPr>
    </w:lvl>
    <w:lvl w:ilvl="1" w:tplc="96CA33BC" w:tentative="1">
      <w:start w:val="1"/>
      <w:numFmt w:val="bullet"/>
      <w:lvlText w:val="o"/>
      <w:lvlJc w:val="left"/>
      <w:pPr>
        <w:ind w:left="1440" w:hanging="360"/>
      </w:pPr>
      <w:rPr>
        <w:rFonts w:ascii="Courier New" w:hAnsi="Courier New" w:hint="default"/>
      </w:rPr>
    </w:lvl>
    <w:lvl w:ilvl="2" w:tplc="38D0E442" w:tentative="1">
      <w:start w:val="1"/>
      <w:numFmt w:val="bullet"/>
      <w:lvlText w:val=""/>
      <w:lvlJc w:val="left"/>
      <w:pPr>
        <w:ind w:left="2160" w:hanging="360"/>
      </w:pPr>
      <w:rPr>
        <w:rFonts w:ascii="Wingdings" w:hAnsi="Wingdings" w:hint="default"/>
      </w:rPr>
    </w:lvl>
    <w:lvl w:ilvl="3" w:tplc="50D445CC" w:tentative="1">
      <w:start w:val="1"/>
      <w:numFmt w:val="bullet"/>
      <w:lvlText w:val=""/>
      <w:lvlJc w:val="left"/>
      <w:pPr>
        <w:ind w:left="2880" w:hanging="360"/>
      </w:pPr>
      <w:rPr>
        <w:rFonts w:ascii="Symbol" w:hAnsi="Symbol" w:hint="default"/>
      </w:rPr>
    </w:lvl>
    <w:lvl w:ilvl="4" w:tplc="1978574E" w:tentative="1">
      <w:start w:val="1"/>
      <w:numFmt w:val="bullet"/>
      <w:lvlText w:val="o"/>
      <w:lvlJc w:val="left"/>
      <w:pPr>
        <w:ind w:left="3600" w:hanging="360"/>
      </w:pPr>
      <w:rPr>
        <w:rFonts w:ascii="Courier New" w:hAnsi="Courier New" w:hint="default"/>
      </w:rPr>
    </w:lvl>
    <w:lvl w:ilvl="5" w:tplc="ABD6AF2E" w:tentative="1">
      <w:start w:val="1"/>
      <w:numFmt w:val="bullet"/>
      <w:lvlText w:val=""/>
      <w:lvlJc w:val="left"/>
      <w:pPr>
        <w:ind w:left="4320" w:hanging="360"/>
      </w:pPr>
      <w:rPr>
        <w:rFonts w:ascii="Wingdings" w:hAnsi="Wingdings" w:hint="default"/>
      </w:rPr>
    </w:lvl>
    <w:lvl w:ilvl="6" w:tplc="17FC8CF0" w:tentative="1">
      <w:start w:val="1"/>
      <w:numFmt w:val="bullet"/>
      <w:lvlText w:val=""/>
      <w:lvlJc w:val="left"/>
      <w:pPr>
        <w:ind w:left="5040" w:hanging="360"/>
      </w:pPr>
      <w:rPr>
        <w:rFonts w:ascii="Symbol" w:hAnsi="Symbol" w:hint="default"/>
      </w:rPr>
    </w:lvl>
    <w:lvl w:ilvl="7" w:tplc="64FA4DF2" w:tentative="1">
      <w:start w:val="1"/>
      <w:numFmt w:val="bullet"/>
      <w:lvlText w:val="o"/>
      <w:lvlJc w:val="left"/>
      <w:pPr>
        <w:ind w:left="5760" w:hanging="360"/>
      </w:pPr>
      <w:rPr>
        <w:rFonts w:ascii="Courier New" w:hAnsi="Courier New" w:hint="default"/>
      </w:rPr>
    </w:lvl>
    <w:lvl w:ilvl="8" w:tplc="97621D4A"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2DFA4414"/>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FB7115"/>
    <w:multiLevelType w:val="multilevel"/>
    <w:tmpl w:val="84202F3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0B7201"/>
    <w:multiLevelType w:val="multilevel"/>
    <w:tmpl w:val="443895B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B8345"/>
    <w:multiLevelType w:val="multilevel"/>
    <w:tmpl w:val="6AD295E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447CDC"/>
    <w:multiLevelType w:val="hybridMultilevel"/>
    <w:tmpl w:val="17D6F5B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62685D"/>
    <w:multiLevelType w:val="multilevel"/>
    <w:tmpl w:val="55528622"/>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3D0A16"/>
    <w:multiLevelType w:val="multilevel"/>
    <w:tmpl w:val="1DEE9B72"/>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BDA91D"/>
    <w:multiLevelType w:val="hybridMultilevel"/>
    <w:tmpl w:val="FFFFFFFF"/>
    <w:lvl w:ilvl="0" w:tplc="0526E9DA">
      <w:start w:val="1"/>
      <w:numFmt w:val="decimal"/>
      <w:lvlText w:val="%1)"/>
      <w:lvlJc w:val="left"/>
      <w:pPr>
        <w:ind w:left="720" w:hanging="360"/>
      </w:pPr>
    </w:lvl>
    <w:lvl w:ilvl="1" w:tplc="DDB4BE5E">
      <w:start w:val="1"/>
      <w:numFmt w:val="lowerLetter"/>
      <w:lvlText w:val="%2."/>
      <w:lvlJc w:val="left"/>
      <w:pPr>
        <w:ind w:left="1440" w:hanging="360"/>
      </w:pPr>
    </w:lvl>
    <w:lvl w:ilvl="2" w:tplc="C11E10AE">
      <w:start w:val="1"/>
      <w:numFmt w:val="lowerRoman"/>
      <w:lvlText w:val="%3."/>
      <w:lvlJc w:val="right"/>
      <w:pPr>
        <w:ind w:left="2160" w:hanging="180"/>
      </w:pPr>
    </w:lvl>
    <w:lvl w:ilvl="3" w:tplc="213C75E0">
      <w:start w:val="1"/>
      <w:numFmt w:val="decimal"/>
      <w:lvlText w:val="%4."/>
      <w:lvlJc w:val="left"/>
      <w:pPr>
        <w:ind w:left="2880" w:hanging="360"/>
      </w:pPr>
    </w:lvl>
    <w:lvl w:ilvl="4" w:tplc="A0D8E94A">
      <w:start w:val="1"/>
      <w:numFmt w:val="lowerLetter"/>
      <w:lvlText w:val="%5."/>
      <w:lvlJc w:val="left"/>
      <w:pPr>
        <w:ind w:left="3600" w:hanging="360"/>
      </w:pPr>
    </w:lvl>
    <w:lvl w:ilvl="5" w:tplc="73ECBE70">
      <w:start w:val="1"/>
      <w:numFmt w:val="lowerRoman"/>
      <w:lvlText w:val="%6."/>
      <w:lvlJc w:val="right"/>
      <w:pPr>
        <w:ind w:left="4320" w:hanging="180"/>
      </w:pPr>
    </w:lvl>
    <w:lvl w:ilvl="6" w:tplc="6DC46AAE">
      <w:start w:val="1"/>
      <w:numFmt w:val="decimal"/>
      <w:lvlText w:val="%7."/>
      <w:lvlJc w:val="left"/>
      <w:pPr>
        <w:ind w:left="5040" w:hanging="360"/>
      </w:pPr>
    </w:lvl>
    <w:lvl w:ilvl="7" w:tplc="12B4E100">
      <w:start w:val="1"/>
      <w:numFmt w:val="lowerLetter"/>
      <w:lvlText w:val="%8."/>
      <w:lvlJc w:val="left"/>
      <w:pPr>
        <w:ind w:left="5760" w:hanging="360"/>
      </w:pPr>
    </w:lvl>
    <w:lvl w:ilvl="8" w:tplc="4F74925A">
      <w:start w:val="1"/>
      <w:numFmt w:val="lowerRoman"/>
      <w:lvlText w:val="%9."/>
      <w:lvlJc w:val="right"/>
      <w:pPr>
        <w:ind w:left="6480" w:hanging="180"/>
      </w:pPr>
    </w:lvl>
  </w:abstractNum>
  <w:abstractNum w:abstractNumId="9" w15:restartNumberingAfterBreak="0">
    <w:nsid w:val="172F0AC5"/>
    <w:multiLevelType w:val="multilevel"/>
    <w:tmpl w:val="BF444EA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7B624F"/>
    <w:multiLevelType w:val="multilevel"/>
    <w:tmpl w:val="BBF0912E"/>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025813"/>
    <w:multiLevelType w:val="hybridMultilevel"/>
    <w:tmpl w:val="2EB2E6E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05446E"/>
    <w:multiLevelType w:val="hybridMultilevel"/>
    <w:tmpl w:val="C7BAE740"/>
    <w:lvl w:ilvl="0" w:tplc="18090011">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24E763CA"/>
    <w:multiLevelType w:val="hybridMultilevel"/>
    <w:tmpl w:val="9DE02484"/>
    <w:lvl w:ilvl="0" w:tplc="15466786">
      <w:start w:val="1"/>
      <w:numFmt w:val="bullet"/>
      <w:lvlText w:val=""/>
      <w:lvlJc w:val="left"/>
      <w:pPr>
        <w:ind w:left="1363" w:hanging="360"/>
      </w:pPr>
      <w:rPr>
        <w:rFonts w:ascii="Symbol" w:hAnsi="Symbol" w:hint="default"/>
      </w:rPr>
    </w:lvl>
    <w:lvl w:ilvl="1" w:tplc="FE1C1528">
      <w:start w:val="1"/>
      <w:numFmt w:val="decimal"/>
      <w:lvlText w:val="%2."/>
      <w:lvlJc w:val="left"/>
      <w:pPr>
        <w:ind w:left="2083" w:hanging="360"/>
      </w:pPr>
    </w:lvl>
    <w:lvl w:ilvl="2" w:tplc="1B5AA16E">
      <w:start w:val="1"/>
      <w:numFmt w:val="bullet"/>
      <w:lvlText w:val=""/>
      <w:lvlJc w:val="left"/>
      <w:pPr>
        <w:ind w:left="2803" w:hanging="360"/>
      </w:pPr>
      <w:rPr>
        <w:rFonts w:ascii="Wingdings" w:hAnsi="Wingdings" w:hint="default"/>
      </w:rPr>
    </w:lvl>
    <w:lvl w:ilvl="3" w:tplc="AB42A3A0">
      <w:start w:val="1"/>
      <w:numFmt w:val="bullet"/>
      <w:lvlText w:val=""/>
      <w:lvlJc w:val="left"/>
      <w:pPr>
        <w:ind w:left="3523" w:hanging="360"/>
      </w:pPr>
      <w:rPr>
        <w:rFonts w:ascii="Symbol" w:hAnsi="Symbol" w:hint="default"/>
      </w:rPr>
    </w:lvl>
    <w:lvl w:ilvl="4" w:tplc="CC5EBBC0">
      <w:start w:val="1"/>
      <w:numFmt w:val="bullet"/>
      <w:lvlText w:val="o"/>
      <w:lvlJc w:val="left"/>
      <w:pPr>
        <w:ind w:left="4243" w:hanging="360"/>
      </w:pPr>
      <w:rPr>
        <w:rFonts w:ascii="Courier New" w:hAnsi="Courier New" w:hint="default"/>
      </w:rPr>
    </w:lvl>
    <w:lvl w:ilvl="5" w:tplc="377E6568">
      <w:start w:val="1"/>
      <w:numFmt w:val="bullet"/>
      <w:lvlText w:val=""/>
      <w:lvlJc w:val="left"/>
      <w:pPr>
        <w:ind w:left="4963" w:hanging="360"/>
      </w:pPr>
      <w:rPr>
        <w:rFonts w:ascii="Wingdings" w:hAnsi="Wingdings" w:hint="default"/>
      </w:rPr>
    </w:lvl>
    <w:lvl w:ilvl="6" w:tplc="A2A4DB36">
      <w:start w:val="1"/>
      <w:numFmt w:val="bullet"/>
      <w:lvlText w:val=""/>
      <w:lvlJc w:val="left"/>
      <w:pPr>
        <w:ind w:left="5683" w:hanging="360"/>
      </w:pPr>
      <w:rPr>
        <w:rFonts w:ascii="Symbol" w:hAnsi="Symbol" w:hint="default"/>
      </w:rPr>
    </w:lvl>
    <w:lvl w:ilvl="7" w:tplc="33465A72">
      <w:start w:val="1"/>
      <w:numFmt w:val="bullet"/>
      <w:lvlText w:val="o"/>
      <w:lvlJc w:val="left"/>
      <w:pPr>
        <w:ind w:left="6403" w:hanging="360"/>
      </w:pPr>
      <w:rPr>
        <w:rFonts w:ascii="Courier New" w:hAnsi="Courier New" w:hint="default"/>
      </w:rPr>
    </w:lvl>
    <w:lvl w:ilvl="8" w:tplc="3E304AE8">
      <w:start w:val="1"/>
      <w:numFmt w:val="bullet"/>
      <w:lvlText w:val=""/>
      <w:lvlJc w:val="left"/>
      <w:pPr>
        <w:ind w:left="7123" w:hanging="360"/>
      </w:pPr>
      <w:rPr>
        <w:rFonts w:ascii="Wingdings" w:hAnsi="Wingdings" w:hint="default"/>
      </w:rPr>
    </w:lvl>
  </w:abstractNum>
  <w:abstractNum w:abstractNumId="14" w15:restartNumberingAfterBreak="0">
    <w:nsid w:val="2A024407"/>
    <w:multiLevelType w:val="hybridMultilevel"/>
    <w:tmpl w:val="F1921F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4D6C7D"/>
    <w:multiLevelType w:val="hybridMultilevel"/>
    <w:tmpl w:val="2EB2E6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8DFDF8"/>
    <w:multiLevelType w:val="multilevel"/>
    <w:tmpl w:val="2E0E5B60"/>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293CE3"/>
    <w:multiLevelType w:val="multilevel"/>
    <w:tmpl w:val="9A38D11E"/>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293CF4"/>
    <w:multiLevelType w:val="multilevel"/>
    <w:tmpl w:val="C3E23C5C"/>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FD656B3"/>
    <w:multiLevelType w:val="hybridMultilevel"/>
    <w:tmpl w:val="AA588A10"/>
    <w:lvl w:ilvl="0" w:tplc="B3844216">
      <w:start w:val="1"/>
      <w:numFmt w:val="bullet"/>
      <w:lvlText w:val=""/>
      <w:lvlJc w:val="left"/>
      <w:pPr>
        <w:ind w:left="1080" w:hanging="360"/>
      </w:pPr>
      <w:rPr>
        <w:rFonts w:ascii="Symbol" w:hAnsi="Symbol" w:hint="default"/>
      </w:rPr>
    </w:lvl>
    <w:lvl w:ilvl="1" w:tplc="C3E0ECEC" w:tentative="1">
      <w:start w:val="1"/>
      <w:numFmt w:val="bullet"/>
      <w:lvlText w:val="o"/>
      <w:lvlJc w:val="left"/>
      <w:pPr>
        <w:ind w:left="1800" w:hanging="360"/>
      </w:pPr>
      <w:rPr>
        <w:rFonts w:ascii="Courier New" w:hAnsi="Courier New" w:hint="default"/>
      </w:rPr>
    </w:lvl>
    <w:lvl w:ilvl="2" w:tplc="C510A080" w:tentative="1">
      <w:start w:val="1"/>
      <w:numFmt w:val="bullet"/>
      <w:lvlText w:val=""/>
      <w:lvlJc w:val="left"/>
      <w:pPr>
        <w:ind w:left="2520" w:hanging="360"/>
      </w:pPr>
      <w:rPr>
        <w:rFonts w:ascii="Wingdings" w:hAnsi="Wingdings" w:hint="default"/>
      </w:rPr>
    </w:lvl>
    <w:lvl w:ilvl="3" w:tplc="EA789154" w:tentative="1">
      <w:start w:val="1"/>
      <w:numFmt w:val="bullet"/>
      <w:lvlText w:val=""/>
      <w:lvlJc w:val="left"/>
      <w:pPr>
        <w:ind w:left="3240" w:hanging="360"/>
      </w:pPr>
      <w:rPr>
        <w:rFonts w:ascii="Symbol" w:hAnsi="Symbol" w:hint="default"/>
      </w:rPr>
    </w:lvl>
    <w:lvl w:ilvl="4" w:tplc="BD04B564" w:tentative="1">
      <w:start w:val="1"/>
      <w:numFmt w:val="bullet"/>
      <w:lvlText w:val="o"/>
      <w:lvlJc w:val="left"/>
      <w:pPr>
        <w:ind w:left="3960" w:hanging="360"/>
      </w:pPr>
      <w:rPr>
        <w:rFonts w:ascii="Courier New" w:hAnsi="Courier New" w:hint="default"/>
      </w:rPr>
    </w:lvl>
    <w:lvl w:ilvl="5" w:tplc="59AA4706" w:tentative="1">
      <w:start w:val="1"/>
      <w:numFmt w:val="bullet"/>
      <w:lvlText w:val=""/>
      <w:lvlJc w:val="left"/>
      <w:pPr>
        <w:ind w:left="4680" w:hanging="360"/>
      </w:pPr>
      <w:rPr>
        <w:rFonts w:ascii="Wingdings" w:hAnsi="Wingdings" w:hint="default"/>
      </w:rPr>
    </w:lvl>
    <w:lvl w:ilvl="6" w:tplc="20CC8DC6" w:tentative="1">
      <w:start w:val="1"/>
      <w:numFmt w:val="bullet"/>
      <w:lvlText w:val=""/>
      <w:lvlJc w:val="left"/>
      <w:pPr>
        <w:ind w:left="5400" w:hanging="360"/>
      </w:pPr>
      <w:rPr>
        <w:rFonts w:ascii="Symbol" w:hAnsi="Symbol" w:hint="default"/>
      </w:rPr>
    </w:lvl>
    <w:lvl w:ilvl="7" w:tplc="53D22BAE" w:tentative="1">
      <w:start w:val="1"/>
      <w:numFmt w:val="bullet"/>
      <w:lvlText w:val="o"/>
      <w:lvlJc w:val="left"/>
      <w:pPr>
        <w:ind w:left="6120" w:hanging="360"/>
      </w:pPr>
      <w:rPr>
        <w:rFonts w:ascii="Courier New" w:hAnsi="Courier New" w:hint="default"/>
      </w:rPr>
    </w:lvl>
    <w:lvl w:ilvl="8" w:tplc="2E42F9F8" w:tentative="1">
      <w:start w:val="1"/>
      <w:numFmt w:val="bullet"/>
      <w:lvlText w:val=""/>
      <w:lvlJc w:val="left"/>
      <w:pPr>
        <w:ind w:left="6840" w:hanging="360"/>
      </w:pPr>
      <w:rPr>
        <w:rFonts w:ascii="Wingdings" w:hAnsi="Wingdings" w:hint="default"/>
      </w:rPr>
    </w:lvl>
  </w:abstractNum>
  <w:abstractNum w:abstractNumId="20" w15:restartNumberingAfterBreak="0">
    <w:nsid w:val="328268D1"/>
    <w:multiLevelType w:val="hybridMultilevel"/>
    <w:tmpl w:val="ADD43B08"/>
    <w:lvl w:ilvl="0" w:tplc="BE82393A">
      <w:start w:val="1"/>
      <w:numFmt w:val="decimal"/>
      <w:lvlText w:val="%1)"/>
      <w:lvlJc w:val="left"/>
      <w:pPr>
        <w:ind w:left="842" w:hanging="360"/>
      </w:pPr>
      <w:rPr>
        <w:rFonts w:hint="default"/>
      </w:rPr>
    </w:lvl>
    <w:lvl w:ilvl="1" w:tplc="18090019" w:tentative="1">
      <w:start w:val="1"/>
      <w:numFmt w:val="lowerLetter"/>
      <w:lvlText w:val="%2."/>
      <w:lvlJc w:val="left"/>
      <w:pPr>
        <w:ind w:left="1562" w:hanging="360"/>
      </w:pPr>
    </w:lvl>
    <w:lvl w:ilvl="2" w:tplc="1809001B" w:tentative="1">
      <w:start w:val="1"/>
      <w:numFmt w:val="lowerRoman"/>
      <w:lvlText w:val="%3."/>
      <w:lvlJc w:val="right"/>
      <w:pPr>
        <w:ind w:left="2282" w:hanging="180"/>
      </w:pPr>
    </w:lvl>
    <w:lvl w:ilvl="3" w:tplc="1809000F" w:tentative="1">
      <w:start w:val="1"/>
      <w:numFmt w:val="decimal"/>
      <w:lvlText w:val="%4."/>
      <w:lvlJc w:val="left"/>
      <w:pPr>
        <w:ind w:left="3002" w:hanging="360"/>
      </w:pPr>
    </w:lvl>
    <w:lvl w:ilvl="4" w:tplc="18090019" w:tentative="1">
      <w:start w:val="1"/>
      <w:numFmt w:val="lowerLetter"/>
      <w:lvlText w:val="%5."/>
      <w:lvlJc w:val="left"/>
      <w:pPr>
        <w:ind w:left="3722" w:hanging="360"/>
      </w:pPr>
    </w:lvl>
    <w:lvl w:ilvl="5" w:tplc="1809001B" w:tentative="1">
      <w:start w:val="1"/>
      <w:numFmt w:val="lowerRoman"/>
      <w:lvlText w:val="%6."/>
      <w:lvlJc w:val="right"/>
      <w:pPr>
        <w:ind w:left="4442" w:hanging="180"/>
      </w:pPr>
    </w:lvl>
    <w:lvl w:ilvl="6" w:tplc="1809000F" w:tentative="1">
      <w:start w:val="1"/>
      <w:numFmt w:val="decimal"/>
      <w:lvlText w:val="%7."/>
      <w:lvlJc w:val="left"/>
      <w:pPr>
        <w:ind w:left="5162" w:hanging="360"/>
      </w:pPr>
    </w:lvl>
    <w:lvl w:ilvl="7" w:tplc="18090019" w:tentative="1">
      <w:start w:val="1"/>
      <w:numFmt w:val="lowerLetter"/>
      <w:lvlText w:val="%8."/>
      <w:lvlJc w:val="left"/>
      <w:pPr>
        <w:ind w:left="5882" w:hanging="360"/>
      </w:pPr>
    </w:lvl>
    <w:lvl w:ilvl="8" w:tplc="1809001B" w:tentative="1">
      <w:start w:val="1"/>
      <w:numFmt w:val="lowerRoman"/>
      <w:lvlText w:val="%9."/>
      <w:lvlJc w:val="right"/>
      <w:pPr>
        <w:ind w:left="6602" w:hanging="180"/>
      </w:pPr>
    </w:lvl>
  </w:abstractNum>
  <w:abstractNum w:abstractNumId="21" w15:restartNumberingAfterBreak="0">
    <w:nsid w:val="329F2EAE"/>
    <w:multiLevelType w:val="hybridMultilevel"/>
    <w:tmpl w:val="1AB02FC2"/>
    <w:lvl w:ilvl="0" w:tplc="7C4E1BFA">
      <w:start w:val="1"/>
      <w:numFmt w:val="bullet"/>
      <w:lvlText w:val="•"/>
      <w:lvlJc w:val="left"/>
      <w:pPr>
        <w:tabs>
          <w:tab w:val="num" w:pos="720"/>
        </w:tabs>
        <w:ind w:left="720" w:hanging="360"/>
      </w:pPr>
      <w:rPr>
        <w:rFonts w:ascii="Arial" w:hAnsi="Arial" w:hint="default"/>
      </w:rPr>
    </w:lvl>
    <w:lvl w:ilvl="1" w:tplc="8DDE244A" w:tentative="1">
      <w:start w:val="1"/>
      <w:numFmt w:val="bullet"/>
      <w:lvlText w:val="•"/>
      <w:lvlJc w:val="left"/>
      <w:pPr>
        <w:tabs>
          <w:tab w:val="num" w:pos="1440"/>
        </w:tabs>
        <w:ind w:left="1440" w:hanging="360"/>
      </w:pPr>
      <w:rPr>
        <w:rFonts w:ascii="Arial" w:hAnsi="Arial" w:hint="default"/>
      </w:rPr>
    </w:lvl>
    <w:lvl w:ilvl="2" w:tplc="AB64A5EC" w:tentative="1">
      <w:start w:val="1"/>
      <w:numFmt w:val="bullet"/>
      <w:lvlText w:val="•"/>
      <w:lvlJc w:val="left"/>
      <w:pPr>
        <w:tabs>
          <w:tab w:val="num" w:pos="2160"/>
        </w:tabs>
        <w:ind w:left="2160" w:hanging="360"/>
      </w:pPr>
      <w:rPr>
        <w:rFonts w:ascii="Arial" w:hAnsi="Arial" w:hint="default"/>
      </w:rPr>
    </w:lvl>
    <w:lvl w:ilvl="3" w:tplc="FE40690E" w:tentative="1">
      <w:start w:val="1"/>
      <w:numFmt w:val="bullet"/>
      <w:lvlText w:val="•"/>
      <w:lvlJc w:val="left"/>
      <w:pPr>
        <w:tabs>
          <w:tab w:val="num" w:pos="2880"/>
        </w:tabs>
        <w:ind w:left="2880" w:hanging="360"/>
      </w:pPr>
      <w:rPr>
        <w:rFonts w:ascii="Arial" w:hAnsi="Arial" w:hint="default"/>
      </w:rPr>
    </w:lvl>
    <w:lvl w:ilvl="4" w:tplc="C042424C" w:tentative="1">
      <w:start w:val="1"/>
      <w:numFmt w:val="bullet"/>
      <w:lvlText w:val="•"/>
      <w:lvlJc w:val="left"/>
      <w:pPr>
        <w:tabs>
          <w:tab w:val="num" w:pos="3600"/>
        </w:tabs>
        <w:ind w:left="3600" w:hanging="360"/>
      </w:pPr>
      <w:rPr>
        <w:rFonts w:ascii="Arial" w:hAnsi="Arial" w:hint="default"/>
      </w:rPr>
    </w:lvl>
    <w:lvl w:ilvl="5" w:tplc="CD642AFC" w:tentative="1">
      <w:start w:val="1"/>
      <w:numFmt w:val="bullet"/>
      <w:lvlText w:val="•"/>
      <w:lvlJc w:val="left"/>
      <w:pPr>
        <w:tabs>
          <w:tab w:val="num" w:pos="4320"/>
        </w:tabs>
        <w:ind w:left="4320" w:hanging="360"/>
      </w:pPr>
      <w:rPr>
        <w:rFonts w:ascii="Arial" w:hAnsi="Arial" w:hint="default"/>
      </w:rPr>
    </w:lvl>
    <w:lvl w:ilvl="6" w:tplc="860E6F60" w:tentative="1">
      <w:start w:val="1"/>
      <w:numFmt w:val="bullet"/>
      <w:lvlText w:val="•"/>
      <w:lvlJc w:val="left"/>
      <w:pPr>
        <w:tabs>
          <w:tab w:val="num" w:pos="5040"/>
        </w:tabs>
        <w:ind w:left="5040" w:hanging="360"/>
      </w:pPr>
      <w:rPr>
        <w:rFonts w:ascii="Arial" w:hAnsi="Arial" w:hint="default"/>
      </w:rPr>
    </w:lvl>
    <w:lvl w:ilvl="7" w:tplc="1EF88E8C" w:tentative="1">
      <w:start w:val="1"/>
      <w:numFmt w:val="bullet"/>
      <w:lvlText w:val="•"/>
      <w:lvlJc w:val="left"/>
      <w:pPr>
        <w:tabs>
          <w:tab w:val="num" w:pos="5760"/>
        </w:tabs>
        <w:ind w:left="5760" w:hanging="360"/>
      </w:pPr>
      <w:rPr>
        <w:rFonts w:ascii="Arial" w:hAnsi="Arial" w:hint="default"/>
      </w:rPr>
    </w:lvl>
    <w:lvl w:ilvl="8" w:tplc="203E49C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2E40F71"/>
    <w:multiLevelType w:val="hybridMultilevel"/>
    <w:tmpl w:val="DDDC0304"/>
    <w:lvl w:ilvl="0" w:tplc="0C7EB658">
      <w:start w:val="1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3D157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4C3BCF2"/>
    <w:multiLevelType w:val="hybridMultilevel"/>
    <w:tmpl w:val="FFFFFFFF"/>
    <w:lvl w:ilvl="0" w:tplc="C3985130">
      <w:start w:val="1"/>
      <w:numFmt w:val="bullet"/>
      <w:lvlText w:val="-"/>
      <w:lvlJc w:val="left"/>
      <w:pPr>
        <w:ind w:left="720" w:hanging="360"/>
      </w:pPr>
      <w:rPr>
        <w:rFonts w:ascii="Aptos" w:hAnsi="Aptos" w:hint="default"/>
      </w:rPr>
    </w:lvl>
    <w:lvl w:ilvl="1" w:tplc="24BCAE10">
      <w:start w:val="1"/>
      <w:numFmt w:val="bullet"/>
      <w:lvlText w:val="o"/>
      <w:lvlJc w:val="left"/>
      <w:pPr>
        <w:ind w:left="1440" w:hanging="360"/>
      </w:pPr>
      <w:rPr>
        <w:rFonts w:ascii="Courier New" w:hAnsi="Courier New" w:hint="default"/>
      </w:rPr>
    </w:lvl>
    <w:lvl w:ilvl="2" w:tplc="29A8555C">
      <w:start w:val="1"/>
      <w:numFmt w:val="bullet"/>
      <w:lvlText w:val=""/>
      <w:lvlJc w:val="left"/>
      <w:pPr>
        <w:ind w:left="2160" w:hanging="360"/>
      </w:pPr>
      <w:rPr>
        <w:rFonts w:ascii="Wingdings" w:hAnsi="Wingdings" w:hint="default"/>
      </w:rPr>
    </w:lvl>
    <w:lvl w:ilvl="3" w:tplc="09B6ED6A">
      <w:start w:val="1"/>
      <w:numFmt w:val="bullet"/>
      <w:lvlText w:val=""/>
      <w:lvlJc w:val="left"/>
      <w:pPr>
        <w:ind w:left="2880" w:hanging="360"/>
      </w:pPr>
      <w:rPr>
        <w:rFonts w:ascii="Symbol" w:hAnsi="Symbol" w:hint="default"/>
      </w:rPr>
    </w:lvl>
    <w:lvl w:ilvl="4" w:tplc="BB681F30">
      <w:start w:val="1"/>
      <w:numFmt w:val="bullet"/>
      <w:lvlText w:val="o"/>
      <w:lvlJc w:val="left"/>
      <w:pPr>
        <w:ind w:left="3600" w:hanging="360"/>
      </w:pPr>
      <w:rPr>
        <w:rFonts w:ascii="Courier New" w:hAnsi="Courier New" w:hint="default"/>
      </w:rPr>
    </w:lvl>
    <w:lvl w:ilvl="5" w:tplc="DA90477E">
      <w:start w:val="1"/>
      <w:numFmt w:val="bullet"/>
      <w:lvlText w:val=""/>
      <w:lvlJc w:val="left"/>
      <w:pPr>
        <w:ind w:left="4320" w:hanging="360"/>
      </w:pPr>
      <w:rPr>
        <w:rFonts w:ascii="Wingdings" w:hAnsi="Wingdings" w:hint="default"/>
      </w:rPr>
    </w:lvl>
    <w:lvl w:ilvl="6" w:tplc="FE28E8AA">
      <w:start w:val="1"/>
      <w:numFmt w:val="bullet"/>
      <w:lvlText w:val=""/>
      <w:lvlJc w:val="left"/>
      <w:pPr>
        <w:ind w:left="5040" w:hanging="360"/>
      </w:pPr>
      <w:rPr>
        <w:rFonts w:ascii="Symbol" w:hAnsi="Symbol" w:hint="default"/>
      </w:rPr>
    </w:lvl>
    <w:lvl w:ilvl="7" w:tplc="7B306C1C">
      <w:start w:val="1"/>
      <w:numFmt w:val="bullet"/>
      <w:lvlText w:val="o"/>
      <w:lvlJc w:val="left"/>
      <w:pPr>
        <w:ind w:left="5760" w:hanging="360"/>
      </w:pPr>
      <w:rPr>
        <w:rFonts w:ascii="Courier New" w:hAnsi="Courier New" w:hint="default"/>
      </w:rPr>
    </w:lvl>
    <w:lvl w:ilvl="8" w:tplc="00DC63FA">
      <w:start w:val="1"/>
      <w:numFmt w:val="bullet"/>
      <w:lvlText w:val=""/>
      <w:lvlJc w:val="left"/>
      <w:pPr>
        <w:ind w:left="6480" w:hanging="360"/>
      </w:pPr>
      <w:rPr>
        <w:rFonts w:ascii="Wingdings" w:hAnsi="Wingdings" w:hint="default"/>
      </w:rPr>
    </w:lvl>
  </w:abstractNum>
  <w:abstractNum w:abstractNumId="25" w15:restartNumberingAfterBreak="0">
    <w:nsid w:val="35A267AD"/>
    <w:multiLevelType w:val="hybridMultilevel"/>
    <w:tmpl w:val="FFFFFFFF"/>
    <w:lvl w:ilvl="0" w:tplc="FA30BFE2">
      <w:start w:val="1"/>
      <w:numFmt w:val="decimal"/>
      <w:lvlText w:val="%1)"/>
      <w:lvlJc w:val="left"/>
      <w:pPr>
        <w:ind w:left="1723" w:hanging="360"/>
      </w:pPr>
    </w:lvl>
    <w:lvl w:ilvl="1" w:tplc="E7EE2A6C">
      <w:start w:val="1"/>
      <w:numFmt w:val="lowerLetter"/>
      <w:lvlText w:val="%2."/>
      <w:lvlJc w:val="left"/>
      <w:pPr>
        <w:ind w:left="2443" w:hanging="360"/>
      </w:pPr>
    </w:lvl>
    <w:lvl w:ilvl="2" w:tplc="D4C8B3B4">
      <w:start w:val="1"/>
      <w:numFmt w:val="lowerRoman"/>
      <w:lvlText w:val="%3."/>
      <w:lvlJc w:val="right"/>
      <w:pPr>
        <w:ind w:left="3163" w:hanging="180"/>
      </w:pPr>
    </w:lvl>
    <w:lvl w:ilvl="3" w:tplc="B108FD3C">
      <w:start w:val="1"/>
      <w:numFmt w:val="decimal"/>
      <w:lvlText w:val="%4."/>
      <w:lvlJc w:val="left"/>
      <w:pPr>
        <w:ind w:left="3883" w:hanging="360"/>
      </w:pPr>
    </w:lvl>
    <w:lvl w:ilvl="4" w:tplc="91CE31D6">
      <w:start w:val="1"/>
      <w:numFmt w:val="lowerLetter"/>
      <w:lvlText w:val="%5."/>
      <w:lvlJc w:val="left"/>
      <w:pPr>
        <w:ind w:left="4603" w:hanging="360"/>
      </w:pPr>
    </w:lvl>
    <w:lvl w:ilvl="5" w:tplc="525E5376">
      <w:start w:val="1"/>
      <w:numFmt w:val="lowerRoman"/>
      <w:lvlText w:val="%6."/>
      <w:lvlJc w:val="right"/>
      <w:pPr>
        <w:ind w:left="5323" w:hanging="180"/>
      </w:pPr>
    </w:lvl>
    <w:lvl w:ilvl="6" w:tplc="3DA8DE58">
      <w:start w:val="1"/>
      <w:numFmt w:val="decimal"/>
      <w:lvlText w:val="%7."/>
      <w:lvlJc w:val="left"/>
      <w:pPr>
        <w:ind w:left="6043" w:hanging="360"/>
      </w:pPr>
    </w:lvl>
    <w:lvl w:ilvl="7" w:tplc="96C813D8">
      <w:start w:val="1"/>
      <w:numFmt w:val="lowerLetter"/>
      <w:lvlText w:val="%8."/>
      <w:lvlJc w:val="left"/>
      <w:pPr>
        <w:ind w:left="6763" w:hanging="360"/>
      </w:pPr>
    </w:lvl>
    <w:lvl w:ilvl="8" w:tplc="9826900A">
      <w:start w:val="1"/>
      <w:numFmt w:val="lowerRoman"/>
      <w:lvlText w:val="%9."/>
      <w:lvlJc w:val="right"/>
      <w:pPr>
        <w:ind w:left="7483" w:hanging="180"/>
      </w:pPr>
    </w:lvl>
  </w:abstractNum>
  <w:abstractNum w:abstractNumId="26" w15:restartNumberingAfterBreak="0">
    <w:nsid w:val="36324F1E"/>
    <w:multiLevelType w:val="multilevel"/>
    <w:tmpl w:val="3D647660"/>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7CB1E1C"/>
    <w:multiLevelType w:val="multilevel"/>
    <w:tmpl w:val="FC5274D8"/>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9635BAA"/>
    <w:multiLevelType w:val="hybridMultilevel"/>
    <w:tmpl w:val="51E8A2B6"/>
    <w:lvl w:ilvl="0" w:tplc="A9B650FC">
      <w:numFmt w:val="bullet"/>
      <w:lvlText w:val="-"/>
      <w:lvlJc w:val="left"/>
      <w:pPr>
        <w:ind w:left="720" w:hanging="360"/>
      </w:pPr>
      <w:rPr>
        <w:rFonts w:ascii="Times New Roman" w:hAnsi="Times New Roman" w:hint="default"/>
      </w:rPr>
    </w:lvl>
    <w:lvl w:ilvl="1" w:tplc="6E4010E4" w:tentative="1">
      <w:start w:val="1"/>
      <w:numFmt w:val="bullet"/>
      <w:lvlText w:val="o"/>
      <w:lvlJc w:val="left"/>
      <w:pPr>
        <w:ind w:left="1440" w:hanging="360"/>
      </w:pPr>
      <w:rPr>
        <w:rFonts w:ascii="Courier New" w:hAnsi="Courier New" w:hint="default"/>
      </w:rPr>
    </w:lvl>
    <w:lvl w:ilvl="2" w:tplc="5F1ACA52" w:tentative="1">
      <w:start w:val="1"/>
      <w:numFmt w:val="bullet"/>
      <w:lvlText w:val=""/>
      <w:lvlJc w:val="left"/>
      <w:pPr>
        <w:ind w:left="2160" w:hanging="360"/>
      </w:pPr>
      <w:rPr>
        <w:rFonts w:ascii="Wingdings" w:hAnsi="Wingdings" w:hint="default"/>
      </w:rPr>
    </w:lvl>
    <w:lvl w:ilvl="3" w:tplc="37DED00A" w:tentative="1">
      <w:start w:val="1"/>
      <w:numFmt w:val="bullet"/>
      <w:lvlText w:val=""/>
      <w:lvlJc w:val="left"/>
      <w:pPr>
        <w:ind w:left="2880" w:hanging="360"/>
      </w:pPr>
      <w:rPr>
        <w:rFonts w:ascii="Symbol" w:hAnsi="Symbol" w:hint="default"/>
      </w:rPr>
    </w:lvl>
    <w:lvl w:ilvl="4" w:tplc="891C684A" w:tentative="1">
      <w:start w:val="1"/>
      <w:numFmt w:val="bullet"/>
      <w:lvlText w:val="o"/>
      <w:lvlJc w:val="left"/>
      <w:pPr>
        <w:ind w:left="3600" w:hanging="360"/>
      </w:pPr>
      <w:rPr>
        <w:rFonts w:ascii="Courier New" w:hAnsi="Courier New" w:hint="default"/>
      </w:rPr>
    </w:lvl>
    <w:lvl w:ilvl="5" w:tplc="5C12824A" w:tentative="1">
      <w:start w:val="1"/>
      <w:numFmt w:val="bullet"/>
      <w:lvlText w:val=""/>
      <w:lvlJc w:val="left"/>
      <w:pPr>
        <w:ind w:left="4320" w:hanging="360"/>
      </w:pPr>
      <w:rPr>
        <w:rFonts w:ascii="Wingdings" w:hAnsi="Wingdings" w:hint="default"/>
      </w:rPr>
    </w:lvl>
    <w:lvl w:ilvl="6" w:tplc="DDA21FF0" w:tentative="1">
      <w:start w:val="1"/>
      <w:numFmt w:val="bullet"/>
      <w:lvlText w:val=""/>
      <w:lvlJc w:val="left"/>
      <w:pPr>
        <w:ind w:left="5040" w:hanging="360"/>
      </w:pPr>
      <w:rPr>
        <w:rFonts w:ascii="Symbol" w:hAnsi="Symbol" w:hint="default"/>
      </w:rPr>
    </w:lvl>
    <w:lvl w:ilvl="7" w:tplc="A5F2E8FA" w:tentative="1">
      <w:start w:val="1"/>
      <w:numFmt w:val="bullet"/>
      <w:lvlText w:val="o"/>
      <w:lvlJc w:val="left"/>
      <w:pPr>
        <w:ind w:left="5760" w:hanging="360"/>
      </w:pPr>
      <w:rPr>
        <w:rFonts w:ascii="Courier New" w:hAnsi="Courier New" w:hint="default"/>
      </w:rPr>
    </w:lvl>
    <w:lvl w:ilvl="8" w:tplc="5FD04D0E" w:tentative="1">
      <w:start w:val="1"/>
      <w:numFmt w:val="bullet"/>
      <w:lvlText w:val=""/>
      <w:lvlJc w:val="left"/>
      <w:pPr>
        <w:ind w:left="6480" w:hanging="360"/>
      </w:pPr>
      <w:rPr>
        <w:rFonts w:ascii="Wingdings" w:hAnsi="Wingdings" w:hint="default"/>
      </w:rPr>
    </w:lvl>
  </w:abstractNum>
  <w:abstractNum w:abstractNumId="29" w15:restartNumberingAfterBreak="0">
    <w:nsid w:val="3A7730C4"/>
    <w:multiLevelType w:val="multilevel"/>
    <w:tmpl w:val="058C1A66"/>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A7F8352"/>
    <w:multiLevelType w:val="hybridMultilevel"/>
    <w:tmpl w:val="2EA0267C"/>
    <w:lvl w:ilvl="0" w:tplc="E5825BD0">
      <w:start w:val="1"/>
      <w:numFmt w:val="bullet"/>
      <w:lvlText w:val="-"/>
      <w:lvlJc w:val="left"/>
      <w:pPr>
        <w:ind w:left="720" w:hanging="360"/>
      </w:pPr>
      <w:rPr>
        <w:rFonts w:ascii="Aptos" w:hAnsi="Aptos" w:hint="default"/>
      </w:rPr>
    </w:lvl>
    <w:lvl w:ilvl="1" w:tplc="A0BE2004">
      <w:start w:val="1"/>
      <w:numFmt w:val="bullet"/>
      <w:lvlText w:val="o"/>
      <w:lvlJc w:val="left"/>
      <w:pPr>
        <w:ind w:left="1440" w:hanging="360"/>
      </w:pPr>
      <w:rPr>
        <w:rFonts w:ascii="Courier New" w:hAnsi="Courier New" w:hint="default"/>
      </w:rPr>
    </w:lvl>
    <w:lvl w:ilvl="2" w:tplc="841CAE58">
      <w:start w:val="1"/>
      <w:numFmt w:val="bullet"/>
      <w:lvlText w:val=""/>
      <w:lvlJc w:val="left"/>
      <w:pPr>
        <w:ind w:left="2160" w:hanging="360"/>
      </w:pPr>
      <w:rPr>
        <w:rFonts w:ascii="Wingdings" w:hAnsi="Wingdings" w:hint="default"/>
      </w:rPr>
    </w:lvl>
    <w:lvl w:ilvl="3" w:tplc="1C6832F4">
      <w:start w:val="1"/>
      <w:numFmt w:val="bullet"/>
      <w:lvlText w:val=""/>
      <w:lvlJc w:val="left"/>
      <w:pPr>
        <w:ind w:left="2880" w:hanging="360"/>
      </w:pPr>
      <w:rPr>
        <w:rFonts w:ascii="Symbol" w:hAnsi="Symbol" w:hint="default"/>
      </w:rPr>
    </w:lvl>
    <w:lvl w:ilvl="4" w:tplc="45D0B1D6">
      <w:start w:val="1"/>
      <w:numFmt w:val="bullet"/>
      <w:lvlText w:val="o"/>
      <w:lvlJc w:val="left"/>
      <w:pPr>
        <w:ind w:left="3600" w:hanging="360"/>
      </w:pPr>
      <w:rPr>
        <w:rFonts w:ascii="Courier New" w:hAnsi="Courier New" w:hint="default"/>
      </w:rPr>
    </w:lvl>
    <w:lvl w:ilvl="5" w:tplc="FAC60454">
      <w:start w:val="1"/>
      <w:numFmt w:val="bullet"/>
      <w:lvlText w:val=""/>
      <w:lvlJc w:val="left"/>
      <w:pPr>
        <w:ind w:left="4320" w:hanging="360"/>
      </w:pPr>
      <w:rPr>
        <w:rFonts w:ascii="Wingdings" w:hAnsi="Wingdings" w:hint="default"/>
      </w:rPr>
    </w:lvl>
    <w:lvl w:ilvl="6" w:tplc="8CFE6E50">
      <w:start w:val="1"/>
      <w:numFmt w:val="bullet"/>
      <w:lvlText w:val=""/>
      <w:lvlJc w:val="left"/>
      <w:pPr>
        <w:ind w:left="5040" w:hanging="360"/>
      </w:pPr>
      <w:rPr>
        <w:rFonts w:ascii="Symbol" w:hAnsi="Symbol" w:hint="default"/>
      </w:rPr>
    </w:lvl>
    <w:lvl w:ilvl="7" w:tplc="553AFAF4">
      <w:start w:val="1"/>
      <w:numFmt w:val="bullet"/>
      <w:lvlText w:val="o"/>
      <w:lvlJc w:val="left"/>
      <w:pPr>
        <w:ind w:left="5760" w:hanging="360"/>
      </w:pPr>
      <w:rPr>
        <w:rFonts w:ascii="Courier New" w:hAnsi="Courier New" w:hint="default"/>
      </w:rPr>
    </w:lvl>
    <w:lvl w:ilvl="8" w:tplc="F73E89AC">
      <w:start w:val="1"/>
      <w:numFmt w:val="bullet"/>
      <w:lvlText w:val=""/>
      <w:lvlJc w:val="left"/>
      <w:pPr>
        <w:ind w:left="6480" w:hanging="360"/>
      </w:pPr>
      <w:rPr>
        <w:rFonts w:ascii="Wingdings" w:hAnsi="Wingdings" w:hint="default"/>
      </w:rPr>
    </w:lvl>
  </w:abstractNum>
  <w:abstractNum w:abstractNumId="31" w15:restartNumberingAfterBreak="0">
    <w:nsid w:val="3E402914"/>
    <w:multiLevelType w:val="hybridMultilevel"/>
    <w:tmpl w:val="8EEC630E"/>
    <w:lvl w:ilvl="0" w:tplc="8D7AECB0">
      <w:start w:val="1"/>
      <w:numFmt w:val="bullet"/>
      <w:lvlText w:val="-"/>
      <w:lvlJc w:val="left"/>
      <w:pPr>
        <w:ind w:left="720" w:hanging="360"/>
      </w:pPr>
      <w:rPr>
        <w:rFonts w:ascii="Aptos" w:hAnsi="Aptos" w:hint="default"/>
      </w:rPr>
    </w:lvl>
    <w:lvl w:ilvl="1" w:tplc="D502537C">
      <w:start w:val="1"/>
      <w:numFmt w:val="bullet"/>
      <w:lvlText w:val="o"/>
      <w:lvlJc w:val="left"/>
      <w:pPr>
        <w:ind w:left="1440" w:hanging="360"/>
      </w:pPr>
      <w:rPr>
        <w:rFonts w:ascii="Courier New" w:hAnsi="Courier New" w:hint="default"/>
      </w:rPr>
    </w:lvl>
    <w:lvl w:ilvl="2" w:tplc="53427ADC">
      <w:start w:val="1"/>
      <w:numFmt w:val="bullet"/>
      <w:lvlText w:val=""/>
      <w:lvlJc w:val="left"/>
      <w:pPr>
        <w:ind w:left="2160" w:hanging="360"/>
      </w:pPr>
      <w:rPr>
        <w:rFonts w:ascii="Wingdings" w:hAnsi="Wingdings" w:hint="default"/>
      </w:rPr>
    </w:lvl>
    <w:lvl w:ilvl="3" w:tplc="D1D0B346">
      <w:start w:val="1"/>
      <w:numFmt w:val="bullet"/>
      <w:lvlText w:val=""/>
      <w:lvlJc w:val="left"/>
      <w:pPr>
        <w:ind w:left="2880" w:hanging="360"/>
      </w:pPr>
      <w:rPr>
        <w:rFonts w:ascii="Symbol" w:hAnsi="Symbol" w:hint="default"/>
      </w:rPr>
    </w:lvl>
    <w:lvl w:ilvl="4" w:tplc="2FE0F5BC">
      <w:start w:val="1"/>
      <w:numFmt w:val="bullet"/>
      <w:lvlText w:val="o"/>
      <w:lvlJc w:val="left"/>
      <w:pPr>
        <w:ind w:left="3600" w:hanging="360"/>
      </w:pPr>
      <w:rPr>
        <w:rFonts w:ascii="Courier New" w:hAnsi="Courier New" w:hint="default"/>
      </w:rPr>
    </w:lvl>
    <w:lvl w:ilvl="5" w:tplc="F710E07C">
      <w:start w:val="1"/>
      <w:numFmt w:val="bullet"/>
      <w:lvlText w:val=""/>
      <w:lvlJc w:val="left"/>
      <w:pPr>
        <w:ind w:left="4320" w:hanging="360"/>
      </w:pPr>
      <w:rPr>
        <w:rFonts w:ascii="Wingdings" w:hAnsi="Wingdings" w:hint="default"/>
      </w:rPr>
    </w:lvl>
    <w:lvl w:ilvl="6" w:tplc="A65ED6D4">
      <w:start w:val="1"/>
      <w:numFmt w:val="bullet"/>
      <w:lvlText w:val=""/>
      <w:lvlJc w:val="left"/>
      <w:pPr>
        <w:ind w:left="5040" w:hanging="360"/>
      </w:pPr>
      <w:rPr>
        <w:rFonts w:ascii="Symbol" w:hAnsi="Symbol" w:hint="default"/>
      </w:rPr>
    </w:lvl>
    <w:lvl w:ilvl="7" w:tplc="20DAC73A">
      <w:start w:val="1"/>
      <w:numFmt w:val="bullet"/>
      <w:lvlText w:val="o"/>
      <w:lvlJc w:val="left"/>
      <w:pPr>
        <w:ind w:left="5760" w:hanging="360"/>
      </w:pPr>
      <w:rPr>
        <w:rFonts w:ascii="Courier New" w:hAnsi="Courier New" w:hint="default"/>
      </w:rPr>
    </w:lvl>
    <w:lvl w:ilvl="8" w:tplc="772C6358">
      <w:start w:val="1"/>
      <w:numFmt w:val="bullet"/>
      <w:lvlText w:val=""/>
      <w:lvlJc w:val="left"/>
      <w:pPr>
        <w:ind w:left="6480" w:hanging="360"/>
      </w:pPr>
      <w:rPr>
        <w:rFonts w:ascii="Wingdings" w:hAnsi="Wingdings" w:hint="default"/>
      </w:rPr>
    </w:lvl>
  </w:abstractNum>
  <w:abstractNum w:abstractNumId="32" w15:restartNumberingAfterBreak="0">
    <w:nsid w:val="3E9F0C55"/>
    <w:multiLevelType w:val="hybridMultilevel"/>
    <w:tmpl w:val="835CEED8"/>
    <w:lvl w:ilvl="0" w:tplc="870AEBC0">
      <w:start w:val="1"/>
      <w:numFmt w:val="bullet"/>
      <w:lvlText w:val="•"/>
      <w:lvlJc w:val="left"/>
      <w:pPr>
        <w:tabs>
          <w:tab w:val="num" w:pos="720"/>
        </w:tabs>
        <w:ind w:left="720" w:hanging="360"/>
      </w:pPr>
      <w:rPr>
        <w:rFonts w:ascii="Times New Roman" w:hAnsi="Times New Roman" w:hint="default"/>
      </w:rPr>
    </w:lvl>
    <w:lvl w:ilvl="1" w:tplc="C17EB91A" w:tentative="1">
      <w:start w:val="1"/>
      <w:numFmt w:val="bullet"/>
      <w:lvlText w:val="•"/>
      <w:lvlJc w:val="left"/>
      <w:pPr>
        <w:tabs>
          <w:tab w:val="num" w:pos="1440"/>
        </w:tabs>
        <w:ind w:left="1440" w:hanging="360"/>
      </w:pPr>
      <w:rPr>
        <w:rFonts w:ascii="Times New Roman" w:hAnsi="Times New Roman" w:hint="default"/>
      </w:rPr>
    </w:lvl>
    <w:lvl w:ilvl="2" w:tplc="94947D26" w:tentative="1">
      <w:start w:val="1"/>
      <w:numFmt w:val="bullet"/>
      <w:lvlText w:val="•"/>
      <w:lvlJc w:val="left"/>
      <w:pPr>
        <w:tabs>
          <w:tab w:val="num" w:pos="2160"/>
        </w:tabs>
        <w:ind w:left="2160" w:hanging="360"/>
      </w:pPr>
      <w:rPr>
        <w:rFonts w:ascii="Times New Roman" w:hAnsi="Times New Roman" w:hint="default"/>
      </w:rPr>
    </w:lvl>
    <w:lvl w:ilvl="3" w:tplc="92462B0A" w:tentative="1">
      <w:start w:val="1"/>
      <w:numFmt w:val="bullet"/>
      <w:lvlText w:val="•"/>
      <w:lvlJc w:val="left"/>
      <w:pPr>
        <w:tabs>
          <w:tab w:val="num" w:pos="2880"/>
        </w:tabs>
        <w:ind w:left="2880" w:hanging="360"/>
      </w:pPr>
      <w:rPr>
        <w:rFonts w:ascii="Times New Roman" w:hAnsi="Times New Roman" w:hint="default"/>
      </w:rPr>
    </w:lvl>
    <w:lvl w:ilvl="4" w:tplc="846A6D90" w:tentative="1">
      <w:start w:val="1"/>
      <w:numFmt w:val="bullet"/>
      <w:lvlText w:val="•"/>
      <w:lvlJc w:val="left"/>
      <w:pPr>
        <w:tabs>
          <w:tab w:val="num" w:pos="3600"/>
        </w:tabs>
        <w:ind w:left="3600" w:hanging="360"/>
      </w:pPr>
      <w:rPr>
        <w:rFonts w:ascii="Times New Roman" w:hAnsi="Times New Roman" w:hint="default"/>
      </w:rPr>
    </w:lvl>
    <w:lvl w:ilvl="5" w:tplc="C7B4EDEE" w:tentative="1">
      <w:start w:val="1"/>
      <w:numFmt w:val="bullet"/>
      <w:lvlText w:val="•"/>
      <w:lvlJc w:val="left"/>
      <w:pPr>
        <w:tabs>
          <w:tab w:val="num" w:pos="4320"/>
        </w:tabs>
        <w:ind w:left="4320" w:hanging="360"/>
      </w:pPr>
      <w:rPr>
        <w:rFonts w:ascii="Times New Roman" w:hAnsi="Times New Roman" w:hint="default"/>
      </w:rPr>
    </w:lvl>
    <w:lvl w:ilvl="6" w:tplc="82D0D2C8" w:tentative="1">
      <w:start w:val="1"/>
      <w:numFmt w:val="bullet"/>
      <w:lvlText w:val="•"/>
      <w:lvlJc w:val="left"/>
      <w:pPr>
        <w:tabs>
          <w:tab w:val="num" w:pos="5040"/>
        </w:tabs>
        <w:ind w:left="5040" w:hanging="360"/>
      </w:pPr>
      <w:rPr>
        <w:rFonts w:ascii="Times New Roman" w:hAnsi="Times New Roman" w:hint="default"/>
      </w:rPr>
    </w:lvl>
    <w:lvl w:ilvl="7" w:tplc="D5CA58FE" w:tentative="1">
      <w:start w:val="1"/>
      <w:numFmt w:val="bullet"/>
      <w:lvlText w:val="•"/>
      <w:lvlJc w:val="left"/>
      <w:pPr>
        <w:tabs>
          <w:tab w:val="num" w:pos="5760"/>
        </w:tabs>
        <w:ind w:left="5760" w:hanging="360"/>
      </w:pPr>
      <w:rPr>
        <w:rFonts w:ascii="Times New Roman" w:hAnsi="Times New Roman" w:hint="default"/>
      </w:rPr>
    </w:lvl>
    <w:lvl w:ilvl="8" w:tplc="A0EE4A1C"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429E662A"/>
    <w:multiLevelType w:val="multilevel"/>
    <w:tmpl w:val="51CC775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84634F3"/>
    <w:multiLevelType w:val="hybridMultilevel"/>
    <w:tmpl w:val="FFFFFFFF"/>
    <w:lvl w:ilvl="0" w:tplc="1362196C">
      <w:start w:val="1"/>
      <w:numFmt w:val="decimal"/>
      <w:lvlText w:val="%1)"/>
      <w:lvlJc w:val="left"/>
      <w:pPr>
        <w:ind w:left="720" w:hanging="360"/>
      </w:pPr>
    </w:lvl>
    <w:lvl w:ilvl="1" w:tplc="C40A278E">
      <w:start w:val="1"/>
      <w:numFmt w:val="lowerLetter"/>
      <w:lvlText w:val="%2."/>
      <w:lvlJc w:val="left"/>
      <w:pPr>
        <w:ind w:left="1440" w:hanging="360"/>
      </w:pPr>
    </w:lvl>
    <w:lvl w:ilvl="2" w:tplc="C9DA2E78">
      <w:start w:val="1"/>
      <w:numFmt w:val="lowerRoman"/>
      <w:lvlText w:val="%3."/>
      <w:lvlJc w:val="right"/>
      <w:pPr>
        <w:ind w:left="2160" w:hanging="180"/>
      </w:pPr>
    </w:lvl>
    <w:lvl w:ilvl="3" w:tplc="3F168D88">
      <w:start w:val="1"/>
      <w:numFmt w:val="decimal"/>
      <w:lvlText w:val="%4."/>
      <w:lvlJc w:val="left"/>
      <w:pPr>
        <w:ind w:left="2880" w:hanging="360"/>
      </w:pPr>
    </w:lvl>
    <w:lvl w:ilvl="4" w:tplc="413E5354">
      <w:start w:val="1"/>
      <w:numFmt w:val="lowerLetter"/>
      <w:lvlText w:val="%5."/>
      <w:lvlJc w:val="left"/>
      <w:pPr>
        <w:ind w:left="3600" w:hanging="360"/>
      </w:pPr>
    </w:lvl>
    <w:lvl w:ilvl="5" w:tplc="30663290">
      <w:start w:val="1"/>
      <w:numFmt w:val="lowerRoman"/>
      <w:lvlText w:val="%6."/>
      <w:lvlJc w:val="right"/>
      <w:pPr>
        <w:ind w:left="4320" w:hanging="180"/>
      </w:pPr>
    </w:lvl>
    <w:lvl w:ilvl="6" w:tplc="4906D6BE">
      <w:start w:val="1"/>
      <w:numFmt w:val="decimal"/>
      <w:lvlText w:val="%7."/>
      <w:lvlJc w:val="left"/>
      <w:pPr>
        <w:ind w:left="5040" w:hanging="360"/>
      </w:pPr>
    </w:lvl>
    <w:lvl w:ilvl="7" w:tplc="B0B4579E">
      <w:start w:val="1"/>
      <w:numFmt w:val="lowerLetter"/>
      <w:lvlText w:val="%8."/>
      <w:lvlJc w:val="left"/>
      <w:pPr>
        <w:ind w:left="5760" w:hanging="360"/>
      </w:pPr>
    </w:lvl>
    <w:lvl w:ilvl="8" w:tplc="DDB4D24E">
      <w:start w:val="1"/>
      <w:numFmt w:val="lowerRoman"/>
      <w:lvlText w:val="%9."/>
      <w:lvlJc w:val="right"/>
      <w:pPr>
        <w:ind w:left="6480" w:hanging="180"/>
      </w:pPr>
    </w:lvl>
  </w:abstractNum>
  <w:abstractNum w:abstractNumId="35" w15:restartNumberingAfterBreak="0">
    <w:nsid w:val="4C261496"/>
    <w:multiLevelType w:val="hybridMultilevel"/>
    <w:tmpl w:val="17D6F5B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C6A4088"/>
    <w:multiLevelType w:val="hybridMultilevel"/>
    <w:tmpl w:val="FFFFFFFF"/>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7" w15:restartNumberingAfterBreak="0">
    <w:nsid w:val="4E1A63DF"/>
    <w:multiLevelType w:val="multilevel"/>
    <w:tmpl w:val="308824B8"/>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E1A982C"/>
    <w:multiLevelType w:val="multilevel"/>
    <w:tmpl w:val="1F52D494"/>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EBB22DA"/>
    <w:multiLevelType w:val="hybridMultilevel"/>
    <w:tmpl w:val="673031D6"/>
    <w:lvl w:ilvl="0" w:tplc="BF84C354">
      <w:numFmt w:val="bullet"/>
      <w:lvlText w:val="-"/>
      <w:lvlJc w:val="left"/>
      <w:pPr>
        <w:ind w:left="720" w:hanging="360"/>
      </w:pPr>
      <w:rPr>
        <w:rFonts w:ascii="Calibri" w:hAnsi="Calibri" w:hint="default"/>
      </w:rPr>
    </w:lvl>
    <w:lvl w:ilvl="1" w:tplc="2894181C">
      <w:start w:val="1"/>
      <w:numFmt w:val="bullet"/>
      <w:lvlText w:val="o"/>
      <w:lvlJc w:val="left"/>
      <w:pPr>
        <w:ind w:left="1440" w:hanging="360"/>
      </w:pPr>
      <w:rPr>
        <w:rFonts w:ascii="Courier New" w:hAnsi="Courier New" w:hint="default"/>
      </w:rPr>
    </w:lvl>
    <w:lvl w:ilvl="2" w:tplc="5BFA0570">
      <w:start w:val="1"/>
      <w:numFmt w:val="bullet"/>
      <w:lvlText w:val=""/>
      <w:lvlJc w:val="left"/>
      <w:pPr>
        <w:ind w:left="2160" w:hanging="360"/>
      </w:pPr>
      <w:rPr>
        <w:rFonts w:ascii="Wingdings" w:hAnsi="Wingdings" w:hint="default"/>
      </w:rPr>
    </w:lvl>
    <w:lvl w:ilvl="3" w:tplc="F8465864">
      <w:start w:val="1"/>
      <w:numFmt w:val="bullet"/>
      <w:lvlText w:val=""/>
      <w:lvlJc w:val="left"/>
      <w:pPr>
        <w:ind w:left="2880" w:hanging="360"/>
      </w:pPr>
      <w:rPr>
        <w:rFonts w:ascii="Symbol" w:hAnsi="Symbol" w:hint="default"/>
      </w:rPr>
    </w:lvl>
    <w:lvl w:ilvl="4" w:tplc="6100D542">
      <w:start w:val="1"/>
      <w:numFmt w:val="bullet"/>
      <w:lvlText w:val="o"/>
      <w:lvlJc w:val="left"/>
      <w:pPr>
        <w:ind w:left="3600" w:hanging="360"/>
      </w:pPr>
      <w:rPr>
        <w:rFonts w:ascii="Courier New" w:hAnsi="Courier New" w:hint="default"/>
      </w:rPr>
    </w:lvl>
    <w:lvl w:ilvl="5" w:tplc="CDBA12E2">
      <w:start w:val="1"/>
      <w:numFmt w:val="bullet"/>
      <w:lvlText w:val=""/>
      <w:lvlJc w:val="left"/>
      <w:pPr>
        <w:ind w:left="4320" w:hanging="360"/>
      </w:pPr>
      <w:rPr>
        <w:rFonts w:ascii="Wingdings" w:hAnsi="Wingdings" w:hint="default"/>
      </w:rPr>
    </w:lvl>
    <w:lvl w:ilvl="6" w:tplc="DE32BC6C">
      <w:start w:val="1"/>
      <w:numFmt w:val="bullet"/>
      <w:lvlText w:val=""/>
      <w:lvlJc w:val="left"/>
      <w:pPr>
        <w:ind w:left="5040" w:hanging="360"/>
      </w:pPr>
      <w:rPr>
        <w:rFonts w:ascii="Symbol" w:hAnsi="Symbol" w:hint="default"/>
      </w:rPr>
    </w:lvl>
    <w:lvl w:ilvl="7" w:tplc="0022663E">
      <w:start w:val="1"/>
      <w:numFmt w:val="bullet"/>
      <w:lvlText w:val="o"/>
      <w:lvlJc w:val="left"/>
      <w:pPr>
        <w:ind w:left="5760" w:hanging="360"/>
      </w:pPr>
      <w:rPr>
        <w:rFonts w:ascii="Courier New" w:hAnsi="Courier New" w:hint="default"/>
      </w:rPr>
    </w:lvl>
    <w:lvl w:ilvl="8" w:tplc="C3787394">
      <w:start w:val="1"/>
      <w:numFmt w:val="bullet"/>
      <w:lvlText w:val=""/>
      <w:lvlJc w:val="left"/>
      <w:pPr>
        <w:ind w:left="6480" w:hanging="360"/>
      </w:pPr>
      <w:rPr>
        <w:rFonts w:ascii="Wingdings" w:hAnsi="Wingdings" w:hint="default"/>
      </w:rPr>
    </w:lvl>
  </w:abstractNum>
  <w:abstractNum w:abstractNumId="40" w15:restartNumberingAfterBreak="0">
    <w:nsid w:val="4FC622C1"/>
    <w:multiLevelType w:val="hybridMultilevel"/>
    <w:tmpl w:val="FFFFFFFF"/>
    <w:lvl w:ilvl="0" w:tplc="5C12A4A0">
      <w:start w:val="1"/>
      <w:numFmt w:val="decimal"/>
      <w:lvlText w:val="%1)"/>
      <w:lvlJc w:val="left"/>
      <w:pPr>
        <w:ind w:left="1080" w:hanging="360"/>
      </w:pPr>
    </w:lvl>
    <w:lvl w:ilvl="1" w:tplc="2D489386">
      <w:start w:val="1"/>
      <w:numFmt w:val="lowerLetter"/>
      <w:lvlText w:val="%2."/>
      <w:lvlJc w:val="left"/>
      <w:pPr>
        <w:ind w:left="1800" w:hanging="360"/>
      </w:pPr>
    </w:lvl>
    <w:lvl w:ilvl="2" w:tplc="E8DC07D6">
      <w:start w:val="1"/>
      <w:numFmt w:val="lowerRoman"/>
      <w:lvlText w:val="%3."/>
      <w:lvlJc w:val="right"/>
      <w:pPr>
        <w:ind w:left="2520" w:hanging="180"/>
      </w:pPr>
    </w:lvl>
    <w:lvl w:ilvl="3" w:tplc="07D6E1C2">
      <w:start w:val="1"/>
      <w:numFmt w:val="decimal"/>
      <w:lvlText w:val="%4."/>
      <w:lvlJc w:val="left"/>
      <w:pPr>
        <w:ind w:left="3240" w:hanging="360"/>
      </w:pPr>
    </w:lvl>
    <w:lvl w:ilvl="4" w:tplc="5A0CE74A">
      <w:start w:val="1"/>
      <w:numFmt w:val="lowerLetter"/>
      <w:lvlText w:val="%5."/>
      <w:lvlJc w:val="left"/>
      <w:pPr>
        <w:ind w:left="3960" w:hanging="360"/>
      </w:pPr>
    </w:lvl>
    <w:lvl w:ilvl="5" w:tplc="8556BAAE">
      <w:start w:val="1"/>
      <w:numFmt w:val="lowerRoman"/>
      <w:lvlText w:val="%6."/>
      <w:lvlJc w:val="right"/>
      <w:pPr>
        <w:ind w:left="4680" w:hanging="180"/>
      </w:pPr>
    </w:lvl>
    <w:lvl w:ilvl="6" w:tplc="1CA42DF2">
      <w:start w:val="1"/>
      <w:numFmt w:val="decimal"/>
      <w:lvlText w:val="%7."/>
      <w:lvlJc w:val="left"/>
      <w:pPr>
        <w:ind w:left="5400" w:hanging="360"/>
      </w:pPr>
    </w:lvl>
    <w:lvl w:ilvl="7" w:tplc="E24C1F2C">
      <w:start w:val="1"/>
      <w:numFmt w:val="lowerLetter"/>
      <w:lvlText w:val="%8."/>
      <w:lvlJc w:val="left"/>
      <w:pPr>
        <w:ind w:left="6120" w:hanging="360"/>
      </w:pPr>
    </w:lvl>
    <w:lvl w:ilvl="8" w:tplc="3940DA1C">
      <w:start w:val="1"/>
      <w:numFmt w:val="lowerRoman"/>
      <w:lvlText w:val="%9."/>
      <w:lvlJc w:val="right"/>
      <w:pPr>
        <w:ind w:left="6840" w:hanging="180"/>
      </w:pPr>
    </w:lvl>
  </w:abstractNum>
  <w:abstractNum w:abstractNumId="41" w15:restartNumberingAfterBreak="0">
    <w:nsid w:val="5072619B"/>
    <w:multiLevelType w:val="multilevel"/>
    <w:tmpl w:val="6366DE76"/>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0729B52"/>
    <w:multiLevelType w:val="multilevel"/>
    <w:tmpl w:val="2F72A138"/>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141601A"/>
    <w:multiLevelType w:val="hybridMultilevel"/>
    <w:tmpl w:val="36C82708"/>
    <w:lvl w:ilvl="0" w:tplc="FFFFFFFF">
      <w:start w:val="1"/>
      <w:numFmt w:val="lowerLetter"/>
      <w:lvlText w:val="%1."/>
      <w:lvlJc w:val="left"/>
      <w:pPr>
        <w:ind w:left="144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37C10A4"/>
    <w:multiLevelType w:val="hybridMultilevel"/>
    <w:tmpl w:val="0180E0E8"/>
    <w:lvl w:ilvl="0" w:tplc="01521802">
      <w:numFmt w:val="bullet"/>
      <w:lvlText w:val="-"/>
      <w:lvlJc w:val="left"/>
      <w:pPr>
        <w:ind w:left="720" w:hanging="360"/>
      </w:pPr>
      <w:rPr>
        <w:rFonts w:ascii="Calibri" w:hAnsi="Calibri" w:hint="default"/>
      </w:rPr>
    </w:lvl>
    <w:lvl w:ilvl="1" w:tplc="7FF68904" w:tentative="1">
      <w:start w:val="1"/>
      <w:numFmt w:val="bullet"/>
      <w:lvlText w:val="o"/>
      <w:lvlJc w:val="left"/>
      <w:pPr>
        <w:ind w:left="1440" w:hanging="360"/>
      </w:pPr>
      <w:rPr>
        <w:rFonts w:ascii="Courier New" w:hAnsi="Courier New" w:hint="default"/>
      </w:rPr>
    </w:lvl>
    <w:lvl w:ilvl="2" w:tplc="F202D2F6" w:tentative="1">
      <w:start w:val="1"/>
      <w:numFmt w:val="bullet"/>
      <w:lvlText w:val=""/>
      <w:lvlJc w:val="left"/>
      <w:pPr>
        <w:ind w:left="2160" w:hanging="360"/>
      </w:pPr>
      <w:rPr>
        <w:rFonts w:ascii="Wingdings" w:hAnsi="Wingdings" w:hint="default"/>
      </w:rPr>
    </w:lvl>
    <w:lvl w:ilvl="3" w:tplc="B0A6575A" w:tentative="1">
      <w:start w:val="1"/>
      <w:numFmt w:val="bullet"/>
      <w:lvlText w:val=""/>
      <w:lvlJc w:val="left"/>
      <w:pPr>
        <w:ind w:left="2880" w:hanging="360"/>
      </w:pPr>
      <w:rPr>
        <w:rFonts w:ascii="Symbol" w:hAnsi="Symbol" w:hint="default"/>
      </w:rPr>
    </w:lvl>
    <w:lvl w:ilvl="4" w:tplc="9084BD3E" w:tentative="1">
      <w:start w:val="1"/>
      <w:numFmt w:val="bullet"/>
      <w:lvlText w:val="o"/>
      <w:lvlJc w:val="left"/>
      <w:pPr>
        <w:ind w:left="3600" w:hanging="360"/>
      </w:pPr>
      <w:rPr>
        <w:rFonts w:ascii="Courier New" w:hAnsi="Courier New" w:hint="default"/>
      </w:rPr>
    </w:lvl>
    <w:lvl w:ilvl="5" w:tplc="A5403870" w:tentative="1">
      <w:start w:val="1"/>
      <w:numFmt w:val="bullet"/>
      <w:lvlText w:val=""/>
      <w:lvlJc w:val="left"/>
      <w:pPr>
        <w:ind w:left="4320" w:hanging="360"/>
      </w:pPr>
      <w:rPr>
        <w:rFonts w:ascii="Wingdings" w:hAnsi="Wingdings" w:hint="default"/>
      </w:rPr>
    </w:lvl>
    <w:lvl w:ilvl="6" w:tplc="A0F0824C" w:tentative="1">
      <w:start w:val="1"/>
      <w:numFmt w:val="bullet"/>
      <w:lvlText w:val=""/>
      <w:lvlJc w:val="left"/>
      <w:pPr>
        <w:ind w:left="5040" w:hanging="360"/>
      </w:pPr>
      <w:rPr>
        <w:rFonts w:ascii="Symbol" w:hAnsi="Symbol" w:hint="default"/>
      </w:rPr>
    </w:lvl>
    <w:lvl w:ilvl="7" w:tplc="2056EA1E" w:tentative="1">
      <w:start w:val="1"/>
      <w:numFmt w:val="bullet"/>
      <w:lvlText w:val="o"/>
      <w:lvlJc w:val="left"/>
      <w:pPr>
        <w:ind w:left="5760" w:hanging="360"/>
      </w:pPr>
      <w:rPr>
        <w:rFonts w:ascii="Courier New" w:hAnsi="Courier New" w:hint="default"/>
      </w:rPr>
    </w:lvl>
    <w:lvl w:ilvl="8" w:tplc="39B07D9C" w:tentative="1">
      <w:start w:val="1"/>
      <w:numFmt w:val="bullet"/>
      <w:lvlText w:val=""/>
      <w:lvlJc w:val="left"/>
      <w:pPr>
        <w:ind w:left="6480" w:hanging="360"/>
      </w:pPr>
      <w:rPr>
        <w:rFonts w:ascii="Wingdings" w:hAnsi="Wingdings" w:hint="default"/>
      </w:rPr>
    </w:lvl>
  </w:abstractNum>
  <w:abstractNum w:abstractNumId="45" w15:restartNumberingAfterBreak="0">
    <w:nsid w:val="62929D93"/>
    <w:multiLevelType w:val="hybridMultilevel"/>
    <w:tmpl w:val="FFFFFFFF"/>
    <w:lvl w:ilvl="0" w:tplc="1E3C55F6">
      <w:start w:val="1"/>
      <w:numFmt w:val="decimal"/>
      <w:lvlText w:val="%1)"/>
      <w:lvlJc w:val="left"/>
      <w:pPr>
        <w:ind w:left="720" w:hanging="360"/>
      </w:pPr>
    </w:lvl>
    <w:lvl w:ilvl="1" w:tplc="518249E4">
      <w:start w:val="1"/>
      <w:numFmt w:val="lowerLetter"/>
      <w:lvlText w:val="%2."/>
      <w:lvlJc w:val="left"/>
      <w:pPr>
        <w:ind w:left="1440" w:hanging="360"/>
      </w:pPr>
    </w:lvl>
    <w:lvl w:ilvl="2" w:tplc="296A0C8E">
      <w:start w:val="1"/>
      <w:numFmt w:val="lowerRoman"/>
      <w:lvlText w:val="%3."/>
      <w:lvlJc w:val="right"/>
      <w:pPr>
        <w:ind w:left="2160" w:hanging="180"/>
      </w:pPr>
    </w:lvl>
    <w:lvl w:ilvl="3" w:tplc="26B69ADA">
      <w:start w:val="1"/>
      <w:numFmt w:val="decimal"/>
      <w:lvlText w:val="%4."/>
      <w:lvlJc w:val="left"/>
      <w:pPr>
        <w:ind w:left="2880" w:hanging="360"/>
      </w:pPr>
    </w:lvl>
    <w:lvl w:ilvl="4" w:tplc="13702C8A">
      <w:start w:val="1"/>
      <w:numFmt w:val="lowerLetter"/>
      <w:lvlText w:val="%5."/>
      <w:lvlJc w:val="left"/>
      <w:pPr>
        <w:ind w:left="3600" w:hanging="360"/>
      </w:pPr>
    </w:lvl>
    <w:lvl w:ilvl="5" w:tplc="2B026084">
      <w:start w:val="1"/>
      <w:numFmt w:val="lowerRoman"/>
      <w:lvlText w:val="%6."/>
      <w:lvlJc w:val="right"/>
      <w:pPr>
        <w:ind w:left="4320" w:hanging="180"/>
      </w:pPr>
    </w:lvl>
    <w:lvl w:ilvl="6" w:tplc="1D7471CE">
      <w:start w:val="1"/>
      <w:numFmt w:val="decimal"/>
      <w:lvlText w:val="%7."/>
      <w:lvlJc w:val="left"/>
      <w:pPr>
        <w:ind w:left="5040" w:hanging="360"/>
      </w:pPr>
    </w:lvl>
    <w:lvl w:ilvl="7" w:tplc="7FCC3AD2">
      <w:start w:val="1"/>
      <w:numFmt w:val="lowerLetter"/>
      <w:lvlText w:val="%8."/>
      <w:lvlJc w:val="left"/>
      <w:pPr>
        <w:ind w:left="5760" w:hanging="360"/>
      </w:pPr>
    </w:lvl>
    <w:lvl w:ilvl="8" w:tplc="DA6A8E82">
      <w:start w:val="1"/>
      <w:numFmt w:val="lowerRoman"/>
      <w:lvlText w:val="%9."/>
      <w:lvlJc w:val="right"/>
      <w:pPr>
        <w:ind w:left="6480" w:hanging="180"/>
      </w:pPr>
    </w:lvl>
  </w:abstractNum>
  <w:abstractNum w:abstractNumId="46" w15:restartNumberingAfterBreak="0">
    <w:nsid w:val="63AE4B6F"/>
    <w:multiLevelType w:val="hybridMultilevel"/>
    <w:tmpl w:val="27240FF4"/>
    <w:lvl w:ilvl="0" w:tplc="1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6977472E"/>
    <w:multiLevelType w:val="multilevel"/>
    <w:tmpl w:val="D8026D9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B8E105E"/>
    <w:multiLevelType w:val="hybridMultilevel"/>
    <w:tmpl w:val="FFFFFFFF"/>
    <w:lvl w:ilvl="0" w:tplc="EECED50A">
      <w:start w:val="1"/>
      <w:numFmt w:val="decimal"/>
      <w:lvlText w:val="%1)"/>
      <w:lvlJc w:val="left"/>
      <w:pPr>
        <w:ind w:left="1080" w:hanging="360"/>
      </w:pPr>
    </w:lvl>
    <w:lvl w:ilvl="1" w:tplc="928A457A">
      <w:start w:val="1"/>
      <w:numFmt w:val="lowerLetter"/>
      <w:lvlText w:val="%2."/>
      <w:lvlJc w:val="left"/>
      <w:pPr>
        <w:ind w:left="1800" w:hanging="360"/>
      </w:pPr>
    </w:lvl>
    <w:lvl w:ilvl="2" w:tplc="A6A0CCF2">
      <w:start w:val="1"/>
      <w:numFmt w:val="lowerRoman"/>
      <w:lvlText w:val="%3."/>
      <w:lvlJc w:val="right"/>
      <w:pPr>
        <w:ind w:left="2520" w:hanging="180"/>
      </w:pPr>
    </w:lvl>
    <w:lvl w:ilvl="3" w:tplc="D9F8C19A">
      <w:start w:val="1"/>
      <w:numFmt w:val="decimal"/>
      <w:lvlText w:val="%4."/>
      <w:lvlJc w:val="left"/>
      <w:pPr>
        <w:ind w:left="3240" w:hanging="360"/>
      </w:pPr>
    </w:lvl>
    <w:lvl w:ilvl="4" w:tplc="ED103268">
      <w:start w:val="1"/>
      <w:numFmt w:val="lowerLetter"/>
      <w:lvlText w:val="%5."/>
      <w:lvlJc w:val="left"/>
      <w:pPr>
        <w:ind w:left="3960" w:hanging="360"/>
      </w:pPr>
    </w:lvl>
    <w:lvl w:ilvl="5" w:tplc="21508472">
      <w:start w:val="1"/>
      <w:numFmt w:val="lowerRoman"/>
      <w:lvlText w:val="%6."/>
      <w:lvlJc w:val="right"/>
      <w:pPr>
        <w:ind w:left="4680" w:hanging="180"/>
      </w:pPr>
    </w:lvl>
    <w:lvl w:ilvl="6" w:tplc="853E0218">
      <w:start w:val="1"/>
      <w:numFmt w:val="decimal"/>
      <w:lvlText w:val="%7."/>
      <w:lvlJc w:val="left"/>
      <w:pPr>
        <w:ind w:left="5400" w:hanging="360"/>
      </w:pPr>
    </w:lvl>
    <w:lvl w:ilvl="7" w:tplc="C3729CCC">
      <w:start w:val="1"/>
      <w:numFmt w:val="lowerLetter"/>
      <w:lvlText w:val="%8."/>
      <w:lvlJc w:val="left"/>
      <w:pPr>
        <w:ind w:left="6120" w:hanging="360"/>
      </w:pPr>
    </w:lvl>
    <w:lvl w:ilvl="8" w:tplc="E6C21DB4">
      <w:start w:val="1"/>
      <w:numFmt w:val="lowerRoman"/>
      <w:lvlText w:val="%9."/>
      <w:lvlJc w:val="right"/>
      <w:pPr>
        <w:ind w:left="6840" w:hanging="180"/>
      </w:pPr>
    </w:lvl>
  </w:abstractNum>
  <w:abstractNum w:abstractNumId="49" w15:restartNumberingAfterBreak="0">
    <w:nsid w:val="703F7EC6"/>
    <w:multiLevelType w:val="hybridMultilevel"/>
    <w:tmpl w:val="7D6E78B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07BF6A8"/>
    <w:multiLevelType w:val="hybridMultilevel"/>
    <w:tmpl w:val="FFFFFFFF"/>
    <w:lvl w:ilvl="0" w:tplc="C5F4BEEA">
      <w:start w:val="1"/>
      <w:numFmt w:val="decimal"/>
      <w:lvlText w:val="%1)"/>
      <w:lvlJc w:val="left"/>
      <w:pPr>
        <w:ind w:left="720" w:hanging="360"/>
      </w:pPr>
    </w:lvl>
    <w:lvl w:ilvl="1" w:tplc="A75E4126">
      <w:start w:val="1"/>
      <w:numFmt w:val="lowerLetter"/>
      <w:lvlText w:val="%2."/>
      <w:lvlJc w:val="left"/>
      <w:pPr>
        <w:ind w:left="1440" w:hanging="360"/>
      </w:pPr>
    </w:lvl>
    <w:lvl w:ilvl="2" w:tplc="AD4CCA20">
      <w:start w:val="1"/>
      <w:numFmt w:val="lowerRoman"/>
      <w:lvlText w:val="%3."/>
      <w:lvlJc w:val="right"/>
      <w:pPr>
        <w:ind w:left="2160" w:hanging="180"/>
      </w:pPr>
    </w:lvl>
    <w:lvl w:ilvl="3" w:tplc="B07C0F80">
      <w:start w:val="1"/>
      <w:numFmt w:val="decimal"/>
      <w:lvlText w:val="%4."/>
      <w:lvlJc w:val="left"/>
      <w:pPr>
        <w:ind w:left="2880" w:hanging="360"/>
      </w:pPr>
    </w:lvl>
    <w:lvl w:ilvl="4" w:tplc="EF7ACE68">
      <w:start w:val="1"/>
      <w:numFmt w:val="lowerLetter"/>
      <w:lvlText w:val="%5."/>
      <w:lvlJc w:val="left"/>
      <w:pPr>
        <w:ind w:left="3600" w:hanging="360"/>
      </w:pPr>
    </w:lvl>
    <w:lvl w:ilvl="5" w:tplc="0E04123A">
      <w:start w:val="1"/>
      <w:numFmt w:val="lowerRoman"/>
      <w:lvlText w:val="%6."/>
      <w:lvlJc w:val="right"/>
      <w:pPr>
        <w:ind w:left="4320" w:hanging="180"/>
      </w:pPr>
    </w:lvl>
    <w:lvl w:ilvl="6" w:tplc="795C32D8">
      <w:start w:val="1"/>
      <w:numFmt w:val="decimal"/>
      <w:lvlText w:val="%7."/>
      <w:lvlJc w:val="left"/>
      <w:pPr>
        <w:ind w:left="5040" w:hanging="360"/>
      </w:pPr>
    </w:lvl>
    <w:lvl w:ilvl="7" w:tplc="145200D2">
      <w:start w:val="1"/>
      <w:numFmt w:val="lowerLetter"/>
      <w:lvlText w:val="%8."/>
      <w:lvlJc w:val="left"/>
      <w:pPr>
        <w:ind w:left="5760" w:hanging="360"/>
      </w:pPr>
    </w:lvl>
    <w:lvl w:ilvl="8" w:tplc="BF14FE00">
      <w:start w:val="1"/>
      <w:numFmt w:val="lowerRoman"/>
      <w:lvlText w:val="%9."/>
      <w:lvlJc w:val="right"/>
      <w:pPr>
        <w:ind w:left="6480" w:hanging="180"/>
      </w:pPr>
    </w:lvl>
  </w:abstractNum>
  <w:abstractNum w:abstractNumId="51" w15:restartNumberingAfterBreak="0">
    <w:nsid w:val="74BEF8DD"/>
    <w:multiLevelType w:val="hybridMultilevel"/>
    <w:tmpl w:val="6040106A"/>
    <w:lvl w:ilvl="0" w:tplc="1718726E">
      <w:start w:val="1"/>
      <w:numFmt w:val="decimal"/>
      <w:lvlText w:val="%1)"/>
      <w:lvlJc w:val="left"/>
      <w:pPr>
        <w:ind w:left="720" w:hanging="360"/>
      </w:pPr>
    </w:lvl>
    <w:lvl w:ilvl="1" w:tplc="6394C2B4">
      <w:start w:val="1"/>
      <w:numFmt w:val="lowerLetter"/>
      <w:lvlText w:val="%2."/>
      <w:lvlJc w:val="left"/>
      <w:pPr>
        <w:ind w:left="1440" w:hanging="360"/>
      </w:pPr>
    </w:lvl>
    <w:lvl w:ilvl="2" w:tplc="EDD47D5A">
      <w:start w:val="1"/>
      <w:numFmt w:val="lowerRoman"/>
      <w:lvlText w:val="%3."/>
      <w:lvlJc w:val="right"/>
      <w:pPr>
        <w:ind w:left="2160" w:hanging="180"/>
      </w:pPr>
    </w:lvl>
    <w:lvl w:ilvl="3" w:tplc="6F602B5A">
      <w:start w:val="1"/>
      <w:numFmt w:val="decimal"/>
      <w:lvlText w:val="%4."/>
      <w:lvlJc w:val="left"/>
      <w:pPr>
        <w:ind w:left="2880" w:hanging="360"/>
      </w:pPr>
    </w:lvl>
    <w:lvl w:ilvl="4" w:tplc="64269FB4">
      <w:start w:val="1"/>
      <w:numFmt w:val="lowerLetter"/>
      <w:lvlText w:val="%5."/>
      <w:lvlJc w:val="left"/>
      <w:pPr>
        <w:ind w:left="3600" w:hanging="360"/>
      </w:pPr>
    </w:lvl>
    <w:lvl w:ilvl="5" w:tplc="65EEF382">
      <w:start w:val="1"/>
      <w:numFmt w:val="lowerRoman"/>
      <w:lvlText w:val="%6."/>
      <w:lvlJc w:val="right"/>
      <w:pPr>
        <w:ind w:left="4320" w:hanging="180"/>
      </w:pPr>
    </w:lvl>
    <w:lvl w:ilvl="6" w:tplc="60181668">
      <w:start w:val="1"/>
      <w:numFmt w:val="decimal"/>
      <w:lvlText w:val="%7."/>
      <w:lvlJc w:val="left"/>
      <w:pPr>
        <w:ind w:left="5040" w:hanging="360"/>
      </w:pPr>
    </w:lvl>
    <w:lvl w:ilvl="7" w:tplc="F8EAB22E">
      <w:start w:val="1"/>
      <w:numFmt w:val="lowerLetter"/>
      <w:lvlText w:val="%8."/>
      <w:lvlJc w:val="left"/>
      <w:pPr>
        <w:ind w:left="5760" w:hanging="360"/>
      </w:pPr>
    </w:lvl>
    <w:lvl w:ilvl="8" w:tplc="2E7832BC">
      <w:start w:val="1"/>
      <w:numFmt w:val="lowerRoman"/>
      <w:lvlText w:val="%9."/>
      <w:lvlJc w:val="right"/>
      <w:pPr>
        <w:ind w:left="6480" w:hanging="180"/>
      </w:pPr>
    </w:lvl>
  </w:abstractNum>
  <w:abstractNum w:abstractNumId="52" w15:restartNumberingAfterBreak="0">
    <w:nsid w:val="79A45253"/>
    <w:multiLevelType w:val="hybridMultilevel"/>
    <w:tmpl w:val="33E8B79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A9F679B"/>
    <w:multiLevelType w:val="hybridMultilevel"/>
    <w:tmpl w:val="C6681E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C65145E"/>
    <w:multiLevelType w:val="multilevel"/>
    <w:tmpl w:val="C306353E"/>
    <w:name w:val="EurolookHeading"/>
    <w:lvl w:ilvl="0">
      <w:start w:val="1"/>
      <w:numFmt w:val="decimal"/>
      <w:pStyle w:val="Heading1"/>
      <w:lvlText w:val="%1."/>
      <w:lvlJc w:val="left"/>
      <w:pPr>
        <w:tabs>
          <w:tab w:val="num" w:pos="482"/>
        </w:tabs>
        <w:ind w:left="482" w:hanging="482"/>
      </w:pPr>
      <w:rPr>
        <w:lang w:val="en-IE"/>
      </w:r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5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56" w15:restartNumberingAfterBreak="0">
    <w:nsid w:val="7D8C043A"/>
    <w:multiLevelType w:val="hybridMultilevel"/>
    <w:tmpl w:val="D58AC68C"/>
    <w:lvl w:ilvl="0" w:tplc="79F87CD4">
      <w:start w:val="1"/>
      <w:numFmt w:val="bullet"/>
      <w:lvlText w:val="-"/>
      <w:lvlJc w:val="left"/>
      <w:pPr>
        <w:ind w:left="720" w:hanging="360"/>
      </w:pPr>
      <w:rPr>
        <w:rFonts w:ascii="Aptos" w:hAnsi="Aptos" w:hint="default"/>
      </w:rPr>
    </w:lvl>
    <w:lvl w:ilvl="1" w:tplc="5BA41AD2">
      <w:start w:val="1"/>
      <w:numFmt w:val="bullet"/>
      <w:lvlText w:val="o"/>
      <w:lvlJc w:val="left"/>
      <w:pPr>
        <w:ind w:left="1440" w:hanging="360"/>
      </w:pPr>
      <w:rPr>
        <w:rFonts w:ascii="Courier New" w:hAnsi="Courier New" w:hint="default"/>
      </w:rPr>
    </w:lvl>
    <w:lvl w:ilvl="2" w:tplc="60308318">
      <w:start w:val="1"/>
      <w:numFmt w:val="bullet"/>
      <w:lvlText w:val=""/>
      <w:lvlJc w:val="left"/>
      <w:pPr>
        <w:ind w:left="2160" w:hanging="360"/>
      </w:pPr>
      <w:rPr>
        <w:rFonts w:ascii="Wingdings" w:hAnsi="Wingdings" w:hint="default"/>
      </w:rPr>
    </w:lvl>
    <w:lvl w:ilvl="3" w:tplc="A2D45018">
      <w:start w:val="1"/>
      <w:numFmt w:val="bullet"/>
      <w:lvlText w:val=""/>
      <w:lvlJc w:val="left"/>
      <w:pPr>
        <w:ind w:left="2880" w:hanging="360"/>
      </w:pPr>
      <w:rPr>
        <w:rFonts w:ascii="Symbol" w:hAnsi="Symbol" w:hint="default"/>
      </w:rPr>
    </w:lvl>
    <w:lvl w:ilvl="4" w:tplc="42786D34">
      <w:start w:val="1"/>
      <w:numFmt w:val="bullet"/>
      <w:lvlText w:val="o"/>
      <w:lvlJc w:val="left"/>
      <w:pPr>
        <w:ind w:left="3600" w:hanging="360"/>
      </w:pPr>
      <w:rPr>
        <w:rFonts w:ascii="Courier New" w:hAnsi="Courier New" w:hint="default"/>
      </w:rPr>
    </w:lvl>
    <w:lvl w:ilvl="5" w:tplc="C5A2708E">
      <w:start w:val="1"/>
      <w:numFmt w:val="bullet"/>
      <w:lvlText w:val=""/>
      <w:lvlJc w:val="left"/>
      <w:pPr>
        <w:ind w:left="4320" w:hanging="360"/>
      </w:pPr>
      <w:rPr>
        <w:rFonts w:ascii="Wingdings" w:hAnsi="Wingdings" w:hint="default"/>
      </w:rPr>
    </w:lvl>
    <w:lvl w:ilvl="6" w:tplc="8C6C6D0C">
      <w:start w:val="1"/>
      <w:numFmt w:val="bullet"/>
      <w:lvlText w:val=""/>
      <w:lvlJc w:val="left"/>
      <w:pPr>
        <w:ind w:left="5040" w:hanging="360"/>
      </w:pPr>
      <w:rPr>
        <w:rFonts w:ascii="Symbol" w:hAnsi="Symbol" w:hint="default"/>
      </w:rPr>
    </w:lvl>
    <w:lvl w:ilvl="7" w:tplc="F84E5AEA">
      <w:start w:val="1"/>
      <w:numFmt w:val="bullet"/>
      <w:lvlText w:val="o"/>
      <w:lvlJc w:val="left"/>
      <w:pPr>
        <w:ind w:left="5760" w:hanging="360"/>
      </w:pPr>
      <w:rPr>
        <w:rFonts w:ascii="Courier New" w:hAnsi="Courier New" w:hint="default"/>
      </w:rPr>
    </w:lvl>
    <w:lvl w:ilvl="8" w:tplc="23A007D2">
      <w:start w:val="1"/>
      <w:numFmt w:val="bullet"/>
      <w:lvlText w:val=""/>
      <w:lvlJc w:val="left"/>
      <w:pPr>
        <w:ind w:left="6480" w:hanging="360"/>
      </w:pPr>
      <w:rPr>
        <w:rFonts w:ascii="Wingdings" w:hAnsi="Wingdings" w:hint="default"/>
      </w:rPr>
    </w:lvl>
  </w:abstractNum>
  <w:num w:numId="1">
    <w:abstractNumId w:val="45"/>
  </w:num>
  <w:num w:numId="2">
    <w:abstractNumId w:val="25"/>
  </w:num>
  <w:num w:numId="3">
    <w:abstractNumId w:val="40"/>
  </w:num>
  <w:num w:numId="4">
    <w:abstractNumId w:val="51"/>
  </w:num>
  <w:num w:numId="5">
    <w:abstractNumId w:val="30"/>
  </w:num>
  <w:num w:numId="6">
    <w:abstractNumId w:val="31"/>
  </w:num>
  <w:num w:numId="7">
    <w:abstractNumId w:val="1"/>
  </w:num>
  <w:num w:numId="8">
    <w:abstractNumId w:val="26"/>
  </w:num>
  <w:num w:numId="9">
    <w:abstractNumId w:val="10"/>
  </w:num>
  <w:num w:numId="10">
    <w:abstractNumId w:val="27"/>
  </w:num>
  <w:num w:numId="11">
    <w:abstractNumId w:val="41"/>
  </w:num>
  <w:num w:numId="12">
    <w:abstractNumId w:val="47"/>
  </w:num>
  <w:num w:numId="13">
    <w:abstractNumId w:val="2"/>
  </w:num>
  <w:num w:numId="14">
    <w:abstractNumId w:val="9"/>
  </w:num>
  <w:num w:numId="15">
    <w:abstractNumId w:val="33"/>
  </w:num>
  <w:num w:numId="16">
    <w:abstractNumId w:val="3"/>
  </w:num>
  <w:num w:numId="17">
    <w:abstractNumId w:val="6"/>
  </w:num>
  <w:num w:numId="18">
    <w:abstractNumId w:val="7"/>
  </w:num>
  <w:num w:numId="19">
    <w:abstractNumId w:val="16"/>
  </w:num>
  <w:num w:numId="20">
    <w:abstractNumId w:val="29"/>
  </w:num>
  <w:num w:numId="21">
    <w:abstractNumId w:val="38"/>
  </w:num>
  <w:num w:numId="22">
    <w:abstractNumId w:val="54"/>
  </w:num>
  <w:num w:numId="23">
    <w:abstractNumId w:val="17"/>
  </w:num>
  <w:num w:numId="24">
    <w:abstractNumId w:val="18"/>
  </w:num>
  <w:num w:numId="25">
    <w:abstractNumId w:val="55"/>
  </w:num>
  <w:num w:numId="26">
    <w:abstractNumId w:val="37"/>
  </w:num>
  <w:num w:numId="27">
    <w:abstractNumId w:val="42"/>
  </w:num>
  <w:num w:numId="28">
    <w:abstractNumId w:val="4"/>
  </w:num>
  <w:num w:numId="29">
    <w:abstractNumId w:val="56"/>
  </w:num>
  <w:num w:numId="30">
    <w:abstractNumId w:val="35"/>
  </w:num>
  <w:num w:numId="31">
    <w:abstractNumId w:val="19"/>
  </w:num>
  <w:num w:numId="32">
    <w:abstractNumId w:val="5"/>
  </w:num>
  <w:num w:numId="33">
    <w:abstractNumId w:val="43"/>
  </w:num>
  <w:num w:numId="34">
    <w:abstractNumId w:val="13"/>
    <w:lvlOverride w:ilvl="0"/>
    <w:lvlOverride w:ilvl="1">
      <w:startOverride w:val="1"/>
    </w:lvlOverride>
    <w:lvlOverride w:ilvl="2"/>
    <w:lvlOverride w:ilvl="3"/>
    <w:lvlOverride w:ilvl="4"/>
    <w:lvlOverride w:ilvl="5"/>
    <w:lvlOverride w:ilvl="6"/>
    <w:lvlOverride w:ilvl="7"/>
    <w:lvlOverride w:ilvl="8"/>
  </w:num>
  <w:num w:numId="35">
    <w:abstractNumId w:val="21"/>
  </w:num>
  <w:num w:numId="36">
    <w:abstractNumId w:val="32"/>
  </w:num>
  <w:num w:numId="37">
    <w:abstractNumId w:val="39"/>
  </w:num>
  <w:num w:numId="38">
    <w:abstractNumId w:val="44"/>
  </w:num>
  <w:num w:numId="39">
    <w:abstractNumId w:val="20"/>
  </w:num>
  <w:num w:numId="40">
    <w:abstractNumId w:val="23"/>
  </w:num>
  <w:num w:numId="41">
    <w:abstractNumId w:val="52"/>
  </w:num>
  <w:num w:numId="42">
    <w:abstractNumId w:val="13"/>
  </w:num>
  <w:num w:numId="43">
    <w:abstractNumId w:val="11"/>
  </w:num>
  <w:num w:numId="44">
    <w:abstractNumId w:val="28"/>
  </w:num>
  <w:num w:numId="45">
    <w:abstractNumId w:val="15"/>
  </w:num>
  <w:num w:numId="46">
    <w:abstractNumId w:val="34"/>
  </w:num>
  <w:num w:numId="47">
    <w:abstractNumId w:val="49"/>
  </w:num>
  <w:num w:numId="48">
    <w:abstractNumId w:val="0"/>
  </w:num>
  <w:num w:numId="49">
    <w:abstractNumId w:val="46"/>
  </w:num>
  <w:num w:numId="50">
    <w:abstractNumId w:val="24"/>
  </w:num>
  <w:num w:numId="51">
    <w:abstractNumId w:val="8"/>
  </w:num>
  <w:num w:numId="52">
    <w:abstractNumId w:val="48"/>
  </w:num>
  <w:num w:numId="53">
    <w:abstractNumId w:val="50"/>
  </w:num>
  <w:num w:numId="54">
    <w:abstractNumId w:val="12"/>
  </w:num>
  <w:num w:numId="55">
    <w:abstractNumId w:val="14"/>
  </w:num>
  <w:num w:numId="56">
    <w:abstractNumId w:val="36"/>
  </w:num>
  <w:num w:numId="57">
    <w:abstractNumId w:val="53"/>
  </w:num>
  <w:num w:numId="58">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3EDC21F-88D0-4198-B357-F61B259A1013"/>
    <w:docVar w:name="LW_COVERPAGE_TYPE" w:val="1"/>
    <w:docVar w:name="LW_CROSSREFERENCE" w:val="&lt;UNUSED&gt;"/>
    <w:docVar w:name="LW_DocType" w:val="EUROLOOK"/>
    <w:docVar w:name="LW_EMISSION" w:val="19.3.2025"/>
    <w:docVar w:name="LW_EMISSION_ISODATE" w:val="2025-03-1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1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plan de ac\u539?iune european privind o\u539?elul \u537?i metalele"/>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846E24"/>
    <w:rsid w:val="00001205"/>
    <w:rsid w:val="00001A4D"/>
    <w:rsid w:val="00001AEA"/>
    <w:rsid w:val="00002001"/>
    <w:rsid w:val="00002056"/>
    <w:rsid w:val="0000219B"/>
    <w:rsid w:val="00002373"/>
    <w:rsid w:val="00002557"/>
    <w:rsid w:val="000025E8"/>
    <w:rsid w:val="00002FB9"/>
    <w:rsid w:val="0000364B"/>
    <w:rsid w:val="00003B0E"/>
    <w:rsid w:val="00003E95"/>
    <w:rsid w:val="00004627"/>
    <w:rsid w:val="00004BAC"/>
    <w:rsid w:val="000054AC"/>
    <w:rsid w:val="000058EE"/>
    <w:rsid w:val="00005F13"/>
    <w:rsid w:val="00006CDD"/>
    <w:rsid w:val="00006DF0"/>
    <w:rsid w:val="000073E7"/>
    <w:rsid w:val="00007AAC"/>
    <w:rsid w:val="00007B5E"/>
    <w:rsid w:val="00010143"/>
    <w:rsid w:val="0001051C"/>
    <w:rsid w:val="00010824"/>
    <w:rsid w:val="00010B15"/>
    <w:rsid w:val="000112CD"/>
    <w:rsid w:val="000116C5"/>
    <w:rsid w:val="00011881"/>
    <w:rsid w:val="0001194D"/>
    <w:rsid w:val="00011A86"/>
    <w:rsid w:val="0001286A"/>
    <w:rsid w:val="000138E5"/>
    <w:rsid w:val="00013C2D"/>
    <w:rsid w:val="00014C31"/>
    <w:rsid w:val="00015A7C"/>
    <w:rsid w:val="00015DA7"/>
    <w:rsid w:val="00015E31"/>
    <w:rsid w:val="00015E3F"/>
    <w:rsid w:val="00015F58"/>
    <w:rsid w:val="000160AF"/>
    <w:rsid w:val="0001636E"/>
    <w:rsid w:val="00016BF2"/>
    <w:rsid w:val="00017142"/>
    <w:rsid w:val="0001761E"/>
    <w:rsid w:val="0001920A"/>
    <w:rsid w:val="00020402"/>
    <w:rsid w:val="00020E06"/>
    <w:rsid w:val="00020FBF"/>
    <w:rsid w:val="00021812"/>
    <w:rsid w:val="000219E9"/>
    <w:rsid w:val="00021CC6"/>
    <w:rsid w:val="000232E0"/>
    <w:rsid w:val="000236E4"/>
    <w:rsid w:val="00023B88"/>
    <w:rsid w:val="000244EE"/>
    <w:rsid w:val="00024FCA"/>
    <w:rsid w:val="00025D52"/>
    <w:rsid w:val="000260E7"/>
    <w:rsid w:val="0002697E"/>
    <w:rsid w:val="0002737C"/>
    <w:rsid w:val="0002747C"/>
    <w:rsid w:val="0002758E"/>
    <w:rsid w:val="00030452"/>
    <w:rsid w:val="000308DD"/>
    <w:rsid w:val="00030AA0"/>
    <w:rsid w:val="00031932"/>
    <w:rsid w:val="0003218D"/>
    <w:rsid w:val="000321FF"/>
    <w:rsid w:val="00032FA7"/>
    <w:rsid w:val="00032FFB"/>
    <w:rsid w:val="000333BC"/>
    <w:rsid w:val="00033737"/>
    <w:rsid w:val="00033BD1"/>
    <w:rsid w:val="000340C0"/>
    <w:rsid w:val="0003416E"/>
    <w:rsid w:val="00035969"/>
    <w:rsid w:val="00035E61"/>
    <w:rsid w:val="00035F2C"/>
    <w:rsid w:val="000360D4"/>
    <w:rsid w:val="00036112"/>
    <w:rsid w:val="00036C68"/>
    <w:rsid w:val="000371B6"/>
    <w:rsid w:val="00037F5E"/>
    <w:rsid w:val="00040020"/>
    <w:rsid w:val="00040033"/>
    <w:rsid w:val="00040CD3"/>
    <w:rsid w:val="00040E0D"/>
    <w:rsid w:val="0004101B"/>
    <w:rsid w:val="0004104D"/>
    <w:rsid w:val="0004120C"/>
    <w:rsid w:val="0004178E"/>
    <w:rsid w:val="00041DF6"/>
    <w:rsid w:val="00041E79"/>
    <w:rsid w:val="00042108"/>
    <w:rsid w:val="00042A9F"/>
    <w:rsid w:val="00042ACF"/>
    <w:rsid w:val="00042DBA"/>
    <w:rsid w:val="0004302E"/>
    <w:rsid w:val="000431F8"/>
    <w:rsid w:val="0004324E"/>
    <w:rsid w:val="00043296"/>
    <w:rsid w:val="0004374B"/>
    <w:rsid w:val="00043C97"/>
    <w:rsid w:val="00043DF8"/>
    <w:rsid w:val="00044307"/>
    <w:rsid w:val="000445BD"/>
    <w:rsid w:val="000451FB"/>
    <w:rsid w:val="0004539C"/>
    <w:rsid w:val="000456DD"/>
    <w:rsid w:val="00045A8D"/>
    <w:rsid w:val="00045D6C"/>
    <w:rsid w:val="00045D78"/>
    <w:rsid w:val="00045E63"/>
    <w:rsid w:val="0004612A"/>
    <w:rsid w:val="00046137"/>
    <w:rsid w:val="000461AA"/>
    <w:rsid w:val="000473F9"/>
    <w:rsid w:val="00051645"/>
    <w:rsid w:val="00051913"/>
    <w:rsid w:val="00051D90"/>
    <w:rsid w:val="00052380"/>
    <w:rsid w:val="00052BC3"/>
    <w:rsid w:val="00052F46"/>
    <w:rsid w:val="00053894"/>
    <w:rsid w:val="00054108"/>
    <w:rsid w:val="000542ED"/>
    <w:rsid w:val="00054388"/>
    <w:rsid w:val="00054838"/>
    <w:rsid w:val="000548A9"/>
    <w:rsid w:val="00054D79"/>
    <w:rsid w:val="00055130"/>
    <w:rsid w:val="00055653"/>
    <w:rsid w:val="00056517"/>
    <w:rsid w:val="00056C84"/>
    <w:rsid w:val="00056C9F"/>
    <w:rsid w:val="0005700F"/>
    <w:rsid w:val="00057190"/>
    <w:rsid w:val="00057860"/>
    <w:rsid w:val="00060419"/>
    <w:rsid w:val="00060540"/>
    <w:rsid w:val="00060977"/>
    <w:rsid w:val="00061861"/>
    <w:rsid w:val="00061DCB"/>
    <w:rsid w:val="00061FBF"/>
    <w:rsid w:val="000621C3"/>
    <w:rsid w:val="00062591"/>
    <w:rsid w:val="00062EC4"/>
    <w:rsid w:val="00063246"/>
    <w:rsid w:val="00063485"/>
    <w:rsid w:val="0006386C"/>
    <w:rsid w:val="00063A68"/>
    <w:rsid w:val="00063EA6"/>
    <w:rsid w:val="00064273"/>
    <w:rsid w:val="0006484B"/>
    <w:rsid w:val="00064CD5"/>
    <w:rsid w:val="00065F8A"/>
    <w:rsid w:val="00066187"/>
    <w:rsid w:val="000666D1"/>
    <w:rsid w:val="000668B1"/>
    <w:rsid w:val="00066A7F"/>
    <w:rsid w:val="00066E25"/>
    <w:rsid w:val="00066FB3"/>
    <w:rsid w:val="00067302"/>
    <w:rsid w:val="00067679"/>
    <w:rsid w:val="000676A2"/>
    <w:rsid w:val="00067ACF"/>
    <w:rsid w:val="00067E28"/>
    <w:rsid w:val="0007047C"/>
    <w:rsid w:val="000704AD"/>
    <w:rsid w:val="00070EBF"/>
    <w:rsid w:val="00071178"/>
    <w:rsid w:val="00071610"/>
    <w:rsid w:val="0007174F"/>
    <w:rsid w:val="00071853"/>
    <w:rsid w:val="00071965"/>
    <w:rsid w:val="00071FEA"/>
    <w:rsid w:val="000720B0"/>
    <w:rsid w:val="000727BB"/>
    <w:rsid w:val="00073327"/>
    <w:rsid w:val="000733DB"/>
    <w:rsid w:val="00075216"/>
    <w:rsid w:val="000755E2"/>
    <w:rsid w:val="000756F2"/>
    <w:rsid w:val="00075974"/>
    <w:rsid w:val="00075B8A"/>
    <w:rsid w:val="00076564"/>
    <w:rsid w:val="00076622"/>
    <w:rsid w:val="00077020"/>
    <w:rsid w:val="00077BE5"/>
    <w:rsid w:val="0008023C"/>
    <w:rsid w:val="00080446"/>
    <w:rsid w:val="00080764"/>
    <w:rsid w:val="00080A69"/>
    <w:rsid w:val="00080B06"/>
    <w:rsid w:val="000814EF"/>
    <w:rsid w:val="0008163E"/>
    <w:rsid w:val="000816EA"/>
    <w:rsid w:val="00082690"/>
    <w:rsid w:val="00083F3A"/>
    <w:rsid w:val="00084315"/>
    <w:rsid w:val="00084412"/>
    <w:rsid w:val="0008463E"/>
    <w:rsid w:val="000846BC"/>
    <w:rsid w:val="0008482C"/>
    <w:rsid w:val="000851FB"/>
    <w:rsid w:val="0008522F"/>
    <w:rsid w:val="00085391"/>
    <w:rsid w:val="00085703"/>
    <w:rsid w:val="00085A65"/>
    <w:rsid w:val="00086797"/>
    <w:rsid w:val="00086FB2"/>
    <w:rsid w:val="00087299"/>
    <w:rsid w:val="00087447"/>
    <w:rsid w:val="000879D6"/>
    <w:rsid w:val="00090DAC"/>
    <w:rsid w:val="00091058"/>
    <w:rsid w:val="000913E0"/>
    <w:rsid w:val="000917E4"/>
    <w:rsid w:val="00091B4A"/>
    <w:rsid w:val="000920B3"/>
    <w:rsid w:val="00092972"/>
    <w:rsid w:val="00092DC5"/>
    <w:rsid w:val="000932E0"/>
    <w:rsid w:val="00093BF4"/>
    <w:rsid w:val="00093E2F"/>
    <w:rsid w:val="000945E1"/>
    <w:rsid w:val="00094848"/>
    <w:rsid w:val="00094878"/>
    <w:rsid w:val="00094C9C"/>
    <w:rsid w:val="00094E9A"/>
    <w:rsid w:val="00095075"/>
    <w:rsid w:val="00095139"/>
    <w:rsid w:val="000953B5"/>
    <w:rsid w:val="00095457"/>
    <w:rsid w:val="000955B2"/>
    <w:rsid w:val="00095A46"/>
    <w:rsid w:val="00095D23"/>
    <w:rsid w:val="00096048"/>
    <w:rsid w:val="00096503"/>
    <w:rsid w:val="00097122"/>
    <w:rsid w:val="000A0560"/>
    <w:rsid w:val="000A07FB"/>
    <w:rsid w:val="000A096A"/>
    <w:rsid w:val="000A16E3"/>
    <w:rsid w:val="000A29A4"/>
    <w:rsid w:val="000A31BF"/>
    <w:rsid w:val="000A349D"/>
    <w:rsid w:val="000A3797"/>
    <w:rsid w:val="000A3E3F"/>
    <w:rsid w:val="000A52B5"/>
    <w:rsid w:val="000A56C9"/>
    <w:rsid w:val="000A582F"/>
    <w:rsid w:val="000A5A52"/>
    <w:rsid w:val="000A642B"/>
    <w:rsid w:val="000A6BE0"/>
    <w:rsid w:val="000A6D47"/>
    <w:rsid w:val="000A707E"/>
    <w:rsid w:val="000A7261"/>
    <w:rsid w:val="000A7B16"/>
    <w:rsid w:val="000B0B6A"/>
    <w:rsid w:val="000B0E57"/>
    <w:rsid w:val="000B143E"/>
    <w:rsid w:val="000B167C"/>
    <w:rsid w:val="000B1B8B"/>
    <w:rsid w:val="000B1DB9"/>
    <w:rsid w:val="000B212A"/>
    <w:rsid w:val="000B3072"/>
    <w:rsid w:val="000B3214"/>
    <w:rsid w:val="000B341F"/>
    <w:rsid w:val="000B3507"/>
    <w:rsid w:val="000B3BDC"/>
    <w:rsid w:val="000B4197"/>
    <w:rsid w:val="000B41AC"/>
    <w:rsid w:val="000B4551"/>
    <w:rsid w:val="000B4707"/>
    <w:rsid w:val="000B56FA"/>
    <w:rsid w:val="000B5B5C"/>
    <w:rsid w:val="000B68BC"/>
    <w:rsid w:val="000B6985"/>
    <w:rsid w:val="000B7183"/>
    <w:rsid w:val="000B738D"/>
    <w:rsid w:val="000B769E"/>
    <w:rsid w:val="000B7715"/>
    <w:rsid w:val="000B7B3C"/>
    <w:rsid w:val="000C024A"/>
    <w:rsid w:val="000C058D"/>
    <w:rsid w:val="000C0705"/>
    <w:rsid w:val="000C0C5A"/>
    <w:rsid w:val="000C1253"/>
    <w:rsid w:val="000C18E0"/>
    <w:rsid w:val="000C20FE"/>
    <w:rsid w:val="000C2C4F"/>
    <w:rsid w:val="000C2DEC"/>
    <w:rsid w:val="000C2DFC"/>
    <w:rsid w:val="000C3194"/>
    <w:rsid w:val="000C34C8"/>
    <w:rsid w:val="000C3F44"/>
    <w:rsid w:val="000C43C4"/>
    <w:rsid w:val="000C4DF0"/>
    <w:rsid w:val="000C5A74"/>
    <w:rsid w:val="000C5CDA"/>
    <w:rsid w:val="000C5DFE"/>
    <w:rsid w:val="000C6988"/>
    <w:rsid w:val="000C6D31"/>
    <w:rsid w:val="000C704E"/>
    <w:rsid w:val="000C7090"/>
    <w:rsid w:val="000C70AD"/>
    <w:rsid w:val="000C7451"/>
    <w:rsid w:val="000C765B"/>
    <w:rsid w:val="000C770F"/>
    <w:rsid w:val="000C7AD7"/>
    <w:rsid w:val="000D02EC"/>
    <w:rsid w:val="000D0493"/>
    <w:rsid w:val="000D06BE"/>
    <w:rsid w:val="000D0764"/>
    <w:rsid w:val="000D0852"/>
    <w:rsid w:val="000D095E"/>
    <w:rsid w:val="000D0CC3"/>
    <w:rsid w:val="000D1C9C"/>
    <w:rsid w:val="000D28E1"/>
    <w:rsid w:val="000D2A31"/>
    <w:rsid w:val="000D34EF"/>
    <w:rsid w:val="000D3794"/>
    <w:rsid w:val="000D403A"/>
    <w:rsid w:val="000D45C6"/>
    <w:rsid w:val="000D4BD7"/>
    <w:rsid w:val="000D54B7"/>
    <w:rsid w:val="000D5980"/>
    <w:rsid w:val="000D5AC3"/>
    <w:rsid w:val="000D5B8C"/>
    <w:rsid w:val="000D5EC6"/>
    <w:rsid w:val="000D5FAB"/>
    <w:rsid w:val="000D648B"/>
    <w:rsid w:val="000D66B4"/>
    <w:rsid w:val="000D6702"/>
    <w:rsid w:val="000D6CCD"/>
    <w:rsid w:val="000D72FA"/>
    <w:rsid w:val="000D7798"/>
    <w:rsid w:val="000D7F71"/>
    <w:rsid w:val="000E0DF1"/>
    <w:rsid w:val="000E116F"/>
    <w:rsid w:val="000E1AD2"/>
    <w:rsid w:val="000E1CDE"/>
    <w:rsid w:val="000E2257"/>
    <w:rsid w:val="000E2BDB"/>
    <w:rsid w:val="000E2CEC"/>
    <w:rsid w:val="000E2D3D"/>
    <w:rsid w:val="000E30C8"/>
    <w:rsid w:val="000E3220"/>
    <w:rsid w:val="000E365C"/>
    <w:rsid w:val="000E3832"/>
    <w:rsid w:val="000E38E5"/>
    <w:rsid w:val="000E3CE7"/>
    <w:rsid w:val="000E40C0"/>
    <w:rsid w:val="000E498B"/>
    <w:rsid w:val="000E4A5D"/>
    <w:rsid w:val="000E4F66"/>
    <w:rsid w:val="000E542B"/>
    <w:rsid w:val="000E5EAE"/>
    <w:rsid w:val="000E5F27"/>
    <w:rsid w:val="000E5FDE"/>
    <w:rsid w:val="000E606A"/>
    <w:rsid w:val="000E6537"/>
    <w:rsid w:val="000E6AC2"/>
    <w:rsid w:val="000E6D85"/>
    <w:rsid w:val="000E6DD6"/>
    <w:rsid w:val="000E6EAD"/>
    <w:rsid w:val="000E73CC"/>
    <w:rsid w:val="000E73D1"/>
    <w:rsid w:val="000E78DD"/>
    <w:rsid w:val="000F09CA"/>
    <w:rsid w:val="000F0B7C"/>
    <w:rsid w:val="000F1B8A"/>
    <w:rsid w:val="000F1BE2"/>
    <w:rsid w:val="000F20B8"/>
    <w:rsid w:val="000F26E6"/>
    <w:rsid w:val="000F2915"/>
    <w:rsid w:val="000F2B28"/>
    <w:rsid w:val="000F3053"/>
    <w:rsid w:val="000F3497"/>
    <w:rsid w:val="000F370A"/>
    <w:rsid w:val="000F3C42"/>
    <w:rsid w:val="000F43F8"/>
    <w:rsid w:val="000F4562"/>
    <w:rsid w:val="000F4BC2"/>
    <w:rsid w:val="000F5518"/>
    <w:rsid w:val="000F61CF"/>
    <w:rsid w:val="000F66F6"/>
    <w:rsid w:val="000F6AD1"/>
    <w:rsid w:val="000F715D"/>
    <w:rsid w:val="000F76EA"/>
    <w:rsid w:val="000F7A81"/>
    <w:rsid w:val="000F7FEA"/>
    <w:rsid w:val="00100B33"/>
    <w:rsid w:val="00100C50"/>
    <w:rsid w:val="0010119D"/>
    <w:rsid w:val="0010177E"/>
    <w:rsid w:val="00101AD9"/>
    <w:rsid w:val="00101CC0"/>
    <w:rsid w:val="00101FF5"/>
    <w:rsid w:val="00102FD1"/>
    <w:rsid w:val="001035AD"/>
    <w:rsid w:val="001038AE"/>
    <w:rsid w:val="00103E29"/>
    <w:rsid w:val="00104B76"/>
    <w:rsid w:val="00105213"/>
    <w:rsid w:val="00105664"/>
    <w:rsid w:val="001056A8"/>
    <w:rsid w:val="00105AB7"/>
    <w:rsid w:val="00105C82"/>
    <w:rsid w:val="00105DDB"/>
    <w:rsid w:val="00106369"/>
    <w:rsid w:val="00106425"/>
    <w:rsid w:val="00106498"/>
    <w:rsid w:val="001068B5"/>
    <w:rsid w:val="00106A20"/>
    <w:rsid w:val="00106E67"/>
    <w:rsid w:val="001072AC"/>
    <w:rsid w:val="0010733C"/>
    <w:rsid w:val="00107602"/>
    <w:rsid w:val="00107743"/>
    <w:rsid w:val="00107A3C"/>
    <w:rsid w:val="00110642"/>
    <w:rsid w:val="00110D9C"/>
    <w:rsid w:val="0011135D"/>
    <w:rsid w:val="0011165C"/>
    <w:rsid w:val="00111685"/>
    <w:rsid w:val="00111B08"/>
    <w:rsid w:val="00111DF5"/>
    <w:rsid w:val="00111FA4"/>
    <w:rsid w:val="00112197"/>
    <w:rsid w:val="00112B37"/>
    <w:rsid w:val="00112F95"/>
    <w:rsid w:val="00113D9B"/>
    <w:rsid w:val="0011523A"/>
    <w:rsid w:val="00115725"/>
    <w:rsid w:val="00115763"/>
    <w:rsid w:val="00115D51"/>
    <w:rsid w:val="00115EF2"/>
    <w:rsid w:val="00116006"/>
    <w:rsid w:val="0011704A"/>
    <w:rsid w:val="0011765D"/>
    <w:rsid w:val="001176A2"/>
    <w:rsid w:val="001178CC"/>
    <w:rsid w:val="00117A64"/>
    <w:rsid w:val="001198D1"/>
    <w:rsid w:val="0012013E"/>
    <w:rsid w:val="0012079F"/>
    <w:rsid w:val="00120A67"/>
    <w:rsid w:val="00120F27"/>
    <w:rsid w:val="00121A2D"/>
    <w:rsid w:val="00121B0D"/>
    <w:rsid w:val="00121EE5"/>
    <w:rsid w:val="0012256F"/>
    <w:rsid w:val="00122596"/>
    <w:rsid w:val="001228B9"/>
    <w:rsid w:val="00122C78"/>
    <w:rsid w:val="00123353"/>
    <w:rsid w:val="001233BD"/>
    <w:rsid w:val="00124A54"/>
    <w:rsid w:val="00124F33"/>
    <w:rsid w:val="00125726"/>
    <w:rsid w:val="00125ACB"/>
    <w:rsid w:val="00125F69"/>
    <w:rsid w:val="00126482"/>
    <w:rsid w:val="00126950"/>
    <w:rsid w:val="001274F1"/>
    <w:rsid w:val="00127A76"/>
    <w:rsid w:val="00127A7C"/>
    <w:rsid w:val="00127BD2"/>
    <w:rsid w:val="00127ECB"/>
    <w:rsid w:val="001301C8"/>
    <w:rsid w:val="00130259"/>
    <w:rsid w:val="001303E3"/>
    <w:rsid w:val="00130A45"/>
    <w:rsid w:val="00130F54"/>
    <w:rsid w:val="0013121E"/>
    <w:rsid w:val="00131892"/>
    <w:rsid w:val="0013367F"/>
    <w:rsid w:val="0013389C"/>
    <w:rsid w:val="00133A05"/>
    <w:rsid w:val="00134CE8"/>
    <w:rsid w:val="0013509A"/>
    <w:rsid w:val="00135139"/>
    <w:rsid w:val="00135245"/>
    <w:rsid w:val="00135B87"/>
    <w:rsid w:val="00135DF3"/>
    <w:rsid w:val="00135E00"/>
    <w:rsid w:val="001360C0"/>
    <w:rsid w:val="001363E0"/>
    <w:rsid w:val="00136903"/>
    <w:rsid w:val="001379DB"/>
    <w:rsid w:val="00137C02"/>
    <w:rsid w:val="00137E5B"/>
    <w:rsid w:val="001405B5"/>
    <w:rsid w:val="001409B0"/>
    <w:rsid w:val="001409E2"/>
    <w:rsid w:val="00140B07"/>
    <w:rsid w:val="001411DB"/>
    <w:rsid w:val="001414BD"/>
    <w:rsid w:val="001415E1"/>
    <w:rsid w:val="00141691"/>
    <w:rsid w:val="00141ED7"/>
    <w:rsid w:val="001427D9"/>
    <w:rsid w:val="00142AE1"/>
    <w:rsid w:val="00142F2F"/>
    <w:rsid w:val="0014333C"/>
    <w:rsid w:val="00143C7C"/>
    <w:rsid w:val="00143E04"/>
    <w:rsid w:val="0014432A"/>
    <w:rsid w:val="0014537D"/>
    <w:rsid w:val="00145705"/>
    <w:rsid w:val="00145A39"/>
    <w:rsid w:val="00145C8B"/>
    <w:rsid w:val="00146025"/>
    <w:rsid w:val="00146ABA"/>
    <w:rsid w:val="001474E8"/>
    <w:rsid w:val="001479BF"/>
    <w:rsid w:val="00147DE8"/>
    <w:rsid w:val="00147EDB"/>
    <w:rsid w:val="0014989F"/>
    <w:rsid w:val="0015063C"/>
    <w:rsid w:val="00150AAF"/>
    <w:rsid w:val="00151142"/>
    <w:rsid w:val="00151A55"/>
    <w:rsid w:val="001522E0"/>
    <w:rsid w:val="00152302"/>
    <w:rsid w:val="00152888"/>
    <w:rsid w:val="00153200"/>
    <w:rsid w:val="0015384E"/>
    <w:rsid w:val="00153D82"/>
    <w:rsid w:val="00153DD8"/>
    <w:rsid w:val="00154237"/>
    <w:rsid w:val="00154385"/>
    <w:rsid w:val="00154479"/>
    <w:rsid w:val="001545FC"/>
    <w:rsid w:val="001549BE"/>
    <w:rsid w:val="00154BCC"/>
    <w:rsid w:val="00154BF8"/>
    <w:rsid w:val="00154FFE"/>
    <w:rsid w:val="00155E1C"/>
    <w:rsid w:val="00155E2B"/>
    <w:rsid w:val="00156CEB"/>
    <w:rsid w:val="00156DAA"/>
    <w:rsid w:val="00156E37"/>
    <w:rsid w:val="00160242"/>
    <w:rsid w:val="00160283"/>
    <w:rsid w:val="00160987"/>
    <w:rsid w:val="00160BF3"/>
    <w:rsid w:val="00160C7C"/>
    <w:rsid w:val="00161722"/>
    <w:rsid w:val="001619A5"/>
    <w:rsid w:val="00161A0B"/>
    <w:rsid w:val="00161C81"/>
    <w:rsid w:val="0016309F"/>
    <w:rsid w:val="001638B0"/>
    <w:rsid w:val="00163B64"/>
    <w:rsid w:val="00164382"/>
    <w:rsid w:val="00164899"/>
    <w:rsid w:val="00164AB0"/>
    <w:rsid w:val="001655DF"/>
    <w:rsid w:val="00166147"/>
    <w:rsid w:val="001665FF"/>
    <w:rsid w:val="0016666D"/>
    <w:rsid w:val="00166D31"/>
    <w:rsid w:val="00166F17"/>
    <w:rsid w:val="0016726D"/>
    <w:rsid w:val="00167DAA"/>
    <w:rsid w:val="00167E07"/>
    <w:rsid w:val="00167F7C"/>
    <w:rsid w:val="00170030"/>
    <w:rsid w:val="001703E2"/>
    <w:rsid w:val="00170711"/>
    <w:rsid w:val="00170877"/>
    <w:rsid w:val="00171099"/>
    <w:rsid w:val="001717A2"/>
    <w:rsid w:val="00171EC8"/>
    <w:rsid w:val="00172C20"/>
    <w:rsid w:val="00172FB6"/>
    <w:rsid w:val="001733F7"/>
    <w:rsid w:val="00173C15"/>
    <w:rsid w:val="001745E0"/>
    <w:rsid w:val="001746A1"/>
    <w:rsid w:val="00174885"/>
    <w:rsid w:val="001749A9"/>
    <w:rsid w:val="00175006"/>
    <w:rsid w:val="00175BB2"/>
    <w:rsid w:val="00175F8B"/>
    <w:rsid w:val="00176F11"/>
    <w:rsid w:val="00177853"/>
    <w:rsid w:val="00177D6B"/>
    <w:rsid w:val="00177E0F"/>
    <w:rsid w:val="00177E5B"/>
    <w:rsid w:val="00180075"/>
    <w:rsid w:val="001801B8"/>
    <w:rsid w:val="001805D7"/>
    <w:rsid w:val="0018061A"/>
    <w:rsid w:val="001809DB"/>
    <w:rsid w:val="00181792"/>
    <w:rsid w:val="001825A6"/>
    <w:rsid w:val="0018355B"/>
    <w:rsid w:val="00183A7A"/>
    <w:rsid w:val="00183E8C"/>
    <w:rsid w:val="00183F31"/>
    <w:rsid w:val="0018419D"/>
    <w:rsid w:val="00184772"/>
    <w:rsid w:val="00184CA0"/>
    <w:rsid w:val="00184FFD"/>
    <w:rsid w:val="001851F1"/>
    <w:rsid w:val="0018568C"/>
    <w:rsid w:val="001856CA"/>
    <w:rsid w:val="00185D19"/>
    <w:rsid w:val="00185F4B"/>
    <w:rsid w:val="0018602E"/>
    <w:rsid w:val="0018669D"/>
    <w:rsid w:val="001870D6"/>
    <w:rsid w:val="001872FA"/>
    <w:rsid w:val="00187415"/>
    <w:rsid w:val="001874D3"/>
    <w:rsid w:val="00187597"/>
    <w:rsid w:val="00187DF8"/>
    <w:rsid w:val="00190166"/>
    <w:rsid w:val="00190259"/>
    <w:rsid w:val="0019065F"/>
    <w:rsid w:val="00190CB9"/>
    <w:rsid w:val="00190D40"/>
    <w:rsid w:val="00190DBC"/>
    <w:rsid w:val="00191384"/>
    <w:rsid w:val="00191899"/>
    <w:rsid w:val="001919EC"/>
    <w:rsid w:val="00191E80"/>
    <w:rsid w:val="00191FAB"/>
    <w:rsid w:val="00192144"/>
    <w:rsid w:val="00192E2C"/>
    <w:rsid w:val="00192EB9"/>
    <w:rsid w:val="001945B1"/>
    <w:rsid w:val="00194793"/>
    <w:rsid w:val="001948A4"/>
    <w:rsid w:val="001951E5"/>
    <w:rsid w:val="00195670"/>
    <w:rsid w:val="0019572D"/>
    <w:rsid w:val="001958DC"/>
    <w:rsid w:val="00195B41"/>
    <w:rsid w:val="00195CC7"/>
    <w:rsid w:val="0019615F"/>
    <w:rsid w:val="00196858"/>
    <w:rsid w:val="00197A73"/>
    <w:rsid w:val="00197CD5"/>
    <w:rsid w:val="001A0080"/>
    <w:rsid w:val="001A080D"/>
    <w:rsid w:val="001A1376"/>
    <w:rsid w:val="001A1455"/>
    <w:rsid w:val="001A1F68"/>
    <w:rsid w:val="001A225F"/>
    <w:rsid w:val="001A2750"/>
    <w:rsid w:val="001A297D"/>
    <w:rsid w:val="001A3418"/>
    <w:rsid w:val="001A34BA"/>
    <w:rsid w:val="001A36C9"/>
    <w:rsid w:val="001A389E"/>
    <w:rsid w:val="001A49B4"/>
    <w:rsid w:val="001A4CBE"/>
    <w:rsid w:val="001A4F78"/>
    <w:rsid w:val="001A5A1E"/>
    <w:rsid w:val="001A5B23"/>
    <w:rsid w:val="001A6C78"/>
    <w:rsid w:val="001A7458"/>
    <w:rsid w:val="001A7B74"/>
    <w:rsid w:val="001A7EDB"/>
    <w:rsid w:val="001B04EE"/>
    <w:rsid w:val="001B0E64"/>
    <w:rsid w:val="001B1587"/>
    <w:rsid w:val="001B18C7"/>
    <w:rsid w:val="001B1C17"/>
    <w:rsid w:val="001B1C8D"/>
    <w:rsid w:val="001B1CAD"/>
    <w:rsid w:val="001B1DE1"/>
    <w:rsid w:val="001B202F"/>
    <w:rsid w:val="001B3176"/>
    <w:rsid w:val="001B36B3"/>
    <w:rsid w:val="001B36C8"/>
    <w:rsid w:val="001B3B07"/>
    <w:rsid w:val="001B4670"/>
    <w:rsid w:val="001B4902"/>
    <w:rsid w:val="001B4976"/>
    <w:rsid w:val="001B5067"/>
    <w:rsid w:val="001B506B"/>
    <w:rsid w:val="001B51AB"/>
    <w:rsid w:val="001B587C"/>
    <w:rsid w:val="001B5DD0"/>
    <w:rsid w:val="001B6666"/>
    <w:rsid w:val="001B7215"/>
    <w:rsid w:val="001B73E9"/>
    <w:rsid w:val="001B7B1A"/>
    <w:rsid w:val="001C0049"/>
    <w:rsid w:val="001C07E1"/>
    <w:rsid w:val="001C0A82"/>
    <w:rsid w:val="001C0C0E"/>
    <w:rsid w:val="001C0CE8"/>
    <w:rsid w:val="001C1114"/>
    <w:rsid w:val="001C13A5"/>
    <w:rsid w:val="001C1941"/>
    <w:rsid w:val="001C1FA9"/>
    <w:rsid w:val="001C2105"/>
    <w:rsid w:val="001C22D7"/>
    <w:rsid w:val="001C2378"/>
    <w:rsid w:val="001C2B9C"/>
    <w:rsid w:val="001C319B"/>
    <w:rsid w:val="001C3258"/>
    <w:rsid w:val="001C38AC"/>
    <w:rsid w:val="001C440D"/>
    <w:rsid w:val="001C4A55"/>
    <w:rsid w:val="001C4ABC"/>
    <w:rsid w:val="001C4F34"/>
    <w:rsid w:val="001C501E"/>
    <w:rsid w:val="001C5194"/>
    <w:rsid w:val="001C58A9"/>
    <w:rsid w:val="001C600F"/>
    <w:rsid w:val="001C6653"/>
    <w:rsid w:val="001C68F5"/>
    <w:rsid w:val="001C6A1C"/>
    <w:rsid w:val="001C6E3D"/>
    <w:rsid w:val="001C6EBA"/>
    <w:rsid w:val="001C79F4"/>
    <w:rsid w:val="001C7B37"/>
    <w:rsid w:val="001C7B90"/>
    <w:rsid w:val="001D0664"/>
    <w:rsid w:val="001D0FF3"/>
    <w:rsid w:val="001D1514"/>
    <w:rsid w:val="001D2F93"/>
    <w:rsid w:val="001D2FB8"/>
    <w:rsid w:val="001D34B4"/>
    <w:rsid w:val="001D3952"/>
    <w:rsid w:val="001D3BEB"/>
    <w:rsid w:val="001D3DCD"/>
    <w:rsid w:val="001D40AA"/>
    <w:rsid w:val="001D40EA"/>
    <w:rsid w:val="001D4909"/>
    <w:rsid w:val="001D591D"/>
    <w:rsid w:val="001D5938"/>
    <w:rsid w:val="001D5C18"/>
    <w:rsid w:val="001D6791"/>
    <w:rsid w:val="001D6ED9"/>
    <w:rsid w:val="001D6F1C"/>
    <w:rsid w:val="001D705D"/>
    <w:rsid w:val="001D72A2"/>
    <w:rsid w:val="001D74F4"/>
    <w:rsid w:val="001D792A"/>
    <w:rsid w:val="001D7C21"/>
    <w:rsid w:val="001D7CFD"/>
    <w:rsid w:val="001D7EC5"/>
    <w:rsid w:val="001E019C"/>
    <w:rsid w:val="001E067C"/>
    <w:rsid w:val="001E0C08"/>
    <w:rsid w:val="001E16DE"/>
    <w:rsid w:val="001E1DBF"/>
    <w:rsid w:val="001E1E5C"/>
    <w:rsid w:val="001E2462"/>
    <w:rsid w:val="001E3658"/>
    <w:rsid w:val="001E3C56"/>
    <w:rsid w:val="001E41AE"/>
    <w:rsid w:val="001E4479"/>
    <w:rsid w:val="001E45C2"/>
    <w:rsid w:val="001E48B5"/>
    <w:rsid w:val="001E4A16"/>
    <w:rsid w:val="001E4EE8"/>
    <w:rsid w:val="001E50F2"/>
    <w:rsid w:val="001E558A"/>
    <w:rsid w:val="001E6FA2"/>
    <w:rsid w:val="001E78EC"/>
    <w:rsid w:val="001F06F9"/>
    <w:rsid w:val="001F0CBE"/>
    <w:rsid w:val="001F147F"/>
    <w:rsid w:val="001F16CC"/>
    <w:rsid w:val="001F1A34"/>
    <w:rsid w:val="001F1DB1"/>
    <w:rsid w:val="001F1DE5"/>
    <w:rsid w:val="001F20F3"/>
    <w:rsid w:val="001F23D1"/>
    <w:rsid w:val="001F23F4"/>
    <w:rsid w:val="001F2F35"/>
    <w:rsid w:val="001F40A2"/>
    <w:rsid w:val="001F4AB9"/>
    <w:rsid w:val="001F564C"/>
    <w:rsid w:val="001F5F5A"/>
    <w:rsid w:val="001F6E79"/>
    <w:rsid w:val="00200677"/>
    <w:rsid w:val="0020105C"/>
    <w:rsid w:val="00201210"/>
    <w:rsid w:val="00201727"/>
    <w:rsid w:val="00201AA1"/>
    <w:rsid w:val="00202DE2"/>
    <w:rsid w:val="00202E77"/>
    <w:rsid w:val="002033FC"/>
    <w:rsid w:val="00203984"/>
    <w:rsid w:val="00203BEA"/>
    <w:rsid w:val="00203DD1"/>
    <w:rsid w:val="00203E07"/>
    <w:rsid w:val="00204A95"/>
    <w:rsid w:val="00204EF7"/>
    <w:rsid w:val="002059B8"/>
    <w:rsid w:val="00205EDB"/>
    <w:rsid w:val="00206131"/>
    <w:rsid w:val="00207041"/>
    <w:rsid w:val="002070A1"/>
    <w:rsid w:val="0020743A"/>
    <w:rsid w:val="00207A55"/>
    <w:rsid w:val="00210027"/>
    <w:rsid w:val="00210129"/>
    <w:rsid w:val="00210329"/>
    <w:rsid w:val="0021080D"/>
    <w:rsid w:val="0021086F"/>
    <w:rsid w:val="00210996"/>
    <w:rsid w:val="002111A9"/>
    <w:rsid w:val="00211531"/>
    <w:rsid w:val="00211B2E"/>
    <w:rsid w:val="00211D88"/>
    <w:rsid w:val="00211F02"/>
    <w:rsid w:val="002129DD"/>
    <w:rsid w:val="00213007"/>
    <w:rsid w:val="00213260"/>
    <w:rsid w:val="002132BC"/>
    <w:rsid w:val="00213304"/>
    <w:rsid w:val="00213839"/>
    <w:rsid w:val="00214662"/>
    <w:rsid w:val="00214899"/>
    <w:rsid w:val="002148BD"/>
    <w:rsid w:val="002150CA"/>
    <w:rsid w:val="00215870"/>
    <w:rsid w:val="00215897"/>
    <w:rsid w:val="00215CE8"/>
    <w:rsid w:val="002162C8"/>
    <w:rsid w:val="0021660A"/>
    <w:rsid w:val="002166FA"/>
    <w:rsid w:val="002179E4"/>
    <w:rsid w:val="00220134"/>
    <w:rsid w:val="00220381"/>
    <w:rsid w:val="00220FF4"/>
    <w:rsid w:val="002213A6"/>
    <w:rsid w:val="00221AE1"/>
    <w:rsid w:val="00222778"/>
    <w:rsid w:val="002230C4"/>
    <w:rsid w:val="0022335D"/>
    <w:rsid w:val="00223D09"/>
    <w:rsid w:val="00223E18"/>
    <w:rsid w:val="00224A80"/>
    <w:rsid w:val="00225175"/>
    <w:rsid w:val="002252F5"/>
    <w:rsid w:val="0022539A"/>
    <w:rsid w:val="00225812"/>
    <w:rsid w:val="002259A9"/>
    <w:rsid w:val="00225B21"/>
    <w:rsid w:val="00225F7B"/>
    <w:rsid w:val="00226098"/>
    <w:rsid w:val="0022626B"/>
    <w:rsid w:val="00226BB2"/>
    <w:rsid w:val="00226C22"/>
    <w:rsid w:val="00226D48"/>
    <w:rsid w:val="00227020"/>
    <w:rsid w:val="002272EB"/>
    <w:rsid w:val="002272FE"/>
    <w:rsid w:val="0022743E"/>
    <w:rsid w:val="0022765F"/>
    <w:rsid w:val="00227669"/>
    <w:rsid w:val="00227BE1"/>
    <w:rsid w:val="00227D24"/>
    <w:rsid w:val="00230070"/>
    <w:rsid w:val="00230A01"/>
    <w:rsid w:val="00230D66"/>
    <w:rsid w:val="00230DBB"/>
    <w:rsid w:val="00230E69"/>
    <w:rsid w:val="00231037"/>
    <w:rsid w:val="00231A83"/>
    <w:rsid w:val="00231AA4"/>
    <w:rsid w:val="00231E8F"/>
    <w:rsid w:val="00232721"/>
    <w:rsid w:val="002328A8"/>
    <w:rsid w:val="00233731"/>
    <w:rsid w:val="00233984"/>
    <w:rsid w:val="002339E1"/>
    <w:rsid w:val="00233D12"/>
    <w:rsid w:val="00234158"/>
    <w:rsid w:val="00234455"/>
    <w:rsid w:val="00234996"/>
    <w:rsid w:val="002349A5"/>
    <w:rsid w:val="00235A67"/>
    <w:rsid w:val="00235D70"/>
    <w:rsid w:val="002363B3"/>
    <w:rsid w:val="002365FF"/>
    <w:rsid w:val="0023734D"/>
    <w:rsid w:val="002374D3"/>
    <w:rsid w:val="00237BCD"/>
    <w:rsid w:val="00240301"/>
    <w:rsid w:val="00240CC4"/>
    <w:rsid w:val="002418ED"/>
    <w:rsid w:val="00242227"/>
    <w:rsid w:val="00242FC6"/>
    <w:rsid w:val="00242FE6"/>
    <w:rsid w:val="0024380F"/>
    <w:rsid w:val="002445B3"/>
    <w:rsid w:val="00244ABD"/>
    <w:rsid w:val="00244B64"/>
    <w:rsid w:val="00245B10"/>
    <w:rsid w:val="00245B89"/>
    <w:rsid w:val="00246358"/>
    <w:rsid w:val="00246BE0"/>
    <w:rsid w:val="0024721B"/>
    <w:rsid w:val="00247743"/>
    <w:rsid w:val="00247AF7"/>
    <w:rsid w:val="00247BC5"/>
    <w:rsid w:val="002500B7"/>
    <w:rsid w:val="002509AB"/>
    <w:rsid w:val="00250DF2"/>
    <w:rsid w:val="002514B9"/>
    <w:rsid w:val="002516B8"/>
    <w:rsid w:val="00251991"/>
    <w:rsid w:val="00252BDE"/>
    <w:rsid w:val="00252C69"/>
    <w:rsid w:val="00252FE0"/>
    <w:rsid w:val="00253053"/>
    <w:rsid w:val="00253212"/>
    <w:rsid w:val="00253548"/>
    <w:rsid w:val="002536A6"/>
    <w:rsid w:val="00253F82"/>
    <w:rsid w:val="00254649"/>
    <w:rsid w:val="00254B42"/>
    <w:rsid w:val="002554D5"/>
    <w:rsid w:val="0025550D"/>
    <w:rsid w:val="0025556A"/>
    <w:rsid w:val="0025584D"/>
    <w:rsid w:val="00256FD9"/>
    <w:rsid w:val="00257199"/>
    <w:rsid w:val="00257356"/>
    <w:rsid w:val="00257E4E"/>
    <w:rsid w:val="00260520"/>
    <w:rsid w:val="0026068A"/>
    <w:rsid w:val="00260A24"/>
    <w:rsid w:val="00260A3A"/>
    <w:rsid w:val="00260A84"/>
    <w:rsid w:val="00260B87"/>
    <w:rsid w:val="002611DF"/>
    <w:rsid w:val="002613C1"/>
    <w:rsid w:val="00262D19"/>
    <w:rsid w:val="002632CB"/>
    <w:rsid w:val="00263D1E"/>
    <w:rsid w:val="00264351"/>
    <w:rsid w:val="00264437"/>
    <w:rsid w:val="002647EA"/>
    <w:rsid w:val="0026489A"/>
    <w:rsid w:val="00264FEA"/>
    <w:rsid w:val="00265A29"/>
    <w:rsid w:val="00265B11"/>
    <w:rsid w:val="00265B80"/>
    <w:rsid w:val="00265BA2"/>
    <w:rsid w:val="00265C31"/>
    <w:rsid w:val="00265EF9"/>
    <w:rsid w:val="00267006"/>
    <w:rsid w:val="002674E6"/>
    <w:rsid w:val="0026767B"/>
    <w:rsid w:val="0026786C"/>
    <w:rsid w:val="00267AD0"/>
    <w:rsid w:val="002700B9"/>
    <w:rsid w:val="00270322"/>
    <w:rsid w:val="0027072A"/>
    <w:rsid w:val="00270CAB"/>
    <w:rsid w:val="00271337"/>
    <w:rsid w:val="002716F1"/>
    <w:rsid w:val="002717D7"/>
    <w:rsid w:val="0027191A"/>
    <w:rsid w:val="00271E55"/>
    <w:rsid w:val="00271F91"/>
    <w:rsid w:val="00272019"/>
    <w:rsid w:val="00272DD5"/>
    <w:rsid w:val="00272EB2"/>
    <w:rsid w:val="002739FE"/>
    <w:rsid w:val="00273E7A"/>
    <w:rsid w:val="00274513"/>
    <w:rsid w:val="002745BB"/>
    <w:rsid w:val="0027510C"/>
    <w:rsid w:val="002755C7"/>
    <w:rsid w:val="00275AC8"/>
    <w:rsid w:val="00275ADF"/>
    <w:rsid w:val="0027680D"/>
    <w:rsid w:val="00276C7A"/>
    <w:rsid w:val="002770AD"/>
    <w:rsid w:val="002776D6"/>
    <w:rsid w:val="0027793C"/>
    <w:rsid w:val="002779C6"/>
    <w:rsid w:val="00277BC8"/>
    <w:rsid w:val="00280281"/>
    <w:rsid w:val="00280438"/>
    <w:rsid w:val="002806AE"/>
    <w:rsid w:val="0028094B"/>
    <w:rsid w:val="00280C9E"/>
    <w:rsid w:val="00281352"/>
    <w:rsid w:val="00281F46"/>
    <w:rsid w:val="00282065"/>
    <w:rsid w:val="00282465"/>
    <w:rsid w:val="00282471"/>
    <w:rsid w:val="00282515"/>
    <w:rsid w:val="002828C1"/>
    <w:rsid w:val="00283038"/>
    <w:rsid w:val="002835E7"/>
    <w:rsid w:val="0028384C"/>
    <w:rsid w:val="00284903"/>
    <w:rsid w:val="002849B6"/>
    <w:rsid w:val="00285C02"/>
    <w:rsid w:val="00286A31"/>
    <w:rsid w:val="00286C5C"/>
    <w:rsid w:val="0028745A"/>
    <w:rsid w:val="00287E64"/>
    <w:rsid w:val="00287F48"/>
    <w:rsid w:val="00290142"/>
    <w:rsid w:val="0029088B"/>
    <w:rsid w:val="0029106E"/>
    <w:rsid w:val="00291BCD"/>
    <w:rsid w:val="00291CBC"/>
    <w:rsid w:val="00292F5B"/>
    <w:rsid w:val="00293C2F"/>
    <w:rsid w:val="00293F9E"/>
    <w:rsid w:val="002941DD"/>
    <w:rsid w:val="002942D4"/>
    <w:rsid w:val="00295438"/>
    <w:rsid w:val="00295AD0"/>
    <w:rsid w:val="00296860"/>
    <w:rsid w:val="00296A61"/>
    <w:rsid w:val="00296B15"/>
    <w:rsid w:val="00296D5B"/>
    <w:rsid w:val="00296DFB"/>
    <w:rsid w:val="00296ED5"/>
    <w:rsid w:val="00297337"/>
    <w:rsid w:val="0029788D"/>
    <w:rsid w:val="002A010E"/>
    <w:rsid w:val="002A084B"/>
    <w:rsid w:val="002A0B0D"/>
    <w:rsid w:val="002A0F0C"/>
    <w:rsid w:val="002A0F94"/>
    <w:rsid w:val="002A1021"/>
    <w:rsid w:val="002A1F24"/>
    <w:rsid w:val="002A2D11"/>
    <w:rsid w:val="002A2FDE"/>
    <w:rsid w:val="002A3B43"/>
    <w:rsid w:val="002A4033"/>
    <w:rsid w:val="002A4A3E"/>
    <w:rsid w:val="002A4ACB"/>
    <w:rsid w:val="002A4C9C"/>
    <w:rsid w:val="002A511F"/>
    <w:rsid w:val="002A56F8"/>
    <w:rsid w:val="002A5950"/>
    <w:rsid w:val="002A5F41"/>
    <w:rsid w:val="002A65BC"/>
    <w:rsid w:val="002A700B"/>
    <w:rsid w:val="002A72AD"/>
    <w:rsid w:val="002A7441"/>
    <w:rsid w:val="002A7552"/>
    <w:rsid w:val="002A7B8B"/>
    <w:rsid w:val="002B02C9"/>
    <w:rsid w:val="002B0394"/>
    <w:rsid w:val="002B03D1"/>
    <w:rsid w:val="002B0BB2"/>
    <w:rsid w:val="002B13EF"/>
    <w:rsid w:val="002B1486"/>
    <w:rsid w:val="002B16AC"/>
    <w:rsid w:val="002B1A0B"/>
    <w:rsid w:val="002B2221"/>
    <w:rsid w:val="002B236F"/>
    <w:rsid w:val="002B28A5"/>
    <w:rsid w:val="002B2D46"/>
    <w:rsid w:val="002B2DC9"/>
    <w:rsid w:val="002B2DE7"/>
    <w:rsid w:val="002B46EE"/>
    <w:rsid w:val="002B52FB"/>
    <w:rsid w:val="002B5571"/>
    <w:rsid w:val="002B5653"/>
    <w:rsid w:val="002B5922"/>
    <w:rsid w:val="002B62E0"/>
    <w:rsid w:val="002B6337"/>
    <w:rsid w:val="002B6394"/>
    <w:rsid w:val="002B6551"/>
    <w:rsid w:val="002B6E34"/>
    <w:rsid w:val="002B74F4"/>
    <w:rsid w:val="002B7832"/>
    <w:rsid w:val="002B7902"/>
    <w:rsid w:val="002C00EF"/>
    <w:rsid w:val="002C1799"/>
    <w:rsid w:val="002C1BCD"/>
    <w:rsid w:val="002C33FC"/>
    <w:rsid w:val="002C371F"/>
    <w:rsid w:val="002C4B39"/>
    <w:rsid w:val="002C5B46"/>
    <w:rsid w:val="002C5C52"/>
    <w:rsid w:val="002C657F"/>
    <w:rsid w:val="002C68BE"/>
    <w:rsid w:val="002C70F8"/>
    <w:rsid w:val="002C7D00"/>
    <w:rsid w:val="002C7FA9"/>
    <w:rsid w:val="002D0788"/>
    <w:rsid w:val="002D0C3A"/>
    <w:rsid w:val="002D1602"/>
    <w:rsid w:val="002D1A2C"/>
    <w:rsid w:val="002D2112"/>
    <w:rsid w:val="002D2F02"/>
    <w:rsid w:val="002D38E0"/>
    <w:rsid w:val="002D41C9"/>
    <w:rsid w:val="002D4213"/>
    <w:rsid w:val="002D46D3"/>
    <w:rsid w:val="002D505D"/>
    <w:rsid w:val="002D59D4"/>
    <w:rsid w:val="002D5CEB"/>
    <w:rsid w:val="002D61E4"/>
    <w:rsid w:val="002D6279"/>
    <w:rsid w:val="002D6579"/>
    <w:rsid w:val="002D6DBD"/>
    <w:rsid w:val="002D70DE"/>
    <w:rsid w:val="002D71ED"/>
    <w:rsid w:val="002D74B6"/>
    <w:rsid w:val="002D757C"/>
    <w:rsid w:val="002D7977"/>
    <w:rsid w:val="002DE8A8"/>
    <w:rsid w:val="002E0677"/>
    <w:rsid w:val="002E06B0"/>
    <w:rsid w:val="002E0BE1"/>
    <w:rsid w:val="002E0DFF"/>
    <w:rsid w:val="002E151B"/>
    <w:rsid w:val="002E207B"/>
    <w:rsid w:val="002E2157"/>
    <w:rsid w:val="002E2421"/>
    <w:rsid w:val="002E25DE"/>
    <w:rsid w:val="002E2752"/>
    <w:rsid w:val="002E3118"/>
    <w:rsid w:val="002E32B9"/>
    <w:rsid w:val="002E3C61"/>
    <w:rsid w:val="002E499B"/>
    <w:rsid w:val="002E4A75"/>
    <w:rsid w:val="002E4B8D"/>
    <w:rsid w:val="002E590B"/>
    <w:rsid w:val="002E5D4C"/>
    <w:rsid w:val="002E6428"/>
    <w:rsid w:val="002E6902"/>
    <w:rsid w:val="002E6931"/>
    <w:rsid w:val="002E700A"/>
    <w:rsid w:val="002E70EF"/>
    <w:rsid w:val="002F0049"/>
    <w:rsid w:val="002F0140"/>
    <w:rsid w:val="002F02EB"/>
    <w:rsid w:val="002F055F"/>
    <w:rsid w:val="002F080C"/>
    <w:rsid w:val="002F083F"/>
    <w:rsid w:val="002F0DA4"/>
    <w:rsid w:val="002F1029"/>
    <w:rsid w:val="002F1038"/>
    <w:rsid w:val="002F1173"/>
    <w:rsid w:val="002F1614"/>
    <w:rsid w:val="002F2217"/>
    <w:rsid w:val="002F22E5"/>
    <w:rsid w:val="002F24B6"/>
    <w:rsid w:val="002F252A"/>
    <w:rsid w:val="002F278F"/>
    <w:rsid w:val="002F3DE4"/>
    <w:rsid w:val="002F433D"/>
    <w:rsid w:val="002F43E9"/>
    <w:rsid w:val="002F4B9D"/>
    <w:rsid w:val="002F4CC3"/>
    <w:rsid w:val="002F5C7F"/>
    <w:rsid w:val="002F5E74"/>
    <w:rsid w:val="002F5FFD"/>
    <w:rsid w:val="002F6120"/>
    <w:rsid w:val="002F62D0"/>
    <w:rsid w:val="002F66BB"/>
    <w:rsid w:val="002F7122"/>
    <w:rsid w:val="002F76CC"/>
    <w:rsid w:val="002F7995"/>
    <w:rsid w:val="00300488"/>
    <w:rsid w:val="00300BA5"/>
    <w:rsid w:val="00301B7E"/>
    <w:rsid w:val="0030211B"/>
    <w:rsid w:val="00302632"/>
    <w:rsid w:val="00302790"/>
    <w:rsid w:val="00302CA6"/>
    <w:rsid w:val="00303427"/>
    <w:rsid w:val="00303615"/>
    <w:rsid w:val="00303A5D"/>
    <w:rsid w:val="00303F53"/>
    <w:rsid w:val="003046CD"/>
    <w:rsid w:val="00304968"/>
    <w:rsid w:val="00304A91"/>
    <w:rsid w:val="00304EB2"/>
    <w:rsid w:val="00305A2E"/>
    <w:rsid w:val="00305ABE"/>
    <w:rsid w:val="0030641B"/>
    <w:rsid w:val="00306637"/>
    <w:rsid w:val="003068F1"/>
    <w:rsid w:val="00306A4F"/>
    <w:rsid w:val="00306A8A"/>
    <w:rsid w:val="003075F4"/>
    <w:rsid w:val="0030761B"/>
    <w:rsid w:val="00307C83"/>
    <w:rsid w:val="00310AD3"/>
    <w:rsid w:val="00311291"/>
    <w:rsid w:val="003112C3"/>
    <w:rsid w:val="00311329"/>
    <w:rsid w:val="00311FBF"/>
    <w:rsid w:val="003122AC"/>
    <w:rsid w:val="00312828"/>
    <w:rsid w:val="00312D74"/>
    <w:rsid w:val="00313072"/>
    <w:rsid w:val="00314784"/>
    <w:rsid w:val="00314999"/>
    <w:rsid w:val="00314AC2"/>
    <w:rsid w:val="00314B0A"/>
    <w:rsid w:val="00315701"/>
    <w:rsid w:val="00316040"/>
    <w:rsid w:val="0031616A"/>
    <w:rsid w:val="003163E6"/>
    <w:rsid w:val="0031668C"/>
    <w:rsid w:val="0031687B"/>
    <w:rsid w:val="00316B90"/>
    <w:rsid w:val="003172DC"/>
    <w:rsid w:val="003177D6"/>
    <w:rsid w:val="00317990"/>
    <w:rsid w:val="00317DB2"/>
    <w:rsid w:val="003206D6"/>
    <w:rsid w:val="0032079D"/>
    <w:rsid w:val="00320813"/>
    <w:rsid w:val="003208D7"/>
    <w:rsid w:val="00320B77"/>
    <w:rsid w:val="00320E07"/>
    <w:rsid w:val="003215BA"/>
    <w:rsid w:val="00321770"/>
    <w:rsid w:val="00322578"/>
    <w:rsid w:val="0032260A"/>
    <w:rsid w:val="00322C24"/>
    <w:rsid w:val="00323364"/>
    <w:rsid w:val="00323632"/>
    <w:rsid w:val="00323BDE"/>
    <w:rsid w:val="00323CD2"/>
    <w:rsid w:val="00324635"/>
    <w:rsid w:val="0032477D"/>
    <w:rsid w:val="0032497D"/>
    <w:rsid w:val="00324C5F"/>
    <w:rsid w:val="0032514B"/>
    <w:rsid w:val="00325593"/>
    <w:rsid w:val="003255DD"/>
    <w:rsid w:val="00325A02"/>
    <w:rsid w:val="00325AC5"/>
    <w:rsid w:val="00325F94"/>
    <w:rsid w:val="003267CB"/>
    <w:rsid w:val="00326B37"/>
    <w:rsid w:val="00326D1F"/>
    <w:rsid w:val="00326DD5"/>
    <w:rsid w:val="00326FCA"/>
    <w:rsid w:val="00327207"/>
    <w:rsid w:val="00327375"/>
    <w:rsid w:val="003276EE"/>
    <w:rsid w:val="003303AF"/>
    <w:rsid w:val="00330FD9"/>
    <w:rsid w:val="00331218"/>
    <w:rsid w:val="00331694"/>
    <w:rsid w:val="00331D95"/>
    <w:rsid w:val="00332191"/>
    <w:rsid w:val="003321D3"/>
    <w:rsid w:val="00332E20"/>
    <w:rsid w:val="00333361"/>
    <w:rsid w:val="003340E6"/>
    <w:rsid w:val="0033465B"/>
    <w:rsid w:val="00334700"/>
    <w:rsid w:val="00334B43"/>
    <w:rsid w:val="00335A67"/>
    <w:rsid w:val="00335C20"/>
    <w:rsid w:val="00335EBD"/>
    <w:rsid w:val="00335ED6"/>
    <w:rsid w:val="003360F7"/>
    <w:rsid w:val="00336119"/>
    <w:rsid w:val="00336122"/>
    <w:rsid w:val="003364C6"/>
    <w:rsid w:val="003364F5"/>
    <w:rsid w:val="003365BA"/>
    <w:rsid w:val="00336DCC"/>
    <w:rsid w:val="0033709E"/>
    <w:rsid w:val="003374DF"/>
    <w:rsid w:val="00337E8F"/>
    <w:rsid w:val="00341966"/>
    <w:rsid w:val="00341BCA"/>
    <w:rsid w:val="00341C12"/>
    <w:rsid w:val="00341E0E"/>
    <w:rsid w:val="00342467"/>
    <w:rsid w:val="0034252D"/>
    <w:rsid w:val="0034257C"/>
    <w:rsid w:val="0034277F"/>
    <w:rsid w:val="00343071"/>
    <w:rsid w:val="00343274"/>
    <w:rsid w:val="00343386"/>
    <w:rsid w:val="00343913"/>
    <w:rsid w:val="00343BA1"/>
    <w:rsid w:val="0034483D"/>
    <w:rsid w:val="00344E4C"/>
    <w:rsid w:val="00344EEE"/>
    <w:rsid w:val="00345380"/>
    <w:rsid w:val="00345667"/>
    <w:rsid w:val="003459AC"/>
    <w:rsid w:val="00345A5E"/>
    <w:rsid w:val="00345BE7"/>
    <w:rsid w:val="00345DC7"/>
    <w:rsid w:val="0034637B"/>
    <w:rsid w:val="00346408"/>
    <w:rsid w:val="0034691D"/>
    <w:rsid w:val="00346BB1"/>
    <w:rsid w:val="00347745"/>
    <w:rsid w:val="003477A8"/>
    <w:rsid w:val="00347918"/>
    <w:rsid w:val="00347957"/>
    <w:rsid w:val="00350D22"/>
    <w:rsid w:val="00350F5B"/>
    <w:rsid w:val="0035212C"/>
    <w:rsid w:val="003526E5"/>
    <w:rsid w:val="00352A58"/>
    <w:rsid w:val="0035380E"/>
    <w:rsid w:val="00353B59"/>
    <w:rsid w:val="00353F39"/>
    <w:rsid w:val="00354464"/>
    <w:rsid w:val="0035447B"/>
    <w:rsid w:val="0035505E"/>
    <w:rsid w:val="00355FC0"/>
    <w:rsid w:val="0035610B"/>
    <w:rsid w:val="00356807"/>
    <w:rsid w:val="00356CC4"/>
    <w:rsid w:val="0035717E"/>
    <w:rsid w:val="00361699"/>
    <w:rsid w:val="00362694"/>
    <w:rsid w:val="00362EBF"/>
    <w:rsid w:val="00362FCF"/>
    <w:rsid w:val="003630A6"/>
    <w:rsid w:val="0036378F"/>
    <w:rsid w:val="00363848"/>
    <w:rsid w:val="003648EA"/>
    <w:rsid w:val="003650EE"/>
    <w:rsid w:val="00365619"/>
    <w:rsid w:val="0036593B"/>
    <w:rsid w:val="0036617D"/>
    <w:rsid w:val="00366526"/>
    <w:rsid w:val="00367E99"/>
    <w:rsid w:val="0036CA22"/>
    <w:rsid w:val="003707D2"/>
    <w:rsid w:val="00370885"/>
    <w:rsid w:val="00370A96"/>
    <w:rsid w:val="003716D7"/>
    <w:rsid w:val="00371797"/>
    <w:rsid w:val="00371E91"/>
    <w:rsid w:val="00371FF8"/>
    <w:rsid w:val="003720B6"/>
    <w:rsid w:val="00372475"/>
    <w:rsid w:val="003725BB"/>
    <w:rsid w:val="003726A6"/>
    <w:rsid w:val="0037298C"/>
    <w:rsid w:val="003738B1"/>
    <w:rsid w:val="00373ADD"/>
    <w:rsid w:val="00373C7E"/>
    <w:rsid w:val="003744EF"/>
    <w:rsid w:val="003747CC"/>
    <w:rsid w:val="00374B64"/>
    <w:rsid w:val="0037531D"/>
    <w:rsid w:val="003757B8"/>
    <w:rsid w:val="00376E70"/>
    <w:rsid w:val="003771A1"/>
    <w:rsid w:val="0037749D"/>
    <w:rsid w:val="00377AB2"/>
    <w:rsid w:val="00377AE7"/>
    <w:rsid w:val="00377D90"/>
    <w:rsid w:val="0037A439"/>
    <w:rsid w:val="00380B8D"/>
    <w:rsid w:val="00380F48"/>
    <w:rsid w:val="00381A8B"/>
    <w:rsid w:val="00381B46"/>
    <w:rsid w:val="00381BFA"/>
    <w:rsid w:val="00381DCD"/>
    <w:rsid w:val="003821F1"/>
    <w:rsid w:val="00382889"/>
    <w:rsid w:val="00382BD0"/>
    <w:rsid w:val="00382CD0"/>
    <w:rsid w:val="003830C2"/>
    <w:rsid w:val="00383535"/>
    <w:rsid w:val="003838EB"/>
    <w:rsid w:val="00383907"/>
    <w:rsid w:val="003839E9"/>
    <w:rsid w:val="00383DE5"/>
    <w:rsid w:val="003851FA"/>
    <w:rsid w:val="00385438"/>
    <w:rsid w:val="00385919"/>
    <w:rsid w:val="00385BC7"/>
    <w:rsid w:val="00386119"/>
    <w:rsid w:val="0038614B"/>
    <w:rsid w:val="003863E3"/>
    <w:rsid w:val="0038668F"/>
    <w:rsid w:val="003867A2"/>
    <w:rsid w:val="003868AA"/>
    <w:rsid w:val="00386C80"/>
    <w:rsid w:val="00387146"/>
    <w:rsid w:val="00387813"/>
    <w:rsid w:val="003878D5"/>
    <w:rsid w:val="00387E33"/>
    <w:rsid w:val="00388343"/>
    <w:rsid w:val="00390278"/>
    <w:rsid w:val="00390440"/>
    <w:rsid w:val="0039061C"/>
    <w:rsid w:val="00392ECF"/>
    <w:rsid w:val="00392F35"/>
    <w:rsid w:val="00393203"/>
    <w:rsid w:val="003936C9"/>
    <w:rsid w:val="00393852"/>
    <w:rsid w:val="00393F4F"/>
    <w:rsid w:val="0039550D"/>
    <w:rsid w:val="003957A2"/>
    <w:rsid w:val="003965BC"/>
    <w:rsid w:val="00396A8C"/>
    <w:rsid w:val="00396B11"/>
    <w:rsid w:val="00396FE6"/>
    <w:rsid w:val="0039740E"/>
    <w:rsid w:val="00397894"/>
    <w:rsid w:val="00397BF7"/>
    <w:rsid w:val="00397E03"/>
    <w:rsid w:val="003A0268"/>
    <w:rsid w:val="003A052B"/>
    <w:rsid w:val="003A056A"/>
    <w:rsid w:val="003A0C94"/>
    <w:rsid w:val="003A0ECB"/>
    <w:rsid w:val="003A257A"/>
    <w:rsid w:val="003A2893"/>
    <w:rsid w:val="003A29F7"/>
    <w:rsid w:val="003A2D5B"/>
    <w:rsid w:val="003A3BEA"/>
    <w:rsid w:val="003A3D0C"/>
    <w:rsid w:val="003A4ABE"/>
    <w:rsid w:val="003A53F7"/>
    <w:rsid w:val="003A5688"/>
    <w:rsid w:val="003A5C33"/>
    <w:rsid w:val="003A6063"/>
    <w:rsid w:val="003A64D0"/>
    <w:rsid w:val="003A661B"/>
    <w:rsid w:val="003A6829"/>
    <w:rsid w:val="003A6864"/>
    <w:rsid w:val="003A69ED"/>
    <w:rsid w:val="003A75BE"/>
    <w:rsid w:val="003A7A11"/>
    <w:rsid w:val="003A7C2D"/>
    <w:rsid w:val="003A7CF0"/>
    <w:rsid w:val="003A7D5B"/>
    <w:rsid w:val="003A7F67"/>
    <w:rsid w:val="003AF084"/>
    <w:rsid w:val="003B03B7"/>
    <w:rsid w:val="003B08FE"/>
    <w:rsid w:val="003B0F98"/>
    <w:rsid w:val="003B1913"/>
    <w:rsid w:val="003B21AD"/>
    <w:rsid w:val="003B25A4"/>
    <w:rsid w:val="003B2854"/>
    <w:rsid w:val="003B2F62"/>
    <w:rsid w:val="003B3015"/>
    <w:rsid w:val="003B30AC"/>
    <w:rsid w:val="003B3BB2"/>
    <w:rsid w:val="003B4B05"/>
    <w:rsid w:val="003B4C86"/>
    <w:rsid w:val="003B53AC"/>
    <w:rsid w:val="003B5434"/>
    <w:rsid w:val="003B5686"/>
    <w:rsid w:val="003B6081"/>
    <w:rsid w:val="003B64B7"/>
    <w:rsid w:val="003B65F7"/>
    <w:rsid w:val="003B6B33"/>
    <w:rsid w:val="003B6F01"/>
    <w:rsid w:val="003B6F1A"/>
    <w:rsid w:val="003B6F89"/>
    <w:rsid w:val="003B7320"/>
    <w:rsid w:val="003C018C"/>
    <w:rsid w:val="003C02F1"/>
    <w:rsid w:val="003C04A3"/>
    <w:rsid w:val="003C0532"/>
    <w:rsid w:val="003C13B7"/>
    <w:rsid w:val="003C1CEB"/>
    <w:rsid w:val="003C1FDD"/>
    <w:rsid w:val="003C2588"/>
    <w:rsid w:val="003C27BB"/>
    <w:rsid w:val="003C294B"/>
    <w:rsid w:val="003C33A8"/>
    <w:rsid w:val="003C3851"/>
    <w:rsid w:val="003C3CE2"/>
    <w:rsid w:val="003C3D22"/>
    <w:rsid w:val="003C4132"/>
    <w:rsid w:val="003C4548"/>
    <w:rsid w:val="003C516F"/>
    <w:rsid w:val="003C51CD"/>
    <w:rsid w:val="003C55BA"/>
    <w:rsid w:val="003C56BD"/>
    <w:rsid w:val="003C5C96"/>
    <w:rsid w:val="003C6202"/>
    <w:rsid w:val="003C6433"/>
    <w:rsid w:val="003D0730"/>
    <w:rsid w:val="003D0C23"/>
    <w:rsid w:val="003D0CCE"/>
    <w:rsid w:val="003D0E4C"/>
    <w:rsid w:val="003D12EE"/>
    <w:rsid w:val="003D16A5"/>
    <w:rsid w:val="003D1C53"/>
    <w:rsid w:val="003D1E0A"/>
    <w:rsid w:val="003D22FA"/>
    <w:rsid w:val="003D2E62"/>
    <w:rsid w:val="003D35A8"/>
    <w:rsid w:val="003D390E"/>
    <w:rsid w:val="003D3A0D"/>
    <w:rsid w:val="003D3D01"/>
    <w:rsid w:val="003D4052"/>
    <w:rsid w:val="003D40C1"/>
    <w:rsid w:val="003D4440"/>
    <w:rsid w:val="003D4610"/>
    <w:rsid w:val="003D5D70"/>
    <w:rsid w:val="003D5EB9"/>
    <w:rsid w:val="003D6543"/>
    <w:rsid w:val="003D65CC"/>
    <w:rsid w:val="003D6E09"/>
    <w:rsid w:val="003D7700"/>
    <w:rsid w:val="003D7A09"/>
    <w:rsid w:val="003D7AF5"/>
    <w:rsid w:val="003E0EBE"/>
    <w:rsid w:val="003E12FD"/>
    <w:rsid w:val="003E1461"/>
    <w:rsid w:val="003E1995"/>
    <w:rsid w:val="003E1ABE"/>
    <w:rsid w:val="003E2F6E"/>
    <w:rsid w:val="003E3F46"/>
    <w:rsid w:val="003E3F69"/>
    <w:rsid w:val="003E42CA"/>
    <w:rsid w:val="003E4D6E"/>
    <w:rsid w:val="003E4F99"/>
    <w:rsid w:val="003E510B"/>
    <w:rsid w:val="003E5FC0"/>
    <w:rsid w:val="003E625B"/>
    <w:rsid w:val="003E68A7"/>
    <w:rsid w:val="003E6D26"/>
    <w:rsid w:val="003E6FCC"/>
    <w:rsid w:val="003E7338"/>
    <w:rsid w:val="003E7380"/>
    <w:rsid w:val="003E76AE"/>
    <w:rsid w:val="003E76C1"/>
    <w:rsid w:val="003E76D9"/>
    <w:rsid w:val="003E7EE0"/>
    <w:rsid w:val="003F00BD"/>
    <w:rsid w:val="003F011F"/>
    <w:rsid w:val="003F0516"/>
    <w:rsid w:val="003F162D"/>
    <w:rsid w:val="003F1C32"/>
    <w:rsid w:val="003F1C74"/>
    <w:rsid w:val="003F2472"/>
    <w:rsid w:val="003F2B06"/>
    <w:rsid w:val="003F2B8F"/>
    <w:rsid w:val="003F2C35"/>
    <w:rsid w:val="003F2EF6"/>
    <w:rsid w:val="003F4518"/>
    <w:rsid w:val="003F562F"/>
    <w:rsid w:val="003F5666"/>
    <w:rsid w:val="003F5D57"/>
    <w:rsid w:val="003F5D68"/>
    <w:rsid w:val="003F5D89"/>
    <w:rsid w:val="003F5DEE"/>
    <w:rsid w:val="003F74A5"/>
    <w:rsid w:val="003F75C2"/>
    <w:rsid w:val="003F779A"/>
    <w:rsid w:val="003F7D41"/>
    <w:rsid w:val="003F7F67"/>
    <w:rsid w:val="004005BC"/>
    <w:rsid w:val="004005D5"/>
    <w:rsid w:val="00400F1A"/>
    <w:rsid w:val="00401ECA"/>
    <w:rsid w:val="00402785"/>
    <w:rsid w:val="0040278D"/>
    <w:rsid w:val="0040286F"/>
    <w:rsid w:val="00402AB2"/>
    <w:rsid w:val="00402C74"/>
    <w:rsid w:val="0040325C"/>
    <w:rsid w:val="0040345C"/>
    <w:rsid w:val="0040396B"/>
    <w:rsid w:val="00404719"/>
    <w:rsid w:val="00405855"/>
    <w:rsid w:val="00405884"/>
    <w:rsid w:val="00405959"/>
    <w:rsid w:val="00405D3D"/>
    <w:rsid w:val="00406996"/>
    <w:rsid w:val="00406E91"/>
    <w:rsid w:val="00407074"/>
    <w:rsid w:val="004079EC"/>
    <w:rsid w:val="00407A30"/>
    <w:rsid w:val="00407C8F"/>
    <w:rsid w:val="00407E1A"/>
    <w:rsid w:val="00410B7C"/>
    <w:rsid w:val="00410D9C"/>
    <w:rsid w:val="00410F72"/>
    <w:rsid w:val="0041119A"/>
    <w:rsid w:val="00411AF0"/>
    <w:rsid w:val="00411E15"/>
    <w:rsid w:val="00411F08"/>
    <w:rsid w:val="004123FF"/>
    <w:rsid w:val="00412855"/>
    <w:rsid w:val="00412C68"/>
    <w:rsid w:val="00412E7D"/>
    <w:rsid w:val="00412F34"/>
    <w:rsid w:val="00413434"/>
    <w:rsid w:val="00413AEE"/>
    <w:rsid w:val="00413EDB"/>
    <w:rsid w:val="0041435A"/>
    <w:rsid w:val="004143EB"/>
    <w:rsid w:val="00414484"/>
    <w:rsid w:val="004145D9"/>
    <w:rsid w:val="0041474B"/>
    <w:rsid w:val="00414C09"/>
    <w:rsid w:val="004150B7"/>
    <w:rsid w:val="0041528F"/>
    <w:rsid w:val="0041592C"/>
    <w:rsid w:val="00415D03"/>
    <w:rsid w:val="0041633C"/>
    <w:rsid w:val="00416B30"/>
    <w:rsid w:val="00416DBA"/>
    <w:rsid w:val="004171C0"/>
    <w:rsid w:val="00417599"/>
    <w:rsid w:val="00417D02"/>
    <w:rsid w:val="0042083E"/>
    <w:rsid w:val="00420A15"/>
    <w:rsid w:val="00421162"/>
    <w:rsid w:val="00422D6F"/>
    <w:rsid w:val="00422DB3"/>
    <w:rsid w:val="00423A98"/>
    <w:rsid w:val="00423C14"/>
    <w:rsid w:val="00423F58"/>
    <w:rsid w:val="00423F83"/>
    <w:rsid w:val="00424029"/>
    <w:rsid w:val="004244F0"/>
    <w:rsid w:val="00424E92"/>
    <w:rsid w:val="00424FA4"/>
    <w:rsid w:val="00425007"/>
    <w:rsid w:val="00425352"/>
    <w:rsid w:val="004258A8"/>
    <w:rsid w:val="00426147"/>
    <w:rsid w:val="00426633"/>
    <w:rsid w:val="004269A3"/>
    <w:rsid w:val="00426E26"/>
    <w:rsid w:val="00427305"/>
    <w:rsid w:val="00427702"/>
    <w:rsid w:val="00427969"/>
    <w:rsid w:val="004279F8"/>
    <w:rsid w:val="00427C84"/>
    <w:rsid w:val="004303DE"/>
    <w:rsid w:val="00430807"/>
    <w:rsid w:val="00430A88"/>
    <w:rsid w:val="00430B8C"/>
    <w:rsid w:val="00430B99"/>
    <w:rsid w:val="004310B1"/>
    <w:rsid w:val="004313DC"/>
    <w:rsid w:val="0043145B"/>
    <w:rsid w:val="00432889"/>
    <w:rsid w:val="00432CFC"/>
    <w:rsid w:val="0043345C"/>
    <w:rsid w:val="004336DB"/>
    <w:rsid w:val="00433841"/>
    <w:rsid w:val="00433884"/>
    <w:rsid w:val="00433B84"/>
    <w:rsid w:val="00433F8C"/>
    <w:rsid w:val="0043444F"/>
    <w:rsid w:val="00434ADA"/>
    <w:rsid w:val="00434E56"/>
    <w:rsid w:val="00434F20"/>
    <w:rsid w:val="004352F0"/>
    <w:rsid w:val="0043577D"/>
    <w:rsid w:val="00436381"/>
    <w:rsid w:val="00436405"/>
    <w:rsid w:val="00436656"/>
    <w:rsid w:val="00436B3A"/>
    <w:rsid w:val="00437ABE"/>
    <w:rsid w:val="0044102C"/>
    <w:rsid w:val="00442142"/>
    <w:rsid w:val="00442244"/>
    <w:rsid w:val="0044248F"/>
    <w:rsid w:val="004424BE"/>
    <w:rsid w:val="004425D9"/>
    <w:rsid w:val="004433A0"/>
    <w:rsid w:val="0044361E"/>
    <w:rsid w:val="0044377F"/>
    <w:rsid w:val="0044378F"/>
    <w:rsid w:val="00443AE9"/>
    <w:rsid w:val="00443F01"/>
    <w:rsid w:val="00444742"/>
    <w:rsid w:val="00444754"/>
    <w:rsid w:val="00444EFA"/>
    <w:rsid w:val="00444F6C"/>
    <w:rsid w:val="00444F8A"/>
    <w:rsid w:val="0044529F"/>
    <w:rsid w:val="0044533D"/>
    <w:rsid w:val="0044535E"/>
    <w:rsid w:val="00446A6A"/>
    <w:rsid w:val="00446B74"/>
    <w:rsid w:val="00446EA9"/>
    <w:rsid w:val="004474A1"/>
    <w:rsid w:val="00447C3A"/>
    <w:rsid w:val="00447CBE"/>
    <w:rsid w:val="00447CCB"/>
    <w:rsid w:val="00448ECB"/>
    <w:rsid w:val="004506E0"/>
    <w:rsid w:val="00450DD7"/>
    <w:rsid w:val="0045134E"/>
    <w:rsid w:val="00451504"/>
    <w:rsid w:val="00451A1A"/>
    <w:rsid w:val="00451CB0"/>
    <w:rsid w:val="00451DB5"/>
    <w:rsid w:val="00451E7B"/>
    <w:rsid w:val="004526EF"/>
    <w:rsid w:val="00452774"/>
    <w:rsid w:val="004528D6"/>
    <w:rsid w:val="004536B8"/>
    <w:rsid w:val="00453838"/>
    <w:rsid w:val="00453918"/>
    <w:rsid w:val="0045398F"/>
    <w:rsid w:val="00453A35"/>
    <w:rsid w:val="00454252"/>
    <w:rsid w:val="004549A9"/>
    <w:rsid w:val="00454FD7"/>
    <w:rsid w:val="00455777"/>
    <w:rsid w:val="00455B15"/>
    <w:rsid w:val="00456333"/>
    <w:rsid w:val="004564A7"/>
    <w:rsid w:val="004568CC"/>
    <w:rsid w:val="00456A8D"/>
    <w:rsid w:val="00456F09"/>
    <w:rsid w:val="0045723F"/>
    <w:rsid w:val="00457400"/>
    <w:rsid w:val="00457838"/>
    <w:rsid w:val="0046030E"/>
    <w:rsid w:val="00460371"/>
    <w:rsid w:val="00460EB4"/>
    <w:rsid w:val="00460FB1"/>
    <w:rsid w:val="0046135A"/>
    <w:rsid w:val="00461851"/>
    <w:rsid w:val="00461C74"/>
    <w:rsid w:val="00461EB2"/>
    <w:rsid w:val="00462266"/>
    <w:rsid w:val="004626AD"/>
    <w:rsid w:val="00463034"/>
    <w:rsid w:val="0046329C"/>
    <w:rsid w:val="00463B9A"/>
    <w:rsid w:val="00463C22"/>
    <w:rsid w:val="0046438D"/>
    <w:rsid w:val="00465185"/>
    <w:rsid w:val="004655AE"/>
    <w:rsid w:val="00465B61"/>
    <w:rsid w:val="00465CD7"/>
    <w:rsid w:val="00465E42"/>
    <w:rsid w:val="00466A9F"/>
    <w:rsid w:val="00466B41"/>
    <w:rsid w:val="00466BA4"/>
    <w:rsid w:val="0046734F"/>
    <w:rsid w:val="004673B5"/>
    <w:rsid w:val="00467714"/>
    <w:rsid w:val="0046775C"/>
    <w:rsid w:val="00467918"/>
    <w:rsid w:val="00467E18"/>
    <w:rsid w:val="00470090"/>
    <w:rsid w:val="00470186"/>
    <w:rsid w:val="004703D6"/>
    <w:rsid w:val="004705FA"/>
    <w:rsid w:val="00470D12"/>
    <w:rsid w:val="00470F6A"/>
    <w:rsid w:val="004710A0"/>
    <w:rsid w:val="004717A0"/>
    <w:rsid w:val="00471A0B"/>
    <w:rsid w:val="004724BC"/>
    <w:rsid w:val="00472857"/>
    <w:rsid w:val="004729B0"/>
    <w:rsid w:val="00472DE4"/>
    <w:rsid w:val="00472FAC"/>
    <w:rsid w:val="004733C5"/>
    <w:rsid w:val="004737EC"/>
    <w:rsid w:val="00473B59"/>
    <w:rsid w:val="00473EC5"/>
    <w:rsid w:val="00473FF7"/>
    <w:rsid w:val="004745A1"/>
    <w:rsid w:val="00474646"/>
    <w:rsid w:val="004746BC"/>
    <w:rsid w:val="0047472E"/>
    <w:rsid w:val="00474C79"/>
    <w:rsid w:val="00474DDB"/>
    <w:rsid w:val="0047558D"/>
    <w:rsid w:val="00476368"/>
    <w:rsid w:val="00476839"/>
    <w:rsid w:val="00476AC6"/>
    <w:rsid w:val="00477718"/>
    <w:rsid w:val="00477A37"/>
    <w:rsid w:val="00477FF0"/>
    <w:rsid w:val="0047DE3D"/>
    <w:rsid w:val="00480016"/>
    <w:rsid w:val="00480ECB"/>
    <w:rsid w:val="004817DD"/>
    <w:rsid w:val="00481C34"/>
    <w:rsid w:val="00481DB3"/>
    <w:rsid w:val="0048287D"/>
    <w:rsid w:val="00482C4F"/>
    <w:rsid w:val="004831D8"/>
    <w:rsid w:val="004838F9"/>
    <w:rsid w:val="00483A2E"/>
    <w:rsid w:val="00483DDF"/>
    <w:rsid w:val="00483E42"/>
    <w:rsid w:val="00483EAE"/>
    <w:rsid w:val="004844F9"/>
    <w:rsid w:val="004845E2"/>
    <w:rsid w:val="00484A45"/>
    <w:rsid w:val="00484D94"/>
    <w:rsid w:val="00484DEA"/>
    <w:rsid w:val="00484F75"/>
    <w:rsid w:val="004855B0"/>
    <w:rsid w:val="00486306"/>
    <w:rsid w:val="00486441"/>
    <w:rsid w:val="0048646E"/>
    <w:rsid w:val="004868EF"/>
    <w:rsid w:val="004868F3"/>
    <w:rsid w:val="00486BCA"/>
    <w:rsid w:val="00487116"/>
    <w:rsid w:val="00487537"/>
    <w:rsid w:val="00487A61"/>
    <w:rsid w:val="00487AE2"/>
    <w:rsid w:val="00490168"/>
    <w:rsid w:val="00490A3E"/>
    <w:rsid w:val="004913FF"/>
    <w:rsid w:val="0049189B"/>
    <w:rsid w:val="00491B01"/>
    <w:rsid w:val="0049207B"/>
    <w:rsid w:val="004921AA"/>
    <w:rsid w:val="00492710"/>
    <w:rsid w:val="0049361E"/>
    <w:rsid w:val="00494063"/>
    <w:rsid w:val="00494D87"/>
    <w:rsid w:val="00494DC0"/>
    <w:rsid w:val="00494DC3"/>
    <w:rsid w:val="004951D9"/>
    <w:rsid w:val="00495E43"/>
    <w:rsid w:val="00495F85"/>
    <w:rsid w:val="004966A0"/>
    <w:rsid w:val="0049695B"/>
    <w:rsid w:val="00496A09"/>
    <w:rsid w:val="00496BC8"/>
    <w:rsid w:val="00496F95"/>
    <w:rsid w:val="004976B4"/>
    <w:rsid w:val="004979E3"/>
    <w:rsid w:val="00497C18"/>
    <w:rsid w:val="004A00B5"/>
    <w:rsid w:val="004A021F"/>
    <w:rsid w:val="004A03EE"/>
    <w:rsid w:val="004A0502"/>
    <w:rsid w:val="004A08FF"/>
    <w:rsid w:val="004A0A07"/>
    <w:rsid w:val="004A0DC0"/>
    <w:rsid w:val="004A0EBD"/>
    <w:rsid w:val="004A0F2C"/>
    <w:rsid w:val="004A1396"/>
    <w:rsid w:val="004A1966"/>
    <w:rsid w:val="004A1E38"/>
    <w:rsid w:val="004A2011"/>
    <w:rsid w:val="004A2087"/>
    <w:rsid w:val="004A23EE"/>
    <w:rsid w:val="004A2820"/>
    <w:rsid w:val="004A2A3A"/>
    <w:rsid w:val="004A2D8C"/>
    <w:rsid w:val="004A3130"/>
    <w:rsid w:val="004A3649"/>
    <w:rsid w:val="004A36D7"/>
    <w:rsid w:val="004A36DA"/>
    <w:rsid w:val="004A38B2"/>
    <w:rsid w:val="004A39AF"/>
    <w:rsid w:val="004A3A83"/>
    <w:rsid w:val="004A3C09"/>
    <w:rsid w:val="004A3E0D"/>
    <w:rsid w:val="004A4307"/>
    <w:rsid w:val="004A5024"/>
    <w:rsid w:val="004A565E"/>
    <w:rsid w:val="004A5FE6"/>
    <w:rsid w:val="004A609F"/>
    <w:rsid w:val="004A61DD"/>
    <w:rsid w:val="004A7365"/>
    <w:rsid w:val="004A73FA"/>
    <w:rsid w:val="004A743D"/>
    <w:rsid w:val="004A75E9"/>
    <w:rsid w:val="004A7727"/>
    <w:rsid w:val="004A7783"/>
    <w:rsid w:val="004A7A53"/>
    <w:rsid w:val="004A7AFF"/>
    <w:rsid w:val="004B00ED"/>
    <w:rsid w:val="004B059B"/>
    <w:rsid w:val="004B05EE"/>
    <w:rsid w:val="004B07B9"/>
    <w:rsid w:val="004B0AF6"/>
    <w:rsid w:val="004B0E98"/>
    <w:rsid w:val="004B134B"/>
    <w:rsid w:val="004B1B37"/>
    <w:rsid w:val="004B249F"/>
    <w:rsid w:val="004B2D60"/>
    <w:rsid w:val="004B387A"/>
    <w:rsid w:val="004B39DE"/>
    <w:rsid w:val="004B3B7F"/>
    <w:rsid w:val="004B4896"/>
    <w:rsid w:val="004B48B6"/>
    <w:rsid w:val="004B4F82"/>
    <w:rsid w:val="004B4F9E"/>
    <w:rsid w:val="004B4FE4"/>
    <w:rsid w:val="004B5267"/>
    <w:rsid w:val="004B5370"/>
    <w:rsid w:val="004B548C"/>
    <w:rsid w:val="004B589C"/>
    <w:rsid w:val="004B67B1"/>
    <w:rsid w:val="004B6BA1"/>
    <w:rsid w:val="004B73C6"/>
    <w:rsid w:val="004B74D4"/>
    <w:rsid w:val="004B77C9"/>
    <w:rsid w:val="004B7F3E"/>
    <w:rsid w:val="004C00E5"/>
    <w:rsid w:val="004C0D21"/>
    <w:rsid w:val="004C24EB"/>
    <w:rsid w:val="004C3C8C"/>
    <w:rsid w:val="004C3CF7"/>
    <w:rsid w:val="004C410A"/>
    <w:rsid w:val="004C4347"/>
    <w:rsid w:val="004C49AE"/>
    <w:rsid w:val="004C5163"/>
    <w:rsid w:val="004C51EB"/>
    <w:rsid w:val="004C5346"/>
    <w:rsid w:val="004C5C1E"/>
    <w:rsid w:val="004C6535"/>
    <w:rsid w:val="004C6582"/>
    <w:rsid w:val="004C6A66"/>
    <w:rsid w:val="004C6DB9"/>
    <w:rsid w:val="004C6F3F"/>
    <w:rsid w:val="004C7182"/>
    <w:rsid w:val="004C72DC"/>
    <w:rsid w:val="004C74EB"/>
    <w:rsid w:val="004C7CEE"/>
    <w:rsid w:val="004D02AF"/>
    <w:rsid w:val="004D03ED"/>
    <w:rsid w:val="004D0498"/>
    <w:rsid w:val="004D092B"/>
    <w:rsid w:val="004D0C8A"/>
    <w:rsid w:val="004D0CF0"/>
    <w:rsid w:val="004D1221"/>
    <w:rsid w:val="004D18B7"/>
    <w:rsid w:val="004D1B92"/>
    <w:rsid w:val="004D1D8F"/>
    <w:rsid w:val="004D1EF9"/>
    <w:rsid w:val="004D2177"/>
    <w:rsid w:val="004D253E"/>
    <w:rsid w:val="004D30B5"/>
    <w:rsid w:val="004D34AD"/>
    <w:rsid w:val="004D3BD5"/>
    <w:rsid w:val="004D3EC0"/>
    <w:rsid w:val="004D3F38"/>
    <w:rsid w:val="004D3FAB"/>
    <w:rsid w:val="004D3FFF"/>
    <w:rsid w:val="004D46AB"/>
    <w:rsid w:val="004D4741"/>
    <w:rsid w:val="004D4A54"/>
    <w:rsid w:val="004D4E08"/>
    <w:rsid w:val="004D50DC"/>
    <w:rsid w:val="004D51FF"/>
    <w:rsid w:val="004D53E4"/>
    <w:rsid w:val="004D55A0"/>
    <w:rsid w:val="004D58F4"/>
    <w:rsid w:val="004D5C8A"/>
    <w:rsid w:val="004D5CFB"/>
    <w:rsid w:val="004D616F"/>
    <w:rsid w:val="004D63B7"/>
    <w:rsid w:val="004D6BDF"/>
    <w:rsid w:val="004D71A0"/>
    <w:rsid w:val="004D798D"/>
    <w:rsid w:val="004D7B9E"/>
    <w:rsid w:val="004E0202"/>
    <w:rsid w:val="004E059C"/>
    <w:rsid w:val="004E0793"/>
    <w:rsid w:val="004E0D27"/>
    <w:rsid w:val="004E0EDC"/>
    <w:rsid w:val="004E0EE6"/>
    <w:rsid w:val="004E10E6"/>
    <w:rsid w:val="004E110F"/>
    <w:rsid w:val="004E1250"/>
    <w:rsid w:val="004E1828"/>
    <w:rsid w:val="004E1A68"/>
    <w:rsid w:val="004E1AD8"/>
    <w:rsid w:val="004E23B1"/>
    <w:rsid w:val="004E23BB"/>
    <w:rsid w:val="004E2DAE"/>
    <w:rsid w:val="004E3645"/>
    <w:rsid w:val="004E3BD8"/>
    <w:rsid w:val="004E404D"/>
    <w:rsid w:val="004E4A7B"/>
    <w:rsid w:val="004E4C11"/>
    <w:rsid w:val="004E5536"/>
    <w:rsid w:val="004E55E4"/>
    <w:rsid w:val="004E5F00"/>
    <w:rsid w:val="004E658E"/>
    <w:rsid w:val="004E65E3"/>
    <w:rsid w:val="004E7076"/>
    <w:rsid w:val="004E7685"/>
    <w:rsid w:val="004E7C9C"/>
    <w:rsid w:val="004F0256"/>
    <w:rsid w:val="004F079F"/>
    <w:rsid w:val="004F0846"/>
    <w:rsid w:val="004F0FE3"/>
    <w:rsid w:val="004F12E6"/>
    <w:rsid w:val="004F1657"/>
    <w:rsid w:val="004F19CE"/>
    <w:rsid w:val="004F1EE5"/>
    <w:rsid w:val="004F27CD"/>
    <w:rsid w:val="004F2D22"/>
    <w:rsid w:val="004F309F"/>
    <w:rsid w:val="004F30BE"/>
    <w:rsid w:val="004F31CE"/>
    <w:rsid w:val="004F31DF"/>
    <w:rsid w:val="004F32D8"/>
    <w:rsid w:val="004F33F0"/>
    <w:rsid w:val="004F3950"/>
    <w:rsid w:val="004F3D2C"/>
    <w:rsid w:val="004F4384"/>
    <w:rsid w:val="004F43A6"/>
    <w:rsid w:val="004F4A30"/>
    <w:rsid w:val="004F4D53"/>
    <w:rsid w:val="004F51FD"/>
    <w:rsid w:val="004F5536"/>
    <w:rsid w:val="004F5E7B"/>
    <w:rsid w:val="004F63E8"/>
    <w:rsid w:val="004F6961"/>
    <w:rsid w:val="004F7112"/>
    <w:rsid w:val="004F773A"/>
    <w:rsid w:val="004F7C4D"/>
    <w:rsid w:val="00500DDF"/>
    <w:rsid w:val="00501003"/>
    <w:rsid w:val="00501493"/>
    <w:rsid w:val="0050163C"/>
    <w:rsid w:val="00501D28"/>
    <w:rsid w:val="0050209F"/>
    <w:rsid w:val="00502D38"/>
    <w:rsid w:val="005031BD"/>
    <w:rsid w:val="005034F3"/>
    <w:rsid w:val="005035CD"/>
    <w:rsid w:val="00503756"/>
    <w:rsid w:val="005038A6"/>
    <w:rsid w:val="005048F2"/>
    <w:rsid w:val="00504BAC"/>
    <w:rsid w:val="00504FE4"/>
    <w:rsid w:val="005051C6"/>
    <w:rsid w:val="00505403"/>
    <w:rsid w:val="00505434"/>
    <w:rsid w:val="0050586F"/>
    <w:rsid w:val="00505F2F"/>
    <w:rsid w:val="0050652C"/>
    <w:rsid w:val="005067A4"/>
    <w:rsid w:val="00506F76"/>
    <w:rsid w:val="00507373"/>
    <w:rsid w:val="00507520"/>
    <w:rsid w:val="00507E53"/>
    <w:rsid w:val="005109B8"/>
    <w:rsid w:val="00510B59"/>
    <w:rsid w:val="00510DB5"/>
    <w:rsid w:val="00510DBB"/>
    <w:rsid w:val="0051127C"/>
    <w:rsid w:val="00511562"/>
    <w:rsid w:val="005117D9"/>
    <w:rsid w:val="00511B8E"/>
    <w:rsid w:val="00511C2B"/>
    <w:rsid w:val="00512040"/>
    <w:rsid w:val="0051238F"/>
    <w:rsid w:val="00512C57"/>
    <w:rsid w:val="0051395E"/>
    <w:rsid w:val="00513F2F"/>
    <w:rsid w:val="00513FE1"/>
    <w:rsid w:val="00514762"/>
    <w:rsid w:val="00514A3D"/>
    <w:rsid w:val="005153E8"/>
    <w:rsid w:val="005154A9"/>
    <w:rsid w:val="005161D3"/>
    <w:rsid w:val="005164DA"/>
    <w:rsid w:val="00516B16"/>
    <w:rsid w:val="00516C21"/>
    <w:rsid w:val="00516E86"/>
    <w:rsid w:val="005172AC"/>
    <w:rsid w:val="00520429"/>
    <w:rsid w:val="00520504"/>
    <w:rsid w:val="00520700"/>
    <w:rsid w:val="00520D66"/>
    <w:rsid w:val="005211EE"/>
    <w:rsid w:val="00521CFF"/>
    <w:rsid w:val="005220E2"/>
    <w:rsid w:val="00522191"/>
    <w:rsid w:val="005223C1"/>
    <w:rsid w:val="0052405F"/>
    <w:rsid w:val="005241BE"/>
    <w:rsid w:val="00524590"/>
    <w:rsid w:val="00524631"/>
    <w:rsid w:val="005246AE"/>
    <w:rsid w:val="00524B42"/>
    <w:rsid w:val="00524E0E"/>
    <w:rsid w:val="00525DD6"/>
    <w:rsid w:val="0052682A"/>
    <w:rsid w:val="00527449"/>
    <w:rsid w:val="005278B0"/>
    <w:rsid w:val="00527FB4"/>
    <w:rsid w:val="00530896"/>
    <w:rsid w:val="00530D2B"/>
    <w:rsid w:val="005315F4"/>
    <w:rsid w:val="00531960"/>
    <w:rsid w:val="00531A64"/>
    <w:rsid w:val="00531BE7"/>
    <w:rsid w:val="00531E4B"/>
    <w:rsid w:val="0053210D"/>
    <w:rsid w:val="005324CD"/>
    <w:rsid w:val="0053258B"/>
    <w:rsid w:val="005325B9"/>
    <w:rsid w:val="0053275F"/>
    <w:rsid w:val="005332C5"/>
    <w:rsid w:val="00534634"/>
    <w:rsid w:val="00534827"/>
    <w:rsid w:val="00534C27"/>
    <w:rsid w:val="00534F16"/>
    <w:rsid w:val="00534F68"/>
    <w:rsid w:val="00535805"/>
    <w:rsid w:val="00535AE5"/>
    <w:rsid w:val="00536C20"/>
    <w:rsid w:val="00537A1F"/>
    <w:rsid w:val="00537DED"/>
    <w:rsid w:val="00540169"/>
    <w:rsid w:val="00540B6B"/>
    <w:rsid w:val="00540F50"/>
    <w:rsid w:val="005411C5"/>
    <w:rsid w:val="005411EF"/>
    <w:rsid w:val="005412E7"/>
    <w:rsid w:val="00542326"/>
    <w:rsid w:val="005427B1"/>
    <w:rsid w:val="005427B3"/>
    <w:rsid w:val="0054281A"/>
    <w:rsid w:val="0054313A"/>
    <w:rsid w:val="00543748"/>
    <w:rsid w:val="00543842"/>
    <w:rsid w:val="00543C31"/>
    <w:rsid w:val="00543F21"/>
    <w:rsid w:val="00543FDD"/>
    <w:rsid w:val="00544181"/>
    <w:rsid w:val="005442CC"/>
    <w:rsid w:val="00544776"/>
    <w:rsid w:val="00544A07"/>
    <w:rsid w:val="00544E82"/>
    <w:rsid w:val="00545725"/>
    <w:rsid w:val="00545C48"/>
    <w:rsid w:val="00545FCE"/>
    <w:rsid w:val="00546071"/>
    <w:rsid w:val="005461C8"/>
    <w:rsid w:val="005464D0"/>
    <w:rsid w:val="00546828"/>
    <w:rsid w:val="005469DA"/>
    <w:rsid w:val="00546C13"/>
    <w:rsid w:val="005470E2"/>
    <w:rsid w:val="005475B8"/>
    <w:rsid w:val="00547651"/>
    <w:rsid w:val="005476BD"/>
    <w:rsid w:val="00547A0E"/>
    <w:rsid w:val="00547D5C"/>
    <w:rsid w:val="00547F7B"/>
    <w:rsid w:val="00547F7F"/>
    <w:rsid w:val="00550421"/>
    <w:rsid w:val="005512A2"/>
    <w:rsid w:val="0055147A"/>
    <w:rsid w:val="005517C8"/>
    <w:rsid w:val="0055183E"/>
    <w:rsid w:val="00551D54"/>
    <w:rsid w:val="005528AD"/>
    <w:rsid w:val="00552917"/>
    <w:rsid w:val="005529B1"/>
    <w:rsid w:val="00552F3E"/>
    <w:rsid w:val="00553F53"/>
    <w:rsid w:val="00554268"/>
    <w:rsid w:val="005544B8"/>
    <w:rsid w:val="00555276"/>
    <w:rsid w:val="00556189"/>
    <w:rsid w:val="005567D0"/>
    <w:rsid w:val="00557448"/>
    <w:rsid w:val="005578CD"/>
    <w:rsid w:val="00557960"/>
    <w:rsid w:val="005609CD"/>
    <w:rsid w:val="00561EA8"/>
    <w:rsid w:val="0056242A"/>
    <w:rsid w:val="00562918"/>
    <w:rsid w:val="00562DDC"/>
    <w:rsid w:val="005631E7"/>
    <w:rsid w:val="005634F0"/>
    <w:rsid w:val="0056452C"/>
    <w:rsid w:val="00565A60"/>
    <w:rsid w:val="00565B76"/>
    <w:rsid w:val="0056611F"/>
    <w:rsid w:val="00566303"/>
    <w:rsid w:val="005666BE"/>
    <w:rsid w:val="0056686B"/>
    <w:rsid w:val="00566B84"/>
    <w:rsid w:val="00566EE3"/>
    <w:rsid w:val="0056703F"/>
    <w:rsid w:val="00567794"/>
    <w:rsid w:val="00567DEA"/>
    <w:rsid w:val="00567F30"/>
    <w:rsid w:val="005702E5"/>
    <w:rsid w:val="00570C04"/>
    <w:rsid w:val="00571475"/>
    <w:rsid w:val="00571A14"/>
    <w:rsid w:val="00571B1C"/>
    <w:rsid w:val="00572016"/>
    <w:rsid w:val="00572336"/>
    <w:rsid w:val="00572906"/>
    <w:rsid w:val="00572A66"/>
    <w:rsid w:val="00572B43"/>
    <w:rsid w:val="00572B64"/>
    <w:rsid w:val="00572E79"/>
    <w:rsid w:val="00573B32"/>
    <w:rsid w:val="00574580"/>
    <w:rsid w:val="005746C2"/>
    <w:rsid w:val="00574F46"/>
    <w:rsid w:val="00575277"/>
    <w:rsid w:val="00575894"/>
    <w:rsid w:val="00575A08"/>
    <w:rsid w:val="00575A14"/>
    <w:rsid w:val="00576002"/>
    <w:rsid w:val="00576588"/>
    <w:rsid w:val="00576C4E"/>
    <w:rsid w:val="00576E0E"/>
    <w:rsid w:val="00577480"/>
    <w:rsid w:val="00577750"/>
    <w:rsid w:val="00577EAB"/>
    <w:rsid w:val="00580961"/>
    <w:rsid w:val="00581584"/>
    <w:rsid w:val="00581EB1"/>
    <w:rsid w:val="00582494"/>
    <w:rsid w:val="0058257E"/>
    <w:rsid w:val="00582629"/>
    <w:rsid w:val="00582908"/>
    <w:rsid w:val="00582E7D"/>
    <w:rsid w:val="00583068"/>
    <w:rsid w:val="00583363"/>
    <w:rsid w:val="005835A4"/>
    <w:rsid w:val="0058384A"/>
    <w:rsid w:val="00583D25"/>
    <w:rsid w:val="00584691"/>
    <w:rsid w:val="00584B49"/>
    <w:rsid w:val="00584FC2"/>
    <w:rsid w:val="00585747"/>
    <w:rsid w:val="005871D8"/>
    <w:rsid w:val="0058729D"/>
    <w:rsid w:val="005875C2"/>
    <w:rsid w:val="005875CC"/>
    <w:rsid w:val="00587AF6"/>
    <w:rsid w:val="00590371"/>
    <w:rsid w:val="005905FF"/>
    <w:rsid w:val="00592646"/>
    <w:rsid w:val="005931E2"/>
    <w:rsid w:val="00593285"/>
    <w:rsid w:val="00593E09"/>
    <w:rsid w:val="0059440A"/>
    <w:rsid w:val="005947DF"/>
    <w:rsid w:val="00594C38"/>
    <w:rsid w:val="00594F44"/>
    <w:rsid w:val="005951E1"/>
    <w:rsid w:val="00595346"/>
    <w:rsid w:val="0059589A"/>
    <w:rsid w:val="0059608F"/>
    <w:rsid w:val="005961F6"/>
    <w:rsid w:val="0059644D"/>
    <w:rsid w:val="00596685"/>
    <w:rsid w:val="00596991"/>
    <w:rsid w:val="0059764E"/>
    <w:rsid w:val="00597850"/>
    <w:rsid w:val="00597DFB"/>
    <w:rsid w:val="005A0248"/>
    <w:rsid w:val="005A02B9"/>
    <w:rsid w:val="005A0386"/>
    <w:rsid w:val="005A1384"/>
    <w:rsid w:val="005A13B8"/>
    <w:rsid w:val="005A1703"/>
    <w:rsid w:val="005A198A"/>
    <w:rsid w:val="005A1E48"/>
    <w:rsid w:val="005A2A6C"/>
    <w:rsid w:val="005A34F9"/>
    <w:rsid w:val="005A370A"/>
    <w:rsid w:val="005A452F"/>
    <w:rsid w:val="005A4D0E"/>
    <w:rsid w:val="005A4D13"/>
    <w:rsid w:val="005A4F58"/>
    <w:rsid w:val="005A5887"/>
    <w:rsid w:val="005A61DC"/>
    <w:rsid w:val="005A666D"/>
    <w:rsid w:val="005A6677"/>
    <w:rsid w:val="005A69CE"/>
    <w:rsid w:val="005A6CD5"/>
    <w:rsid w:val="005A747D"/>
    <w:rsid w:val="005A7C2A"/>
    <w:rsid w:val="005A7F59"/>
    <w:rsid w:val="005B09F2"/>
    <w:rsid w:val="005B0A03"/>
    <w:rsid w:val="005B0B90"/>
    <w:rsid w:val="005B0C02"/>
    <w:rsid w:val="005B0CE2"/>
    <w:rsid w:val="005B1094"/>
    <w:rsid w:val="005B1FA9"/>
    <w:rsid w:val="005B203E"/>
    <w:rsid w:val="005B20EC"/>
    <w:rsid w:val="005B2479"/>
    <w:rsid w:val="005B2A43"/>
    <w:rsid w:val="005B2D17"/>
    <w:rsid w:val="005B2F15"/>
    <w:rsid w:val="005B3318"/>
    <w:rsid w:val="005B3CD8"/>
    <w:rsid w:val="005B3D39"/>
    <w:rsid w:val="005B3D95"/>
    <w:rsid w:val="005B3FB6"/>
    <w:rsid w:val="005B42A6"/>
    <w:rsid w:val="005B4589"/>
    <w:rsid w:val="005B46BC"/>
    <w:rsid w:val="005B4AC7"/>
    <w:rsid w:val="005B4B0E"/>
    <w:rsid w:val="005B4CDA"/>
    <w:rsid w:val="005B4D6A"/>
    <w:rsid w:val="005B56EA"/>
    <w:rsid w:val="005B6ACA"/>
    <w:rsid w:val="005B6D34"/>
    <w:rsid w:val="005B6F87"/>
    <w:rsid w:val="005B7259"/>
    <w:rsid w:val="005B7629"/>
    <w:rsid w:val="005C07FC"/>
    <w:rsid w:val="005C0C7D"/>
    <w:rsid w:val="005C0D2E"/>
    <w:rsid w:val="005C0DC0"/>
    <w:rsid w:val="005C0E53"/>
    <w:rsid w:val="005C14E9"/>
    <w:rsid w:val="005C2206"/>
    <w:rsid w:val="005C2285"/>
    <w:rsid w:val="005C2795"/>
    <w:rsid w:val="005C2BB2"/>
    <w:rsid w:val="005C2D21"/>
    <w:rsid w:val="005C357A"/>
    <w:rsid w:val="005C3608"/>
    <w:rsid w:val="005C36E0"/>
    <w:rsid w:val="005C3887"/>
    <w:rsid w:val="005C390F"/>
    <w:rsid w:val="005C3B8F"/>
    <w:rsid w:val="005C3BD1"/>
    <w:rsid w:val="005C4654"/>
    <w:rsid w:val="005C4844"/>
    <w:rsid w:val="005C4903"/>
    <w:rsid w:val="005C4D14"/>
    <w:rsid w:val="005C4ED1"/>
    <w:rsid w:val="005C4ED2"/>
    <w:rsid w:val="005C581A"/>
    <w:rsid w:val="005C5980"/>
    <w:rsid w:val="005C5BF0"/>
    <w:rsid w:val="005C5CF9"/>
    <w:rsid w:val="005C624F"/>
    <w:rsid w:val="005C6921"/>
    <w:rsid w:val="005C6FA0"/>
    <w:rsid w:val="005C71FD"/>
    <w:rsid w:val="005C73A6"/>
    <w:rsid w:val="005C7A3F"/>
    <w:rsid w:val="005C7EA6"/>
    <w:rsid w:val="005D02FD"/>
    <w:rsid w:val="005D0987"/>
    <w:rsid w:val="005D0B08"/>
    <w:rsid w:val="005D0F58"/>
    <w:rsid w:val="005D1FED"/>
    <w:rsid w:val="005D296E"/>
    <w:rsid w:val="005D2BCC"/>
    <w:rsid w:val="005D2DB9"/>
    <w:rsid w:val="005D2ED2"/>
    <w:rsid w:val="005D2F85"/>
    <w:rsid w:val="005D380E"/>
    <w:rsid w:val="005D38B6"/>
    <w:rsid w:val="005D3BDB"/>
    <w:rsid w:val="005D3D02"/>
    <w:rsid w:val="005D3D58"/>
    <w:rsid w:val="005D3F3E"/>
    <w:rsid w:val="005D46A4"/>
    <w:rsid w:val="005D50CC"/>
    <w:rsid w:val="005D5109"/>
    <w:rsid w:val="005D57AD"/>
    <w:rsid w:val="005D594D"/>
    <w:rsid w:val="005D6B38"/>
    <w:rsid w:val="005D6D4D"/>
    <w:rsid w:val="005D6D9D"/>
    <w:rsid w:val="005D6F4D"/>
    <w:rsid w:val="005D71AE"/>
    <w:rsid w:val="005D7C31"/>
    <w:rsid w:val="005D7DED"/>
    <w:rsid w:val="005E0580"/>
    <w:rsid w:val="005E16B1"/>
    <w:rsid w:val="005E1890"/>
    <w:rsid w:val="005E1BC6"/>
    <w:rsid w:val="005E205A"/>
    <w:rsid w:val="005E2415"/>
    <w:rsid w:val="005E2B16"/>
    <w:rsid w:val="005E31EB"/>
    <w:rsid w:val="005E3216"/>
    <w:rsid w:val="005E33FD"/>
    <w:rsid w:val="005E340C"/>
    <w:rsid w:val="005E3723"/>
    <w:rsid w:val="005E45D6"/>
    <w:rsid w:val="005E4CD6"/>
    <w:rsid w:val="005E4CF4"/>
    <w:rsid w:val="005E4FE9"/>
    <w:rsid w:val="005E5290"/>
    <w:rsid w:val="005E56D4"/>
    <w:rsid w:val="005E648F"/>
    <w:rsid w:val="005E6E60"/>
    <w:rsid w:val="005E6E8F"/>
    <w:rsid w:val="005E6F94"/>
    <w:rsid w:val="005E6FD2"/>
    <w:rsid w:val="005E7592"/>
    <w:rsid w:val="005E7C73"/>
    <w:rsid w:val="005F01B7"/>
    <w:rsid w:val="005F1102"/>
    <w:rsid w:val="005F1843"/>
    <w:rsid w:val="005F18D4"/>
    <w:rsid w:val="005F241D"/>
    <w:rsid w:val="005F2CB8"/>
    <w:rsid w:val="005F316D"/>
    <w:rsid w:val="005F33F2"/>
    <w:rsid w:val="005F3A0F"/>
    <w:rsid w:val="005F4138"/>
    <w:rsid w:val="005F5092"/>
    <w:rsid w:val="005F50F8"/>
    <w:rsid w:val="005F54F3"/>
    <w:rsid w:val="005F5757"/>
    <w:rsid w:val="005F5C48"/>
    <w:rsid w:val="005F5D30"/>
    <w:rsid w:val="005F5F78"/>
    <w:rsid w:val="005F6A58"/>
    <w:rsid w:val="005F6D29"/>
    <w:rsid w:val="005F7E6C"/>
    <w:rsid w:val="006000D4"/>
    <w:rsid w:val="00600AFB"/>
    <w:rsid w:val="00601472"/>
    <w:rsid w:val="00601474"/>
    <w:rsid w:val="0060199D"/>
    <w:rsid w:val="00601A00"/>
    <w:rsid w:val="00601B32"/>
    <w:rsid w:val="00602104"/>
    <w:rsid w:val="006024FC"/>
    <w:rsid w:val="00602BDB"/>
    <w:rsid w:val="00602DBD"/>
    <w:rsid w:val="006035A1"/>
    <w:rsid w:val="00603773"/>
    <w:rsid w:val="0060380C"/>
    <w:rsid w:val="00603934"/>
    <w:rsid w:val="0060396A"/>
    <w:rsid w:val="00604124"/>
    <w:rsid w:val="00604462"/>
    <w:rsid w:val="00605381"/>
    <w:rsid w:val="00605607"/>
    <w:rsid w:val="00606403"/>
    <w:rsid w:val="0060680B"/>
    <w:rsid w:val="0060690B"/>
    <w:rsid w:val="00606BEF"/>
    <w:rsid w:val="00606F53"/>
    <w:rsid w:val="006070A3"/>
    <w:rsid w:val="00607ACD"/>
    <w:rsid w:val="00607E4D"/>
    <w:rsid w:val="00610078"/>
    <w:rsid w:val="00610106"/>
    <w:rsid w:val="0061054D"/>
    <w:rsid w:val="00610B34"/>
    <w:rsid w:val="006114B8"/>
    <w:rsid w:val="00611838"/>
    <w:rsid w:val="00611844"/>
    <w:rsid w:val="006118BD"/>
    <w:rsid w:val="00612698"/>
    <w:rsid w:val="006127AF"/>
    <w:rsid w:val="00612D45"/>
    <w:rsid w:val="0061309C"/>
    <w:rsid w:val="006130C0"/>
    <w:rsid w:val="00613573"/>
    <w:rsid w:val="00613F71"/>
    <w:rsid w:val="006142AE"/>
    <w:rsid w:val="00614A9D"/>
    <w:rsid w:val="00614A9F"/>
    <w:rsid w:val="00614D6C"/>
    <w:rsid w:val="0061518B"/>
    <w:rsid w:val="0061522E"/>
    <w:rsid w:val="00615555"/>
    <w:rsid w:val="006157E6"/>
    <w:rsid w:val="00615900"/>
    <w:rsid w:val="006160DE"/>
    <w:rsid w:val="0061643C"/>
    <w:rsid w:val="00616AE6"/>
    <w:rsid w:val="00616FE5"/>
    <w:rsid w:val="006170D3"/>
    <w:rsid w:val="00617257"/>
    <w:rsid w:val="00617449"/>
    <w:rsid w:val="006175A8"/>
    <w:rsid w:val="00617720"/>
    <w:rsid w:val="00617953"/>
    <w:rsid w:val="00617A46"/>
    <w:rsid w:val="00617E6F"/>
    <w:rsid w:val="00620785"/>
    <w:rsid w:val="00620905"/>
    <w:rsid w:val="0062125C"/>
    <w:rsid w:val="0062164F"/>
    <w:rsid w:val="00621970"/>
    <w:rsid w:val="00621AA1"/>
    <w:rsid w:val="00621E09"/>
    <w:rsid w:val="0062203A"/>
    <w:rsid w:val="0062250F"/>
    <w:rsid w:val="006225FA"/>
    <w:rsid w:val="006229EF"/>
    <w:rsid w:val="00622F35"/>
    <w:rsid w:val="006231D9"/>
    <w:rsid w:val="0062423E"/>
    <w:rsid w:val="00624E33"/>
    <w:rsid w:val="006250F9"/>
    <w:rsid w:val="00625937"/>
    <w:rsid w:val="006260EE"/>
    <w:rsid w:val="0062616E"/>
    <w:rsid w:val="006263AE"/>
    <w:rsid w:val="006278D9"/>
    <w:rsid w:val="00630A3F"/>
    <w:rsid w:val="00630AF2"/>
    <w:rsid w:val="00631135"/>
    <w:rsid w:val="006318B8"/>
    <w:rsid w:val="0063197C"/>
    <w:rsid w:val="0063222C"/>
    <w:rsid w:val="0063230C"/>
    <w:rsid w:val="00632436"/>
    <w:rsid w:val="0063290B"/>
    <w:rsid w:val="006329CA"/>
    <w:rsid w:val="006332B5"/>
    <w:rsid w:val="006336F3"/>
    <w:rsid w:val="006337E4"/>
    <w:rsid w:val="00633A7E"/>
    <w:rsid w:val="00633D30"/>
    <w:rsid w:val="00633F50"/>
    <w:rsid w:val="00633FFC"/>
    <w:rsid w:val="006345DB"/>
    <w:rsid w:val="0063501E"/>
    <w:rsid w:val="0063513A"/>
    <w:rsid w:val="006353C5"/>
    <w:rsid w:val="006358B1"/>
    <w:rsid w:val="00635933"/>
    <w:rsid w:val="00636180"/>
    <w:rsid w:val="0063630E"/>
    <w:rsid w:val="00636DE9"/>
    <w:rsid w:val="006372E5"/>
    <w:rsid w:val="00637557"/>
    <w:rsid w:val="006375B8"/>
    <w:rsid w:val="00637603"/>
    <w:rsid w:val="006378B2"/>
    <w:rsid w:val="00637A9E"/>
    <w:rsid w:val="00640011"/>
    <w:rsid w:val="00640168"/>
    <w:rsid w:val="00640172"/>
    <w:rsid w:val="00640226"/>
    <w:rsid w:val="00640C54"/>
    <w:rsid w:val="006410E7"/>
    <w:rsid w:val="00641299"/>
    <w:rsid w:val="006414F7"/>
    <w:rsid w:val="00641761"/>
    <w:rsid w:val="00641979"/>
    <w:rsid w:val="00642971"/>
    <w:rsid w:val="00643B61"/>
    <w:rsid w:val="00643B77"/>
    <w:rsid w:val="006443F8"/>
    <w:rsid w:val="0064456B"/>
    <w:rsid w:val="00644676"/>
    <w:rsid w:val="006459AE"/>
    <w:rsid w:val="00645B8E"/>
    <w:rsid w:val="00645EFB"/>
    <w:rsid w:val="00645FCB"/>
    <w:rsid w:val="006463EA"/>
    <w:rsid w:val="006465F8"/>
    <w:rsid w:val="0064720A"/>
    <w:rsid w:val="006478A4"/>
    <w:rsid w:val="006478AB"/>
    <w:rsid w:val="00647EFE"/>
    <w:rsid w:val="00650411"/>
    <w:rsid w:val="006507E0"/>
    <w:rsid w:val="00650901"/>
    <w:rsid w:val="00650940"/>
    <w:rsid w:val="00650E59"/>
    <w:rsid w:val="006511E7"/>
    <w:rsid w:val="006514E3"/>
    <w:rsid w:val="00651708"/>
    <w:rsid w:val="00651B87"/>
    <w:rsid w:val="00651F08"/>
    <w:rsid w:val="006526FC"/>
    <w:rsid w:val="00653169"/>
    <w:rsid w:val="00653327"/>
    <w:rsid w:val="006537B9"/>
    <w:rsid w:val="00653AD0"/>
    <w:rsid w:val="0065402B"/>
    <w:rsid w:val="00654513"/>
    <w:rsid w:val="0065491D"/>
    <w:rsid w:val="00654EB0"/>
    <w:rsid w:val="00654FE8"/>
    <w:rsid w:val="00655215"/>
    <w:rsid w:val="00655528"/>
    <w:rsid w:val="0065567D"/>
    <w:rsid w:val="006558AC"/>
    <w:rsid w:val="00655F08"/>
    <w:rsid w:val="006571DB"/>
    <w:rsid w:val="006602A8"/>
    <w:rsid w:val="00660444"/>
    <w:rsid w:val="006604D0"/>
    <w:rsid w:val="0066065C"/>
    <w:rsid w:val="00660A46"/>
    <w:rsid w:val="00661034"/>
    <w:rsid w:val="00661240"/>
    <w:rsid w:val="0066174A"/>
    <w:rsid w:val="00661AD2"/>
    <w:rsid w:val="0066204E"/>
    <w:rsid w:val="006623E0"/>
    <w:rsid w:val="00662ACD"/>
    <w:rsid w:val="00662FD1"/>
    <w:rsid w:val="00663371"/>
    <w:rsid w:val="006634C6"/>
    <w:rsid w:val="0066360E"/>
    <w:rsid w:val="00663B4A"/>
    <w:rsid w:val="00663E31"/>
    <w:rsid w:val="0066527D"/>
    <w:rsid w:val="0066559D"/>
    <w:rsid w:val="006659FD"/>
    <w:rsid w:val="00666382"/>
    <w:rsid w:val="00666634"/>
    <w:rsid w:val="006666CD"/>
    <w:rsid w:val="00666B77"/>
    <w:rsid w:val="006674AA"/>
    <w:rsid w:val="00670217"/>
    <w:rsid w:val="006706BD"/>
    <w:rsid w:val="0067077D"/>
    <w:rsid w:val="00670781"/>
    <w:rsid w:val="006708B5"/>
    <w:rsid w:val="00670D37"/>
    <w:rsid w:val="00670DE5"/>
    <w:rsid w:val="006717A2"/>
    <w:rsid w:val="00671A6A"/>
    <w:rsid w:val="00671D4E"/>
    <w:rsid w:val="00671FC8"/>
    <w:rsid w:val="00672318"/>
    <w:rsid w:val="006723BA"/>
    <w:rsid w:val="00672416"/>
    <w:rsid w:val="006724FA"/>
    <w:rsid w:val="0067305E"/>
    <w:rsid w:val="00673131"/>
    <w:rsid w:val="00673329"/>
    <w:rsid w:val="0067332F"/>
    <w:rsid w:val="006736FF"/>
    <w:rsid w:val="00673C5E"/>
    <w:rsid w:val="00674838"/>
    <w:rsid w:val="00675508"/>
    <w:rsid w:val="00675667"/>
    <w:rsid w:val="00675E23"/>
    <w:rsid w:val="0067639A"/>
    <w:rsid w:val="006774EF"/>
    <w:rsid w:val="006777AD"/>
    <w:rsid w:val="006778F8"/>
    <w:rsid w:val="006779B4"/>
    <w:rsid w:val="00677A8B"/>
    <w:rsid w:val="00677ABC"/>
    <w:rsid w:val="00680103"/>
    <w:rsid w:val="00680817"/>
    <w:rsid w:val="00680F5F"/>
    <w:rsid w:val="0068178D"/>
    <w:rsid w:val="00681997"/>
    <w:rsid w:val="00681B63"/>
    <w:rsid w:val="00681C00"/>
    <w:rsid w:val="00682469"/>
    <w:rsid w:val="006824CD"/>
    <w:rsid w:val="0068293F"/>
    <w:rsid w:val="00682E7D"/>
    <w:rsid w:val="00684111"/>
    <w:rsid w:val="006841DD"/>
    <w:rsid w:val="006842DA"/>
    <w:rsid w:val="006851BF"/>
    <w:rsid w:val="006852D8"/>
    <w:rsid w:val="00685648"/>
    <w:rsid w:val="0068580B"/>
    <w:rsid w:val="0068641E"/>
    <w:rsid w:val="00686579"/>
    <w:rsid w:val="00686970"/>
    <w:rsid w:val="00686971"/>
    <w:rsid w:val="00687021"/>
    <w:rsid w:val="00687A4F"/>
    <w:rsid w:val="00687EEA"/>
    <w:rsid w:val="00690004"/>
    <w:rsid w:val="006900E6"/>
    <w:rsid w:val="006901B2"/>
    <w:rsid w:val="00690465"/>
    <w:rsid w:val="006905E6"/>
    <w:rsid w:val="00690F18"/>
    <w:rsid w:val="00691090"/>
    <w:rsid w:val="0069189B"/>
    <w:rsid w:val="00691FAB"/>
    <w:rsid w:val="0069297E"/>
    <w:rsid w:val="00692F3D"/>
    <w:rsid w:val="00693214"/>
    <w:rsid w:val="0069334F"/>
    <w:rsid w:val="0069354B"/>
    <w:rsid w:val="006938A1"/>
    <w:rsid w:val="00693EA9"/>
    <w:rsid w:val="00695403"/>
    <w:rsid w:val="00695F7C"/>
    <w:rsid w:val="00696941"/>
    <w:rsid w:val="00696A0D"/>
    <w:rsid w:val="00696D78"/>
    <w:rsid w:val="00696F26"/>
    <w:rsid w:val="0069792A"/>
    <w:rsid w:val="00697FDF"/>
    <w:rsid w:val="006A0601"/>
    <w:rsid w:val="006A1AC7"/>
    <w:rsid w:val="006A256B"/>
    <w:rsid w:val="006A259E"/>
    <w:rsid w:val="006A3458"/>
    <w:rsid w:val="006A3638"/>
    <w:rsid w:val="006A37AC"/>
    <w:rsid w:val="006A394D"/>
    <w:rsid w:val="006A4FD3"/>
    <w:rsid w:val="006A585B"/>
    <w:rsid w:val="006A59DB"/>
    <w:rsid w:val="006A6236"/>
    <w:rsid w:val="006A63A8"/>
    <w:rsid w:val="006A6B59"/>
    <w:rsid w:val="006A6B99"/>
    <w:rsid w:val="006A6F62"/>
    <w:rsid w:val="006A78F2"/>
    <w:rsid w:val="006B0253"/>
    <w:rsid w:val="006B0884"/>
    <w:rsid w:val="006B08F2"/>
    <w:rsid w:val="006B1C0A"/>
    <w:rsid w:val="006B1E15"/>
    <w:rsid w:val="006B20BE"/>
    <w:rsid w:val="006B26A3"/>
    <w:rsid w:val="006B2889"/>
    <w:rsid w:val="006B2A5F"/>
    <w:rsid w:val="006B2D03"/>
    <w:rsid w:val="006B31EF"/>
    <w:rsid w:val="006B3991"/>
    <w:rsid w:val="006B4370"/>
    <w:rsid w:val="006B550C"/>
    <w:rsid w:val="006B5AC1"/>
    <w:rsid w:val="006B5B29"/>
    <w:rsid w:val="006B63A2"/>
    <w:rsid w:val="006B6415"/>
    <w:rsid w:val="006B6492"/>
    <w:rsid w:val="006B6C44"/>
    <w:rsid w:val="006C1910"/>
    <w:rsid w:val="006C1BD0"/>
    <w:rsid w:val="006C1C10"/>
    <w:rsid w:val="006C1CFB"/>
    <w:rsid w:val="006C1E30"/>
    <w:rsid w:val="006C21E3"/>
    <w:rsid w:val="006C32F3"/>
    <w:rsid w:val="006C3494"/>
    <w:rsid w:val="006C34F7"/>
    <w:rsid w:val="006C369B"/>
    <w:rsid w:val="006C3737"/>
    <w:rsid w:val="006C3E9F"/>
    <w:rsid w:val="006C4697"/>
    <w:rsid w:val="006C4803"/>
    <w:rsid w:val="006C4C7A"/>
    <w:rsid w:val="006C4CAC"/>
    <w:rsid w:val="006C4F1A"/>
    <w:rsid w:val="006C4FE9"/>
    <w:rsid w:val="006C56FB"/>
    <w:rsid w:val="006C598B"/>
    <w:rsid w:val="006C6412"/>
    <w:rsid w:val="006C65F9"/>
    <w:rsid w:val="006C6EA5"/>
    <w:rsid w:val="006C6FF5"/>
    <w:rsid w:val="006C70FE"/>
    <w:rsid w:val="006C7718"/>
    <w:rsid w:val="006C7A75"/>
    <w:rsid w:val="006C7AD6"/>
    <w:rsid w:val="006C7E88"/>
    <w:rsid w:val="006C7F7E"/>
    <w:rsid w:val="006D006B"/>
    <w:rsid w:val="006D088F"/>
    <w:rsid w:val="006D0AAF"/>
    <w:rsid w:val="006D0AFE"/>
    <w:rsid w:val="006D0EDA"/>
    <w:rsid w:val="006D1528"/>
    <w:rsid w:val="006D1A00"/>
    <w:rsid w:val="006D2343"/>
    <w:rsid w:val="006D273C"/>
    <w:rsid w:val="006D2838"/>
    <w:rsid w:val="006D31C8"/>
    <w:rsid w:val="006D38DA"/>
    <w:rsid w:val="006D398D"/>
    <w:rsid w:val="006D3BD2"/>
    <w:rsid w:val="006D3E19"/>
    <w:rsid w:val="006D3E60"/>
    <w:rsid w:val="006D3E7B"/>
    <w:rsid w:val="006D47B9"/>
    <w:rsid w:val="006D4E96"/>
    <w:rsid w:val="006D569D"/>
    <w:rsid w:val="006D5E52"/>
    <w:rsid w:val="006D6121"/>
    <w:rsid w:val="006D6D39"/>
    <w:rsid w:val="006D6E7D"/>
    <w:rsid w:val="006D6F84"/>
    <w:rsid w:val="006D7781"/>
    <w:rsid w:val="006D7B2C"/>
    <w:rsid w:val="006E037D"/>
    <w:rsid w:val="006E12D1"/>
    <w:rsid w:val="006E1355"/>
    <w:rsid w:val="006E13D7"/>
    <w:rsid w:val="006E166E"/>
    <w:rsid w:val="006E1851"/>
    <w:rsid w:val="006E1C06"/>
    <w:rsid w:val="006E1D1D"/>
    <w:rsid w:val="006E239D"/>
    <w:rsid w:val="006E249D"/>
    <w:rsid w:val="006E2B66"/>
    <w:rsid w:val="006E357A"/>
    <w:rsid w:val="006E38F5"/>
    <w:rsid w:val="006E3AC4"/>
    <w:rsid w:val="006E3ACF"/>
    <w:rsid w:val="006E3AD0"/>
    <w:rsid w:val="006E3B0D"/>
    <w:rsid w:val="006E4BC6"/>
    <w:rsid w:val="006E55BF"/>
    <w:rsid w:val="006E6385"/>
    <w:rsid w:val="006E6386"/>
    <w:rsid w:val="006E660B"/>
    <w:rsid w:val="006E6A4D"/>
    <w:rsid w:val="006E7599"/>
    <w:rsid w:val="006E75E0"/>
    <w:rsid w:val="006E766D"/>
    <w:rsid w:val="006F04BD"/>
    <w:rsid w:val="006F1847"/>
    <w:rsid w:val="006F2284"/>
    <w:rsid w:val="006F2385"/>
    <w:rsid w:val="006F2A82"/>
    <w:rsid w:val="006F2AB8"/>
    <w:rsid w:val="006F2C8C"/>
    <w:rsid w:val="006F3607"/>
    <w:rsid w:val="006F3B67"/>
    <w:rsid w:val="006F3BCF"/>
    <w:rsid w:val="006F3D52"/>
    <w:rsid w:val="006F437B"/>
    <w:rsid w:val="006F4989"/>
    <w:rsid w:val="006F51ED"/>
    <w:rsid w:val="006F5580"/>
    <w:rsid w:val="006F565F"/>
    <w:rsid w:val="006F5799"/>
    <w:rsid w:val="006F6393"/>
    <w:rsid w:val="006F67FD"/>
    <w:rsid w:val="006F7210"/>
    <w:rsid w:val="007000B5"/>
    <w:rsid w:val="00700177"/>
    <w:rsid w:val="007007AC"/>
    <w:rsid w:val="00701134"/>
    <w:rsid w:val="00701C30"/>
    <w:rsid w:val="007023CB"/>
    <w:rsid w:val="00702585"/>
    <w:rsid w:val="00702DEA"/>
    <w:rsid w:val="00702E28"/>
    <w:rsid w:val="00703029"/>
    <w:rsid w:val="0070377D"/>
    <w:rsid w:val="0070463B"/>
    <w:rsid w:val="0070464A"/>
    <w:rsid w:val="0070488B"/>
    <w:rsid w:val="0070488C"/>
    <w:rsid w:val="007053D2"/>
    <w:rsid w:val="00705A65"/>
    <w:rsid w:val="0071024F"/>
    <w:rsid w:val="0071050E"/>
    <w:rsid w:val="007109C4"/>
    <w:rsid w:val="0071116A"/>
    <w:rsid w:val="007112E6"/>
    <w:rsid w:val="00711A6C"/>
    <w:rsid w:val="00711B1E"/>
    <w:rsid w:val="007124F6"/>
    <w:rsid w:val="007127CE"/>
    <w:rsid w:val="007128CD"/>
    <w:rsid w:val="00712E11"/>
    <w:rsid w:val="00712EB6"/>
    <w:rsid w:val="00712EE7"/>
    <w:rsid w:val="007131A1"/>
    <w:rsid w:val="00713DFD"/>
    <w:rsid w:val="00713F7C"/>
    <w:rsid w:val="00714024"/>
    <w:rsid w:val="0071402D"/>
    <w:rsid w:val="0071476B"/>
    <w:rsid w:val="00714A34"/>
    <w:rsid w:val="00714C65"/>
    <w:rsid w:val="007151A6"/>
    <w:rsid w:val="0071520B"/>
    <w:rsid w:val="00715818"/>
    <w:rsid w:val="0071696B"/>
    <w:rsid w:val="007173AC"/>
    <w:rsid w:val="0071757E"/>
    <w:rsid w:val="007177AC"/>
    <w:rsid w:val="00717A88"/>
    <w:rsid w:val="00717AA3"/>
    <w:rsid w:val="00717C1B"/>
    <w:rsid w:val="00717E54"/>
    <w:rsid w:val="0071F43C"/>
    <w:rsid w:val="00720305"/>
    <w:rsid w:val="0072099A"/>
    <w:rsid w:val="00720B1F"/>
    <w:rsid w:val="00720D1B"/>
    <w:rsid w:val="0072158A"/>
    <w:rsid w:val="00721B85"/>
    <w:rsid w:val="00721D82"/>
    <w:rsid w:val="00721E13"/>
    <w:rsid w:val="00721F89"/>
    <w:rsid w:val="00722475"/>
    <w:rsid w:val="00722B3D"/>
    <w:rsid w:val="00722C46"/>
    <w:rsid w:val="00722C75"/>
    <w:rsid w:val="007237A2"/>
    <w:rsid w:val="00724291"/>
    <w:rsid w:val="00725353"/>
    <w:rsid w:val="0072603B"/>
    <w:rsid w:val="00726425"/>
    <w:rsid w:val="007269AD"/>
    <w:rsid w:val="00726E2B"/>
    <w:rsid w:val="00726F3E"/>
    <w:rsid w:val="0073011C"/>
    <w:rsid w:val="007315DE"/>
    <w:rsid w:val="00731E07"/>
    <w:rsid w:val="00732207"/>
    <w:rsid w:val="0073223E"/>
    <w:rsid w:val="00732558"/>
    <w:rsid w:val="00733A65"/>
    <w:rsid w:val="007340AA"/>
    <w:rsid w:val="00734246"/>
    <w:rsid w:val="00734874"/>
    <w:rsid w:val="00734B68"/>
    <w:rsid w:val="00735B43"/>
    <w:rsid w:val="00735D3B"/>
    <w:rsid w:val="00735EA0"/>
    <w:rsid w:val="00736FA0"/>
    <w:rsid w:val="00737D08"/>
    <w:rsid w:val="007401D7"/>
    <w:rsid w:val="00740E39"/>
    <w:rsid w:val="007411FC"/>
    <w:rsid w:val="0074120D"/>
    <w:rsid w:val="00743312"/>
    <w:rsid w:val="007433F6"/>
    <w:rsid w:val="007434B6"/>
    <w:rsid w:val="007434CF"/>
    <w:rsid w:val="007434DF"/>
    <w:rsid w:val="0074377D"/>
    <w:rsid w:val="00743791"/>
    <w:rsid w:val="0074390A"/>
    <w:rsid w:val="00743B4E"/>
    <w:rsid w:val="00743E5F"/>
    <w:rsid w:val="00743F5E"/>
    <w:rsid w:val="00744896"/>
    <w:rsid w:val="00745057"/>
    <w:rsid w:val="00745A55"/>
    <w:rsid w:val="007462C6"/>
    <w:rsid w:val="00746D50"/>
    <w:rsid w:val="0074745B"/>
    <w:rsid w:val="0074745C"/>
    <w:rsid w:val="00747517"/>
    <w:rsid w:val="00747738"/>
    <w:rsid w:val="007477EA"/>
    <w:rsid w:val="00747986"/>
    <w:rsid w:val="00747C23"/>
    <w:rsid w:val="007503A6"/>
    <w:rsid w:val="00750B29"/>
    <w:rsid w:val="00750E91"/>
    <w:rsid w:val="00751A87"/>
    <w:rsid w:val="007527CE"/>
    <w:rsid w:val="007528DF"/>
    <w:rsid w:val="00752A0B"/>
    <w:rsid w:val="00752B22"/>
    <w:rsid w:val="00752D78"/>
    <w:rsid w:val="007533A1"/>
    <w:rsid w:val="00753534"/>
    <w:rsid w:val="0075389C"/>
    <w:rsid w:val="00754195"/>
    <w:rsid w:val="0075419D"/>
    <w:rsid w:val="007541F6"/>
    <w:rsid w:val="007544E6"/>
    <w:rsid w:val="007544E7"/>
    <w:rsid w:val="007545BF"/>
    <w:rsid w:val="00754621"/>
    <w:rsid w:val="00754B42"/>
    <w:rsid w:val="00754D93"/>
    <w:rsid w:val="00755746"/>
    <w:rsid w:val="0075584E"/>
    <w:rsid w:val="007560D2"/>
    <w:rsid w:val="007561E0"/>
    <w:rsid w:val="00756888"/>
    <w:rsid w:val="00756C33"/>
    <w:rsid w:val="00756D37"/>
    <w:rsid w:val="00757F29"/>
    <w:rsid w:val="007606F0"/>
    <w:rsid w:val="00760962"/>
    <w:rsid w:val="00760B88"/>
    <w:rsid w:val="007617D0"/>
    <w:rsid w:val="00761CF1"/>
    <w:rsid w:val="00761D3D"/>
    <w:rsid w:val="00762082"/>
    <w:rsid w:val="00762C4D"/>
    <w:rsid w:val="00763020"/>
    <w:rsid w:val="007632A9"/>
    <w:rsid w:val="00763585"/>
    <w:rsid w:val="0076386F"/>
    <w:rsid w:val="00763E99"/>
    <w:rsid w:val="00764412"/>
    <w:rsid w:val="00764707"/>
    <w:rsid w:val="00764BE7"/>
    <w:rsid w:val="00765AAB"/>
    <w:rsid w:val="00765BA9"/>
    <w:rsid w:val="00765ECE"/>
    <w:rsid w:val="00766218"/>
    <w:rsid w:val="00766411"/>
    <w:rsid w:val="00767055"/>
    <w:rsid w:val="007675FB"/>
    <w:rsid w:val="00767706"/>
    <w:rsid w:val="00767EC1"/>
    <w:rsid w:val="00770E7C"/>
    <w:rsid w:val="007717E2"/>
    <w:rsid w:val="007719C3"/>
    <w:rsid w:val="007719EF"/>
    <w:rsid w:val="00771CF5"/>
    <w:rsid w:val="00773613"/>
    <w:rsid w:val="007744D0"/>
    <w:rsid w:val="00774CC4"/>
    <w:rsid w:val="0077556F"/>
    <w:rsid w:val="00775B0B"/>
    <w:rsid w:val="0077608F"/>
    <w:rsid w:val="007763E8"/>
    <w:rsid w:val="0077653A"/>
    <w:rsid w:val="007765DE"/>
    <w:rsid w:val="00776983"/>
    <w:rsid w:val="00776D5C"/>
    <w:rsid w:val="007779C6"/>
    <w:rsid w:val="00777BEE"/>
    <w:rsid w:val="00777D10"/>
    <w:rsid w:val="00777EA8"/>
    <w:rsid w:val="0077E30C"/>
    <w:rsid w:val="00780509"/>
    <w:rsid w:val="0078111D"/>
    <w:rsid w:val="00781646"/>
    <w:rsid w:val="007816E4"/>
    <w:rsid w:val="007817C3"/>
    <w:rsid w:val="0078195E"/>
    <w:rsid w:val="00781C9F"/>
    <w:rsid w:val="00781D24"/>
    <w:rsid w:val="00781E04"/>
    <w:rsid w:val="00782656"/>
    <w:rsid w:val="00782D9E"/>
    <w:rsid w:val="00782DF9"/>
    <w:rsid w:val="007832A5"/>
    <w:rsid w:val="0078418E"/>
    <w:rsid w:val="00784E40"/>
    <w:rsid w:val="007858A2"/>
    <w:rsid w:val="00785ABB"/>
    <w:rsid w:val="00785E35"/>
    <w:rsid w:val="00785E71"/>
    <w:rsid w:val="007861C2"/>
    <w:rsid w:val="0078635A"/>
    <w:rsid w:val="00787266"/>
    <w:rsid w:val="007873C7"/>
    <w:rsid w:val="00787538"/>
    <w:rsid w:val="00787D24"/>
    <w:rsid w:val="007902CB"/>
    <w:rsid w:val="007905BE"/>
    <w:rsid w:val="00790738"/>
    <w:rsid w:val="00791420"/>
    <w:rsid w:val="00791A0B"/>
    <w:rsid w:val="00791A7C"/>
    <w:rsid w:val="00791FE3"/>
    <w:rsid w:val="0079235A"/>
    <w:rsid w:val="0079263E"/>
    <w:rsid w:val="007926DA"/>
    <w:rsid w:val="00792932"/>
    <w:rsid w:val="00792B51"/>
    <w:rsid w:val="00792CDF"/>
    <w:rsid w:val="00792DA5"/>
    <w:rsid w:val="00792F8D"/>
    <w:rsid w:val="00793560"/>
    <w:rsid w:val="00793A6E"/>
    <w:rsid w:val="0079571A"/>
    <w:rsid w:val="00795BF7"/>
    <w:rsid w:val="00795C5A"/>
    <w:rsid w:val="00796A3C"/>
    <w:rsid w:val="00796CC1"/>
    <w:rsid w:val="007978A1"/>
    <w:rsid w:val="007A006B"/>
    <w:rsid w:val="007A097B"/>
    <w:rsid w:val="007A0A2D"/>
    <w:rsid w:val="007A0B67"/>
    <w:rsid w:val="007A0BCC"/>
    <w:rsid w:val="007A1238"/>
    <w:rsid w:val="007A1A9F"/>
    <w:rsid w:val="007A2DF2"/>
    <w:rsid w:val="007A32BF"/>
    <w:rsid w:val="007A32E2"/>
    <w:rsid w:val="007A330A"/>
    <w:rsid w:val="007A3429"/>
    <w:rsid w:val="007A3498"/>
    <w:rsid w:val="007A34B3"/>
    <w:rsid w:val="007A3717"/>
    <w:rsid w:val="007A3B92"/>
    <w:rsid w:val="007A42D5"/>
    <w:rsid w:val="007A4DA5"/>
    <w:rsid w:val="007A5897"/>
    <w:rsid w:val="007A5F84"/>
    <w:rsid w:val="007A61A2"/>
    <w:rsid w:val="007A63F6"/>
    <w:rsid w:val="007A65F3"/>
    <w:rsid w:val="007A6BFC"/>
    <w:rsid w:val="007A6FAB"/>
    <w:rsid w:val="007A7A93"/>
    <w:rsid w:val="007A7AED"/>
    <w:rsid w:val="007A7D52"/>
    <w:rsid w:val="007B08A5"/>
    <w:rsid w:val="007B0AAA"/>
    <w:rsid w:val="007B1629"/>
    <w:rsid w:val="007B1D40"/>
    <w:rsid w:val="007B2216"/>
    <w:rsid w:val="007B22DA"/>
    <w:rsid w:val="007B2335"/>
    <w:rsid w:val="007B255F"/>
    <w:rsid w:val="007B3289"/>
    <w:rsid w:val="007B393F"/>
    <w:rsid w:val="007B3B5D"/>
    <w:rsid w:val="007B419B"/>
    <w:rsid w:val="007B455B"/>
    <w:rsid w:val="007B4D59"/>
    <w:rsid w:val="007B50CE"/>
    <w:rsid w:val="007B5572"/>
    <w:rsid w:val="007B5A9A"/>
    <w:rsid w:val="007B5D96"/>
    <w:rsid w:val="007B5DE3"/>
    <w:rsid w:val="007B616B"/>
    <w:rsid w:val="007B637F"/>
    <w:rsid w:val="007B758C"/>
    <w:rsid w:val="007B7D77"/>
    <w:rsid w:val="007C0237"/>
    <w:rsid w:val="007C09CD"/>
    <w:rsid w:val="007C0AD7"/>
    <w:rsid w:val="007C27EB"/>
    <w:rsid w:val="007C2CA5"/>
    <w:rsid w:val="007C2CD9"/>
    <w:rsid w:val="007C330F"/>
    <w:rsid w:val="007C3D33"/>
    <w:rsid w:val="007C44E2"/>
    <w:rsid w:val="007C5395"/>
    <w:rsid w:val="007C5553"/>
    <w:rsid w:val="007C58F8"/>
    <w:rsid w:val="007C5CE0"/>
    <w:rsid w:val="007C5E34"/>
    <w:rsid w:val="007C5E99"/>
    <w:rsid w:val="007C618F"/>
    <w:rsid w:val="007C7083"/>
    <w:rsid w:val="007C755A"/>
    <w:rsid w:val="007C7F4B"/>
    <w:rsid w:val="007D0256"/>
    <w:rsid w:val="007D0FF4"/>
    <w:rsid w:val="007D15BE"/>
    <w:rsid w:val="007D173D"/>
    <w:rsid w:val="007D1C13"/>
    <w:rsid w:val="007D1D97"/>
    <w:rsid w:val="007D29B7"/>
    <w:rsid w:val="007D2AD6"/>
    <w:rsid w:val="007D309E"/>
    <w:rsid w:val="007D35E1"/>
    <w:rsid w:val="007D35ED"/>
    <w:rsid w:val="007D3CA9"/>
    <w:rsid w:val="007D4D84"/>
    <w:rsid w:val="007D5846"/>
    <w:rsid w:val="007D62EE"/>
    <w:rsid w:val="007D635A"/>
    <w:rsid w:val="007D7101"/>
    <w:rsid w:val="007D77B3"/>
    <w:rsid w:val="007D7F3E"/>
    <w:rsid w:val="007E0482"/>
    <w:rsid w:val="007E0523"/>
    <w:rsid w:val="007E06CC"/>
    <w:rsid w:val="007E08C5"/>
    <w:rsid w:val="007E0ACB"/>
    <w:rsid w:val="007E0D11"/>
    <w:rsid w:val="007E1F52"/>
    <w:rsid w:val="007E37FF"/>
    <w:rsid w:val="007E383F"/>
    <w:rsid w:val="007E45DC"/>
    <w:rsid w:val="007E4D41"/>
    <w:rsid w:val="007E5F6D"/>
    <w:rsid w:val="007E650F"/>
    <w:rsid w:val="007E6550"/>
    <w:rsid w:val="007E67F1"/>
    <w:rsid w:val="007E7314"/>
    <w:rsid w:val="007E77F5"/>
    <w:rsid w:val="007E78CB"/>
    <w:rsid w:val="007E7958"/>
    <w:rsid w:val="007EB22F"/>
    <w:rsid w:val="007F0102"/>
    <w:rsid w:val="007F038F"/>
    <w:rsid w:val="007F06AE"/>
    <w:rsid w:val="007F0AE3"/>
    <w:rsid w:val="007F0D6F"/>
    <w:rsid w:val="007F0FE3"/>
    <w:rsid w:val="007F1272"/>
    <w:rsid w:val="007F1401"/>
    <w:rsid w:val="007F170C"/>
    <w:rsid w:val="007F26B2"/>
    <w:rsid w:val="007F2926"/>
    <w:rsid w:val="007F2C62"/>
    <w:rsid w:val="007F35BE"/>
    <w:rsid w:val="007F3834"/>
    <w:rsid w:val="007F3E7E"/>
    <w:rsid w:val="007F4172"/>
    <w:rsid w:val="007F4BD1"/>
    <w:rsid w:val="007F5152"/>
    <w:rsid w:val="007F53B0"/>
    <w:rsid w:val="007F58E6"/>
    <w:rsid w:val="007F5BC1"/>
    <w:rsid w:val="007F5D0E"/>
    <w:rsid w:val="007F64EB"/>
    <w:rsid w:val="007F691B"/>
    <w:rsid w:val="007F69E3"/>
    <w:rsid w:val="007F6C56"/>
    <w:rsid w:val="007F6CA4"/>
    <w:rsid w:val="007F7087"/>
    <w:rsid w:val="007F7482"/>
    <w:rsid w:val="008000D7"/>
    <w:rsid w:val="00800112"/>
    <w:rsid w:val="00801303"/>
    <w:rsid w:val="008014BE"/>
    <w:rsid w:val="00801BFE"/>
    <w:rsid w:val="00801CB6"/>
    <w:rsid w:val="0080206E"/>
    <w:rsid w:val="00802686"/>
    <w:rsid w:val="00802777"/>
    <w:rsid w:val="008029F6"/>
    <w:rsid w:val="00802DA7"/>
    <w:rsid w:val="008030BF"/>
    <w:rsid w:val="00803491"/>
    <w:rsid w:val="00803863"/>
    <w:rsid w:val="008038CA"/>
    <w:rsid w:val="00803C60"/>
    <w:rsid w:val="00803FB4"/>
    <w:rsid w:val="0080544B"/>
    <w:rsid w:val="008062F2"/>
    <w:rsid w:val="00806F66"/>
    <w:rsid w:val="0080732F"/>
    <w:rsid w:val="00807B6E"/>
    <w:rsid w:val="00807C42"/>
    <w:rsid w:val="00807D72"/>
    <w:rsid w:val="0081131D"/>
    <w:rsid w:val="008113CF"/>
    <w:rsid w:val="00811440"/>
    <w:rsid w:val="008116EE"/>
    <w:rsid w:val="008116EF"/>
    <w:rsid w:val="008122AA"/>
    <w:rsid w:val="00813624"/>
    <w:rsid w:val="00813A29"/>
    <w:rsid w:val="00813BB3"/>
    <w:rsid w:val="00813C2F"/>
    <w:rsid w:val="00813DD2"/>
    <w:rsid w:val="0081403F"/>
    <w:rsid w:val="00814220"/>
    <w:rsid w:val="008143B5"/>
    <w:rsid w:val="0081469D"/>
    <w:rsid w:val="008147CE"/>
    <w:rsid w:val="00814C40"/>
    <w:rsid w:val="00814E9D"/>
    <w:rsid w:val="008160C2"/>
    <w:rsid w:val="00816931"/>
    <w:rsid w:val="00817183"/>
    <w:rsid w:val="00817193"/>
    <w:rsid w:val="008172D1"/>
    <w:rsid w:val="00817663"/>
    <w:rsid w:val="00817A38"/>
    <w:rsid w:val="00817E89"/>
    <w:rsid w:val="0082062F"/>
    <w:rsid w:val="0082122A"/>
    <w:rsid w:val="008213AB"/>
    <w:rsid w:val="00821BA6"/>
    <w:rsid w:val="00821DDC"/>
    <w:rsid w:val="00822202"/>
    <w:rsid w:val="00822203"/>
    <w:rsid w:val="008228E8"/>
    <w:rsid w:val="00822BBA"/>
    <w:rsid w:val="008230C1"/>
    <w:rsid w:val="00823705"/>
    <w:rsid w:val="008237F3"/>
    <w:rsid w:val="00824424"/>
    <w:rsid w:val="00824430"/>
    <w:rsid w:val="008244CC"/>
    <w:rsid w:val="00824659"/>
    <w:rsid w:val="0082481A"/>
    <w:rsid w:val="00825781"/>
    <w:rsid w:val="00825FCA"/>
    <w:rsid w:val="00827A0C"/>
    <w:rsid w:val="00827A6E"/>
    <w:rsid w:val="00827F9A"/>
    <w:rsid w:val="00831592"/>
    <w:rsid w:val="00831636"/>
    <w:rsid w:val="008317CB"/>
    <w:rsid w:val="00831978"/>
    <w:rsid w:val="00831AD6"/>
    <w:rsid w:val="00831B51"/>
    <w:rsid w:val="008324D7"/>
    <w:rsid w:val="00832EC0"/>
    <w:rsid w:val="008339A1"/>
    <w:rsid w:val="00833BAD"/>
    <w:rsid w:val="0083402C"/>
    <w:rsid w:val="0083479D"/>
    <w:rsid w:val="008348F9"/>
    <w:rsid w:val="00835200"/>
    <w:rsid w:val="0083588D"/>
    <w:rsid w:val="00835E4A"/>
    <w:rsid w:val="0083621D"/>
    <w:rsid w:val="00836301"/>
    <w:rsid w:val="0083630B"/>
    <w:rsid w:val="008364B0"/>
    <w:rsid w:val="00836684"/>
    <w:rsid w:val="0083740B"/>
    <w:rsid w:val="008377D5"/>
    <w:rsid w:val="008377FD"/>
    <w:rsid w:val="008400EB"/>
    <w:rsid w:val="008401D8"/>
    <w:rsid w:val="00840765"/>
    <w:rsid w:val="0084098D"/>
    <w:rsid w:val="00840CC1"/>
    <w:rsid w:val="008411E3"/>
    <w:rsid w:val="00841493"/>
    <w:rsid w:val="0084197A"/>
    <w:rsid w:val="0084296A"/>
    <w:rsid w:val="008433B1"/>
    <w:rsid w:val="0084343C"/>
    <w:rsid w:val="00843445"/>
    <w:rsid w:val="008439D9"/>
    <w:rsid w:val="0084480F"/>
    <w:rsid w:val="00844880"/>
    <w:rsid w:val="00844918"/>
    <w:rsid w:val="00844A3A"/>
    <w:rsid w:val="008452B3"/>
    <w:rsid w:val="0084565E"/>
    <w:rsid w:val="00845921"/>
    <w:rsid w:val="00845AAE"/>
    <w:rsid w:val="00845C47"/>
    <w:rsid w:val="00845D30"/>
    <w:rsid w:val="008469FC"/>
    <w:rsid w:val="00846BD4"/>
    <w:rsid w:val="00846E24"/>
    <w:rsid w:val="00847D72"/>
    <w:rsid w:val="00847FA6"/>
    <w:rsid w:val="0084A4FC"/>
    <w:rsid w:val="008503B2"/>
    <w:rsid w:val="008503D6"/>
    <w:rsid w:val="008505D1"/>
    <w:rsid w:val="00850DCD"/>
    <w:rsid w:val="008511BE"/>
    <w:rsid w:val="0085228E"/>
    <w:rsid w:val="008527F4"/>
    <w:rsid w:val="0085327B"/>
    <w:rsid w:val="008532DB"/>
    <w:rsid w:val="0085354C"/>
    <w:rsid w:val="008538D7"/>
    <w:rsid w:val="00853986"/>
    <w:rsid w:val="00853E32"/>
    <w:rsid w:val="00853E77"/>
    <w:rsid w:val="008542BB"/>
    <w:rsid w:val="008546C5"/>
    <w:rsid w:val="00854D11"/>
    <w:rsid w:val="00855C8E"/>
    <w:rsid w:val="00855CC8"/>
    <w:rsid w:val="00855DA6"/>
    <w:rsid w:val="00855FB4"/>
    <w:rsid w:val="008561EE"/>
    <w:rsid w:val="00856887"/>
    <w:rsid w:val="00856BF5"/>
    <w:rsid w:val="00856D62"/>
    <w:rsid w:val="00856E0A"/>
    <w:rsid w:val="00857DEF"/>
    <w:rsid w:val="0086023C"/>
    <w:rsid w:val="0086074C"/>
    <w:rsid w:val="00860BB1"/>
    <w:rsid w:val="00860ECC"/>
    <w:rsid w:val="008613C5"/>
    <w:rsid w:val="00861C4D"/>
    <w:rsid w:val="0086290D"/>
    <w:rsid w:val="00862D86"/>
    <w:rsid w:val="00862F4B"/>
    <w:rsid w:val="00862F5E"/>
    <w:rsid w:val="00864155"/>
    <w:rsid w:val="00864290"/>
    <w:rsid w:val="00864939"/>
    <w:rsid w:val="00864C2F"/>
    <w:rsid w:val="00865611"/>
    <w:rsid w:val="00865805"/>
    <w:rsid w:val="008659AD"/>
    <w:rsid w:val="00865DDD"/>
    <w:rsid w:val="00866316"/>
    <w:rsid w:val="00866520"/>
    <w:rsid w:val="00866CB9"/>
    <w:rsid w:val="0086750D"/>
    <w:rsid w:val="00867D54"/>
    <w:rsid w:val="008702EA"/>
    <w:rsid w:val="008717D9"/>
    <w:rsid w:val="00871BCB"/>
    <w:rsid w:val="00871BEB"/>
    <w:rsid w:val="00872069"/>
    <w:rsid w:val="00872134"/>
    <w:rsid w:val="00872A5F"/>
    <w:rsid w:val="00873164"/>
    <w:rsid w:val="00873311"/>
    <w:rsid w:val="00873460"/>
    <w:rsid w:val="008734F1"/>
    <w:rsid w:val="00873865"/>
    <w:rsid w:val="0087499C"/>
    <w:rsid w:val="00874B33"/>
    <w:rsid w:val="00874FFC"/>
    <w:rsid w:val="00875BFA"/>
    <w:rsid w:val="00875FAB"/>
    <w:rsid w:val="00876149"/>
    <w:rsid w:val="00876667"/>
    <w:rsid w:val="00877125"/>
    <w:rsid w:val="00877A4D"/>
    <w:rsid w:val="00880EC0"/>
    <w:rsid w:val="008812F7"/>
    <w:rsid w:val="0088139D"/>
    <w:rsid w:val="00881898"/>
    <w:rsid w:val="008818FB"/>
    <w:rsid w:val="00881F5D"/>
    <w:rsid w:val="00882612"/>
    <w:rsid w:val="00882A70"/>
    <w:rsid w:val="00882B58"/>
    <w:rsid w:val="00883D04"/>
    <w:rsid w:val="00883F77"/>
    <w:rsid w:val="008840C8"/>
    <w:rsid w:val="00884488"/>
    <w:rsid w:val="00884E91"/>
    <w:rsid w:val="0088558E"/>
    <w:rsid w:val="008855AF"/>
    <w:rsid w:val="008856E0"/>
    <w:rsid w:val="00886638"/>
    <w:rsid w:val="00886DB2"/>
    <w:rsid w:val="0088700F"/>
    <w:rsid w:val="00887356"/>
    <w:rsid w:val="00887609"/>
    <w:rsid w:val="00887792"/>
    <w:rsid w:val="00887AB7"/>
    <w:rsid w:val="00887C10"/>
    <w:rsid w:val="00887E57"/>
    <w:rsid w:val="0089004C"/>
    <w:rsid w:val="008901E7"/>
    <w:rsid w:val="0089027E"/>
    <w:rsid w:val="00890B66"/>
    <w:rsid w:val="00890BDD"/>
    <w:rsid w:val="00891970"/>
    <w:rsid w:val="00891B48"/>
    <w:rsid w:val="00891DDB"/>
    <w:rsid w:val="00891E8B"/>
    <w:rsid w:val="00892626"/>
    <w:rsid w:val="00892BA2"/>
    <w:rsid w:val="0089343F"/>
    <w:rsid w:val="00893672"/>
    <w:rsid w:val="0089381D"/>
    <w:rsid w:val="00893AC8"/>
    <w:rsid w:val="00895152"/>
    <w:rsid w:val="0089540E"/>
    <w:rsid w:val="00895851"/>
    <w:rsid w:val="00895952"/>
    <w:rsid w:val="0089632D"/>
    <w:rsid w:val="00896799"/>
    <w:rsid w:val="00896806"/>
    <w:rsid w:val="00896AAF"/>
    <w:rsid w:val="00896BD6"/>
    <w:rsid w:val="00896E6E"/>
    <w:rsid w:val="00897981"/>
    <w:rsid w:val="00897BBD"/>
    <w:rsid w:val="008A0137"/>
    <w:rsid w:val="008A0BC2"/>
    <w:rsid w:val="008A0F6C"/>
    <w:rsid w:val="008A152E"/>
    <w:rsid w:val="008A153D"/>
    <w:rsid w:val="008A27D3"/>
    <w:rsid w:val="008A27F2"/>
    <w:rsid w:val="008A2ED6"/>
    <w:rsid w:val="008A31FA"/>
    <w:rsid w:val="008A35C8"/>
    <w:rsid w:val="008A37BA"/>
    <w:rsid w:val="008A439D"/>
    <w:rsid w:val="008A462D"/>
    <w:rsid w:val="008A4DAF"/>
    <w:rsid w:val="008A4E77"/>
    <w:rsid w:val="008A53FD"/>
    <w:rsid w:val="008A5B46"/>
    <w:rsid w:val="008A6354"/>
    <w:rsid w:val="008A66B1"/>
    <w:rsid w:val="008A6B2D"/>
    <w:rsid w:val="008A6BD0"/>
    <w:rsid w:val="008A7147"/>
    <w:rsid w:val="008A78B8"/>
    <w:rsid w:val="008B0325"/>
    <w:rsid w:val="008B099B"/>
    <w:rsid w:val="008B0B3E"/>
    <w:rsid w:val="008B0BA8"/>
    <w:rsid w:val="008B14AA"/>
    <w:rsid w:val="008B22FA"/>
    <w:rsid w:val="008B265F"/>
    <w:rsid w:val="008B2750"/>
    <w:rsid w:val="008B32BA"/>
    <w:rsid w:val="008B3478"/>
    <w:rsid w:val="008B37F1"/>
    <w:rsid w:val="008B3BA5"/>
    <w:rsid w:val="008B47DD"/>
    <w:rsid w:val="008B4CE2"/>
    <w:rsid w:val="008B542C"/>
    <w:rsid w:val="008B54CB"/>
    <w:rsid w:val="008B59D5"/>
    <w:rsid w:val="008B62B2"/>
    <w:rsid w:val="008B63B8"/>
    <w:rsid w:val="008B720F"/>
    <w:rsid w:val="008B7323"/>
    <w:rsid w:val="008C0743"/>
    <w:rsid w:val="008C0A72"/>
    <w:rsid w:val="008C119D"/>
    <w:rsid w:val="008C12BF"/>
    <w:rsid w:val="008C140E"/>
    <w:rsid w:val="008C1ACF"/>
    <w:rsid w:val="008C1AEB"/>
    <w:rsid w:val="008C1AED"/>
    <w:rsid w:val="008C1B03"/>
    <w:rsid w:val="008C1B76"/>
    <w:rsid w:val="008C2C73"/>
    <w:rsid w:val="008C2CB8"/>
    <w:rsid w:val="008C37FB"/>
    <w:rsid w:val="008C3A39"/>
    <w:rsid w:val="008C4DD1"/>
    <w:rsid w:val="008C57EE"/>
    <w:rsid w:val="008C59B3"/>
    <w:rsid w:val="008C65B7"/>
    <w:rsid w:val="008C673E"/>
    <w:rsid w:val="008C6B9B"/>
    <w:rsid w:val="008C6C44"/>
    <w:rsid w:val="008C76C1"/>
    <w:rsid w:val="008C7F28"/>
    <w:rsid w:val="008D0667"/>
    <w:rsid w:val="008D067C"/>
    <w:rsid w:val="008D0CB1"/>
    <w:rsid w:val="008D1B18"/>
    <w:rsid w:val="008D1B43"/>
    <w:rsid w:val="008D248D"/>
    <w:rsid w:val="008D2954"/>
    <w:rsid w:val="008D2CF4"/>
    <w:rsid w:val="008D318E"/>
    <w:rsid w:val="008D31EC"/>
    <w:rsid w:val="008D43DF"/>
    <w:rsid w:val="008D6022"/>
    <w:rsid w:val="008D6DE1"/>
    <w:rsid w:val="008D6F37"/>
    <w:rsid w:val="008D7030"/>
    <w:rsid w:val="008D727D"/>
    <w:rsid w:val="008D79EC"/>
    <w:rsid w:val="008D7ABA"/>
    <w:rsid w:val="008D7BAB"/>
    <w:rsid w:val="008DD731"/>
    <w:rsid w:val="008E097C"/>
    <w:rsid w:val="008E0DE8"/>
    <w:rsid w:val="008E1C63"/>
    <w:rsid w:val="008E206D"/>
    <w:rsid w:val="008E21F3"/>
    <w:rsid w:val="008E27E8"/>
    <w:rsid w:val="008E27EC"/>
    <w:rsid w:val="008E29BF"/>
    <w:rsid w:val="008E350D"/>
    <w:rsid w:val="008E44B0"/>
    <w:rsid w:val="008E46CB"/>
    <w:rsid w:val="008E5455"/>
    <w:rsid w:val="008E6E7A"/>
    <w:rsid w:val="008E7381"/>
    <w:rsid w:val="008E7610"/>
    <w:rsid w:val="008F0FC6"/>
    <w:rsid w:val="008F1129"/>
    <w:rsid w:val="008F155E"/>
    <w:rsid w:val="008F1576"/>
    <w:rsid w:val="008F1C0C"/>
    <w:rsid w:val="008F1F8F"/>
    <w:rsid w:val="008F2B56"/>
    <w:rsid w:val="008F2D46"/>
    <w:rsid w:val="008F2F1A"/>
    <w:rsid w:val="008F333D"/>
    <w:rsid w:val="008F36E3"/>
    <w:rsid w:val="008F38F7"/>
    <w:rsid w:val="008F3FCA"/>
    <w:rsid w:val="008F4106"/>
    <w:rsid w:val="008F428F"/>
    <w:rsid w:val="008F43B5"/>
    <w:rsid w:val="008F4D8C"/>
    <w:rsid w:val="008F5200"/>
    <w:rsid w:val="008F5E34"/>
    <w:rsid w:val="008F70DE"/>
    <w:rsid w:val="008F750B"/>
    <w:rsid w:val="008F765D"/>
    <w:rsid w:val="008F7700"/>
    <w:rsid w:val="008F7C55"/>
    <w:rsid w:val="008F7D60"/>
    <w:rsid w:val="009002C4"/>
    <w:rsid w:val="0090053A"/>
    <w:rsid w:val="00901079"/>
    <w:rsid w:val="0090118C"/>
    <w:rsid w:val="009011B1"/>
    <w:rsid w:val="0090163D"/>
    <w:rsid w:val="00901935"/>
    <w:rsid w:val="009029E7"/>
    <w:rsid w:val="00902DFE"/>
    <w:rsid w:val="00904219"/>
    <w:rsid w:val="009042C0"/>
    <w:rsid w:val="009046EA"/>
    <w:rsid w:val="009057CE"/>
    <w:rsid w:val="00905A03"/>
    <w:rsid w:val="00905B05"/>
    <w:rsid w:val="00905B7B"/>
    <w:rsid w:val="00905E84"/>
    <w:rsid w:val="00906034"/>
    <w:rsid w:val="0090682F"/>
    <w:rsid w:val="00906BA6"/>
    <w:rsid w:val="00906F36"/>
    <w:rsid w:val="009074C7"/>
    <w:rsid w:val="00907C59"/>
    <w:rsid w:val="00907CF1"/>
    <w:rsid w:val="00907D06"/>
    <w:rsid w:val="00907FCD"/>
    <w:rsid w:val="00910481"/>
    <w:rsid w:val="00910AE9"/>
    <w:rsid w:val="009110DE"/>
    <w:rsid w:val="00911C69"/>
    <w:rsid w:val="0091289E"/>
    <w:rsid w:val="00913A19"/>
    <w:rsid w:val="00913CA7"/>
    <w:rsid w:val="00913FF1"/>
    <w:rsid w:val="00915F33"/>
    <w:rsid w:val="009160A5"/>
    <w:rsid w:val="0091615D"/>
    <w:rsid w:val="00916DD0"/>
    <w:rsid w:val="0091780C"/>
    <w:rsid w:val="009178C5"/>
    <w:rsid w:val="00917E8C"/>
    <w:rsid w:val="009204BF"/>
    <w:rsid w:val="00920A23"/>
    <w:rsid w:val="00920DC6"/>
    <w:rsid w:val="00920E1F"/>
    <w:rsid w:val="00920E72"/>
    <w:rsid w:val="00921C51"/>
    <w:rsid w:val="00921F5B"/>
    <w:rsid w:val="00921F68"/>
    <w:rsid w:val="00921F6F"/>
    <w:rsid w:val="009237A4"/>
    <w:rsid w:val="00923C30"/>
    <w:rsid w:val="00923EAE"/>
    <w:rsid w:val="00923EB7"/>
    <w:rsid w:val="00923F20"/>
    <w:rsid w:val="00924ECC"/>
    <w:rsid w:val="00924F34"/>
    <w:rsid w:val="00925201"/>
    <w:rsid w:val="00925CDF"/>
    <w:rsid w:val="00926787"/>
    <w:rsid w:val="0092714E"/>
    <w:rsid w:val="009275D4"/>
    <w:rsid w:val="00927602"/>
    <w:rsid w:val="00927752"/>
    <w:rsid w:val="00927D7D"/>
    <w:rsid w:val="00927E4E"/>
    <w:rsid w:val="00927EFA"/>
    <w:rsid w:val="009308AC"/>
    <w:rsid w:val="00931585"/>
    <w:rsid w:val="0093181C"/>
    <w:rsid w:val="00931BB5"/>
    <w:rsid w:val="00931C51"/>
    <w:rsid w:val="00932087"/>
    <w:rsid w:val="00932AD4"/>
    <w:rsid w:val="00932C1D"/>
    <w:rsid w:val="00932DDB"/>
    <w:rsid w:val="00933106"/>
    <w:rsid w:val="00934455"/>
    <w:rsid w:val="00934902"/>
    <w:rsid w:val="00935ECC"/>
    <w:rsid w:val="00936552"/>
    <w:rsid w:val="00936B2F"/>
    <w:rsid w:val="00937215"/>
    <w:rsid w:val="0093721A"/>
    <w:rsid w:val="00937495"/>
    <w:rsid w:val="00937A1D"/>
    <w:rsid w:val="00937A99"/>
    <w:rsid w:val="00937CCB"/>
    <w:rsid w:val="00937DF0"/>
    <w:rsid w:val="009402C0"/>
    <w:rsid w:val="009402EA"/>
    <w:rsid w:val="009402FC"/>
    <w:rsid w:val="00940DE6"/>
    <w:rsid w:val="009416D9"/>
    <w:rsid w:val="00942655"/>
    <w:rsid w:val="00942A6A"/>
    <w:rsid w:val="00942D6A"/>
    <w:rsid w:val="00943289"/>
    <w:rsid w:val="009433B4"/>
    <w:rsid w:val="009433D9"/>
    <w:rsid w:val="009437D8"/>
    <w:rsid w:val="00943A55"/>
    <w:rsid w:val="00943D5A"/>
    <w:rsid w:val="00943D7C"/>
    <w:rsid w:val="009447E2"/>
    <w:rsid w:val="00944F70"/>
    <w:rsid w:val="00945264"/>
    <w:rsid w:val="0094534B"/>
    <w:rsid w:val="0094576D"/>
    <w:rsid w:val="009459AC"/>
    <w:rsid w:val="00945A15"/>
    <w:rsid w:val="00945ADB"/>
    <w:rsid w:val="00946664"/>
    <w:rsid w:val="00946745"/>
    <w:rsid w:val="00946897"/>
    <w:rsid w:val="00947C4B"/>
    <w:rsid w:val="00947DA7"/>
    <w:rsid w:val="00947E70"/>
    <w:rsid w:val="00950725"/>
    <w:rsid w:val="009507A9"/>
    <w:rsid w:val="00950FD0"/>
    <w:rsid w:val="00951882"/>
    <w:rsid w:val="009518AB"/>
    <w:rsid w:val="00951A3C"/>
    <w:rsid w:val="00951A98"/>
    <w:rsid w:val="00952039"/>
    <w:rsid w:val="00952095"/>
    <w:rsid w:val="0095239E"/>
    <w:rsid w:val="00952768"/>
    <w:rsid w:val="00952793"/>
    <w:rsid w:val="009530B1"/>
    <w:rsid w:val="00953A0B"/>
    <w:rsid w:val="00953D55"/>
    <w:rsid w:val="009545FC"/>
    <w:rsid w:val="0095461A"/>
    <w:rsid w:val="009555E2"/>
    <w:rsid w:val="00955723"/>
    <w:rsid w:val="00955797"/>
    <w:rsid w:val="00955A35"/>
    <w:rsid w:val="0095632B"/>
    <w:rsid w:val="00956F1E"/>
    <w:rsid w:val="009570CA"/>
    <w:rsid w:val="00957C46"/>
    <w:rsid w:val="00960FAE"/>
    <w:rsid w:val="009613AE"/>
    <w:rsid w:val="009613FD"/>
    <w:rsid w:val="009614DE"/>
    <w:rsid w:val="00962B29"/>
    <w:rsid w:val="009638BB"/>
    <w:rsid w:val="00963BC3"/>
    <w:rsid w:val="00964570"/>
    <w:rsid w:val="00964989"/>
    <w:rsid w:val="009649D2"/>
    <w:rsid w:val="00964BD5"/>
    <w:rsid w:val="00965098"/>
    <w:rsid w:val="009650B2"/>
    <w:rsid w:val="009652A9"/>
    <w:rsid w:val="00965672"/>
    <w:rsid w:val="00965732"/>
    <w:rsid w:val="00965A43"/>
    <w:rsid w:val="00965E5D"/>
    <w:rsid w:val="009662F3"/>
    <w:rsid w:val="009664B8"/>
    <w:rsid w:val="0096678A"/>
    <w:rsid w:val="0096751D"/>
    <w:rsid w:val="0096765E"/>
    <w:rsid w:val="00967A52"/>
    <w:rsid w:val="0097036F"/>
    <w:rsid w:val="0097052A"/>
    <w:rsid w:val="009705A4"/>
    <w:rsid w:val="00970AC2"/>
    <w:rsid w:val="00970EB6"/>
    <w:rsid w:val="009710D2"/>
    <w:rsid w:val="00971241"/>
    <w:rsid w:val="00971A71"/>
    <w:rsid w:val="00972256"/>
    <w:rsid w:val="0097282B"/>
    <w:rsid w:val="00972A00"/>
    <w:rsid w:val="0097327F"/>
    <w:rsid w:val="0097393F"/>
    <w:rsid w:val="00973E6C"/>
    <w:rsid w:val="009740A9"/>
    <w:rsid w:val="0097444D"/>
    <w:rsid w:val="009748F4"/>
    <w:rsid w:val="009749E5"/>
    <w:rsid w:val="00974A09"/>
    <w:rsid w:val="00975953"/>
    <w:rsid w:val="00975D4C"/>
    <w:rsid w:val="00975FC6"/>
    <w:rsid w:val="009768BB"/>
    <w:rsid w:val="00976D4F"/>
    <w:rsid w:val="00976D63"/>
    <w:rsid w:val="009773A1"/>
    <w:rsid w:val="009775C4"/>
    <w:rsid w:val="00980451"/>
    <w:rsid w:val="00981B54"/>
    <w:rsid w:val="00981C2F"/>
    <w:rsid w:val="00981F1E"/>
    <w:rsid w:val="009827CA"/>
    <w:rsid w:val="00983723"/>
    <w:rsid w:val="00983CC5"/>
    <w:rsid w:val="00983F07"/>
    <w:rsid w:val="00984225"/>
    <w:rsid w:val="00984333"/>
    <w:rsid w:val="00984429"/>
    <w:rsid w:val="0098467F"/>
    <w:rsid w:val="009846FA"/>
    <w:rsid w:val="00984C16"/>
    <w:rsid w:val="00984E96"/>
    <w:rsid w:val="00985B83"/>
    <w:rsid w:val="009866B1"/>
    <w:rsid w:val="0098676A"/>
    <w:rsid w:val="009870C7"/>
    <w:rsid w:val="009878AE"/>
    <w:rsid w:val="009878F9"/>
    <w:rsid w:val="0098795C"/>
    <w:rsid w:val="00987EE8"/>
    <w:rsid w:val="00990F8B"/>
    <w:rsid w:val="00991181"/>
    <w:rsid w:val="009913CF"/>
    <w:rsid w:val="00991A22"/>
    <w:rsid w:val="00991A80"/>
    <w:rsid w:val="00992417"/>
    <w:rsid w:val="0099285D"/>
    <w:rsid w:val="0099313B"/>
    <w:rsid w:val="00993355"/>
    <w:rsid w:val="009945FB"/>
    <w:rsid w:val="00995152"/>
    <w:rsid w:val="00995374"/>
    <w:rsid w:val="009954A4"/>
    <w:rsid w:val="009960BA"/>
    <w:rsid w:val="009960EB"/>
    <w:rsid w:val="0099705E"/>
    <w:rsid w:val="009970D3"/>
    <w:rsid w:val="0099756E"/>
    <w:rsid w:val="009978E0"/>
    <w:rsid w:val="00997CD4"/>
    <w:rsid w:val="009A027D"/>
    <w:rsid w:val="009A06A0"/>
    <w:rsid w:val="009A0BCB"/>
    <w:rsid w:val="009A1DAE"/>
    <w:rsid w:val="009A1F6E"/>
    <w:rsid w:val="009A2583"/>
    <w:rsid w:val="009A2B06"/>
    <w:rsid w:val="009A2B7D"/>
    <w:rsid w:val="009A2F5E"/>
    <w:rsid w:val="009A2FCD"/>
    <w:rsid w:val="009A340A"/>
    <w:rsid w:val="009A344E"/>
    <w:rsid w:val="009A3D31"/>
    <w:rsid w:val="009A3D3F"/>
    <w:rsid w:val="009A408A"/>
    <w:rsid w:val="009A40DE"/>
    <w:rsid w:val="009A435B"/>
    <w:rsid w:val="009A4699"/>
    <w:rsid w:val="009A4D67"/>
    <w:rsid w:val="009A5340"/>
    <w:rsid w:val="009A571E"/>
    <w:rsid w:val="009A57FA"/>
    <w:rsid w:val="009A591D"/>
    <w:rsid w:val="009A5B71"/>
    <w:rsid w:val="009A5C95"/>
    <w:rsid w:val="009A6452"/>
    <w:rsid w:val="009A7023"/>
    <w:rsid w:val="009A70F2"/>
    <w:rsid w:val="009A724F"/>
    <w:rsid w:val="009A7B80"/>
    <w:rsid w:val="009A7BE1"/>
    <w:rsid w:val="009B0359"/>
    <w:rsid w:val="009B0F31"/>
    <w:rsid w:val="009B1319"/>
    <w:rsid w:val="009B158F"/>
    <w:rsid w:val="009B1592"/>
    <w:rsid w:val="009B1A0F"/>
    <w:rsid w:val="009B20F8"/>
    <w:rsid w:val="009B24D9"/>
    <w:rsid w:val="009B2F2F"/>
    <w:rsid w:val="009B4351"/>
    <w:rsid w:val="009B4EAF"/>
    <w:rsid w:val="009B5129"/>
    <w:rsid w:val="009B539B"/>
    <w:rsid w:val="009B544E"/>
    <w:rsid w:val="009B54D2"/>
    <w:rsid w:val="009B5B4B"/>
    <w:rsid w:val="009B606D"/>
    <w:rsid w:val="009B61C4"/>
    <w:rsid w:val="009B639B"/>
    <w:rsid w:val="009B6833"/>
    <w:rsid w:val="009B6953"/>
    <w:rsid w:val="009B6C27"/>
    <w:rsid w:val="009B7B92"/>
    <w:rsid w:val="009C083F"/>
    <w:rsid w:val="009C0A37"/>
    <w:rsid w:val="009C13E3"/>
    <w:rsid w:val="009C1C93"/>
    <w:rsid w:val="009C22F5"/>
    <w:rsid w:val="009C2386"/>
    <w:rsid w:val="009C257A"/>
    <w:rsid w:val="009C2646"/>
    <w:rsid w:val="009C2665"/>
    <w:rsid w:val="009C3B8C"/>
    <w:rsid w:val="009C4BC8"/>
    <w:rsid w:val="009C5008"/>
    <w:rsid w:val="009C5442"/>
    <w:rsid w:val="009C5831"/>
    <w:rsid w:val="009C5E8D"/>
    <w:rsid w:val="009C6E1F"/>
    <w:rsid w:val="009C719C"/>
    <w:rsid w:val="009C7C17"/>
    <w:rsid w:val="009D0134"/>
    <w:rsid w:val="009D0529"/>
    <w:rsid w:val="009D0711"/>
    <w:rsid w:val="009D0A7D"/>
    <w:rsid w:val="009D1620"/>
    <w:rsid w:val="009D1F3C"/>
    <w:rsid w:val="009D1FE0"/>
    <w:rsid w:val="009D22D4"/>
    <w:rsid w:val="009D2303"/>
    <w:rsid w:val="009D2370"/>
    <w:rsid w:val="009D25C5"/>
    <w:rsid w:val="009D2D29"/>
    <w:rsid w:val="009D2D59"/>
    <w:rsid w:val="009D44FB"/>
    <w:rsid w:val="009D5456"/>
    <w:rsid w:val="009D5EC5"/>
    <w:rsid w:val="009D67CA"/>
    <w:rsid w:val="009D6820"/>
    <w:rsid w:val="009D7533"/>
    <w:rsid w:val="009D77A3"/>
    <w:rsid w:val="009D7884"/>
    <w:rsid w:val="009E0CB2"/>
    <w:rsid w:val="009E170E"/>
    <w:rsid w:val="009E1887"/>
    <w:rsid w:val="009E1A71"/>
    <w:rsid w:val="009E1DF2"/>
    <w:rsid w:val="009E21F2"/>
    <w:rsid w:val="009E2652"/>
    <w:rsid w:val="009E2EA9"/>
    <w:rsid w:val="009E3F92"/>
    <w:rsid w:val="009E42FB"/>
    <w:rsid w:val="009E4E7A"/>
    <w:rsid w:val="009E4EE3"/>
    <w:rsid w:val="009E515B"/>
    <w:rsid w:val="009E5410"/>
    <w:rsid w:val="009E5938"/>
    <w:rsid w:val="009E5DB3"/>
    <w:rsid w:val="009E5FAC"/>
    <w:rsid w:val="009E61F4"/>
    <w:rsid w:val="009E629B"/>
    <w:rsid w:val="009E6F89"/>
    <w:rsid w:val="009E7064"/>
    <w:rsid w:val="009F0220"/>
    <w:rsid w:val="009F0256"/>
    <w:rsid w:val="009F09F2"/>
    <w:rsid w:val="009F13B0"/>
    <w:rsid w:val="009F18C8"/>
    <w:rsid w:val="009F2039"/>
    <w:rsid w:val="009F22AE"/>
    <w:rsid w:val="009F2BA2"/>
    <w:rsid w:val="009F3E22"/>
    <w:rsid w:val="009F432C"/>
    <w:rsid w:val="009F494E"/>
    <w:rsid w:val="009F4C56"/>
    <w:rsid w:val="009F51AF"/>
    <w:rsid w:val="009F54D2"/>
    <w:rsid w:val="009F5DD3"/>
    <w:rsid w:val="009F5E84"/>
    <w:rsid w:val="009F6259"/>
    <w:rsid w:val="009F64D4"/>
    <w:rsid w:val="009F678D"/>
    <w:rsid w:val="009F6EA8"/>
    <w:rsid w:val="009F71EE"/>
    <w:rsid w:val="009F71FD"/>
    <w:rsid w:val="009F78EC"/>
    <w:rsid w:val="009F7B61"/>
    <w:rsid w:val="009F7B77"/>
    <w:rsid w:val="009F7B79"/>
    <w:rsid w:val="009FC4DA"/>
    <w:rsid w:val="00A003BC"/>
    <w:rsid w:val="00A00E4D"/>
    <w:rsid w:val="00A00E5A"/>
    <w:rsid w:val="00A016AC"/>
    <w:rsid w:val="00A01B18"/>
    <w:rsid w:val="00A02558"/>
    <w:rsid w:val="00A02A2E"/>
    <w:rsid w:val="00A02FAE"/>
    <w:rsid w:val="00A031F2"/>
    <w:rsid w:val="00A034C0"/>
    <w:rsid w:val="00A03928"/>
    <w:rsid w:val="00A03C81"/>
    <w:rsid w:val="00A04720"/>
    <w:rsid w:val="00A04FF0"/>
    <w:rsid w:val="00A05186"/>
    <w:rsid w:val="00A05656"/>
    <w:rsid w:val="00A05AF5"/>
    <w:rsid w:val="00A05D92"/>
    <w:rsid w:val="00A05DB2"/>
    <w:rsid w:val="00A05DF2"/>
    <w:rsid w:val="00A060B4"/>
    <w:rsid w:val="00A0685A"/>
    <w:rsid w:val="00A07808"/>
    <w:rsid w:val="00A0786A"/>
    <w:rsid w:val="00A07FD5"/>
    <w:rsid w:val="00A101D3"/>
    <w:rsid w:val="00A1025A"/>
    <w:rsid w:val="00A102B6"/>
    <w:rsid w:val="00A10A22"/>
    <w:rsid w:val="00A10ED3"/>
    <w:rsid w:val="00A10EE1"/>
    <w:rsid w:val="00A11457"/>
    <w:rsid w:val="00A116EA"/>
    <w:rsid w:val="00A11DEA"/>
    <w:rsid w:val="00A1217D"/>
    <w:rsid w:val="00A1246E"/>
    <w:rsid w:val="00A13191"/>
    <w:rsid w:val="00A13234"/>
    <w:rsid w:val="00A1385C"/>
    <w:rsid w:val="00A13886"/>
    <w:rsid w:val="00A13969"/>
    <w:rsid w:val="00A13B22"/>
    <w:rsid w:val="00A13C70"/>
    <w:rsid w:val="00A14224"/>
    <w:rsid w:val="00A1425B"/>
    <w:rsid w:val="00A1460E"/>
    <w:rsid w:val="00A15117"/>
    <w:rsid w:val="00A15465"/>
    <w:rsid w:val="00A155F6"/>
    <w:rsid w:val="00A15600"/>
    <w:rsid w:val="00A15986"/>
    <w:rsid w:val="00A16A90"/>
    <w:rsid w:val="00A16C8A"/>
    <w:rsid w:val="00A170C7"/>
    <w:rsid w:val="00A204A9"/>
    <w:rsid w:val="00A2079A"/>
    <w:rsid w:val="00A20A5F"/>
    <w:rsid w:val="00A2103A"/>
    <w:rsid w:val="00A219A9"/>
    <w:rsid w:val="00A21A44"/>
    <w:rsid w:val="00A21E57"/>
    <w:rsid w:val="00A230DE"/>
    <w:rsid w:val="00A23541"/>
    <w:rsid w:val="00A2369E"/>
    <w:rsid w:val="00A244C8"/>
    <w:rsid w:val="00A24752"/>
    <w:rsid w:val="00A24A60"/>
    <w:rsid w:val="00A24C9B"/>
    <w:rsid w:val="00A24DE9"/>
    <w:rsid w:val="00A25509"/>
    <w:rsid w:val="00A259A0"/>
    <w:rsid w:val="00A267C9"/>
    <w:rsid w:val="00A26FE4"/>
    <w:rsid w:val="00A273D4"/>
    <w:rsid w:val="00A27755"/>
    <w:rsid w:val="00A27ACB"/>
    <w:rsid w:val="00A31089"/>
    <w:rsid w:val="00A31B8B"/>
    <w:rsid w:val="00A31CB7"/>
    <w:rsid w:val="00A31E68"/>
    <w:rsid w:val="00A32895"/>
    <w:rsid w:val="00A3314F"/>
    <w:rsid w:val="00A3362E"/>
    <w:rsid w:val="00A339D9"/>
    <w:rsid w:val="00A33AD8"/>
    <w:rsid w:val="00A33B2D"/>
    <w:rsid w:val="00A33C46"/>
    <w:rsid w:val="00A33EFD"/>
    <w:rsid w:val="00A341E4"/>
    <w:rsid w:val="00A351EE"/>
    <w:rsid w:val="00A35366"/>
    <w:rsid w:val="00A36439"/>
    <w:rsid w:val="00A37536"/>
    <w:rsid w:val="00A37726"/>
    <w:rsid w:val="00A37916"/>
    <w:rsid w:val="00A37A6B"/>
    <w:rsid w:val="00A407D6"/>
    <w:rsid w:val="00A40C94"/>
    <w:rsid w:val="00A40E5B"/>
    <w:rsid w:val="00A41389"/>
    <w:rsid w:val="00A413DE"/>
    <w:rsid w:val="00A41633"/>
    <w:rsid w:val="00A41A5D"/>
    <w:rsid w:val="00A41AAA"/>
    <w:rsid w:val="00A4202D"/>
    <w:rsid w:val="00A4233A"/>
    <w:rsid w:val="00A42B96"/>
    <w:rsid w:val="00A42F81"/>
    <w:rsid w:val="00A4320D"/>
    <w:rsid w:val="00A43696"/>
    <w:rsid w:val="00A43832"/>
    <w:rsid w:val="00A43B64"/>
    <w:rsid w:val="00A4493B"/>
    <w:rsid w:val="00A455CF"/>
    <w:rsid w:val="00A46127"/>
    <w:rsid w:val="00A4620D"/>
    <w:rsid w:val="00A46581"/>
    <w:rsid w:val="00A46BD3"/>
    <w:rsid w:val="00A46DB0"/>
    <w:rsid w:val="00A47C7D"/>
    <w:rsid w:val="00A47DE7"/>
    <w:rsid w:val="00A47E59"/>
    <w:rsid w:val="00A502A7"/>
    <w:rsid w:val="00A5098C"/>
    <w:rsid w:val="00A5123A"/>
    <w:rsid w:val="00A51340"/>
    <w:rsid w:val="00A5253C"/>
    <w:rsid w:val="00A52AE6"/>
    <w:rsid w:val="00A53B94"/>
    <w:rsid w:val="00A54E15"/>
    <w:rsid w:val="00A55017"/>
    <w:rsid w:val="00A55308"/>
    <w:rsid w:val="00A55D6D"/>
    <w:rsid w:val="00A55F13"/>
    <w:rsid w:val="00A560C8"/>
    <w:rsid w:val="00A56218"/>
    <w:rsid w:val="00A56237"/>
    <w:rsid w:val="00A56A49"/>
    <w:rsid w:val="00A56E5B"/>
    <w:rsid w:val="00A57597"/>
    <w:rsid w:val="00A5792A"/>
    <w:rsid w:val="00A6077D"/>
    <w:rsid w:val="00A60B1B"/>
    <w:rsid w:val="00A60C6C"/>
    <w:rsid w:val="00A614E6"/>
    <w:rsid w:val="00A61654"/>
    <w:rsid w:val="00A61748"/>
    <w:rsid w:val="00A61911"/>
    <w:rsid w:val="00A62452"/>
    <w:rsid w:val="00A627C5"/>
    <w:rsid w:val="00A62C57"/>
    <w:rsid w:val="00A63773"/>
    <w:rsid w:val="00A637EE"/>
    <w:rsid w:val="00A63D1C"/>
    <w:rsid w:val="00A63FCB"/>
    <w:rsid w:val="00A64C5A"/>
    <w:rsid w:val="00A654E6"/>
    <w:rsid w:val="00A65D4F"/>
    <w:rsid w:val="00A674D5"/>
    <w:rsid w:val="00A677C6"/>
    <w:rsid w:val="00A679CB"/>
    <w:rsid w:val="00A701FC"/>
    <w:rsid w:val="00A70515"/>
    <w:rsid w:val="00A70868"/>
    <w:rsid w:val="00A708F8"/>
    <w:rsid w:val="00A70D2B"/>
    <w:rsid w:val="00A70DD7"/>
    <w:rsid w:val="00A71247"/>
    <w:rsid w:val="00A715B1"/>
    <w:rsid w:val="00A722A2"/>
    <w:rsid w:val="00A72DF3"/>
    <w:rsid w:val="00A73246"/>
    <w:rsid w:val="00A7388C"/>
    <w:rsid w:val="00A73975"/>
    <w:rsid w:val="00A739DC"/>
    <w:rsid w:val="00A74002"/>
    <w:rsid w:val="00A74416"/>
    <w:rsid w:val="00A74421"/>
    <w:rsid w:val="00A74EB2"/>
    <w:rsid w:val="00A756E9"/>
    <w:rsid w:val="00A7635B"/>
    <w:rsid w:val="00A766FD"/>
    <w:rsid w:val="00A77175"/>
    <w:rsid w:val="00A77389"/>
    <w:rsid w:val="00A77819"/>
    <w:rsid w:val="00A77F02"/>
    <w:rsid w:val="00A77FEB"/>
    <w:rsid w:val="00A80155"/>
    <w:rsid w:val="00A80B36"/>
    <w:rsid w:val="00A8116F"/>
    <w:rsid w:val="00A81477"/>
    <w:rsid w:val="00A8171C"/>
    <w:rsid w:val="00A817DE"/>
    <w:rsid w:val="00A81C41"/>
    <w:rsid w:val="00A81D8D"/>
    <w:rsid w:val="00A82073"/>
    <w:rsid w:val="00A8293A"/>
    <w:rsid w:val="00A83C25"/>
    <w:rsid w:val="00A83CA1"/>
    <w:rsid w:val="00A83E96"/>
    <w:rsid w:val="00A840AF"/>
    <w:rsid w:val="00A841DA"/>
    <w:rsid w:val="00A842BF"/>
    <w:rsid w:val="00A84558"/>
    <w:rsid w:val="00A84913"/>
    <w:rsid w:val="00A849B6"/>
    <w:rsid w:val="00A84AF6"/>
    <w:rsid w:val="00A84BBC"/>
    <w:rsid w:val="00A851F7"/>
    <w:rsid w:val="00A85475"/>
    <w:rsid w:val="00A85F07"/>
    <w:rsid w:val="00A86279"/>
    <w:rsid w:val="00A867EF"/>
    <w:rsid w:val="00A87141"/>
    <w:rsid w:val="00A87533"/>
    <w:rsid w:val="00A875E6"/>
    <w:rsid w:val="00A876A3"/>
    <w:rsid w:val="00A87A58"/>
    <w:rsid w:val="00A87D1E"/>
    <w:rsid w:val="00A90553"/>
    <w:rsid w:val="00A90675"/>
    <w:rsid w:val="00A90820"/>
    <w:rsid w:val="00A909DC"/>
    <w:rsid w:val="00A90E25"/>
    <w:rsid w:val="00A90F16"/>
    <w:rsid w:val="00A91321"/>
    <w:rsid w:val="00A916AC"/>
    <w:rsid w:val="00A92758"/>
    <w:rsid w:val="00A92DE8"/>
    <w:rsid w:val="00A9351F"/>
    <w:rsid w:val="00A93901"/>
    <w:rsid w:val="00A93B94"/>
    <w:rsid w:val="00A948F9"/>
    <w:rsid w:val="00A95021"/>
    <w:rsid w:val="00A956B4"/>
    <w:rsid w:val="00A95CB2"/>
    <w:rsid w:val="00A970FB"/>
    <w:rsid w:val="00A975FC"/>
    <w:rsid w:val="00A97F09"/>
    <w:rsid w:val="00AA019B"/>
    <w:rsid w:val="00AA0B64"/>
    <w:rsid w:val="00AA10DE"/>
    <w:rsid w:val="00AA1225"/>
    <w:rsid w:val="00AA1AEF"/>
    <w:rsid w:val="00AA1CF5"/>
    <w:rsid w:val="00AA2673"/>
    <w:rsid w:val="00AA27EA"/>
    <w:rsid w:val="00AA3571"/>
    <w:rsid w:val="00AA3888"/>
    <w:rsid w:val="00AA44EC"/>
    <w:rsid w:val="00AA4966"/>
    <w:rsid w:val="00AA4AF3"/>
    <w:rsid w:val="00AA4B81"/>
    <w:rsid w:val="00AA50DE"/>
    <w:rsid w:val="00AA5215"/>
    <w:rsid w:val="00AA53FA"/>
    <w:rsid w:val="00AA5D90"/>
    <w:rsid w:val="00AA6038"/>
    <w:rsid w:val="00AA62E7"/>
    <w:rsid w:val="00AA6568"/>
    <w:rsid w:val="00AA7503"/>
    <w:rsid w:val="00AA7C41"/>
    <w:rsid w:val="00AB0BB6"/>
    <w:rsid w:val="00AB1052"/>
    <w:rsid w:val="00AB1946"/>
    <w:rsid w:val="00AB19FA"/>
    <w:rsid w:val="00AB20C9"/>
    <w:rsid w:val="00AB2106"/>
    <w:rsid w:val="00AB21E4"/>
    <w:rsid w:val="00AB2288"/>
    <w:rsid w:val="00AB309E"/>
    <w:rsid w:val="00AB3803"/>
    <w:rsid w:val="00AB3D91"/>
    <w:rsid w:val="00AB417B"/>
    <w:rsid w:val="00AB46E4"/>
    <w:rsid w:val="00AB485B"/>
    <w:rsid w:val="00AB4E9D"/>
    <w:rsid w:val="00AB4FE8"/>
    <w:rsid w:val="00AB62BB"/>
    <w:rsid w:val="00AB64D6"/>
    <w:rsid w:val="00AB6D23"/>
    <w:rsid w:val="00AB752A"/>
    <w:rsid w:val="00AB7F80"/>
    <w:rsid w:val="00AC0D23"/>
    <w:rsid w:val="00AC0D9D"/>
    <w:rsid w:val="00AC0E77"/>
    <w:rsid w:val="00AC18E5"/>
    <w:rsid w:val="00AC194C"/>
    <w:rsid w:val="00AC1AB7"/>
    <w:rsid w:val="00AC1B30"/>
    <w:rsid w:val="00AC1C8E"/>
    <w:rsid w:val="00AC21B6"/>
    <w:rsid w:val="00AC220A"/>
    <w:rsid w:val="00AC336A"/>
    <w:rsid w:val="00AC33A6"/>
    <w:rsid w:val="00AC39CF"/>
    <w:rsid w:val="00AC3E86"/>
    <w:rsid w:val="00AC4788"/>
    <w:rsid w:val="00AC50CF"/>
    <w:rsid w:val="00AC626E"/>
    <w:rsid w:val="00AC6AF5"/>
    <w:rsid w:val="00AC7347"/>
    <w:rsid w:val="00AC7BB3"/>
    <w:rsid w:val="00AC7BFD"/>
    <w:rsid w:val="00AC7C76"/>
    <w:rsid w:val="00AC7DFC"/>
    <w:rsid w:val="00AD0410"/>
    <w:rsid w:val="00AD0493"/>
    <w:rsid w:val="00AD091A"/>
    <w:rsid w:val="00AD0AB3"/>
    <w:rsid w:val="00AD0E71"/>
    <w:rsid w:val="00AD16AD"/>
    <w:rsid w:val="00AD1800"/>
    <w:rsid w:val="00AD1E4F"/>
    <w:rsid w:val="00AD22B2"/>
    <w:rsid w:val="00AD2728"/>
    <w:rsid w:val="00AD2C65"/>
    <w:rsid w:val="00AD3456"/>
    <w:rsid w:val="00AD3D25"/>
    <w:rsid w:val="00AD3FAE"/>
    <w:rsid w:val="00AD43F2"/>
    <w:rsid w:val="00AD55C0"/>
    <w:rsid w:val="00AD5673"/>
    <w:rsid w:val="00AD5B52"/>
    <w:rsid w:val="00AD643B"/>
    <w:rsid w:val="00AD652E"/>
    <w:rsid w:val="00AD6B6B"/>
    <w:rsid w:val="00AD6C7D"/>
    <w:rsid w:val="00AD6E90"/>
    <w:rsid w:val="00AD7217"/>
    <w:rsid w:val="00AD72CA"/>
    <w:rsid w:val="00AD7603"/>
    <w:rsid w:val="00AD7CDC"/>
    <w:rsid w:val="00AE021C"/>
    <w:rsid w:val="00AE1AC0"/>
    <w:rsid w:val="00AE1DA0"/>
    <w:rsid w:val="00AE2761"/>
    <w:rsid w:val="00AE2763"/>
    <w:rsid w:val="00AE2BA7"/>
    <w:rsid w:val="00AE2DB0"/>
    <w:rsid w:val="00AE316F"/>
    <w:rsid w:val="00AE31AF"/>
    <w:rsid w:val="00AE3296"/>
    <w:rsid w:val="00AE44CD"/>
    <w:rsid w:val="00AE460B"/>
    <w:rsid w:val="00AE4EFF"/>
    <w:rsid w:val="00AE50B2"/>
    <w:rsid w:val="00AE533A"/>
    <w:rsid w:val="00AE5937"/>
    <w:rsid w:val="00AE5CA1"/>
    <w:rsid w:val="00AE5E88"/>
    <w:rsid w:val="00AE64D2"/>
    <w:rsid w:val="00AE6798"/>
    <w:rsid w:val="00AE6D0F"/>
    <w:rsid w:val="00AE6D4A"/>
    <w:rsid w:val="00AE73B9"/>
    <w:rsid w:val="00AE74F0"/>
    <w:rsid w:val="00AE78B9"/>
    <w:rsid w:val="00AE7C21"/>
    <w:rsid w:val="00AF022F"/>
    <w:rsid w:val="00AF03EB"/>
    <w:rsid w:val="00AF0A14"/>
    <w:rsid w:val="00AF17A6"/>
    <w:rsid w:val="00AF1834"/>
    <w:rsid w:val="00AF1A81"/>
    <w:rsid w:val="00AF2951"/>
    <w:rsid w:val="00AF298D"/>
    <w:rsid w:val="00AF299A"/>
    <w:rsid w:val="00AF2AC2"/>
    <w:rsid w:val="00AF309D"/>
    <w:rsid w:val="00AF34B2"/>
    <w:rsid w:val="00AF34CF"/>
    <w:rsid w:val="00AF3D7D"/>
    <w:rsid w:val="00AF5084"/>
    <w:rsid w:val="00AF52DA"/>
    <w:rsid w:val="00AF5348"/>
    <w:rsid w:val="00AF62FC"/>
    <w:rsid w:val="00AF6A8D"/>
    <w:rsid w:val="00AF77FB"/>
    <w:rsid w:val="00AF7E24"/>
    <w:rsid w:val="00B00953"/>
    <w:rsid w:val="00B00CB3"/>
    <w:rsid w:val="00B00ED2"/>
    <w:rsid w:val="00B01B78"/>
    <w:rsid w:val="00B01C0B"/>
    <w:rsid w:val="00B01C7D"/>
    <w:rsid w:val="00B01F36"/>
    <w:rsid w:val="00B023B3"/>
    <w:rsid w:val="00B02522"/>
    <w:rsid w:val="00B02ACB"/>
    <w:rsid w:val="00B03845"/>
    <w:rsid w:val="00B03999"/>
    <w:rsid w:val="00B03B0B"/>
    <w:rsid w:val="00B03CCB"/>
    <w:rsid w:val="00B03FCA"/>
    <w:rsid w:val="00B03FFC"/>
    <w:rsid w:val="00B04159"/>
    <w:rsid w:val="00B041F9"/>
    <w:rsid w:val="00B04567"/>
    <w:rsid w:val="00B04A87"/>
    <w:rsid w:val="00B04B53"/>
    <w:rsid w:val="00B04FCD"/>
    <w:rsid w:val="00B0529A"/>
    <w:rsid w:val="00B0540A"/>
    <w:rsid w:val="00B0590A"/>
    <w:rsid w:val="00B05970"/>
    <w:rsid w:val="00B065C7"/>
    <w:rsid w:val="00B066C7"/>
    <w:rsid w:val="00B06C78"/>
    <w:rsid w:val="00B06E93"/>
    <w:rsid w:val="00B075EB"/>
    <w:rsid w:val="00B076C2"/>
    <w:rsid w:val="00B07E16"/>
    <w:rsid w:val="00B10473"/>
    <w:rsid w:val="00B11160"/>
    <w:rsid w:val="00B11919"/>
    <w:rsid w:val="00B11D9B"/>
    <w:rsid w:val="00B12388"/>
    <w:rsid w:val="00B124C5"/>
    <w:rsid w:val="00B125A0"/>
    <w:rsid w:val="00B12951"/>
    <w:rsid w:val="00B12C46"/>
    <w:rsid w:val="00B1308A"/>
    <w:rsid w:val="00B13618"/>
    <w:rsid w:val="00B14197"/>
    <w:rsid w:val="00B144B7"/>
    <w:rsid w:val="00B145BB"/>
    <w:rsid w:val="00B15371"/>
    <w:rsid w:val="00B1548E"/>
    <w:rsid w:val="00B155CD"/>
    <w:rsid w:val="00B15CF2"/>
    <w:rsid w:val="00B15F83"/>
    <w:rsid w:val="00B16198"/>
    <w:rsid w:val="00B161E8"/>
    <w:rsid w:val="00B164BE"/>
    <w:rsid w:val="00B16BC2"/>
    <w:rsid w:val="00B16DC6"/>
    <w:rsid w:val="00B172F9"/>
    <w:rsid w:val="00B17480"/>
    <w:rsid w:val="00B17EBE"/>
    <w:rsid w:val="00B17F85"/>
    <w:rsid w:val="00B2084E"/>
    <w:rsid w:val="00B20A51"/>
    <w:rsid w:val="00B20FA0"/>
    <w:rsid w:val="00B210C5"/>
    <w:rsid w:val="00B213A9"/>
    <w:rsid w:val="00B21590"/>
    <w:rsid w:val="00B225D5"/>
    <w:rsid w:val="00B22D25"/>
    <w:rsid w:val="00B22E75"/>
    <w:rsid w:val="00B22EDA"/>
    <w:rsid w:val="00B2327B"/>
    <w:rsid w:val="00B23793"/>
    <w:rsid w:val="00B239F8"/>
    <w:rsid w:val="00B23AA6"/>
    <w:rsid w:val="00B23DB1"/>
    <w:rsid w:val="00B23E6F"/>
    <w:rsid w:val="00B2430A"/>
    <w:rsid w:val="00B247A4"/>
    <w:rsid w:val="00B24DAE"/>
    <w:rsid w:val="00B24E67"/>
    <w:rsid w:val="00B25A23"/>
    <w:rsid w:val="00B261C4"/>
    <w:rsid w:val="00B268CC"/>
    <w:rsid w:val="00B26B65"/>
    <w:rsid w:val="00B26F84"/>
    <w:rsid w:val="00B27146"/>
    <w:rsid w:val="00B2716F"/>
    <w:rsid w:val="00B27534"/>
    <w:rsid w:val="00B303C4"/>
    <w:rsid w:val="00B30BBD"/>
    <w:rsid w:val="00B313C7"/>
    <w:rsid w:val="00B31D33"/>
    <w:rsid w:val="00B322E2"/>
    <w:rsid w:val="00B32454"/>
    <w:rsid w:val="00B326D2"/>
    <w:rsid w:val="00B3339A"/>
    <w:rsid w:val="00B333F7"/>
    <w:rsid w:val="00B33C3B"/>
    <w:rsid w:val="00B34253"/>
    <w:rsid w:val="00B34638"/>
    <w:rsid w:val="00B34D4D"/>
    <w:rsid w:val="00B34E46"/>
    <w:rsid w:val="00B35335"/>
    <w:rsid w:val="00B35972"/>
    <w:rsid w:val="00B35A92"/>
    <w:rsid w:val="00B3623F"/>
    <w:rsid w:val="00B36B01"/>
    <w:rsid w:val="00B37210"/>
    <w:rsid w:val="00B373BA"/>
    <w:rsid w:val="00B37FF2"/>
    <w:rsid w:val="00B40108"/>
    <w:rsid w:val="00B4066B"/>
    <w:rsid w:val="00B409D4"/>
    <w:rsid w:val="00B40B2F"/>
    <w:rsid w:val="00B41C9E"/>
    <w:rsid w:val="00B424FD"/>
    <w:rsid w:val="00B4299E"/>
    <w:rsid w:val="00B43565"/>
    <w:rsid w:val="00B43B0A"/>
    <w:rsid w:val="00B43B1F"/>
    <w:rsid w:val="00B44509"/>
    <w:rsid w:val="00B44784"/>
    <w:rsid w:val="00B44BB2"/>
    <w:rsid w:val="00B453FE"/>
    <w:rsid w:val="00B45431"/>
    <w:rsid w:val="00B4544A"/>
    <w:rsid w:val="00B45580"/>
    <w:rsid w:val="00B4579D"/>
    <w:rsid w:val="00B46BFD"/>
    <w:rsid w:val="00B46C5F"/>
    <w:rsid w:val="00B471F7"/>
    <w:rsid w:val="00B4731D"/>
    <w:rsid w:val="00B47355"/>
    <w:rsid w:val="00B47A1B"/>
    <w:rsid w:val="00B47A84"/>
    <w:rsid w:val="00B50360"/>
    <w:rsid w:val="00B5089A"/>
    <w:rsid w:val="00B50ACE"/>
    <w:rsid w:val="00B510D4"/>
    <w:rsid w:val="00B51260"/>
    <w:rsid w:val="00B513CF"/>
    <w:rsid w:val="00B51991"/>
    <w:rsid w:val="00B52107"/>
    <w:rsid w:val="00B5227B"/>
    <w:rsid w:val="00B522F5"/>
    <w:rsid w:val="00B52639"/>
    <w:rsid w:val="00B52D70"/>
    <w:rsid w:val="00B52FA0"/>
    <w:rsid w:val="00B53387"/>
    <w:rsid w:val="00B535AD"/>
    <w:rsid w:val="00B535D2"/>
    <w:rsid w:val="00B536EA"/>
    <w:rsid w:val="00B5376B"/>
    <w:rsid w:val="00B53D30"/>
    <w:rsid w:val="00B53D55"/>
    <w:rsid w:val="00B542D8"/>
    <w:rsid w:val="00B54C41"/>
    <w:rsid w:val="00B55045"/>
    <w:rsid w:val="00B55183"/>
    <w:rsid w:val="00B553C0"/>
    <w:rsid w:val="00B55420"/>
    <w:rsid w:val="00B55A61"/>
    <w:rsid w:val="00B5612E"/>
    <w:rsid w:val="00B56527"/>
    <w:rsid w:val="00B56F91"/>
    <w:rsid w:val="00B57148"/>
    <w:rsid w:val="00B57819"/>
    <w:rsid w:val="00B606B7"/>
    <w:rsid w:val="00B608C3"/>
    <w:rsid w:val="00B60E4A"/>
    <w:rsid w:val="00B616B0"/>
    <w:rsid w:val="00B61AAF"/>
    <w:rsid w:val="00B61CA2"/>
    <w:rsid w:val="00B62A85"/>
    <w:rsid w:val="00B62F68"/>
    <w:rsid w:val="00B63C54"/>
    <w:rsid w:val="00B6424A"/>
    <w:rsid w:val="00B65502"/>
    <w:rsid w:val="00B6577C"/>
    <w:rsid w:val="00B65FCD"/>
    <w:rsid w:val="00B66867"/>
    <w:rsid w:val="00B66AAF"/>
    <w:rsid w:val="00B66EBC"/>
    <w:rsid w:val="00B6715E"/>
    <w:rsid w:val="00B675B7"/>
    <w:rsid w:val="00B67769"/>
    <w:rsid w:val="00B678BF"/>
    <w:rsid w:val="00B67A00"/>
    <w:rsid w:val="00B6E0DA"/>
    <w:rsid w:val="00B7071A"/>
    <w:rsid w:val="00B716E8"/>
    <w:rsid w:val="00B717C8"/>
    <w:rsid w:val="00B71D18"/>
    <w:rsid w:val="00B71F22"/>
    <w:rsid w:val="00B72236"/>
    <w:rsid w:val="00B72533"/>
    <w:rsid w:val="00B72D28"/>
    <w:rsid w:val="00B73163"/>
    <w:rsid w:val="00B74997"/>
    <w:rsid w:val="00B74E1A"/>
    <w:rsid w:val="00B74F8D"/>
    <w:rsid w:val="00B7522A"/>
    <w:rsid w:val="00B75654"/>
    <w:rsid w:val="00B758E4"/>
    <w:rsid w:val="00B75C56"/>
    <w:rsid w:val="00B75C8D"/>
    <w:rsid w:val="00B75DDE"/>
    <w:rsid w:val="00B75EA9"/>
    <w:rsid w:val="00B75EAD"/>
    <w:rsid w:val="00B76199"/>
    <w:rsid w:val="00B7623A"/>
    <w:rsid w:val="00B76811"/>
    <w:rsid w:val="00B7689D"/>
    <w:rsid w:val="00B8059A"/>
    <w:rsid w:val="00B805A4"/>
    <w:rsid w:val="00B80A12"/>
    <w:rsid w:val="00B80CDF"/>
    <w:rsid w:val="00B81180"/>
    <w:rsid w:val="00B81307"/>
    <w:rsid w:val="00B813B0"/>
    <w:rsid w:val="00B81E9D"/>
    <w:rsid w:val="00B8242D"/>
    <w:rsid w:val="00B8244B"/>
    <w:rsid w:val="00B82644"/>
    <w:rsid w:val="00B82DD3"/>
    <w:rsid w:val="00B82E66"/>
    <w:rsid w:val="00B832BB"/>
    <w:rsid w:val="00B8331A"/>
    <w:rsid w:val="00B8397D"/>
    <w:rsid w:val="00B84C14"/>
    <w:rsid w:val="00B84C34"/>
    <w:rsid w:val="00B85409"/>
    <w:rsid w:val="00B85861"/>
    <w:rsid w:val="00B85E41"/>
    <w:rsid w:val="00B86787"/>
    <w:rsid w:val="00B869B9"/>
    <w:rsid w:val="00B86ECC"/>
    <w:rsid w:val="00B90699"/>
    <w:rsid w:val="00B90C1B"/>
    <w:rsid w:val="00B90FD6"/>
    <w:rsid w:val="00B910CF"/>
    <w:rsid w:val="00B91735"/>
    <w:rsid w:val="00B923CD"/>
    <w:rsid w:val="00B9292C"/>
    <w:rsid w:val="00B92B40"/>
    <w:rsid w:val="00B93132"/>
    <w:rsid w:val="00B9395A"/>
    <w:rsid w:val="00B9405E"/>
    <w:rsid w:val="00B940A8"/>
    <w:rsid w:val="00B9564C"/>
    <w:rsid w:val="00B95805"/>
    <w:rsid w:val="00B95D47"/>
    <w:rsid w:val="00B95D93"/>
    <w:rsid w:val="00B95ED9"/>
    <w:rsid w:val="00B95FCF"/>
    <w:rsid w:val="00B966D9"/>
    <w:rsid w:val="00BA0056"/>
    <w:rsid w:val="00BA0E27"/>
    <w:rsid w:val="00BA0ED8"/>
    <w:rsid w:val="00BA1106"/>
    <w:rsid w:val="00BA1A87"/>
    <w:rsid w:val="00BA1D2A"/>
    <w:rsid w:val="00BA2022"/>
    <w:rsid w:val="00BA20E7"/>
    <w:rsid w:val="00BA274C"/>
    <w:rsid w:val="00BA275A"/>
    <w:rsid w:val="00BA2A3A"/>
    <w:rsid w:val="00BA2EE5"/>
    <w:rsid w:val="00BA3655"/>
    <w:rsid w:val="00BA4C45"/>
    <w:rsid w:val="00BA508B"/>
    <w:rsid w:val="00BA57A5"/>
    <w:rsid w:val="00BA639E"/>
    <w:rsid w:val="00BA6488"/>
    <w:rsid w:val="00BA6B1E"/>
    <w:rsid w:val="00BA6BB4"/>
    <w:rsid w:val="00BA7382"/>
    <w:rsid w:val="00BA73C0"/>
    <w:rsid w:val="00BA7F8F"/>
    <w:rsid w:val="00BA7FF2"/>
    <w:rsid w:val="00BB0142"/>
    <w:rsid w:val="00BB07E9"/>
    <w:rsid w:val="00BB0D03"/>
    <w:rsid w:val="00BB0E65"/>
    <w:rsid w:val="00BB1361"/>
    <w:rsid w:val="00BB1589"/>
    <w:rsid w:val="00BB1797"/>
    <w:rsid w:val="00BB1AFE"/>
    <w:rsid w:val="00BB1B69"/>
    <w:rsid w:val="00BB1BDA"/>
    <w:rsid w:val="00BB1BE0"/>
    <w:rsid w:val="00BB1BF0"/>
    <w:rsid w:val="00BB1C97"/>
    <w:rsid w:val="00BB2635"/>
    <w:rsid w:val="00BB2AF8"/>
    <w:rsid w:val="00BB3CFC"/>
    <w:rsid w:val="00BB43BD"/>
    <w:rsid w:val="00BB458B"/>
    <w:rsid w:val="00BB480F"/>
    <w:rsid w:val="00BB4F68"/>
    <w:rsid w:val="00BB519D"/>
    <w:rsid w:val="00BB55AD"/>
    <w:rsid w:val="00BB59BD"/>
    <w:rsid w:val="00BB5A30"/>
    <w:rsid w:val="00BB66B7"/>
    <w:rsid w:val="00BB6E60"/>
    <w:rsid w:val="00BB6ECC"/>
    <w:rsid w:val="00BB766B"/>
    <w:rsid w:val="00BB7D05"/>
    <w:rsid w:val="00BB7E60"/>
    <w:rsid w:val="00BB7EF7"/>
    <w:rsid w:val="00BB8524"/>
    <w:rsid w:val="00BC06D2"/>
    <w:rsid w:val="00BC072D"/>
    <w:rsid w:val="00BC0878"/>
    <w:rsid w:val="00BC0986"/>
    <w:rsid w:val="00BC160D"/>
    <w:rsid w:val="00BC2073"/>
    <w:rsid w:val="00BC242A"/>
    <w:rsid w:val="00BC2900"/>
    <w:rsid w:val="00BC2CB1"/>
    <w:rsid w:val="00BC2E58"/>
    <w:rsid w:val="00BC34AB"/>
    <w:rsid w:val="00BC3A9C"/>
    <w:rsid w:val="00BC3BFD"/>
    <w:rsid w:val="00BC3F89"/>
    <w:rsid w:val="00BC44AC"/>
    <w:rsid w:val="00BC4A59"/>
    <w:rsid w:val="00BC4D86"/>
    <w:rsid w:val="00BC53B2"/>
    <w:rsid w:val="00BC5A43"/>
    <w:rsid w:val="00BC5D51"/>
    <w:rsid w:val="00BC6A63"/>
    <w:rsid w:val="00BC6BD3"/>
    <w:rsid w:val="00BC71FD"/>
    <w:rsid w:val="00BC7B64"/>
    <w:rsid w:val="00BC7DFE"/>
    <w:rsid w:val="00BCE415"/>
    <w:rsid w:val="00BD0105"/>
    <w:rsid w:val="00BD0475"/>
    <w:rsid w:val="00BD0B67"/>
    <w:rsid w:val="00BD0C7D"/>
    <w:rsid w:val="00BD0DA8"/>
    <w:rsid w:val="00BD1A7F"/>
    <w:rsid w:val="00BD1EB5"/>
    <w:rsid w:val="00BD2453"/>
    <w:rsid w:val="00BD2BBD"/>
    <w:rsid w:val="00BD2C22"/>
    <w:rsid w:val="00BD37CA"/>
    <w:rsid w:val="00BD388B"/>
    <w:rsid w:val="00BD434E"/>
    <w:rsid w:val="00BD4F74"/>
    <w:rsid w:val="00BD514B"/>
    <w:rsid w:val="00BD5F39"/>
    <w:rsid w:val="00BD660B"/>
    <w:rsid w:val="00BD6CB4"/>
    <w:rsid w:val="00BD7EB4"/>
    <w:rsid w:val="00BE00B2"/>
    <w:rsid w:val="00BE07A0"/>
    <w:rsid w:val="00BE1392"/>
    <w:rsid w:val="00BE18A2"/>
    <w:rsid w:val="00BE2157"/>
    <w:rsid w:val="00BE26FB"/>
    <w:rsid w:val="00BE2CDA"/>
    <w:rsid w:val="00BE3100"/>
    <w:rsid w:val="00BE3320"/>
    <w:rsid w:val="00BE3333"/>
    <w:rsid w:val="00BE3893"/>
    <w:rsid w:val="00BE3D2E"/>
    <w:rsid w:val="00BE3FAA"/>
    <w:rsid w:val="00BE4097"/>
    <w:rsid w:val="00BE4292"/>
    <w:rsid w:val="00BE4B66"/>
    <w:rsid w:val="00BE4E29"/>
    <w:rsid w:val="00BE5128"/>
    <w:rsid w:val="00BE51B8"/>
    <w:rsid w:val="00BE524A"/>
    <w:rsid w:val="00BE53D1"/>
    <w:rsid w:val="00BE56F7"/>
    <w:rsid w:val="00BE5721"/>
    <w:rsid w:val="00BE6150"/>
    <w:rsid w:val="00BE66D8"/>
    <w:rsid w:val="00BE683B"/>
    <w:rsid w:val="00BE6C12"/>
    <w:rsid w:val="00BE6C8E"/>
    <w:rsid w:val="00BE7342"/>
    <w:rsid w:val="00BE7E53"/>
    <w:rsid w:val="00BF095C"/>
    <w:rsid w:val="00BF0AA0"/>
    <w:rsid w:val="00BF0F78"/>
    <w:rsid w:val="00BF0FBB"/>
    <w:rsid w:val="00BF1DCF"/>
    <w:rsid w:val="00BF229C"/>
    <w:rsid w:val="00BF296D"/>
    <w:rsid w:val="00BF2DB6"/>
    <w:rsid w:val="00BF34BF"/>
    <w:rsid w:val="00BF3A1D"/>
    <w:rsid w:val="00BF3D20"/>
    <w:rsid w:val="00BF3E41"/>
    <w:rsid w:val="00BF437B"/>
    <w:rsid w:val="00BF45C9"/>
    <w:rsid w:val="00BF4DAA"/>
    <w:rsid w:val="00BF5018"/>
    <w:rsid w:val="00BF538B"/>
    <w:rsid w:val="00BF5A06"/>
    <w:rsid w:val="00BF6213"/>
    <w:rsid w:val="00BF6A93"/>
    <w:rsid w:val="00BF6B73"/>
    <w:rsid w:val="00BF6C46"/>
    <w:rsid w:val="00BF6E5F"/>
    <w:rsid w:val="00BF710C"/>
    <w:rsid w:val="00BF7140"/>
    <w:rsid w:val="00C0026F"/>
    <w:rsid w:val="00C00540"/>
    <w:rsid w:val="00C005D0"/>
    <w:rsid w:val="00C005E6"/>
    <w:rsid w:val="00C009D4"/>
    <w:rsid w:val="00C00C91"/>
    <w:rsid w:val="00C01114"/>
    <w:rsid w:val="00C01622"/>
    <w:rsid w:val="00C01D44"/>
    <w:rsid w:val="00C028F5"/>
    <w:rsid w:val="00C02B2D"/>
    <w:rsid w:val="00C03308"/>
    <w:rsid w:val="00C03688"/>
    <w:rsid w:val="00C03DDF"/>
    <w:rsid w:val="00C0423B"/>
    <w:rsid w:val="00C045F6"/>
    <w:rsid w:val="00C04FA1"/>
    <w:rsid w:val="00C05574"/>
    <w:rsid w:val="00C05AF1"/>
    <w:rsid w:val="00C060C4"/>
    <w:rsid w:val="00C06EA8"/>
    <w:rsid w:val="00C06EE8"/>
    <w:rsid w:val="00C07501"/>
    <w:rsid w:val="00C07564"/>
    <w:rsid w:val="00C079E9"/>
    <w:rsid w:val="00C07CB0"/>
    <w:rsid w:val="00C07DE3"/>
    <w:rsid w:val="00C10482"/>
    <w:rsid w:val="00C10E1B"/>
    <w:rsid w:val="00C113C4"/>
    <w:rsid w:val="00C12196"/>
    <w:rsid w:val="00C12945"/>
    <w:rsid w:val="00C13ED4"/>
    <w:rsid w:val="00C13F32"/>
    <w:rsid w:val="00C14045"/>
    <w:rsid w:val="00C14A7C"/>
    <w:rsid w:val="00C151F9"/>
    <w:rsid w:val="00C15DE9"/>
    <w:rsid w:val="00C161B3"/>
    <w:rsid w:val="00C162F6"/>
    <w:rsid w:val="00C16AA2"/>
    <w:rsid w:val="00C175E5"/>
    <w:rsid w:val="00C20242"/>
    <w:rsid w:val="00C20367"/>
    <w:rsid w:val="00C204A8"/>
    <w:rsid w:val="00C2135B"/>
    <w:rsid w:val="00C21523"/>
    <w:rsid w:val="00C21668"/>
    <w:rsid w:val="00C2184B"/>
    <w:rsid w:val="00C21C60"/>
    <w:rsid w:val="00C22723"/>
    <w:rsid w:val="00C22E50"/>
    <w:rsid w:val="00C2304F"/>
    <w:rsid w:val="00C233ED"/>
    <w:rsid w:val="00C2399D"/>
    <w:rsid w:val="00C24205"/>
    <w:rsid w:val="00C2432C"/>
    <w:rsid w:val="00C24410"/>
    <w:rsid w:val="00C24565"/>
    <w:rsid w:val="00C24DAA"/>
    <w:rsid w:val="00C250D1"/>
    <w:rsid w:val="00C254C4"/>
    <w:rsid w:val="00C2601D"/>
    <w:rsid w:val="00C27258"/>
    <w:rsid w:val="00C273A7"/>
    <w:rsid w:val="00C274D2"/>
    <w:rsid w:val="00C27523"/>
    <w:rsid w:val="00C279F5"/>
    <w:rsid w:val="00C304F5"/>
    <w:rsid w:val="00C30642"/>
    <w:rsid w:val="00C30706"/>
    <w:rsid w:val="00C30FC1"/>
    <w:rsid w:val="00C312D5"/>
    <w:rsid w:val="00C31401"/>
    <w:rsid w:val="00C31406"/>
    <w:rsid w:val="00C31C7F"/>
    <w:rsid w:val="00C323B5"/>
    <w:rsid w:val="00C3244F"/>
    <w:rsid w:val="00C324BB"/>
    <w:rsid w:val="00C325E5"/>
    <w:rsid w:val="00C3264C"/>
    <w:rsid w:val="00C329CE"/>
    <w:rsid w:val="00C32C41"/>
    <w:rsid w:val="00C33C29"/>
    <w:rsid w:val="00C33DFA"/>
    <w:rsid w:val="00C345B2"/>
    <w:rsid w:val="00C34930"/>
    <w:rsid w:val="00C3524C"/>
    <w:rsid w:val="00C3645C"/>
    <w:rsid w:val="00C36833"/>
    <w:rsid w:val="00C36D03"/>
    <w:rsid w:val="00C37A1D"/>
    <w:rsid w:val="00C402BF"/>
    <w:rsid w:val="00C402EF"/>
    <w:rsid w:val="00C40D9F"/>
    <w:rsid w:val="00C412C0"/>
    <w:rsid w:val="00C41DC8"/>
    <w:rsid w:val="00C421BE"/>
    <w:rsid w:val="00C425A0"/>
    <w:rsid w:val="00C425E3"/>
    <w:rsid w:val="00C42CD0"/>
    <w:rsid w:val="00C43178"/>
    <w:rsid w:val="00C432C7"/>
    <w:rsid w:val="00C43368"/>
    <w:rsid w:val="00C433BD"/>
    <w:rsid w:val="00C43D91"/>
    <w:rsid w:val="00C442B9"/>
    <w:rsid w:val="00C44851"/>
    <w:rsid w:val="00C44F11"/>
    <w:rsid w:val="00C4502B"/>
    <w:rsid w:val="00C45AE8"/>
    <w:rsid w:val="00C45C48"/>
    <w:rsid w:val="00C45DD6"/>
    <w:rsid w:val="00C45E48"/>
    <w:rsid w:val="00C464AA"/>
    <w:rsid w:val="00C46813"/>
    <w:rsid w:val="00C46CA5"/>
    <w:rsid w:val="00C4721C"/>
    <w:rsid w:val="00C477F4"/>
    <w:rsid w:val="00C501E5"/>
    <w:rsid w:val="00C50D0A"/>
    <w:rsid w:val="00C50EF3"/>
    <w:rsid w:val="00C520BF"/>
    <w:rsid w:val="00C52DFC"/>
    <w:rsid w:val="00C52EE7"/>
    <w:rsid w:val="00C5313E"/>
    <w:rsid w:val="00C534C1"/>
    <w:rsid w:val="00C53848"/>
    <w:rsid w:val="00C53FA7"/>
    <w:rsid w:val="00C54DB0"/>
    <w:rsid w:val="00C54F5D"/>
    <w:rsid w:val="00C54FF7"/>
    <w:rsid w:val="00C55275"/>
    <w:rsid w:val="00C55337"/>
    <w:rsid w:val="00C55FD2"/>
    <w:rsid w:val="00C55FDC"/>
    <w:rsid w:val="00C561ED"/>
    <w:rsid w:val="00C56574"/>
    <w:rsid w:val="00C56577"/>
    <w:rsid w:val="00C56AFB"/>
    <w:rsid w:val="00C56D9C"/>
    <w:rsid w:val="00C570F0"/>
    <w:rsid w:val="00C577A1"/>
    <w:rsid w:val="00C57BFD"/>
    <w:rsid w:val="00C60C85"/>
    <w:rsid w:val="00C61DAA"/>
    <w:rsid w:val="00C61FDB"/>
    <w:rsid w:val="00C620BE"/>
    <w:rsid w:val="00C6220A"/>
    <w:rsid w:val="00C62C15"/>
    <w:rsid w:val="00C63EE5"/>
    <w:rsid w:val="00C6481C"/>
    <w:rsid w:val="00C65BE5"/>
    <w:rsid w:val="00C65E2C"/>
    <w:rsid w:val="00C6635D"/>
    <w:rsid w:val="00C66689"/>
    <w:rsid w:val="00C669C4"/>
    <w:rsid w:val="00C677B8"/>
    <w:rsid w:val="00C678AE"/>
    <w:rsid w:val="00C67BC1"/>
    <w:rsid w:val="00C67C20"/>
    <w:rsid w:val="00C70FEC"/>
    <w:rsid w:val="00C71210"/>
    <w:rsid w:val="00C71517"/>
    <w:rsid w:val="00C71851"/>
    <w:rsid w:val="00C719B4"/>
    <w:rsid w:val="00C71ADE"/>
    <w:rsid w:val="00C71BCB"/>
    <w:rsid w:val="00C7233E"/>
    <w:rsid w:val="00C723E9"/>
    <w:rsid w:val="00C727B4"/>
    <w:rsid w:val="00C72876"/>
    <w:rsid w:val="00C72B7E"/>
    <w:rsid w:val="00C72CD2"/>
    <w:rsid w:val="00C7386B"/>
    <w:rsid w:val="00C74998"/>
    <w:rsid w:val="00C75420"/>
    <w:rsid w:val="00C75475"/>
    <w:rsid w:val="00C759C8"/>
    <w:rsid w:val="00C75D42"/>
    <w:rsid w:val="00C76863"/>
    <w:rsid w:val="00C76964"/>
    <w:rsid w:val="00C77D29"/>
    <w:rsid w:val="00C80097"/>
    <w:rsid w:val="00C80309"/>
    <w:rsid w:val="00C803B8"/>
    <w:rsid w:val="00C80494"/>
    <w:rsid w:val="00C80A41"/>
    <w:rsid w:val="00C80D19"/>
    <w:rsid w:val="00C80EC9"/>
    <w:rsid w:val="00C812A0"/>
    <w:rsid w:val="00C812BF"/>
    <w:rsid w:val="00C814B5"/>
    <w:rsid w:val="00C81A88"/>
    <w:rsid w:val="00C81D14"/>
    <w:rsid w:val="00C81F70"/>
    <w:rsid w:val="00C826A5"/>
    <w:rsid w:val="00C8300B"/>
    <w:rsid w:val="00C83D80"/>
    <w:rsid w:val="00C841D2"/>
    <w:rsid w:val="00C8434A"/>
    <w:rsid w:val="00C84637"/>
    <w:rsid w:val="00C851BC"/>
    <w:rsid w:val="00C86083"/>
    <w:rsid w:val="00C8615E"/>
    <w:rsid w:val="00C8627D"/>
    <w:rsid w:val="00C863F7"/>
    <w:rsid w:val="00C863FD"/>
    <w:rsid w:val="00C8665A"/>
    <w:rsid w:val="00C8733F"/>
    <w:rsid w:val="00C874DA"/>
    <w:rsid w:val="00C87F08"/>
    <w:rsid w:val="00C8BAFC"/>
    <w:rsid w:val="00C9021A"/>
    <w:rsid w:val="00C90666"/>
    <w:rsid w:val="00C90AFD"/>
    <w:rsid w:val="00C90F06"/>
    <w:rsid w:val="00C91299"/>
    <w:rsid w:val="00C91351"/>
    <w:rsid w:val="00C9205D"/>
    <w:rsid w:val="00C920D1"/>
    <w:rsid w:val="00C92569"/>
    <w:rsid w:val="00C92814"/>
    <w:rsid w:val="00C92C39"/>
    <w:rsid w:val="00C92CBF"/>
    <w:rsid w:val="00C92D80"/>
    <w:rsid w:val="00C9300B"/>
    <w:rsid w:val="00C9307E"/>
    <w:rsid w:val="00C934B1"/>
    <w:rsid w:val="00C93502"/>
    <w:rsid w:val="00C93503"/>
    <w:rsid w:val="00C935E4"/>
    <w:rsid w:val="00C9396A"/>
    <w:rsid w:val="00C93E66"/>
    <w:rsid w:val="00C94094"/>
    <w:rsid w:val="00C94586"/>
    <w:rsid w:val="00C9486C"/>
    <w:rsid w:val="00C9489E"/>
    <w:rsid w:val="00C94939"/>
    <w:rsid w:val="00C94BF9"/>
    <w:rsid w:val="00C94E43"/>
    <w:rsid w:val="00C9508B"/>
    <w:rsid w:val="00C9535F"/>
    <w:rsid w:val="00C95635"/>
    <w:rsid w:val="00C9576E"/>
    <w:rsid w:val="00C95C28"/>
    <w:rsid w:val="00C95C8B"/>
    <w:rsid w:val="00C95C8C"/>
    <w:rsid w:val="00C96BE2"/>
    <w:rsid w:val="00C96C08"/>
    <w:rsid w:val="00C97CEB"/>
    <w:rsid w:val="00C97EBC"/>
    <w:rsid w:val="00C97F5F"/>
    <w:rsid w:val="00CA0156"/>
    <w:rsid w:val="00CA02A0"/>
    <w:rsid w:val="00CA02D8"/>
    <w:rsid w:val="00CA0692"/>
    <w:rsid w:val="00CA07D9"/>
    <w:rsid w:val="00CA0869"/>
    <w:rsid w:val="00CA0C6A"/>
    <w:rsid w:val="00CA0F4C"/>
    <w:rsid w:val="00CA1024"/>
    <w:rsid w:val="00CA1785"/>
    <w:rsid w:val="00CA1884"/>
    <w:rsid w:val="00CA2752"/>
    <w:rsid w:val="00CA31EF"/>
    <w:rsid w:val="00CA34BB"/>
    <w:rsid w:val="00CA35D2"/>
    <w:rsid w:val="00CA3B5A"/>
    <w:rsid w:val="00CA3E1B"/>
    <w:rsid w:val="00CA4170"/>
    <w:rsid w:val="00CA4341"/>
    <w:rsid w:val="00CA45E7"/>
    <w:rsid w:val="00CA494E"/>
    <w:rsid w:val="00CA49F1"/>
    <w:rsid w:val="00CA54CE"/>
    <w:rsid w:val="00CA5FCE"/>
    <w:rsid w:val="00CA61D5"/>
    <w:rsid w:val="00CA61F9"/>
    <w:rsid w:val="00CA62E9"/>
    <w:rsid w:val="00CA6753"/>
    <w:rsid w:val="00CA7127"/>
    <w:rsid w:val="00CA7507"/>
    <w:rsid w:val="00CA7B37"/>
    <w:rsid w:val="00CA7B9A"/>
    <w:rsid w:val="00CA7EF2"/>
    <w:rsid w:val="00CB026B"/>
    <w:rsid w:val="00CB1344"/>
    <w:rsid w:val="00CB1482"/>
    <w:rsid w:val="00CB1DE7"/>
    <w:rsid w:val="00CB2814"/>
    <w:rsid w:val="00CB30B0"/>
    <w:rsid w:val="00CB3766"/>
    <w:rsid w:val="00CB3995"/>
    <w:rsid w:val="00CB5054"/>
    <w:rsid w:val="00CB5133"/>
    <w:rsid w:val="00CB577A"/>
    <w:rsid w:val="00CB6190"/>
    <w:rsid w:val="00CB62B5"/>
    <w:rsid w:val="00CB66B9"/>
    <w:rsid w:val="00CB6D3E"/>
    <w:rsid w:val="00CB71D1"/>
    <w:rsid w:val="00CB74AC"/>
    <w:rsid w:val="00CB7525"/>
    <w:rsid w:val="00CBD23C"/>
    <w:rsid w:val="00CC018C"/>
    <w:rsid w:val="00CC0246"/>
    <w:rsid w:val="00CC06FB"/>
    <w:rsid w:val="00CC0FAD"/>
    <w:rsid w:val="00CC1237"/>
    <w:rsid w:val="00CC124F"/>
    <w:rsid w:val="00CC18E0"/>
    <w:rsid w:val="00CC1A2C"/>
    <w:rsid w:val="00CC2006"/>
    <w:rsid w:val="00CC20C9"/>
    <w:rsid w:val="00CC2463"/>
    <w:rsid w:val="00CC354D"/>
    <w:rsid w:val="00CC371B"/>
    <w:rsid w:val="00CC37A2"/>
    <w:rsid w:val="00CC417F"/>
    <w:rsid w:val="00CC42AB"/>
    <w:rsid w:val="00CC4CEC"/>
    <w:rsid w:val="00CC4F2D"/>
    <w:rsid w:val="00CC5262"/>
    <w:rsid w:val="00CC52BE"/>
    <w:rsid w:val="00CC546D"/>
    <w:rsid w:val="00CC5E1F"/>
    <w:rsid w:val="00CC5EFA"/>
    <w:rsid w:val="00CC6008"/>
    <w:rsid w:val="00CC6303"/>
    <w:rsid w:val="00CC6965"/>
    <w:rsid w:val="00CC70B1"/>
    <w:rsid w:val="00CC7493"/>
    <w:rsid w:val="00CC7EEF"/>
    <w:rsid w:val="00CD11BB"/>
    <w:rsid w:val="00CD238F"/>
    <w:rsid w:val="00CD25FF"/>
    <w:rsid w:val="00CD349D"/>
    <w:rsid w:val="00CD405A"/>
    <w:rsid w:val="00CD4070"/>
    <w:rsid w:val="00CD46B6"/>
    <w:rsid w:val="00CD5E3C"/>
    <w:rsid w:val="00CD60BE"/>
    <w:rsid w:val="00CD62C5"/>
    <w:rsid w:val="00CD6303"/>
    <w:rsid w:val="00CD641C"/>
    <w:rsid w:val="00CD65D6"/>
    <w:rsid w:val="00CD7271"/>
    <w:rsid w:val="00CD72E8"/>
    <w:rsid w:val="00CD7D23"/>
    <w:rsid w:val="00CDF909"/>
    <w:rsid w:val="00CE043F"/>
    <w:rsid w:val="00CE0C9A"/>
    <w:rsid w:val="00CE148A"/>
    <w:rsid w:val="00CE1B61"/>
    <w:rsid w:val="00CE2B26"/>
    <w:rsid w:val="00CE36F9"/>
    <w:rsid w:val="00CE3BA5"/>
    <w:rsid w:val="00CE3E10"/>
    <w:rsid w:val="00CE462A"/>
    <w:rsid w:val="00CE4AE5"/>
    <w:rsid w:val="00CE4B04"/>
    <w:rsid w:val="00CE4CBE"/>
    <w:rsid w:val="00CE4F75"/>
    <w:rsid w:val="00CE59C4"/>
    <w:rsid w:val="00CE5A1B"/>
    <w:rsid w:val="00CE5A50"/>
    <w:rsid w:val="00CE5BD4"/>
    <w:rsid w:val="00CE698A"/>
    <w:rsid w:val="00CE71F6"/>
    <w:rsid w:val="00CE74CD"/>
    <w:rsid w:val="00CE77E6"/>
    <w:rsid w:val="00CE7DC2"/>
    <w:rsid w:val="00CE7FA4"/>
    <w:rsid w:val="00CF0267"/>
    <w:rsid w:val="00CF02A6"/>
    <w:rsid w:val="00CF0B9B"/>
    <w:rsid w:val="00CF190D"/>
    <w:rsid w:val="00CF20D0"/>
    <w:rsid w:val="00CF2434"/>
    <w:rsid w:val="00CF2735"/>
    <w:rsid w:val="00CF2C7C"/>
    <w:rsid w:val="00CF3280"/>
    <w:rsid w:val="00CF3411"/>
    <w:rsid w:val="00CF3747"/>
    <w:rsid w:val="00CF37AA"/>
    <w:rsid w:val="00CF385F"/>
    <w:rsid w:val="00CF38EB"/>
    <w:rsid w:val="00CF3F51"/>
    <w:rsid w:val="00CF48FB"/>
    <w:rsid w:val="00CF4DBD"/>
    <w:rsid w:val="00CF50E3"/>
    <w:rsid w:val="00CF5394"/>
    <w:rsid w:val="00CF62B6"/>
    <w:rsid w:val="00CF645D"/>
    <w:rsid w:val="00CF6949"/>
    <w:rsid w:val="00CF7238"/>
    <w:rsid w:val="00CF7356"/>
    <w:rsid w:val="00D003E4"/>
    <w:rsid w:val="00D00EC0"/>
    <w:rsid w:val="00D01203"/>
    <w:rsid w:val="00D0138C"/>
    <w:rsid w:val="00D0150E"/>
    <w:rsid w:val="00D015ED"/>
    <w:rsid w:val="00D01EE2"/>
    <w:rsid w:val="00D02206"/>
    <w:rsid w:val="00D02682"/>
    <w:rsid w:val="00D026A5"/>
    <w:rsid w:val="00D02A84"/>
    <w:rsid w:val="00D02EC5"/>
    <w:rsid w:val="00D03AE3"/>
    <w:rsid w:val="00D03DCF"/>
    <w:rsid w:val="00D0453E"/>
    <w:rsid w:val="00D04716"/>
    <w:rsid w:val="00D05812"/>
    <w:rsid w:val="00D05972"/>
    <w:rsid w:val="00D05E00"/>
    <w:rsid w:val="00D06425"/>
    <w:rsid w:val="00D0667D"/>
    <w:rsid w:val="00D06831"/>
    <w:rsid w:val="00D06AFB"/>
    <w:rsid w:val="00D06C97"/>
    <w:rsid w:val="00D07A99"/>
    <w:rsid w:val="00D07DB5"/>
    <w:rsid w:val="00D10491"/>
    <w:rsid w:val="00D11174"/>
    <w:rsid w:val="00D116F3"/>
    <w:rsid w:val="00D11EEA"/>
    <w:rsid w:val="00D12344"/>
    <w:rsid w:val="00D125AD"/>
    <w:rsid w:val="00D12CFA"/>
    <w:rsid w:val="00D12EEC"/>
    <w:rsid w:val="00D133EC"/>
    <w:rsid w:val="00D14539"/>
    <w:rsid w:val="00D14B2B"/>
    <w:rsid w:val="00D14DD3"/>
    <w:rsid w:val="00D15512"/>
    <w:rsid w:val="00D15564"/>
    <w:rsid w:val="00D162EE"/>
    <w:rsid w:val="00D16FD7"/>
    <w:rsid w:val="00D17049"/>
    <w:rsid w:val="00D2069A"/>
    <w:rsid w:val="00D2092F"/>
    <w:rsid w:val="00D21737"/>
    <w:rsid w:val="00D217E7"/>
    <w:rsid w:val="00D22C2A"/>
    <w:rsid w:val="00D22F92"/>
    <w:rsid w:val="00D23565"/>
    <w:rsid w:val="00D239A9"/>
    <w:rsid w:val="00D239BD"/>
    <w:rsid w:val="00D23D1B"/>
    <w:rsid w:val="00D24A1C"/>
    <w:rsid w:val="00D24D77"/>
    <w:rsid w:val="00D25536"/>
    <w:rsid w:val="00D25AB0"/>
    <w:rsid w:val="00D2604F"/>
    <w:rsid w:val="00D267D9"/>
    <w:rsid w:val="00D2680C"/>
    <w:rsid w:val="00D26BD4"/>
    <w:rsid w:val="00D2741A"/>
    <w:rsid w:val="00D27483"/>
    <w:rsid w:val="00D27AE9"/>
    <w:rsid w:val="00D2ADE8"/>
    <w:rsid w:val="00D30127"/>
    <w:rsid w:val="00D302FD"/>
    <w:rsid w:val="00D30308"/>
    <w:rsid w:val="00D30DB4"/>
    <w:rsid w:val="00D31763"/>
    <w:rsid w:val="00D31769"/>
    <w:rsid w:val="00D319EB"/>
    <w:rsid w:val="00D31AEB"/>
    <w:rsid w:val="00D31F78"/>
    <w:rsid w:val="00D31FED"/>
    <w:rsid w:val="00D322CE"/>
    <w:rsid w:val="00D3248D"/>
    <w:rsid w:val="00D32667"/>
    <w:rsid w:val="00D329A2"/>
    <w:rsid w:val="00D32D5F"/>
    <w:rsid w:val="00D32DEE"/>
    <w:rsid w:val="00D3317F"/>
    <w:rsid w:val="00D33DAA"/>
    <w:rsid w:val="00D344C5"/>
    <w:rsid w:val="00D34B50"/>
    <w:rsid w:val="00D34ED6"/>
    <w:rsid w:val="00D34EDB"/>
    <w:rsid w:val="00D35E20"/>
    <w:rsid w:val="00D35FF2"/>
    <w:rsid w:val="00D36508"/>
    <w:rsid w:val="00D3696D"/>
    <w:rsid w:val="00D36C90"/>
    <w:rsid w:val="00D36CCA"/>
    <w:rsid w:val="00D36DF9"/>
    <w:rsid w:val="00D37375"/>
    <w:rsid w:val="00D376F4"/>
    <w:rsid w:val="00D37934"/>
    <w:rsid w:val="00D37ED2"/>
    <w:rsid w:val="00D40EA2"/>
    <w:rsid w:val="00D42398"/>
    <w:rsid w:val="00D42F31"/>
    <w:rsid w:val="00D431E9"/>
    <w:rsid w:val="00D43EF9"/>
    <w:rsid w:val="00D4459E"/>
    <w:rsid w:val="00D44664"/>
    <w:rsid w:val="00D446F8"/>
    <w:rsid w:val="00D44F09"/>
    <w:rsid w:val="00D4541C"/>
    <w:rsid w:val="00D45B27"/>
    <w:rsid w:val="00D45BCC"/>
    <w:rsid w:val="00D45C40"/>
    <w:rsid w:val="00D46126"/>
    <w:rsid w:val="00D468DA"/>
    <w:rsid w:val="00D46D1A"/>
    <w:rsid w:val="00D471DC"/>
    <w:rsid w:val="00D47219"/>
    <w:rsid w:val="00D47728"/>
    <w:rsid w:val="00D50267"/>
    <w:rsid w:val="00D50628"/>
    <w:rsid w:val="00D5098D"/>
    <w:rsid w:val="00D50B08"/>
    <w:rsid w:val="00D5178F"/>
    <w:rsid w:val="00D51841"/>
    <w:rsid w:val="00D518D5"/>
    <w:rsid w:val="00D51D24"/>
    <w:rsid w:val="00D51D42"/>
    <w:rsid w:val="00D5216F"/>
    <w:rsid w:val="00D52A21"/>
    <w:rsid w:val="00D52CFE"/>
    <w:rsid w:val="00D52FD5"/>
    <w:rsid w:val="00D533AC"/>
    <w:rsid w:val="00D53535"/>
    <w:rsid w:val="00D535C0"/>
    <w:rsid w:val="00D53AD3"/>
    <w:rsid w:val="00D53D8C"/>
    <w:rsid w:val="00D54D09"/>
    <w:rsid w:val="00D54D95"/>
    <w:rsid w:val="00D55291"/>
    <w:rsid w:val="00D5552A"/>
    <w:rsid w:val="00D5556C"/>
    <w:rsid w:val="00D555D8"/>
    <w:rsid w:val="00D55AD3"/>
    <w:rsid w:val="00D55BDF"/>
    <w:rsid w:val="00D55C74"/>
    <w:rsid w:val="00D56233"/>
    <w:rsid w:val="00D56759"/>
    <w:rsid w:val="00D56D26"/>
    <w:rsid w:val="00D56D59"/>
    <w:rsid w:val="00D5731D"/>
    <w:rsid w:val="00D57336"/>
    <w:rsid w:val="00D57603"/>
    <w:rsid w:val="00D5760B"/>
    <w:rsid w:val="00D57C6E"/>
    <w:rsid w:val="00D60425"/>
    <w:rsid w:val="00D607E6"/>
    <w:rsid w:val="00D60BCC"/>
    <w:rsid w:val="00D612E9"/>
    <w:rsid w:val="00D61340"/>
    <w:rsid w:val="00D61381"/>
    <w:rsid w:val="00D615EF"/>
    <w:rsid w:val="00D61696"/>
    <w:rsid w:val="00D628A1"/>
    <w:rsid w:val="00D630EC"/>
    <w:rsid w:val="00D63382"/>
    <w:rsid w:val="00D6352A"/>
    <w:rsid w:val="00D6375D"/>
    <w:rsid w:val="00D63ABC"/>
    <w:rsid w:val="00D63DFA"/>
    <w:rsid w:val="00D646AE"/>
    <w:rsid w:val="00D6506D"/>
    <w:rsid w:val="00D653A9"/>
    <w:rsid w:val="00D65611"/>
    <w:rsid w:val="00D65727"/>
    <w:rsid w:val="00D6700C"/>
    <w:rsid w:val="00D670D9"/>
    <w:rsid w:val="00D672C8"/>
    <w:rsid w:val="00D6FC9F"/>
    <w:rsid w:val="00D7015B"/>
    <w:rsid w:val="00D7033A"/>
    <w:rsid w:val="00D706FF"/>
    <w:rsid w:val="00D7093D"/>
    <w:rsid w:val="00D70A0D"/>
    <w:rsid w:val="00D70C6B"/>
    <w:rsid w:val="00D716D2"/>
    <w:rsid w:val="00D721DE"/>
    <w:rsid w:val="00D72281"/>
    <w:rsid w:val="00D72754"/>
    <w:rsid w:val="00D7290B"/>
    <w:rsid w:val="00D73652"/>
    <w:rsid w:val="00D741AD"/>
    <w:rsid w:val="00D74202"/>
    <w:rsid w:val="00D743D8"/>
    <w:rsid w:val="00D74B7F"/>
    <w:rsid w:val="00D74D7B"/>
    <w:rsid w:val="00D7515C"/>
    <w:rsid w:val="00D759BF"/>
    <w:rsid w:val="00D76049"/>
    <w:rsid w:val="00D76596"/>
    <w:rsid w:val="00D765E2"/>
    <w:rsid w:val="00D7694C"/>
    <w:rsid w:val="00D77DFE"/>
    <w:rsid w:val="00D8117C"/>
    <w:rsid w:val="00D820AA"/>
    <w:rsid w:val="00D8290E"/>
    <w:rsid w:val="00D82A2B"/>
    <w:rsid w:val="00D8308E"/>
    <w:rsid w:val="00D83888"/>
    <w:rsid w:val="00D84388"/>
    <w:rsid w:val="00D847D3"/>
    <w:rsid w:val="00D84F6A"/>
    <w:rsid w:val="00D85078"/>
    <w:rsid w:val="00D85122"/>
    <w:rsid w:val="00D85161"/>
    <w:rsid w:val="00D853CE"/>
    <w:rsid w:val="00D85479"/>
    <w:rsid w:val="00D854D6"/>
    <w:rsid w:val="00D85EED"/>
    <w:rsid w:val="00D860DB"/>
    <w:rsid w:val="00D86471"/>
    <w:rsid w:val="00D865C9"/>
    <w:rsid w:val="00D8660C"/>
    <w:rsid w:val="00D86902"/>
    <w:rsid w:val="00D86CEB"/>
    <w:rsid w:val="00D86EAF"/>
    <w:rsid w:val="00D87202"/>
    <w:rsid w:val="00D87F6D"/>
    <w:rsid w:val="00D90543"/>
    <w:rsid w:val="00D9098F"/>
    <w:rsid w:val="00D90B01"/>
    <w:rsid w:val="00D90D24"/>
    <w:rsid w:val="00D90E26"/>
    <w:rsid w:val="00D90E39"/>
    <w:rsid w:val="00D91435"/>
    <w:rsid w:val="00D91C39"/>
    <w:rsid w:val="00D91E22"/>
    <w:rsid w:val="00D91FF5"/>
    <w:rsid w:val="00D92398"/>
    <w:rsid w:val="00D926E6"/>
    <w:rsid w:val="00D92732"/>
    <w:rsid w:val="00D92B74"/>
    <w:rsid w:val="00D92CA7"/>
    <w:rsid w:val="00D9302E"/>
    <w:rsid w:val="00D93B85"/>
    <w:rsid w:val="00D93C62"/>
    <w:rsid w:val="00D93D4C"/>
    <w:rsid w:val="00D94565"/>
    <w:rsid w:val="00D94D95"/>
    <w:rsid w:val="00D94E13"/>
    <w:rsid w:val="00D951BD"/>
    <w:rsid w:val="00D955D4"/>
    <w:rsid w:val="00D95822"/>
    <w:rsid w:val="00D958F2"/>
    <w:rsid w:val="00D964C0"/>
    <w:rsid w:val="00D966F6"/>
    <w:rsid w:val="00D9694F"/>
    <w:rsid w:val="00D96F75"/>
    <w:rsid w:val="00D977E3"/>
    <w:rsid w:val="00D9784B"/>
    <w:rsid w:val="00DA0216"/>
    <w:rsid w:val="00DA051F"/>
    <w:rsid w:val="00DA1171"/>
    <w:rsid w:val="00DA14C2"/>
    <w:rsid w:val="00DA177D"/>
    <w:rsid w:val="00DA1E63"/>
    <w:rsid w:val="00DA225A"/>
    <w:rsid w:val="00DA2433"/>
    <w:rsid w:val="00DA248F"/>
    <w:rsid w:val="00DA32E3"/>
    <w:rsid w:val="00DA3960"/>
    <w:rsid w:val="00DA3EBF"/>
    <w:rsid w:val="00DA410C"/>
    <w:rsid w:val="00DA4475"/>
    <w:rsid w:val="00DA450F"/>
    <w:rsid w:val="00DA482C"/>
    <w:rsid w:val="00DA4ADF"/>
    <w:rsid w:val="00DA4E29"/>
    <w:rsid w:val="00DA5F3D"/>
    <w:rsid w:val="00DA5F70"/>
    <w:rsid w:val="00DA6768"/>
    <w:rsid w:val="00DA69AB"/>
    <w:rsid w:val="00DA7037"/>
    <w:rsid w:val="00DA7BF0"/>
    <w:rsid w:val="00DB0055"/>
    <w:rsid w:val="00DB1C42"/>
    <w:rsid w:val="00DB1F26"/>
    <w:rsid w:val="00DB258D"/>
    <w:rsid w:val="00DB26F6"/>
    <w:rsid w:val="00DB292B"/>
    <w:rsid w:val="00DB2C2B"/>
    <w:rsid w:val="00DB2D6A"/>
    <w:rsid w:val="00DB2E06"/>
    <w:rsid w:val="00DB33F4"/>
    <w:rsid w:val="00DB34A9"/>
    <w:rsid w:val="00DB35AE"/>
    <w:rsid w:val="00DB39D5"/>
    <w:rsid w:val="00DB3CA8"/>
    <w:rsid w:val="00DB4371"/>
    <w:rsid w:val="00DB43CF"/>
    <w:rsid w:val="00DB49DD"/>
    <w:rsid w:val="00DB51AC"/>
    <w:rsid w:val="00DB5864"/>
    <w:rsid w:val="00DB5EC0"/>
    <w:rsid w:val="00DB612B"/>
    <w:rsid w:val="00DB664F"/>
    <w:rsid w:val="00DB6CB0"/>
    <w:rsid w:val="00DB70C4"/>
    <w:rsid w:val="00DB7D15"/>
    <w:rsid w:val="00DC0184"/>
    <w:rsid w:val="00DC0227"/>
    <w:rsid w:val="00DC06E1"/>
    <w:rsid w:val="00DC0A4D"/>
    <w:rsid w:val="00DC1EAE"/>
    <w:rsid w:val="00DC2C1D"/>
    <w:rsid w:val="00DC3264"/>
    <w:rsid w:val="00DC39B3"/>
    <w:rsid w:val="00DC3C53"/>
    <w:rsid w:val="00DC4260"/>
    <w:rsid w:val="00DC4370"/>
    <w:rsid w:val="00DC45A1"/>
    <w:rsid w:val="00DC475B"/>
    <w:rsid w:val="00DC4BF1"/>
    <w:rsid w:val="00DC4C27"/>
    <w:rsid w:val="00DC4DA8"/>
    <w:rsid w:val="00DC533E"/>
    <w:rsid w:val="00DC53F2"/>
    <w:rsid w:val="00DC54CF"/>
    <w:rsid w:val="00DC5CEA"/>
    <w:rsid w:val="00DC5E23"/>
    <w:rsid w:val="00DC619D"/>
    <w:rsid w:val="00DC62CB"/>
    <w:rsid w:val="00DC6EFE"/>
    <w:rsid w:val="00DC7584"/>
    <w:rsid w:val="00DC7C97"/>
    <w:rsid w:val="00DD00F3"/>
    <w:rsid w:val="00DD086F"/>
    <w:rsid w:val="00DD0B86"/>
    <w:rsid w:val="00DD0CEC"/>
    <w:rsid w:val="00DD0F25"/>
    <w:rsid w:val="00DD0FAD"/>
    <w:rsid w:val="00DD15D6"/>
    <w:rsid w:val="00DD16B8"/>
    <w:rsid w:val="00DD1A02"/>
    <w:rsid w:val="00DD1CD5"/>
    <w:rsid w:val="00DD1D55"/>
    <w:rsid w:val="00DD223D"/>
    <w:rsid w:val="00DD2477"/>
    <w:rsid w:val="00DD2818"/>
    <w:rsid w:val="00DD29C0"/>
    <w:rsid w:val="00DD2C7B"/>
    <w:rsid w:val="00DD2DD7"/>
    <w:rsid w:val="00DD31EF"/>
    <w:rsid w:val="00DD3797"/>
    <w:rsid w:val="00DD3C48"/>
    <w:rsid w:val="00DD3D5D"/>
    <w:rsid w:val="00DD410D"/>
    <w:rsid w:val="00DD4810"/>
    <w:rsid w:val="00DD4843"/>
    <w:rsid w:val="00DD4BD5"/>
    <w:rsid w:val="00DD4D9C"/>
    <w:rsid w:val="00DD513F"/>
    <w:rsid w:val="00DD541B"/>
    <w:rsid w:val="00DD55BF"/>
    <w:rsid w:val="00DD563C"/>
    <w:rsid w:val="00DD5665"/>
    <w:rsid w:val="00DD58E9"/>
    <w:rsid w:val="00DD5B72"/>
    <w:rsid w:val="00DD6EBA"/>
    <w:rsid w:val="00DD6EE2"/>
    <w:rsid w:val="00DD7A6A"/>
    <w:rsid w:val="00DD7D99"/>
    <w:rsid w:val="00DD7F98"/>
    <w:rsid w:val="00DD816F"/>
    <w:rsid w:val="00DE0555"/>
    <w:rsid w:val="00DE0A5D"/>
    <w:rsid w:val="00DE0D6D"/>
    <w:rsid w:val="00DE0DEC"/>
    <w:rsid w:val="00DE13D1"/>
    <w:rsid w:val="00DE1A44"/>
    <w:rsid w:val="00DE1BBC"/>
    <w:rsid w:val="00DE1E2F"/>
    <w:rsid w:val="00DE212F"/>
    <w:rsid w:val="00DE2686"/>
    <w:rsid w:val="00DE2BBD"/>
    <w:rsid w:val="00DE33FB"/>
    <w:rsid w:val="00DE37C9"/>
    <w:rsid w:val="00DE3A61"/>
    <w:rsid w:val="00DE3E64"/>
    <w:rsid w:val="00DE4519"/>
    <w:rsid w:val="00DE472E"/>
    <w:rsid w:val="00DE483C"/>
    <w:rsid w:val="00DE4E27"/>
    <w:rsid w:val="00DE6152"/>
    <w:rsid w:val="00DE6850"/>
    <w:rsid w:val="00DE79F4"/>
    <w:rsid w:val="00DE7F86"/>
    <w:rsid w:val="00DEF8A3"/>
    <w:rsid w:val="00DF04F4"/>
    <w:rsid w:val="00DF0669"/>
    <w:rsid w:val="00DF0CED"/>
    <w:rsid w:val="00DF0E39"/>
    <w:rsid w:val="00DF12C3"/>
    <w:rsid w:val="00DF144E"/>
    <w:rsid w:val="00DF2016"/>
    <w:rsid w:val="00DF35A1"/>
    <w:rsid w:val="00DF3D67"/>
    <w:rsid w:val="00DF47D6"/>
    <w:rsid w:val="00DF4A15"/>
    <w:rsid w:val="00DF4B4F"/>
    <w:rsid w:val="00DF50C8"/>
    <w:rsid w:val="00DF52D4"/>
    <w:rsid w:val="00DF5767"/>
    <w:rsid w:val="00DF5A7C"/>
    <w:rsid w:val="00DF5CC1"/>
    <w:rsid w:val="00DF69F9"/>
    <w:rsid w:val="00DF6A33"/>
    <w:rsid w:val="00DF6A37"/>
    <w:rsid w:val="00DF6EFA"/>
    <w:rsid w:val="00DF7362"/>
    <w:rsid w:val="00DF750C"/>
    <w:rsid w:val="00DF7683"/>
    <w:rsid w:val="00DF796C"/>
    <w:rsid w:val="00DF7ED6"/>
    <w:rsid w:val="00E0027E"/>
    <w:rsid w:val="00E00431"/>
    <w:rsid w:val="00E004D6"/>
    <w:rsid w:val="00E00684"/>
    <w:rsid w:val="00E007A3"/>
    <w:rsid w:val="00E00B0E"/>
    <w:rsid w:val="00E01308"/>
    <w:rsid w:val="00E01763"/>
    <w:rsid w:val="00E01825"/>
    <w:rsid w:val="00E01871"/>
    <w:rsid w:val="00E01DE8"/>
    <w:rsid w:val="00E025EF"/>
    <w:rsid w:val="00E0295C"/>
    <w:rsid w:val="00E0358A"/>
    <w:rsid w:val="00E03AE3"/>
    <w:rsid w:val="00E03F55"/>
    <w:rsid w:val="00E040BC"/>
    <w:rsid w:val="00E0470A"/>
    <w:rsid w:val="00E04948"/>
    <w:rsid w:val="00E04C29"/>
    <w:rsid w:val="00E04C59"/>
    <w:rsid w:val="00E04CDC"/>
    <w:rsid w:val="00E04E5B"/>
    <w:rsid w:val="00E04EB1"/>
    <w:rsid w:val="00E05C71"/>
    <w:rsid w:val="00E05EB4"/>
    <w:rsid w:val="00E05ECE"/>
    <w:rsid w:val="00E05F06"/>
    <w:rsid w:val="00E05F09"/>
    <w:rsid w:val="00E064EF"/>
    <w:rsid w:val="00E06ACD"/>
    <w:rsid w:val="00E06B1A"/>
    <w:rsid w:val="00E06BB2"/>
    <w:rsid w:val="00E06C48"/>
    <w:rsid w:val="00E06F27"/>
    <w:rsid w:val="00E10519"/>
    <w:rsid w:val="00E10857"/>
    <w:rsid w:val="00E10A47"/>
    <w:rsid w:val="00E10C6B"/>
    <w:rsid w:val="00E114A3"/>
    <w:rsid w:val="00E119F7"/>
    <w:rsid w:val="00E1245C"/>
    <w:rsid w:val="00E1338B"/>
    <w:rsid w:val="00E13CBD"/>
    <w:rsid w:val="00E13F2E"/>
    <w:rsid w:val="00E14190"/>
    <w:rsid w:val="00E14661"/>
    <w:rsid w:val="00E14689"/>
    <w:rsid w:val="00E14699"/>
    <w:rsid w:val="00E14988"/>
    <w:rsid w:val="00E14EF7"/>
    <w:rsid w:val="00E15310"/>
    <w:rsid w:val="00E15318"/>
    <w:rsid w:val="00E15552"/>
    <w:rsid w:val="00E15577"/>
    <w:rsid w:val="00E15E79"/>
    <w:rsid w:val="00E16769"/>
    <w:rsid w:val="00E168C3"/>
    <w:rsid w:val="00E17183"/>
    <w:rsid w:val="00E1741B"/>
    <w:rsid w:val="00E17839"/>
    <w:rsid w:val="00E17D04"/>
    <w:rsid w:val="00E17F03"/>
    <w:rsid w:val="00E2020A"/>
    <w:rsid w:val="00E20940"/>
    <w:rsid w:val="00E218AC"/>
    <w:rsid w:val="00E21D9A"/>
    <w:rsid w:val="00E2202F"/>
    <w:rsid w:val="00E224A2"/>
    <w:rsid w:val="00E228E6"/>
    <w:rsid w:val="00E22A0B"/>
    <w:rsid w:val="00E22A30"/>
    <w:rsid w:val="00E22BAE"/>
    <w:rsid w:val="00E2356B"/>
    <w:rsid w:val="00E239AD"/>
    <w:rsid w:val="00E23A7E"/>
    <w:rsid w:val="00E245D4"/>
    <w:rsid w:val="00E24D3C"/>
    <w:rsid w:val="00E24E92"/>
    <w:rsid w:val="00E25194"/>
    <w:rsid w:val="00E257FC"/>
    <w:rsid w:val="00E2594E"/>
    <w:rsid w:val="00E259EA"/>
    <w:rsid w:val="00E25D51"/>
    <w:rsid w:val="00E263DB"/>
    <w:rsid w:val="00E26640"/>
    <w:rsid w:val="00E26DDD"/>
    <w:rsid w:val="00E271AB"/>
    <w:rsid w:val="00E27487"/>
    <w:rsid w:val="00E2770E"/>
    <w:rsid w:val="00E27A17"/>
    <w:rsid w:val="00E27C63"/>
    <w:rsid w:val="00E27F5F"/>
    <w:rsid w:val="00E2F564"/>
    <w:rsid w:val="00E30020"/>
    <w:rsid w:val="00E30908"/>
    <w:rsid w:val="00E30D71"/>
    <w:rsid w:val="00E311E4"/>
    <w:rsid w:val="00E3188B"/>
    <w:rsid w:val="00E31C21"/>
    <w:rsid w:val="00E31EB7"/>
    <w:rsid w:val="00E3201D"/>
    <w:rsid w:val="00E32200"/>
    <w:rsid w:val="00E32B5A"/>
    <w:rsid w:val="00E32CA1"/>
    <w:rsid w:val="00E32D53"/>
    <w:rsid w:val="00E330FF"/>
    <w:rsid w:val="00E33813"/>
    <w:rsid w:val="00E33B8D"/>
    <w:rsid w:val="00E33C1C"/>
    <w:rsid w:val="00E33D91"/>
    <w:rsid w:val="00E343CC"/>
    <w:rsid w:val="00E34535"/>
    <w:rsid w:val="00E348A0"/>
    <w:rsid w:val="00E34A25"/>
    <w:rsid w:val="00E35015"/>
    <w:rsid w:val="00E35281"/>
    <w:rsid w:val="00E35464"/>
    <w:rsid w:val="00E3560C"/>
    <w:rsid w:val="00E359E3"/>
    <w:rsid w:val="00E35DBA"/>
    <w:rsid w:val="00E36057"/>
    <w:rsid w:val="00E36172"/>
    <w:rsid w:val="00E36815"/>
    <w:rsid w:val="00E36DC6"/>
    <w:rsid w:val="00E373B5"/>
    <w:rsid w:val="00E37610"/>
    <w:rsid w:val="00E377B4"/>
    <w:rsid w:val="00E37E58"/>
    <w:rsid w:val="00E402F2"/>
    <w:rsid w:val="00E40A0B"/>
    <w:rsid w:val="00E40C56"/>
    <w:rsid w:val="00E410B9"/>
    <w:rsid w:val="00E412A3"/>
    <w:rsid w:val="00E41AD2"/>
    <w:rsid w:val="00E4218A"/>
    <w:rsid w:val="00E4291E"/>
    <w:rsid w:val="00E42AF1"/>
    <w:rsid w:val="00E42EA7"/>
    <w:rsid w:val="00E42F48"/>
    <w:rsid w:val="00E43325"/>
    <w:rsid w:val="00E4352D"/>
    <w:rsid w:val="00E4402E"/>
    <w:rsid w:val="00E44653"/>
    <w:rsid w:val="00E447AB"/>
    <w:rsid w:val="00E44D28"/>
    <w:rsid w:val="00E455A6"/>
    <w:rsid w:val="00E45C70"/>
    <w:rsid w:val="00E45ED8"/>
    <w:rsid w:val="00E47795"/>
    <w:rsid w:val="00E4796A"/>
    <w:rsid w:val="00E47BA1"/>
    <w:rsid w:val="00E47E0B"/>
    <w:rsid w:val="00E506E7"/>
    <w:rsid w:val="00E50DD3"/>
    <w:rsid w:val="00E50DFD"/>
    <w:rsid w:val="00E50FD2"/>
    <w:rsid w:val="00E51D57"/>
    <w:rsid w:val="00E520A4"/>
    <w:rsid w:val="00E523C6"/>
    <w:rsid w:val="00E52A4B"/>
    <w:rsid w:val="00E53241"/>
    <w:rsid w:val="00E533E7"/>
    <w:rsid w:val="00E534B4"/>
    <w:rsid w:val="00E5373E"/>
    <w:rsid w:val="00E53889"/>
    <w:rsid w:val="00E54397"/>
    <w:rsid w:val="00E54469"/>
    <w:rsid w:val="00E5472F"/>
    <w:rsid w:val="00E547AC"/>
    <w:rsid w:val="00E54ADE"/>
    <w:rsid w:val="00E54EAB"/>
    <w:rsid w:val="00E553DD"/>
    <w:rsid w:val="00E554F8"/>
    <w:rsid w:val="00E558BF"/>
    <w:rsid w:val="00E55903"/>
    <w:rsid w:val="00E560C3"/>
    <w:rsid w:val="00E5647B"/>
    <w:rsid w:val="00E56A8F"/>
    <w:rsid w:val="00E56AA6"/>
    <w:rsid w:val="00E5742A"/>
    <w:rsid w:val="00E5779B"/>
    <w:rsid w:val="00E57FEF"/>
    <w:rsid w:val="00E60720"/>
    <w:rsid w:val="00E60F7F"/>
    <w:rsid w:val="00E61CD3"/>
    <w:rsid w:val="00E6282F"/>
    <w:rsid w:val="00E62D50"/>
    <w:rsid w:val="00E6338B"/>
    <w:rsid w:val="00E63C6F"/>
    <w:rsid w:val="00E641A7"/>
    <w:rsid w:val="00E643FF"/>
    <w:rsid w:val="00E6517E"/>
    <w:rsid w:val="00E65586"/>
    <w:rsid w:val="00E6561D"/>
    <w:rsid w:val="00E65C73"/>
    <w:rsid w:val="00E66A8E"/>
    <w:rsid w:val="00E673DB"/>
    <w:rsid w:val="00E676EB"/>
    <w:rsid w:val="00E67CA6"/>
    <w:rsid w:val="00E702F2"/>
    <w:rsid w:val="00E70797"/>
    <w:rsid w:val="00E710F4"/>
    <w:rsid w:val="00E71997"/>
    <w:rsid w:val="00E71A8E"/>
    <w:rsid w:val="00E71C2E"/>
    <w:rsid w:val="00E721B3"/>
    <w:rsid w:val="00E72682"/>
    <w:rsid w:val="00E72E7A"/>
    <w:rsid w:val="00E734F9"/>
    <w:rsid w:val="00E73AB7"/>
    <w:rsid w:val="00E73BD7"/>
    <w:rsid w:val="00E73F56"/>
    <w:rsid w:val="00E74106"/>
    <w:rsid w:val="00E7422B"/>
    <w:rsid w:val="00E74260"/>
    <w:rsid w:val="00E74519"/>
    <w:rsid w:val="00E74C73"/>
    <w:rsid w:val="00E75B33"/>
    <w:rsid w:val="00E761AE"/>
    <w:rsid w:val="00E766C5"/>
    <w:rsid w:val="00E769B8"/>
    <w:rsid w:val="00E7BF93"/>
    <w:rsid w:val="00E800C3"/>
    <w:rsid w:val="00E8044D"/>
    <w:rsid w:val="00E804E2"/>
    <w:rsid w:val="00E80859"/>
    <w:rsid w:val="00E81BC9"/>
    <w:rsid w:val="00E81E57"/>
    <w:rsid w:val="00E823C2"/>
    <w:rsid w:val="00E83941"/>
    <w:rsid w:val="00E848FF"/>
    <w:rsid w:val="00E84AD2"/>
    <w:rsid w:val="00E84CA8"/>
    <w:rsid w:val="00E85026"/>
    <w:rsid w:val="00E85F5F"/>
    <w:rsid w:val="00E8608F"/>
    <w:rsid w:val="00E86409"/>
    <w:rsid w:val="00E8645D"/>
    <w:rsid w:val="00E86D2A"/>
    <w:rsid w:val="00E87A8E"/>
    <w:rsid w:val="00E87CE2"/>
    <w:rsid w:val="00E9086B"/>
    <w:rsid w:val="00E90D9C"/>
    <w:rsid w:val="00E913F5"/>
    <w:rsid w:val="00E91893"/>
    <w:rsid w:val="00E919AF"/>
    <w:rsid w:val="00E91F31"/>
    <w:rsid w:val="00E921B6"/>
    <w:rsid w:val="00E92217"/>
    <w:rsid w:val="00E92303"/>
    <w:rsid w:val="00E931BD"/>
    <w:rsid w:val="00E936EF"/>
    <w:rsid w:val="00E93E25"/>
    <w:rsid w:val="00E9404A"/>
    <w:rsid w:val="00E94412"/>
    <w:rsid w:val="00E94678"/>
    <w:rsid w:val="00E950BB"/>
    <w:rsid w:val="00E95110"/>
    <w:rsid w:val="00E957AE"/>
    <w:rsid w:val="00E957D4"/>
    <w:rsid w:val="00E95DC6"/>
    <w:rsid w:val="00E961D6"/>
    <w:rsid w:val="00E96C69"/>
    <w:rsid w:val="00E97DB1"/>
    <w:rsid w:val="00EA0485"/>
    <w:rsid w:val="00EA1675"/>
    <w:rsid w:val="00EA1969"/>
    <w:rsid w:val="00EA1ADA"/>
    <w:rsid w:val="00EA29F1"/>
    <w:rsid w:val="00EA33E2"/>
    <w:rsid w:val="00EA35D6"/>
    <w:rsid w:val="00EA3ADD"/>
    <w:rsid w:val="00EA3C36"/>
    <w:rsid w:val="00EA4155"/>
    <w:rsid w:val="00EA4593"/>
    <w:rsid w:val="00EA46CD"/>
    <w:rsid w:val="00EA4793"/>
    <w:rsid w:val="00EA5197"/>
    <w:rsid w:val="00EA51FA"/>
    <w:rsid w:val="00EA5210"/>
    <w:rsid w:val="00EA5691"/>
    <w:rsid w:val="00EA57CE"/>
    <w:rsid w:val="00EA58CF"/>
    <w:rsid w:val="00EA6F1D"/>
    <w:rsid w:val="00EA6FCB"/>
    <w:rsid w:val="00EA762B"/>
    <w:rsid w:val="00EA7791"/>
    <w:rsid w:val="00EB0107"/>
    <w:rsid w:val="00EB056C"/>
    <w:rsid w:val="00EB05AA"/>
    <w:rsid w:val="00EB099A"/>
    <w:rsid w:val="00EB0E29"/>
    <w:rsid w:val="00EB0E75"/>
    <w:rsid w:val="00EB181A"/>
    <w:rsid w:val="00EB1A64"/>
    <w:rsid w:val="00EB222B"/>
    <w:rsid w:val="00EB2242"/>
    <w:rsid w:val="00EB246C"/>
    <w:rsid w:val="00EB24C3"/>
    <w:rsid w:val="00EB27E5"/>
    <w:rsid w:val="00EB32DE"/>
    <w:rsid w:val="00EB45DB"/>
    <w:rsid w:val="00EB4A62"/>
    <w:rsid w:val="00EB4BCE"/>
    <w:rsid w:val="00EB4ECD"/>
    <w:rsid w:val="00EB50AB"/>
    <w:rsid w:val="00EB5172"/>
    <w:rsid w:val="00EB6FF3"/>
    <w:rsid w:val="00EB70C7"/>
    <w:rsid w:val="00EB72A8"/>
    <w:rsid w:val="00EB74EC"/>
    <w:rsid w:val="00EB7774"/>
    <w:rsid w:val="00EB7A39"/>
    <w:rsid w:val="00EB7D3F"/>
    <w:rsid w:val="00EC0115"/>
    <w:rsid w:val="00EC01ED"/>
    <w:rsid w:val="00EC0428"/>
    <w:rsid w:val="00EC0449"/>
    <w:rsid w:val="00EC1A09"/>
    <w:rsid w:val="00EC241C"/>
    <w:rsid w:val="00EC3302"/>
    <w:rsid w:val="00EC3D03"/>
    <w:rsid w:val="00EC4867"/>
    <w:rsid w:val="00EC4B2C"/>
    <w:rsid w:val="00EC4E3C"/>
    <w:rsid w:val="00EC4E88"/>
    <w:rsid w:val="00EC511D"/>
    <w:rsid w:val="00EC52EB"/>
    <w:rsid w:val="00EC5DF4"/>
    <w:rsid w:val="00EC6539"/>
    <w:rsid w:val="00EC700D"/>
    <w:rsid w:val="00EC75C8"/>
    <w:rsid w:val="00EC7E73"/>
    <w:rsid w:val="00ED0EEE"/>
    <w:rsid w:val="00ED1241"/>
    <w:rsid w:val="00ED124F"/>
    <w:rsid w:val="00ED1436"/>
    <w:rsid w:val="00ED2748"/>
    <w:rsid w:val="00ED2F47"/>
    <w:rsid w:val="00ED3A53"/>
    <w:rsid w:val="00ED3BE1"/>
    <w:rsid w:val="00ED4448"/>
    <w:rsid w:val="00ED44CC"/>
    <w:rsid w:val="00ED4D04"/>
    <w:rsid w:val="00ED4F21"/>
    <w:rsid w:val="00ED511E"/>
    <w:rsid w:val="00ED56B6"/>
    <w:rsid w:val="00ED5882"/>
    <w:rsid w:val="00ED5A89"/>
    <w:rsid w:val="00ED6A92"/>
    <w:rsid w:val="00ED726C"/>
    <w:rsid w:val="00ED7AD4"/>
    <w:rsid w:val="00ED7B66"/>
    <w:rsid w:val="00ED7CED"/>
    <w:rsid w:val="00EE0A94"/>
    <w:rsid w:val="00EE0C36"/>
    <w:rsid w:val="00EE1557"/>
    <w:rsid w:val="00EE1E7E"/>
    <w:rsid w:val="00EE1FEE"/>
    <w:rsid w:val="00EE2CBA"/>
    <w:rsid w:val="00EE31B3"/>
    <w:rsid w:val="00EE33F8"/>
    <w:rsid w:val="00EE3C76"/>
    <w:rsid w:val="00EE3C8B"/>
    <w:rsid w:val="00EE3F70"/>
    <w:rsid w:val="00EE40E0"/>
    <w:rsid w:val="00EE40F9"/>
    <w:rsid w:val="00EE4299"/>
    <w:rsid w:val="00EE50F4"/>
    <w:rsid w:val="00EE5197"/>
    <w:rsid w:val="00EE5385"/>
    <w:rsid w:val="00EE5976"/>
    <w:rsid w:val="00EE5B40"/>
    <w:rsid w:val="00EE60D4"/>
    <w:rsid w:val="00EE649F"/>
    <w:rsid w:val="00EE6997"/>
    <w:rsid w:val="00EE71B1"/>
    <w:rsid w:val="00EE72A4"/>
    <w:rsid w:val="00EE7CCA"/>
    <w:rsid w:val="00EE7E93"/>
    <w:rsid w:val="00EF0CD4"/>
    <w:rsid w:val="00EF3301"/>
    <w:rsid w:val="00EF3BDA"/>
    <w:rsid w:val="00EF5161"/>
    <w:rsid w:val="00EF5485"/>
    <w:rsid w:val="00EF5779"/>
    <w:rsid w:val="00EF5B40"/>
    <w:rsid w:val="00EF652E"/>
    <w:rsid w:val="00EF6612"/>
    <w:rsid w:val="00EF6861"/>
    <w:rsid w:val="00EF6D5D"/>
    <w:rsid w:val="00EF722F"/>
    <w:rsid w:val="00EF75BE"/>
    <w:rsid w:val="00EF77B2"/>
    <w:rsid w:val="00EF7A48"/>
    <w:rsid w:val="00EF7CD6"/>
    <w:rsid w:val="00EF7F88"/>
    <w:rsid w:val="00F0012D"/>
    <w:rsid w:val="00F005B5"/>
    <w:rsid w:val="00F00A18"/>
    <w:rsid w:val="00F0148A"/>
    <w:rsid w:val="00F0176C"/>
    <w:rsid w:val="00F0245E"/>
    <w:rsid w:val="00F028E0"/>
    <w:rsid w:val="00F02A87"/>
    <w:rsid w:val="00F03384"/>
    <w:rsid w:val="00F03B2B"/>
    <w:rsid w:val="00F04162"/>
    <w:rsid w:val="00F044F4"/>
    <w:rsid w:val="00F04646"/>
    <w:rsid w:val="00F04A57"/>
    <w:rsid w:val="00F04EDE"/>
    <w:rsid w:val="00F0534D"/>
    <w:rsid w:val="00F056C0"/>
    <w:rsid w:val="00F056CC"/>
    <w:rsid w:val="00F05E31"/>
    <w:rsid w:val="00F06585"/>
    <w:rsid w:val="00F06A39"/>
    <w:rsid w:val="00F06DBC"/>
    <w:rsid w:val="00F0721C"/>
    <w:rsid w:val="00F078D8"/>
    <w:rsid w:val="00F104DC"/>
    <w:rsid w:val="00F112C0"/>
    <w:rsid w:val="00F11703"/>
    <w:rsid w:val="00F11DB0"/>
    <w:rsid w:val="00F12139"/>
    <w:rsid w:val="00F12679"/>
    <w:rsid w:val="00F12EC5"/>
    <w:rsid w:val="00F135AF"/>
    <w:rsid w:val="00F147AD"/>
    <w:rsid w:val="00F14F4B"/>
    <w:rsid w:val="00F15600"/>
    <w:rsid w:val="00F1598C"/>
    <w:rsid w:val="00F159CB"/>
    <w:rsid w:val="00F16189"/>
    <w:rsid w:val="00F16B53"/>
    <w:rsid w:val="00F16D3D"/>
    <w:rsid w:val="00F2068A"/>
    <w:rsid w:val="00F20B46"/>
    <w:rsid w:val="00F20B6F"/>
    <w:rsid w:val="00F20DCB"/>
    <w:rsid w:val="00F2115B"/>
    <w:rsid w:val="00F21176"/>
    <w:rsid w:val="00F21354"/>
    <w:rsid w:val="00F2235C"/>
    <w:rsid w:val="00F2262D"/>
    <w:rsid w:val="00F228AB"/>
    <w:rsid w:val="00F22F06"/>
    <w:rsid w:val="00F2340C"/>
    <w:rsid w:val="00F23437"/>
    <w:rsid w:val="00F23A07"/>
    <w:rsid w:val="00F23A72"/>
    <w:rsid w:val="00F23A97"/>
    <w:rsid w:val="00F23C9F"/>
    <w:rsid w:val="00F2453D"/>
    <w:rsid w:val="00F24FFA"/>
    <w:rsid w:val="00F25641"/>
    <w:rsid w:val="00F26888"/>
    <w:rsid w:val="00F26AA6"/>
    <w:rsid w:val="00F26D49"/>
    <w:rsid w:val="00F27412"/>
    <w:rsid w:val="00F275FC"/>
    <w:rsid w:val="00F30017"/>
    <w:rsid w:val="00F311C7"/>
    <w:rsid w:val="00F314B0"/>
    <w:rsid w:val="00F3220F"/>
    <w:rsid w:val="00F32215"/>
    <w:rsid w:val="00F3269B"/>
    <w:rsid w:val="00F33606"/>
    <w:rsid w:val="00F339DC"/>
    <w:rsid w:val="00F34118"/>
    <w:rsid w:val="00F34FFD"/>
    <w:rsid w:val="00F35717"/>
    <w:rsid w:val="00F35A19"/>
    <w:rsid w:val="00F35AF2"/>
    <w:rsid w:val="00F35C90"/>
    <w:rsid w:val="00F35D3F"/>
    <w:rsid w:val="00F361B5"/>
    <w:rsid w:val="00F361BF"/>
    <w:rsid w:val="00F36B78"/>
    <w:rsid w:val="00F36BE5"/>
    <w:rsid w:val="00F36CD6"/>
    <w:rsid w:val="00F36D00"/>
    <w:rsid w:val="00F373F8"/>
    <w:rsid w:val="00F3760D"/>
    <w:rsid w:val="00F378FD"/>
    <w:rsid w:val="00F37960"/>
    <w:rsid w:val="00F37D82"/>
    <w:rsid w:val="00F40982"/>
    <w:rsid w:val="00F41118"/>
    <w:rsid w:val="00F412C0"/>
    <w:rsid w:val="00F416F0"/>
    <w:rsid w:val="00F41BAB"/>
    <w:rsid w:val="00F41BCE"/>
    <w:rsid w:val="00F41E92"/>
    <w:rsid w:val="00F427EC"/>
    <w:rsid w:val="00F42807"/>
    <w:rsid w:val="00F42AEB"/>
    <w:rsid w:val="00F42CC9"/>
    <w:rsid w:val="00F42EB0"/>
    <w:rsid w:val="00F430C9"/>
    <w:rsid w:val="00F43272"/>
    <w:rsid w:val="00F436E4"/>
    <w:rsid w:val="00F43A8F"/>
    <w:rsid w:val="00F43CF6"/>
    <w:rsid w:val="00F44179"/>
    <w:rsid w:val="00F444E5"/>
    <w:rsid w:val="00F444E8"/>
    <w:rsid w:val="00F44B61"/>
    <w:rsid w:val="00F44E6D"/>
    <w:rsid w:val="00F45119"/>
    <w:rsid w:val="00F4522B"/>
    <w:rsid w:val="00F45ADC"/>
    <w:rsid w:val="00F45CAF"/>
    <w:rsid w:val="00F45E90"/>
    <w:rsid w:val="00F45F46"/>
    <w:rsid w:val="00F46197"/>
    <w:rsid w:val="00F4695B"/>
    <w:rsid w:val="00F4726E"/>
    <w:rsid w:val="00F47E8C"/>
    <w:rsid w:val="00F50A72"/>
    <w:rsid w:val="00F521DA"/>
    <w:rsid w:val="00F52260"/>
    <w:rsid w:val="00F52463"/>
    <w:rsid w:val="00F527BF"/>
    <w:rsid w:val="00F52804"/>
    <w:rsid w:val="00F530AB"/>
    <w:rsid w:val="00F535FE"/>
    <w:rsid w:val="00F536F0"/>
    <w:rsid w:val="00F5467C"/>
    <w:rsid w:val="00F54A1F"/>
    <w:rsid w:val="00F54C79"/>
    <w:rsid w:val="00F55572"/>
    <w:rsid w:val="00F55F2F"/>
    <w:rsid w:val="00F56670"/>
    <w:rsid w:val="00F56A36"/>
    <w:rsid w:val="00F570D4"/>
    <w:rsid w:val="00F5781F"/>
    <w:rsid w:val="00F57B4E"/>
    <w:rsid w:val="00F6019F"/>
    <w:rsid w:val="00F6036D"/>
    <w:rsid w:val="00F60A36"/>
    <w:rsid w:val="00F60CC1"/>
    <w:rsid w:val="00F60DF5"/>
    <w:rsid w:val="00F60EF4"/>
    <w:rsid w:val="00F61124"/>
    <w:rsid w:val="00F61354"/>
    <w:rsid w:val="00F616C7"/>
    <w:rsid w:val="00F6176C"/>
    <w:rsid w:val="00F61B0D"/>
    <w:rsid w:val="00F61CE2"/>
    <w:rsid w:val="00F61F28"/>
    <w:rsid w:val="00F62331"/>
    <w:rsid w:val="00F62699"/>
    <w:rsid w:val="00F63089"/>
    <w:rsid w:val="00F63B9C"/>
    <w:rsid w:val="00F64039"/>
    <w:rsid w:val="00F6473C"/>
    <w:rsid w:val="00F6473E"/>
    <w:rsid w:val="00F64BF3"/>
    <w:rsid w:val="00F65051"/>
    <w:rsid w:val="00F6607D"/>
    <w:rsid w:val="00F66093"/>
    <w:rsid w:val="00F66319"/>
    <w:rsid w:val="00F6725D"/>
    <w:rsid w:val="00F67BE7"/>
    <w:rsid w:val="00F67F95"/>
    <w:rsid w:val="00F68D7C"/>
    <w:rsid w:val="00F707A9"/>
    <w:rsid w:val="00F7092B"/>
    <w:rsid w:val="00F70939"/>
    <w:rsid w:val="00F70947"/>
    <w:rsid w:val="00F70FFE"/>
    <w:rsid w:val="00F7134F"/>
    <w:rsid w:val="00F719F5"/>
    <w:rsid w:val="00F72233"/>
    <w:rsid w:val="00F7233A"/>
    <w:rsid w:val="00F7251D"/>
    <w:rsid w:val="00F725A7"/>
    <w:rsid w:val="00F72BAD"/>
    <w:rsid w:val="00F730FC"/>
    <w:rsid w:val="00F7326F"/>
    <w:rsid w:val="00F73F17"/>
    <w:rsid w:val="00F74006"/>
    <w:rsid w:val="00F74122"/>
    <w:rsid w:val="00F7451F"/>
    <w:rsid w:val="00F749CE"/>
    <w:rsid w:val="00F74B0C"/>
    <w:rsid w:val="00F74ED2"/>
    <w:rsid w:val="00F7570F"/>
    <w:rsid w:val="00F75C05"/>
    <w:rsid w:val="00F76087"/>
    <w:rsid w:val="00F764FF"/>
    <w:rsid w:val="00F765AE"/>
    <w:rsid w:val="00F76765"/>
    <w:rsid w:val="00F76A2C"/>
    <w:rsid w:val="00F76A61"/>
    <w:rsid w:val="00F76C2B"/>
    <w:rsid w:val="00F77131"/>
    <w:rsid w:val="00F77C41"/>
    <w:rsid w:val="00F77C54"/>
    <w:rsid w:val="00F77F73"/>
    <w:rsid w:val="00F7CB4B"/>
    <w:rsid w:val="00F7DC2F"/>
    <w:rsid w:val="00F801EB"/>
    <w:rsid w:val="00F80AE0"/>
    <w:rsid w:val="00F810D3"/>
    <w:rsid w:val="00F82251"/>
    <w:rsid w:val="00F822DC"/>
    <w:rsid w:val="00F82988"/>
    <w:rsid w:val="00F82B18"/>
    <w:rsid w:val="00F82E41"/>
    <w:rsid w:val="00F83034"/>
    <w:rsid w:val="00F8327E"/>
    <w:rsid w:val="00F83952"/>
    <w:rsid w:val="00F8462E"/>
    <w:rsid w:val="00F846C2"/>
    <w:rsid w:val="00F84713"/>
    <w:rsid w:val="00F84894"/>
    <w:rsid w:val="00F84C24"/>
    <w:rsid w:val="00F856F6"/>
    <w:rsid w:val="00F85A21"/>
    <w:rsid w:val="00F8601C"/>
    <w:rsid w:val="00F861F1"/>
    <w:rsid w:val="00F862A1"/>
    <w:rsid w:val="00F8651C"/>
    <w:rsid w:val="00F86F8D"/>
    <w:rsid w:val="00F876AA"/>
    <w:rsid w:val="00F87757"/>
    <w:rsid w:val="00F87A2F"/>
    <w:rsid w:val="00F87B2A"/>
    <w:rsid w:val="00F900D4"/>
    <w:rsid w:val="00F90101"/>
    <w:rsid w:val="00F90178"/>
    <w:rsid w:val="00F90481"/>
    <w:rsid w:val="00F904A7"/>
    <w:rsid w:val="00F90672"/>
    <w:rsid w:val="00F90975"/>
    <w:rsid w:val="00F90EB6"/>
    <w:rsid w:val="00F90FF6"/>
    <w:rsid w:val="00F911AF"/>
    <w:rsid w:val="00F916BC"/>
    <w:rsid w:val="00F91B02"/>
    <w:rsid w:val="00F92429"/>
    <w:rsid w:val="00F92B2D"/>
    <w:rsid w:val="00F92C05"/>
    <w:rsid w:val="00F92F18"/>
    <w:rsid w:val="00F92FD5"/>
    <w:rsid w:val="00F935F4"/>
    <w:rsid w:val="00F936E4"/>
    <w:rsid w:val="00F936F9"/>
    <w:rsid w:val="00F940AB"/>
    <w:rsid w:val="00F94174"/>
    <w:rsid w:val="00F94696"/>
    <w:rsid w:val="00F94B32"/>
    <w:rsid w:val="00F94E85"/>
    <w:rsid w:val="00F94FFB"/>
    <w:rsid w:val="00F95566"/>
    <w:rsid w:val="00F95D14"/>
    <w:rsid w:val="00F96B66"/>
    <w:rsid w:val="00F96F73"/>
    <w:rsid w:val="00F97391"/>
    <w:rsid w:val="00F97403"/>
    <w:rsid w:val="00F979B0"/>
    <w:rsid w:val="00FA021F"/>
    <w:rsid w:val="00FA09F5"/>
    <w:rsid w:val="00FA0A29"/>
    <w:rsid w:val="00FA0FB1"/>
    <w:rsid w:val="00FA18FE"/>
    <w:rsid w:val="00FA1A38"/>
    <w:rsid w:val="00FA1C52"/>
    <w:rsid w:val="00FA1CB0"/>
    <w:rsid w:val="00FA244C"/>
    <w:rsid w:val="00FA2827"/>
    <w:rsid w:val="00FA284B"/>
    <w:rsid w:val="00FA295A"/>
    <w:rsid w:val="00FA2C38"/>
    <w:rsid w:val="00FA319D"/>
    <w:rsid w:val="00FA3273"/>
    <w:rsid w:val="00FA39AF"/>
    <w:rsid w:val="00FA3DE6"/>
    <w:rsid w:val="00FA3FD3"/>
    <w:rsid w:val="00FA4176"/>
    <w:rsid w:val="00FA4B8D"/>
    <w:rsid w:val="00FA543C"/>
    <w:rsid w:val="00FA572D"/>
    <w:rsid w:val="00FA5F8B"/>
    <w:rsid w:val="00FA60EE"/>
    <w:rsid w:val="00FA62F8"/>
    <w:rsid w:val="00FA657F"/>
    <w:rsid w:val="00FA686B"/>
    <w:rsid w:val="00FA6DC5"/>
    <w:rsid w:val="00FA7274"/>
    <w:rsid w:val="00FA72C0"/>
    <w:rsid w:val="00FA743F"/>
    <w:rsid w:val="00FA785D"/>
    <w:rsid w:val="00FA7A7C"/>
    <w:rsid w:val="00FA7DF5"/>
    <w:rsid w:val="00FAD64F"/>
    <w:rsid w:val="00FB0706"/>
    <w:rsid w:val="00FB0D32"/>
    <w:rsid w:val="00FB106A"/>
    <w:rsid w:val="00FB130A"/>
    <w:rsid w:val="00FB1AE5"/>
    <w:rsid w:val="00FB1F59"/>
    <w:rsid w:val="00FB1FBD"/>
    <w:rsid w:val="00FB201D"/>
    <w:rsid w:val="00FB242A"/>
    <w:rsid w:val="00FB26FF"/>
    <w:rsid w:val="00FB2AAA"/>
    <w:rsid w:val="00FB2E4A"/>
    <w:rsid w:val="00FB30A4"/>
    <w:rsid w:val="00FB38A1"/>
    <w:rsid w:val="00FB3A31"/>
    <w:rsid w:val="00FB3DFA"/>
    <w:rsid w:val="00FB4A81"/>
    <w:rsid w:val="00FB4D6E"/>
    <w:rsid w:val="00FB5604"/>
    <w:rsid w:val="00FB593B"/>
    <w:rsid w:val="00FB616E"/>
    <w:rsid w:val="00FB6D78"/>
    <w:rsid w:val="00FB7121"/>
    <w:rsid w:val="00FB72B1"/>
    <w:rsid w:val="00FB78F1"/>
    <w:rsid w:val="00FB7AE9"/>
    <w:rsid w:val="00FB7C63"/>
    <w:rsid w:val="00FB9C99"/>
    <w:rsid w:val="00FBFB5D"/>
    <w:rsid w:val="00FC02F4"/>
    <w:rsid w:val="00FC0A52"/>
    <w:rsid w:val="00FC0CF9"/>
    <w:rsid w:val="00FC0DA6"/>
    <w:rsid w:val="00FC0EEE"/>
    <w:rsid w:val="00FC10D6"/>
    <w:rsid w:val="00FC186F"/>
    <w:rsid w:val="00FC18A1"/>
    <w:rsid w:val="00FC1BA9"/>
    <w:rsid w:val="00FC1CEA"/>
    <w:rsid w:val="00FC21FA"/>
    <w:rsid w:val="00FC2E73"/>
    <w:rsid w:val="00FC322F"/>
    <w:rsid w:val="00FC3706"/>
    <w:rsid w:val="00FC38B5"/>
    <w:rsid w:val="00FC393C"/>
    <w:rsid w:val="00FC39AB"/>
    <w:rsid w:val="00FC3A2E"/>
    <w:rsid w:val="00FC3C9D"/>
    <w:rsid w:val="00FC440C"/>
    <w:rsid w:val="00FC5533"/>
    <w:rsid w:val="00FC5569"/>
    <w:rsid w:val="00FC592F"/>
    <w:rsid w:val="00FC5A7F"/>
    <w:rsid w:val="00FC5E09"/>
    <w:rsid w:val="00FC5F48"/>
    <w:rsid w:val="00FC78A9"/>
    <w:rsid w:val="00FD0376"/>
    <w:rsid w:val="00FD03E7"/>
    <w:rsid w:val="00FD044E"/>
    <w:rsid w:val="00FD11BA"/>
    <w:rsid w:val="00FD15D4"/>
    <w:rsid w:val="00FD1A9B"/>
    <w:rsid w:val="00FD2A66"/>
    <w:rsid w:val="00FD311B"/>
    <w:rsid w:val="00FD379F"/>
    <w:rsid w:val="00FD39D3"/>
    <w:rsid w:val="00FD4014"/>
    <w:rsid w:val="00FD44DD"/>
    <w:rsid w:val="00FD45F0"/>
    <w:rsid w:val="00FD544C"/>
    <w:rsid w:val="00FD55D2"/>
    <w:rsid w:val="00FE036A"/>
    <w:rsid w:val="00FE0663"/>
    <w:rsid w:val="00FE08E8"/>
    <w:rsid w:val="00FE101D"/>
    <w:rsid w:val="00FE1395"/>
    <w:rsid w:val="00FE14A0"/>
    <w:rsid w:val="00FE180A"/>
    <w:rsid w:val="00FE19AF"/>
    <w:rsid w:val="00FE1DF8"/>
    <w:rsid w:val="00FE22C5"/>
    <w:rsid w:val="00FE2342"/>
    <w:rsid w:val="00FE23DF"/>
    <w:rsid w:val="00FE2996"/>
    <w:rsid w:val="00FE3093"/>
    <w:rsid w:val="00FE3270"/>
    <w:rsid w:val="00FE3362"/>
    <w:rsid w:val="00FE348D"/>
    <w:rsid w:val="00FE3620"/>
    <w:rsid w:val="00FE3892"/>
    <w:rsid w:val="00FE38D8"/>
    <w:rsid w:val="00FE3A02"/>
    <w:rsid w:val="00FE3BE6"/>
    <w:rsid w:val="00FE40C1"/>
    <w:rsid w:val="00FE473B"/>
    <w:rsid w:val="00FE51A9"/>
    <w:rsid w:val="00FE54F2"/>
    <w:rsid w:val="00FE58CD"/>
    <w:rsid w:val="00FE5AFC"/>
    <w:rsid w:val="00FE62DB"/>
    <w:rsid w:val="00FE6529"/>
    <w:rsid w:val="00FE6965"/>
    <w:rsid w:val="00FE6F10"/>
    <w:rsid w:val="00FE70D0"/>
    <w:rsid w:val="00FE7596"/>
    <w:rsid w:val="00FE773B"/>
    <w:rsid w:val="00FE7F6F"/>
    <w:rsid w:val="00FF19B0"/>
    <w:rsid w:val="00FF1E92"/>
    <w:rsid w:val="00FF1F78"/>
    <w:rsid w:val="00FF239E"/>
    <w:rsid w:val="00FF3E3E"/>
    <w:rsid w:val="00FF555C"/>
    <w:rsid w:val="00FF57E6"/>
    <w:rsid w:val="00FF588E"/>
    <w:rsid w:val="00FF5AD8"/>
    <w:rsid w:val="00FF62BC"/>
    <w:rsid w:val="00FF6B5E"/>
    <w:rsid w:val="00FF79B4"/>
    <w:rsid w:val="00FF7F23"/>
    <w:rsid w:val="0110303F"/>
    <w:rsid w:val="01137B7D"/>
    <w:rsid w:val="011968D8"/>
    <w:rsid w:val="011DA094"/>
    <w:rsid w:val="0124B535"/>
    <w:rsid w:val="012A786C"/>
    <w:rsid w:val="012BDF0B"/>
    <w:rsid w:val="013B7B20"/>
    <w:rsid w:val="014318A2"/>
    <w:rsid w:val="0143D47A"/>
    <w:rsid w:val="0148871E"/>
    <w:rsid w:val="01544137"/>
    <w:rsid w:val="015635FF"/>
    <w:rsid w:val="0156F8A0"/>
    <w:rsid w:val="015877BC"/>
    <w:rsid w:val="015AFD02"/>
    <w:rsid w:val="015F8A90"/>
    <w:rsid w:val="01639FE5"/>
    <w:rsid w:val="016E269A"/>
    <w:rsid w:val="01719470"/>
    <w:rsid w:val="01785BB9"/>
    <w:rsid w:val="018AE5E4"/>
    <w:rsid w:val="01973A1E"/>
    <w:rsid w:val="0199D8A1"/>
    <w:rsid w:val="019AF1CD"/>
    <w:rsid w:val="019EFD6A"/>
    <w:rsid w:val="01A6DB5B"/>
    <w:rsid w:val="01A7ECDF"/>
    <w:rsid w:val="01AF35F8"/>
    <w:rsid w:val="01B107A6"/>
    <w:rsid w:val="01B9D12F"/>
    <w:rsid w:val="01D031B0"/>
    <w:rsid w:val="01DEE684"/>
    <w:rsid w:val="01E42D38"/>
    <w:rsid w:val="01E64D19"/>
    <w:rsid w:val="01E8C807"/>
    <w:rsid w:val="01F303CC"/>
    <w:rsid w:val="01F6CF9D"/>
    <w:rsid w:val="01F97644"/>
    <w:rsid w:val="0205D9EF"/>
    <w:rsid w:val="0207972E"/>
    <w:rsid w:val="020FAE5E"/>
    <w:rsid w:val="02191410"/>
    <w:rsid w:val="021B2CEA"/>
    <w:rsid w:val="021BAC7C"/>
    <w:rsid w:val="021ED73D"/>
    <w:rsid w:val="021EE1C6"/>
    <w:rsid w:val="021F901E"/>
    <w:rsid w:val="022542B6"/>
    <w:rsid w:val="022C36A8"/>
    <w:rsid w:val="022DDEF3"/>
    <w:rsid w:val="0235B261"/>
    <w:rsid w:val="0237EA91"/>
    <w:rsid w:val="023838DF"/>
    <w:rsid w:val="023DED6F"/>
    <w:rsid w:val="023E87B5"/>
    <w:rsid w:val="02452DC9"/>
    <w:rsid w:val="0252D8E1"/>
    <w:rsid w:val="0256BE23"/>
    <w:rsid w:val="0258D3B1"/>
    <w:rsid w:val="025F9D35"/>
    <w:rsid w:val="0260A0CB"/>
    <w:rsid w:val="02666ED6"/>
    <w:rsid w:val="0268FB8E"/>
    <w:rsid w:val="0269AE64"/>
    <w:rsid w:val="0269B70B"/>
    <w:rsid w:val="026F8A00"/>
    <w:rsid w:val="026FD6A2"/>
    <w:rsid w:val="02721FC0"/>
    <w:rsid w:val="02723734"/>
    <w:rsid w:val="02732E7F"/>
    <w:rsid w:val="027D7D27"/>
    <w:rsid w:val="028A1A76"/>
    <w:rsid w:val="028B00AE"/>
    <w:rsid w:val="029188BD"/>
    <w:rsid w:val="0291E4AB"/>
    <w:rsid w:val="0295519F"/>
    <w:rsid w:val="029717A1"/>
    <w:rsid w:val="029B4266"/>
    <w:rsid w:val="029F506D"/>
    <w:rsid w:val="02A0BC2B"/>
    <w:rsid w:val="02A2471C"/>
    <w:rsid w:val="02A4ED9E"/>
    <w:rsid w:val="02A7D71D"/>
    <w:rsid w:val="02AD2319"/>
    <w:rsid w:val="02B15911"/>
    <w:rsid w:val="02B318CA"/>
    <w:rsid w:val="02B60356"/>
    <w:rsid w:val="02BB4ABF"/>
    <w:rsid w:val="02C39FB9"/>
    <w:rsid w:val="02C7464D"/>
    <w:rsid w:val="02C9FDB0"/>
    <w:rsid w:val="02CAE3B8"/>
    <w:rsid w:val="02D54E15"/>
    <w:rsid w:val="02D61478"/>
    <w:rsid w:val="02DDE15D"/>
    <w:rsid w:val="02E2F9B6"/>
    <w:rsid w:val="02E3C16A"/>
    <w:rsid w:val="02E5BC3B"/>
    <w:rsid w:val="02EB91C9"/>
    <w:rsid w:val="02F1C577"/>
    <w:rsid w:val="02F20E20"/>
    <w:rsid w:val="02FB8C95"/>
    <w:rsid w:val="02FF7185"/>
    <w:rsid w:val="0300945C"/>
    <w:rsid w:val="0304498D"/>
    <w:rsid w:val="0306F924"/>
    <w:rsid w:val="030A205A"/>
    <w:rsid w:val="030E8929"/>
    <w:rsid w:val="030EC1DB"/>
    <w:rsid w:val="0310B64D"/>
    <w:rsid w:val="0313C47A"/>
    <w:rsid w:val="031A9AE9"/>
    <w:rsid w:val="031E17D2"/>
    <w:rsid w:val="0328156F"/>
    <w:rsid w:val="03281B12"/>
    <w:rsid w:val="032A515E"/>
    <w:rsid w:val="032ACA93"/>
    <w:rsid w:val="033AFED3"/>
    <w:rsid w:val="033D2606"/>
    <w:rsid w:val="0347C0EE"/>
    <w:rsid w:val="0348AB48"/>
    <w:rsid w:val="034D1900"/>
    <w:rsid w:val="034F0D6A"/>
    <w:rsid w:val="035356AE"/>
    <w:rsid w:val="0353D930"/>
    <w:rsid w:val="0358579F"/>
    <w:rsid w:val="03586D82"/>
    <w:rsid w:val="035AFCF2"/>
    <w:rsid w:val="035BA6AB"/>
    <w:rsid w:val="035E31F5"/>
    <w:rsid w:val="036057EC"/>
    <w:rsid w:val="0360FB5A"/>
    <w:rsid w:val="0362D3C7"/>
    <w:rsid w:val="0364B241"/>
    <w:rsid w:val="0366060A"/>
    <w:rsid w:val="0367236D"/>
    <w:rsid w:val="03684628"/>
    <w:rsid w:val="036A4278"/>
    <w:rsid w:val="036EF469"/>
    <w:rsid w:val="03712917"/>
    <w:rsid w:val="0373C630"/>
    <w:rsid w:val="0375B1DC"/>
    <w:rsid w:val="0377E458"/>
    <w:rsid w:val="038202B5"/>
    <w:rsid w:val="0383D608"/>
    <w:rsid w:val="03882A0D"/>
    <w:rsid w:val="038C8CDE"/>
    <w:rsid w:val="038E653D"/>
    <w:rsid w:val="038F21E1"/>
    <w:rsid w:val="039A41B5"/>
    <w:rsid w:val="039F6221"/>
    <w:rsid w:val="03A020B5"/>
    <w:rsid w:val="03A8B0DF"/>
    <w:rsid w:val="03ABC45C"/>
    <w:rsid w:val="03ACBD5E"/>
    <w:rsid w:val="03C41D5E"/>
    <w:rsid w:val="03C4A1F5"/>
    <w:rsid w:val="03CCB5F7"/>
    <w:rsid w:val="03D6028F"/>
    <w:rsid w:val="03D7419C"/>
    <w:rsid w:val="03D8FD8E"/>
    <w:rsid w:val="03E09BDB"/>
    <w:rsid w:val="03E0C44F"/>
    <w:rsid w:val="03E1027B"/>
    <w:rsid w:val="03E62FC6"/>
    <w:rsid w:val="03F0F7B6"/>
    <w:rsid w:val="03F25FC5"/>
    <w:rsid w:val="03F95A34"/>
    <w:rsid w:val="03FD1D4F"/>
    <w:rsid w:val="04006E11"/>
    <w:rsid w:val="0400C338"/>
    <w:rsid w:val="04020711"/>
    <w:rsid w:val="04036627"/>
    <w:rsid w:val="0403A176"/>
    <w:rsid w:val="04059698"/>
    <w:rsid w:val="04060329"/>
    <w:rsid w:val="040C7A16"/>
    <w:rsid w:val="04192F5E"/>
    <w:rsid w:val="04199901"/>
    <w:rsid w:val="041A829D"/>
    <w:rsid w:val="041BF22A"/>
    <w:rsid w:val="041CC220"/>
    <w:rsid w:val="041EC65F"/>
    <w:rsid w:val="042433B6"/>
    <w:rsid w:val="0424358B"/>
    <w:rsid w:val="042930C2"/>
    <w:rsid w:val="042A1164"/>
    <w:rsid w:val="042BB482"/>
    <w:rsid w:val="0430F26C"/>
    <w:rsid w:val="043362B0"/>
    <w:rsid w:val="0435262F"/>
    <w:rsid w:val="043731B3"/>
    <w:rsid w:val="0440D776"/>
    <w:rsid w:val="0443488C"/>
    <w:rsid w:val="04496180"/>
    <w:rsid w:val="0449E89D"/>
    <w:rsid w:val="044B6BF5"/>
    <w:rsid w:val="044C0616"/>
    <w:rsid w:val="044D4EC1"/>
    <w:rsid w:val="044E87D1"/>
    <w:rsid w:val="0450E038"/>
    <w:rsid w:val="0456A3C1"/>
    <w:rsid w:val="0459FFE8"/>
    <w:rsid w:val="045AC758"/>
    <w:rsid w:val="04609153"/>
    <w:rsid w:val="04626747"/>
    <w:rsid w:val="04669640"/>
    <w:rsid w:val="0466C0F1"/>
    <w:rsid w:val="046C6A5B"/>
    <w:rsid w:val="046D6D9F"/>
    <w:rsid w:val="046D70A3"/>
    <w:rsid w:val="04777338"/>
    <w:rsid w:val="047A4347"/>
    <w:rsid w:val="047C30AB"/>
    <w:rsid w:val="047DB15C"/>
    <w:rsid w:val="0485964A"/>
    <w:rsid w:val="049161B9"/>
    <w:rsid w:val="04918E9C"/>
    <w:rsid w:val="0493F3A1"/>
    <w:rsid w:val="049833C2"/>
    <w:rsid w:val="04992F73"/>
    <w:rsid w:val="0499F2FA"/>
    <w:rsid w:val="049B1DFE"/>
    <w:rsid w:val="04A2D933"/>
    <w:rsid w:val="04A36505"/>
    <w:rsid w:val="04A4500F"/>
    <w:rsid w:val="04A515E8"/>
    <w:rsid w:val="04A68D55"/>
    <w:rsid w:val="04AB9320"/>
    <w:rsid w:val="04BE001E"/>
    <w:rsid w:val="04C0A8F2"/>
    <w:rsid w:val="04C19A62"/>
    <w:rsid w:val="04CB666D"/>
    <w:rsid w:val="04CD3364"/>
    <w:rsid w:val="04D01600"/>
    <w:rsid w:val="04D27941"/>
    <w:rsid w:val="04DA1377"/>
    <w:rsid w:val="04E49AA3"/>
    <w:rsid w:val="04E6AB54"/>
    <w:rsid w:val="04EE0710"/>
    <w:rsid w:val="04F0354B"/>
    <w:rsid w:val="04F184A3"/>
    <w:rsid w:val="04F4039B"/>
    <w:rsid w:val="04F5EC1A"/>
    <w:rsid w:val="0501F5E0"/>
    <w:rsid w:val="0504ED75"/>
    <w:rsid w:val="0506489C"/>
    <w:rsid w:val="05096F3D"/>
    <w:rsid w:val="05098575"/>
    <w:rsid w:val="051308EA"/>
    <w:rsid w:val="051EC955"/>
    <w:rsid w:val="051F4C4E"/>
    <w:rsid w:val="051FDB48"/>
    <w:rsid w:val="05202D00"/>
    <w:rsid w:val="05221351"/>
    <w:rsid w:val="05241944"/>
    <w:rsid w:val="0528159F"/>
    <w:rsid w:val="052C949A"/>
    <w:rsid w:val="052D3EDE"/>
    <w:rsid w:val="052ECE29"/>
    <w:rsid w:val="053646EE"/>
    <w:rsid w:val="05425107"/>
    <w:rsid w:val="0542B294"/>
    <w:rsid w:val="0544FDD8"/>
    <w:rsid w:val="054EEF29"/>
    <w:rsid w:val="054F434A"/>
    <w:rsid w:val="05502429"/>
    <w:rsid w:val="05505775"/>
    <w:rsid w:val="055641DE"/>
    <w:rsid w:val="055C4289"/>
    <w:rsid w:val="05630AD7"/>
    <w:rsid w:val="056B9883"/>
    <w:rsid w:val="056F0448"/>
    <w:rsid w:val="056F136D"/>
    <w:rsid w:val="05746340"/>
    <w:rsid w:val="0577A5D2"/>
    <w:rsid w:val="0577B73B"/>
    <w:rsid w:val="057D53C2"/>
    <w:rsid w:val="0585C1F4"/>
    <w:rsid w:val="05865360"/>
    <w:rsid w:val="0586BF4B"/>
    <w:rsid w:val="05875EF9"/>
    <w:rsid w:val="0587BF30"/>
    <w:rsid w:val="05893CFF"/>
    <w:rsid w:val="058B6434"/>
    <w:rsid w:val="059B40F2"/>
    <w:rsid w:val="05A15AC8"/>
    <w:rsid w:val="05A25398"/>
    <w:rsid w:val="05A54190"/>
    <w:rsid w:val="05A5C670"/>
    <w:rsid w:val="05A9FAC1"/>
    <w:rsid w:val="05B06641"/>
    <w:rsid w:val="05B2A267"/>
    <w:rsid w:val="05B2ED55"/>
    <w:rsid w:val="05B30DFC"/>
    <w:rsid w:val="05B3A2EA"/>
    <w:rsid w:val="05B59FEF"/>
    <w:rsid w:val="05B9536B"/>
    <w:rsid w:val="05CD78FB"/>
    <w:rsid w:val="05D8CA0F"/>
    <w:rsid w:val="05E493ED"/>
    <w:rsid w:val="05E6AAB1"/>
    <w:rsid w:val="05ED27A4"/>
    <w:rsid w:val="05F1D2A7"/>
    <w:rsid w:val="05F8CE33"/>
    <w:rsid w:val="05FA1EC6"/>
    <w:rsid w:val="0600B657"/>
    <w:rsid w:val="06077548"/>
    <w:rsid w:val="060A0918"/>
    <w:rsid w:val="060CEC5F"/>
    <w:rsid w:val="0610BF5A"/>
    <w:rsid w:val="0614D737"/>
    <w:rsid w:val="061FDC39"/>
    <w:rsid w:val="0620B84C"/>
    <w:rsid w:val="06296654"/>
    <w:rsid w:val="062DB9C4"/>
    <w:rsid w:val="063DE5AF"/>
    <w:rsid w:val="0649DBD7"/>
    <w:rsid w:val="0650F306"/>
    <w:rsid w:val="065293A3"/>
    <w:rsid w:val="0656BA95"/>
    <w:rsid w:val="06588DEB"/>
    <w:rsid w:val="065AA630"/>
    <w:rsid w:val="065EBCE7"/>
    <w:rsid w:val="0662F8FB"/>
    <w:rsid w:val="0664F0FA"/>
    <w:rsid w:val="0666185F"/>
    <w:rsid w:val="0667D116"/>
    <w:rsid w:val="066D67C0"/>
    <w:rsid w:val="066E4BD8"/>
    <w:rsid w:val="066E93B2"/>
    <w:rsid w:val="066F8FB6"/>
    <w:rsid w:val="06728A4F"/>
    <w:rsid w:val="06746406"/>
    <w:rsid w:val="067D11CB"/>
    <w:rsid w:val="067D6267"/>
    <w:rsid w:val="06805B75"/>
    <w:rsid w:val="068A9D4E"/>
    <w:rsid w:val="069A31EE"/>
    <w:rsid w:val="06A57FCD"/>
    <w:rsid w:val="06ACA9D8"/>
    <w:rsid w:val="06B44F4E"/>
    <w:rsid w:val="06B88F15"/>
    <w:rsid w:val="06C01CD2"/>
    <w:rsid w:val="06C212B3"/>
    <w:rsid w:val="06CD6040"/>
    <w:rsid w:val="06CD89F5"/>
    <w:rsid w:val="06CF49D0"/>
    <w:rsid w:val="06D2B100"/>
    <w:rsid w:val="06D98DF7"/>
    <w:rsid w:val="06DB00FD"/>
    <w:rsid w:val="06E1858C"/>
    <w:rsid w:val="06E4D17E"/>
    <w:rsid w:val="06ED0769"/>
    <w:rsid w:val="06F44BF6"/>
    <w:rsid w:val="06FB5581"/>
    <w:rsid w:val="06FF6F3E"/>
    <w:rsid w:val="06FFB6A1"/>
    <w:rsid w:val="07004EB1"/>
    <w:rsid w:val="0713A6AA"/>
    <w:rsid w:val="0714C6F0"/>
    <w:rsid w:val="07174379"/>
    <w:rsid w:val="0723F20A"/>
    <w:rsid w:val="072ADB91"/>
    <w:rsid w:val="0730BCE2"/>
    <w:rsid w:val="07314099"/>
    <w:rsid w:val="07340AB4"/>
    <w:rsid w:val="0749DA85"/>
    <w:rsid w:val="074C58EF"/>
    <w:rsid w:val="0750D78D"/>
    <w:rsid w:val="075478DF"/>
    <w:rsid w:val="0754D0D7"/>
    <w:rsid w:val="07560FF1"/>
    <w:rsid w:val="0760C64E"/>
    <w:rsid w:val="0763B39C"/>
    <w:rsid w:val="0765F669"/>
    <w:rsid w:val="0766218A"/>
    <w:rsid w:val="076C12CE"/>
    <w:rsid w:val="07725BA1"/>
    <w:rsid w:val="0774DCA0"/>
    <w:rsid w:val="0777B36D"/>
    <w:rsid w:val="077C4430"/>
    <w:rsid w:val="077C641C"/>
    <w:rsid w:val="078472DD"/>
    <w:rsid w:val="0788323E"/>
    <w:rsid w:val="078A49D9"/>
    <w:rsid w:val="078D1BED"/>
    <w:rsid w:val="078DFDEB"/>
    <w:rsid w:val="0790E353"/>
    <w:rsid w:val="07969C2A"/>
    <w:rsid w:val="079ACE56"/>
    <w:rsid w:val="079B0538"/>
    <w:rsid w:val="079B6090"/>
    <w:rsid w:val="079C97F5"/>
    <w:rsid w:val="079E37A3"/>
    <w:rsid w:val="07A13EEB"/>
    <w:rsid w:val="07A1C6B3"/>
    <w:rsid w:val="07A8D121"/>
    <w:rsid w:val="07AD469A"/>
    <w:rsid w:val="07B2B01B"/>
    <w:rsid w:val="07B39826"/>
    <w:rsid w:val="07B53434"/>
    <w:rsid w:val="07B72AE3"/>
    <w:rsid w:val="07B9175B"/>
    <w:rsid w:val="07BFD1DB"/>
    <w:rsid w:val="07CDD4A1"/>
    <w:rsid w:val="07CE3BD5"/>
    <w:rsid w:val="07CE43B0"/>
    <w:rsid w:val="07D001DF"/>
    <w:rsid w:val="07D4C245"/>
    <w:rsid w:val="07DB4DE0"/>
    <w:rsid w:val="07DD4C78"/>
    <w:rsid w:val="07DEB0F9"/>
    <w:rsid w:val="07DFFC09"/>
    <w:rsid w:val="07E0A44B"/>
    <w:rsid w:val="07E3C7E5"/>
    <w:rsid w:val="07E5478B"/>
    <w:rsid w:val="07E8369A"/>
    <w:rsid w:val="07E96ACA"/>
    <w:rsid w:val="07EB4790"/>
    <w:rsid w:val="07EEEFDC"/>
    <w:rsid w:val="07F7EE42"/>
    <w:rsid w:val="07F7F001"/>
    <w:rsid w:val="07FFD696"/>
    <w:rsid w:val="0803F0C5"/>
    <w:rsid w:val="0806A451"/>
    <w:rsid w:val="0808422F"/>
    <w:rsid w:val="080925C7"/>
    <w:rsid w:val="08102B6E"/>
    <w:rsid w:val="0812B899"/>
    <w:rsid w:val="0815511F"/>
    <w:rsid w:val="081932CD"/>
    <w:rsid w:val="0828A7E9"/>
    <w:rsid w:val="082BF381"/>
    <w:rsid w:val="082C9D53"/>
    <w:rsid w:val="0831346A"/>
    <w:rsid w:val="08369929"/>
    <w:rsid w:val="083A233E"/>
    <w:rsid w:val="08405BED"/>
    <w:rsid w:val="084361F0"/>
    <w:rsid w:val="0844A6EE"/>
    <w:rsid w:val="084702B1"/>
    <w:rsid w:val="08495809"/>
    <w:rsid w:val="084997A0"/>
    <w:rsid w:val="084CB558"/>
    <w:rsid w:val="084EECB5"/>
    <w:rsid w:val="084F1308"/>
    <w:rsid w:val="0855982B"/>
    <w:rsid w:val="085B2245"/>
    <w:rsid w:val="085BB3F1"/>
    <w:rsid w:val="085BE7BC"/>
    <w:rsid w:val="085EBE96"/>
    <w:rsid w:val="08603B24"/>
    <w:rsid w:val="08645A02"/>
    <w:rsid w:val="0867C1FF"/>
    <w:rsid w:val="086DB99D"/>
    <w:rsid w:val="086E314A"/>
    <w:rsid w:val="086E5015"/>
    <w:rsid w:val="0870A30F"/>
    <w:rsid w:val="0876FB15"/>
    <w:rsid w:val="087B0018"/>
    <w:rsid w:val="087BE681"/>
    <w:rsid w:val="089CC715"/>
    <w:rsid w:val="08A002D4"/>
    <w:rsid w:val="08A0CD08"/>
    <w:rsid w:val="08A14C4E"/>
    <w:rsid w:val="08A5A56F"/>
    <w:rsid w:val="08B4B777"/>
    <w:rsid w:val="08B4EF45"/>
    <w:rsid w:val="08C28D6C"/>
    <w:rsid w:val="08CF2BF3"/>
    <w:rsid w:val="08CFC19B"/>
    <w:rsid w:val="08D1EE7E"/>
    <w:rsid w:val="08D3019F"/>
    <w:rsid w:val="08D8A370"/>
    <w:rsid w:val="08E4C58D"/>
    <w:rsid w:val="08E737F3"/>
    <w:rsid w:val="08EEB317"/>
    <w:rsid w:val="08F1893C"/>
    <w:rsid w:val="08F1D671"/>
    <w:rsid w:val="08FA9D8D"/>
    <w:rsid w:val="08FD823F"/>
    <w:rsid w:val="08FDFCC3"/>
    <w:rsid w:val="09031578"/>
    <w:rsid w:val="09056806"/>
    <w:rsid w:val="090CDEE4"/>
    <w:rsid w:val="0911F53B"/>
    <w:rsid w:val="09167465"/>
    <w:rsid w:val="091C0963"/>
    <w:rsid w:val="091D2BB3"/>
    <w:rsid w:val="09205667"/>
    <w:rsid w:val="0920D3E9"/>
    <w:rsid w:val="09226C56"/>
    <w:rsid w:val="0925FE76"/>
    <w:rsid w:val="0926B731"/>
    <w:rsid w:val="09289494"/>
    <w:rsid w:val="0934822F"/>
    <w:rsid w:val="093713BE"/>
    <w:rsid w:val="094A8074"/>
    <w:rsid w:val="094CB1E2"/>
    <w:rsid w:val="09570005"/>
    <w:rsid w:val="0959EB71"/>
    <w:rsid w:val="095C2150"/>
    <w:rsid w:val="0960221E"/>
    <w:rsid w:val="0963F948"/>
    <w:rsid w:val="0964FE75"/>
    <w:rsid w:val="09671389"/>
    <w:rsid w:val="096A9F9D"/>
    <w:rsid w:val="096C2A52"/>
    <w:rsid w:val="096E6578"/>
    <w:rsid w:val="096F0C73"/>
    <w:rsid w:val="0971C76E"/>
    <w:rsid w:val="097B3DF1"/>
    <w:rsid w:val="097B43F2"/>
    <w:rsid w:val="097CCEFE"/>
    <w:rsid w:val="097F390E"/>
    <w:rsid w:val="0983FED5"/>
    <w:rsid w:val="0985C766"/>
    <w:rsid w:val="09899E18"/>
    <w:rsid w:val="098F9A17"/>
    <w:rsid w:val="0990A77A"/>
    <w:rsid w:val="0991FA62"/>
    <w:rsid w:val="0997142F"/>
    <w:rsid w:val="099E1432"/>
    <w:rsid w:val="09A154FB"/>
    <w:rsid w:val="09A59DD8"/>
    <w:rsid w:val="09A818B6"/>
    <w:rsid w:val="09A95405"/>
    <w:rsid w:val="09B35C8E"/>
    <w:rsid w:val="09BC0BFF"/>
    <w:rsid w:val="09BC764A"/>
    <w:rsid w:val="09C05FBC"/>
    <w:rsid w:val="09C48BBF"/>
    <w:rsid w:val="09C79094"/>
    <w:rsid w:val="09CBA68F"/>
    <w:rsid w:val="09CF8815"/>
    <w:rsid w:val="09D313DA"/>
    <w:rsid w:val="09D5C044"/>
    <w:rsid w:val="09DD3830"/>
    <w:rsid w:val="09E5B577"/>
    <w:rsid w:val="09E5FB7F"/>
    <w:rsid w:val="09E9C5EE"/>
    <w:rsid w:val="09EC463D"/>
    <w:rsid w:val="09F3DEE2"/>
    <w:rsid w:val="09F7F9DF"/>
    <w:rsid w:val="09F9CEC4"/>
    <w:rsid w:val="09FB59AE"/>
    <w:rsid w:val="09FBD0FA"/>
    <w:rsid w:val="0A00BE5D"/>
    <w:rsid w:val="0A076212"/>
    <w:rsid w:val="0A0BDF62"/>
    <w:rsid w:val="0A11825D"/>
    <w:rsid w:val="0A11CFEB"/>
    <w:rsid w:val="0A13D0B5"/>
    <w:rsid w:val="0A18DC26"/>
    <w:rsid w:val="0A19AE8C"/>
    <w:rsid w:val="0A1F5336"/>
    <w:rsid w:val="0A206FD4"/>
    <w:rsid w:val="0A2ECE38"/>
    <w:rsid w:val="0A35E18F"/>
    <w:rsid w:val="0A376793"/>
    <w:rsid w:val="0A37F4A3"/>
    <w:rsid w:val="0A3B804C"/>
    <w:rsid w:val="0A41A4EB"/>
    <w:rsid w:val="0A43D5E5"/>
    <w:rsid w:val="0A44FDDC"/>
    <w:rsid w:val="0A4D185E"/>
    <w:rsid w:val="0A4ECBCD"/>
    <w:rsid w:val="0A572A92"/>
    <w:rsid w:val="0A57F112"/>
    <w:rsid w:val="0A5981A4"/>
    <w:rsid w:val="0A5C77F7"/>
    <w:rsid w:val="0A5CC722"/>
    <w:rsid w:val="0A5DDBF6"/>
    <w:rsid w:val="0A689755"/>
    <w:rsid w:val="0A6A0E58"/>
    <w:rsid w:val="0A6F09D5"/>
    <w:rsid w:val="0A6FCDD2"/>
    <w:rsid w:val="0A777D36"/>
    <w:rsid w:val="0A7CB8F6"/>
    <w:rsid w:val="0A7EE095"/>
    <w:rsid w:val="0A8072F8"/>
    <w:rsid w:val="0A810197"/>
    <w:rsid w:val="0A8352D4"/>
    <w:rsid w:val="0A8495A4"/>
    <w:rsid w:val="0A88212A"/>
    <w:rsid w:val="0A8C3390"/>
    <w:rsid w:val="0A90950A"/>
    <w:rsid w:val="0A9F98E7"/>
    <w:rsid w:val="0AA15D41"/>
    <w:rsid w:val="0AA52189"/>
    <w:rsid w:val="0AA8B82C"/>
    <w:rsid w:val="0AADB2CD"/>
    <w:rsid w:val="0AB62F62"/>
    <w:rsid w:val="0AC0FDC5"/>
    <w:rsid w:val="0AC5FE47"/>
    <w:rsid w:val="0AC60DF0"/>
    <w:rsid w:val="0ADC404A"/>
    <w:rsid w:val="0ADE4C9D"/>
    <w:rsid w:val="0AE28224"/>
    <w:rsid w:val="0AEA2654"/>
    <w:rsid w:val="0AF2FE75"/>
    <w:rsid w:val="0AFBF1A2"/>
    <w:rsid w:val="0AFF6B50"/>
    <w:rsid w:val="0B01E9CD"/>
    <w:rsid w:val="0B121D73"/>
    <w:rsid w:val="0B175779"/>
    <w:rsid w:val="0B1A0575"/>
    <w:rsid w:val="0B1E0F5D"/>
    <w:rsid w:val="0B23F0A9"/>
    <w:rsid w:val="0B29116A"/>
    <w:rsid w:val="0B30A043"/>
    <w:rsid w:val="0B330C9A"/>
    <w:rsid w:val="0B36B710"/>
    <w:rsid w:val="0B430360"/>
    <w:rsid w:val="0B45E220"/>
    <w:rsid w:val="0B48899A"/>
    <w:rsid w:val="0B49D752"/>
    <w:rsid w:val="0B4B4B0F"/>
    <w:rsid w:val="0B4B65F9"/>
    <w:rsid w:val="0B60F21C"/>
    <w:rsid w:val="0B60F3DB"/>
    <w:rsid w:val="0B620CEB"/>
    <w:rsid w:val="0B6EE089"/>
    <w:rsid w:val="0B748627"/>
    <w:rsid w:val="0B779C1D"/>
    <w:rsid w:val="0B7CC6E8"/>
    <w:rsid w:val="0B829DFC"/>
    <w:rsid w:val="0B82A4A0"/>
    <w:rsid w:val="0B85AB3C"/>
    <w:rsid w:val="0B85AD87"/>
    <w:rsid w:val="0B984925"/>
    <w:rsid w:val="0B988197"/>
    <w:rsid w:val="0B9A3E3C"/>
    <w:rsid w:val="0BA1A1B9"/>
    <w:rsid w:val="0BAE0D0B"/>
    <w:rsid w:val="0BAF87A1"/>
    <w:rsid w:val="0BB620DD"/>
    <w:rsid w:val="0BB96D08"/>
    <w:rsid w:val="0BBCE0D3"/>
    <w:rsid w:val="0BBE365F"/>
    <w:rsid w:val="0BC43B45"/>
    <w:rsid w:val="0BC702AE"/>
    <w:rsid w:val="0BC93EBF"/>
    <w:rsid w:val="0BCAB55C"/>
    <w:rsid w:val="0BCAC442"/>
    <w:rsid w:val="0BCC33BB"/>
    <w:rsid w:val="0BCDF47C"/>
    <w:rsid w:val="0BD50F19"/>
    <w:rsid w:val="0BD51485"/>
    <w:rsid w:val="0BD67991"/>
    <w:rsid w:val="0BDA77FF"/>
    <w:rsid w:val="0BE2B0B9"/>
    <w:rsid w:val="0BE2DDF0"/>
    <w:rsid w:val="0BE35B2B"/>
    <w:rsid w:val="0BECD74B"/>
    <w:rsid w:val="0BEF4909"/>
    <w:rsid w:val="0C01108F"/>
    <w:rsid w:val="0C011F67"/>
    <w:rsid w:val="0C063A3C"/>
    <w:rsid w:val="0C0C8F4D"/>
    <w:rsid w:val="0C104F96"/>
    <w:rsid w:val="0C1E4C6E"/>
    <w:rsid w:val="0C1ED784"/>
    <w:rsid w:val="0C1F3F30"/>
    <w:rsid w:val="0C20EC6F"/>
    <w:rsid w:val="0C29FB8F"/>
    <w:rsid w:val="0C2AEDA4"/>
    <w:rsid w:val="0C2C2957"/>
    <w:rsid w:val="0C2F420C"/>
    <w:rsid w:val="0C35C73A"/>
    <w:rsid w:val="0C3985D0"/>
    <w:rsid w:val="0C3991D9"/>
    <w:rsid w:val="0C3ADE25"/>
    <w:rsid w:val="0C48B4C0"/>
    <w:rsid w:val="0C4B6052"/>
    <w:rsid w:val="0C5152E0"/>
    <w:rsid w:val="0C52247F"/>
    <w:rsid w:val="0C559B2C"/>
    <w:rsid w:val="0C5B67A3"/>
    <w:rsid w:val="0C688ABF"/>
    <w:rsid w:val="0C6CB557"/>
    <w:rsid w:val="0C6D2C65"/>
    <w:rsid w:val="0C6D8D62"/>
    <w:rsid w:val="0C6E1C35"/>
    <w:rsid w:val="0C70FFBD"/>
    <w:rsid w:val="0C715719"/>
    <w:rsid w:val="0C7A293E"/>
    <w:rsid w:val="0C7D6864"/>
    <w:rsid w:val="0C7F2FAF"/>
    <w:rsid w:val="0C804274"/>
    <w:rsid w:val="0C8AAE6D"/>
    <w:rsid w:val="0C90E201"/>
    <w:rsid w:val="0C910268"/>
    <w:rsid w:val="0C9B3A1A"/>
    <w:rsid w:val="0C9F2920"/>
    <w:rsid w:val="0CA37740"/>
    <w:rsid w:val="0CAE203E"/>
    <w:rsid w:val="0CBA4D17"/>
    <w:rsid w:val="0CC1C2FB"/>
    <w:rsid w:val="0CC48C72"/>
    <w:rsid w:val="0CC8BA7E"/>
    <w:rsid w:val="0CD53DA4"/>
    <w:rsid w:val="0CD798C8"/>
    <w:rsid w:val="0CDED145"/>
    <w:rsid w:val="0CDF7400"/>
    <w:rsid w:val="0CE40FC3"/>
    <w:rsid w:val="0CE489CC"/>
    <w:rsid w:val="0CE75558"/>
    <w:rsid w:val="0CE941A8"/>
    <w:rsid w:val="0CED4F37"/>
    <w:rsid w:val="0CF1018A"/>
    <w:rsid w:val="0CF1298A"/>
    <w:rsid w:val="0CF71295"/>
    <w:rsid w:val="0CF8422B"/>
    <w:rsid w:val="0CFE4F70"/>
    <w:rsid w:val="0D0307EB"/>
    <w:rsid w:val="0D109F3B"/>
    <w:rsid w:val="0D1927A1"/>
    <w:rsid w:val="0D22A1EF"/>
    <w:rsid w:val="0D35FBC2"/>
    <w:rsid w:val="0D381CB8"/>
    <w:rsid w:val="0D3A7276"/>
    <w:rsid w:val="0D42082B"/>
    <w:rsid w:val="0D49E228"/>
    <w:rsid w:val="0D4F480A"/>
    <w:rsid w:val="0D4FDE46"/>
    <w:rsid w:val="0D516C5E"/>
    <w:rsid w:val="0D5604A8"/>
    <w:rsid w:val="0D6E010B"/>
    <w:rsid w:val="0D7A7335"/>
    <w:rsid w:val="0D7A733F"/>
    <w:rsid w:val="0D877A28"/>
    <w:rsid w:val="0D8BB297"/>
    <w:rsid w:val="0D8F99B7"/>
    <w:rsid w:val="0D92FC96"/>
    <w:rsid w:val="0D94147B"/>
    <w:rsid w:val="0D96B137"/>
    <w:rsid w:val="0D98461B"/>
    <w:rsid w:val="0DA33F72"/>
    <w:rsid w:val="0DA778E2"/>
    <w:rsid w:val="0DA7C64D"/>
    <w:rsid w:val="0DB4F081"/>
    <w:rsid w:val="0DB8FE44"/>
    <w:rsid w:val="0DBDC300"/>
    <w:rsid w:val="0DC13EC0"/>
    <w:rsid w:val="0DC1C076"/>
    <w:rsid w:val="0DC415D7"/>
    <w:rsid w:val="0DC4B7B7"/>
    <w:rsid w:val="0DCB4E89"/>
    <w:rsid w:val="0DCDB20D"/>
    <w:rsid w:val="0DCEBBD4"/>
    <w:rsid w:val="0DCEE59B"/>
    <w:rsid w:val="0DD2793B"/>
    <w:rsid w:val="0DD38A43"/>
    <w:rsid w:val="0DD50012"/>
    <w:rsid w:val="0DDAEC5A"/>
    <w:rsid w:val="0DDC0317"/>
    <w:rsid w:val="0DDCF7EA"/>
    <w:rsid w:val="0DE51417"/>
    <w:rsid w:val="0DEA1160"/>
    <w:rsid w:val="0DEE4A65"/>
    <w:rsid w:val="0DEE69A3"/>
    <w:rsid w:val="0DF2A613"/>
    <w:rsid w:val="0DF8E6D8"/>
    <w:rsid w:val="0DFA2F26"/>
    <w:rsid w:val="0DFEF841"/>
    <w:rsid w:val="0E010216"/>
    <w:rsid w:val="0E0266DE"/>
    <w:rsid w:val="0E10C8EB"/>
    <w:rsid w:val="0E11D3DF"/>
    <w:rsid w:val="0E11FABA"/>
    <w:rsid w:val="0E1C481A"/>
    <w:rsid w:val="0E1E3066"/>
    <w:rsid w:val="0E1EF375"/>
    <w:rsid w:val="0E1F8D79"/>
    <w:rsid w:val="0E200C3C"/>
    <w:rsid w:val="0E21E217"/>
    <w:rsid w:val="0E2A543A"/>
    <w:rsid w:val="0E2AE8FF"/>
    <w:rsid w:val="0E2F1235"/>
    <w:rsid w:val="0E3EA7F8"/>
    <w:rsid w:val="0E401AED"/>
    <w:rsid w:val="0E42BFB1"/>
    <w:rsid w:val="0E47A519"/>
    <w:rsid w:val="0E4A8F53"/>
    <w:rsid w:val="0E4AD0B3"/>
    <w:rsid w:val="0E4ED5DC"/>
    <w:rsid w:val="0E59FF91"/>
    <w:rsid w:val="0E5BB643"/>
    <w:rsid w:val="0E639CF7"/>
    <w:rsid w:val="0E662927"/>
    <w:rsid w:val="0E6F12FD"/>
    <w:rsid w:val="0E792718"/>
    <w:rsid w:val="0E79C5FD"/>
    <w:rsid w:val="0E84363D"/>
    <w:rsid w:val="0E8E8CD6"/>
    <w:rsid w:val="0E8FE87B"/>
    <w:rsid w:val="0E919F77"/>
    <w:rsid w:val="0E951F65"/>
    <w:rsid w:val="0E9535E7"/>
    <w:rsid w:val="0E956339"/>
    <w:rsid w:val="0EA3CFB6"/>
    <w:rsid w:val="0EA52789"/>
    <w:rsid w:val="0EA7909B"/>
    <w:rsid w:val="0EB228B3"/>
    <w:rsid w:val="0EB67A30"/>
    <w:rsid w:val="0EBE4B0A"/>
    <w:rsid w:val="0EBF3346"/>
    <w:rsid w:val="0EC25962"/>
    <w:rsid w:val="0EC3F699"/>
    <w:rsid w:val="0EC42EA9"/>
    <w:rsid w:val="0EC84442"/>
    <w:rsid w:val="0ED48D99"/>
    <w:rsid w:val="0ED69392"/>
    <w:rsid w:val="0EDA2F7F"/>
    <w:rsid w:val="0EE3AE60"/>
    <w:rsid w:val="0EE7E081"/>
    <w:rsid w:val="0EEB19AD"/>
    <w:rsid w:val="0EF15295"/>
    <w:rsid w:val="0EF79CB9"/>
    <w:rsid w:val="0F027A7C"/>
    <w:rsid w:val="0F100D1B"/>
    <w:rsid w:val="0F13F710"/>
    <w:rsid w:val="0F1D6750"/>
    <w:rsid w:val="0F1DD3B2"/>
    <w:rsid w:val="0F1FF60C"/>
    <w:rsid w:val="0F2180BD"/>
    <w:rsid w:val="0F219156"/>
    <w:rsid w:val="0F21F5A7"/>
    <w:rsid w:val="0F224981"/>
    <w:rsid w:val="0F24B9F9"/>
    <w:rsid w:val="0F273220"/>
    <w:rsid w:val="0F333BF1"/>
    <w:rsid w:val="0F3442F7"/>
    <w:rsid w:val="0F38E592"/>
    <w:rsid w:val="0F3ADD27"/>
    <w:rsid w:val="0F3E8EE7"/>
    <w:rsid w:val="0F42517B"/>
    <w:rsid w:val="0F42BA5E"/>
    <w:rsid w:val="0F43EEDF"/>
    <w:rsid w:val="0F442404"/>
    <w:rsid w:val="0F4997E7"/>
    <w:rsid w:val="0F4ACE3E"/>
    <w:rsid w:val="0F4F86F5"/>
    <w:rsid w:val="0F4FF9D1"/>
    <w:rsid w:val="0F537A76"/>
    <w:rsid w:val="0F53C83E"/>
    <w:rsid w:val="0F550C0C"/>
    <w:rsid w:val="0F5A1210"/>
    <w:rsid w:val="0F5D47CE"/>
    <w:rsid w:val="0F65DE69"/>
    <w:rsid w:val="0F6E45EA"/>
    <w:rsid w:val="0F7228B1"/>
    <w:rsid w:val="0F745409"/>
    <w:rsid w:val="0F77FDE6"/>
    <w:rsid w:val="0F7D9225"/>
    <w:rsid w:val="0F868626"/>
    <w:rsid w:val="0F954E9E"/>
    <w:rsid w:val="0F9CB90E"/>
    <w:rsid w:val="0FA449B8"/>
    <w:rsid w:val="0FB2954F"/>
    <w:rsid w:val="0FB2AB8A"/>
    <w:rsid w:val="0FBD46FD"/>
    <w:rsid w:val="0FBD6F30"/>
    <w:rsid w:val="0FBEE096"/>
    <w:rsid w:val="0FC46528"/>
    <w:rsid w:val="0FCC6BD0"/>
    <w:rsid w:val="0FD4D2F2"/>
    <w:rsid w:val="0FD71140"/>
    <w:rsid w:val="0FDF4222"/>
    <w:rsid w:val="0FE04808"/>
    <w:rsid w:val="0FE1034D"/>
    <w:rsid w:val="0FE8570A"/>
    <w:rsid w:val="0FE97EA5"/>
    <w:rsid w:val="0FECC163"/>
    <w:rsid w:val="0FED6207"/>
    <w:rsid w:val="0FF61B32"/>
    <w:rsid w:val="0FF7E91D"/>
    <w:rsid w:val="0FFE9706"/>
    <w:rsid w:val="0FFE9768"/>
    <w:rsid w:val="100255F3"/>
    <w:rsid w:val="1002A22C"/>
    <w:rsid w:val="10062E0C"/>
    <w:rsid w:val="100FBACB"/>
    <w:rsid w:val="10122985"/>
    <w:rsid w:val="1014B17D"/>
    <w:rsid w:val="10190955"/>
    <w:rsid w:val="1019D1B3"/>
    <w:rsid w:val="101F6B54"/>
    <w:rsid w:val="10267E65"/>
    <w:rsid w:val="1029AF88"/>
    <w:rsid w:val="1029B744"/>
    <w:rsid w:val="102A3236"/>
    <w:rsid w:val="102CECDC"/>
    <w:rsid w:val="102D09D4"/>
    <w:rsid w:val="102D2F22"/>
    <w:rsid w:val="102FECD8"/>
    <w:rsid w:val="1036E87B"/>
    <w:rsid w:val="103C01AA"/>
    <w:rsid w:val="103E3146"/>
    <w:rsid w:val="1044482B"/>
    <w:rsid w:val="104731FD"/>
    <w:rsid w:val="104FA970"/>
    <w:rsid w:val="1057D3A0"/>
    <w:rsid w:val="1059ACCE"/>
    <w:rsid w:val="105CE758"/>
    <w:rsid w:val="1063410E"/>
    <w:rsid w:val="10636F50"/>
    <w:rsid w:val="107063A4"/>
    <w:rsid w:val="1071B029"/>
    <w:rsid w:val="107C48C5"/>
    <w:rsid w:val="107CEBD5"/>
    <w:rsid w:val="107F25AD"/>
    <w:rsid w:val="107F5B71"/>
    <w:rsid w:val="108104BA"/>
    <w:rsid w:val="10848C7F"/>
    <w:rsid w:val="108F370A"/>
    <w:rsid w:val="10902D5D"/>
    <w:rsid w:val="10929B0C"/>
    <w:rsid w:val="10942A19"/>
    <w:rsid w:val="109B5A7C"/>
    <w:rsid w:val="109E0EC5"/>
    <w:rsid w:val="10A1C999"/>
    <w:rsid w:val="10AA96B3"/>
    <w:rsid w:val="10B05CC3"/>
    <w:rsid w:val="10B875D7"/>
    <w:rsid w:val="10C315F6"/>
    <w:rsid w:val="10C43623"/>
    <w:rsid w:val="10D46C11"/>
    <w:rsid w:val="10D6363F"/>
    <w:rsid w:val="10D793B1"/>
    <w:rsid w:val="10DC7B08"/>
    <w:rsid w:val="10E5527F"/>
    <w:rsid w:val="10E90B19"/>
    <w:rsid w:val="10EB0FA4"/>
    <w:rsid w:val="10EDB0AD"/>
    <w:rsid w:val="10F25C86"/>
    <w:rsid w:val="1108D786"/>
    <w:rsid w:val="110D2752"/>
    <w:rsid w:val="110F1BD5"/>
    <w:rsid w:val="110FB528"/>
    <w:rsid w:val="111447EB"/>
    <w:rsid w:val="111A5728"/>
    <w:rsid w:val="111AD505"/>
    <w:rsid w:val="111E305A"/>
    <w:rsid w:val="1122B923"/>
    <w:rsid w:val="11235816"/>
    <w:rsid w:val="112EB93F"/>
    <w:rsid w:val="112F42F6"/>
    <w:rsid w:val="1133559F"/>
    <w:rsid w:val="1138B999"/>
    <w:rsid w:val="11391251"/>
    <w:rsid w:val="113A15A7"/>
    <w:rsid w:val="113AA516"/>
    <w:rsid w:val="113ECC9D"/>
    <w:rsid w:val="1140D791"/>
    <w:rsid w:val="1144A5B3"/>
    <w:rsid w:val="1149AD90"/>
    <w:rsid w:val="114B47A7"/>
    <w:rsid w:val="114DA968"/>
    <w:rsid w:val="114E84D9"/>
    <w:rsid w:val="11547CFD"/>
    <w:rsid w:val="115545E5"/>
    <w:rsid w:val="115A6FBC"/>
    <w:rsid w:val="115EE10C"/>
    <w:rsid w:val="116E7A00"/>
    <w:rsid w:val="1174DF1A"/>
    <w:rsid w:val="117A9601"/>
    <w:rsid w:val="117B171C"/>
    <w:rsid w:val="117C6BD5"/>
    <w:rsid w:val="117E8512"/>
    <w:rsid w:val="117E9469"/>
    <w:rsid w:val="1180B431"/>
    <w:rsid w:val="1182F7FD"/>
    <w:rsid w:val="1187DA07"/>
    <w:rsid w:val="1189B8C7"/>
    <w:rsid w:val="118C53F0"/>
    <w:rsid w:val="11940C28"/>
    <w:rsid w:val="11A33624"/>
    <w:rsid w:val="11A96616"/>
    <w:rsid w:val="11A998E2"/>
    <w:rsid w:val="11AA6408"/>
    <w:rsid w:val="11AE9088"/>
    <w:rsid w:val="11B40CFB"/>
    <w:rsid w:val="11B442E2"/>
    <w:rsid w:val="11B9E948"/>
    <w:rsid w:val="11BA30C7"/>
    <w:rsid w:val="11C9E6A6"/>
    <w:rsid w:val="11CA931F"/>
    <w:rsid w:val="11CBDAEF"/>
    <w:rsid w:val="11CD3BF4"/>
    <w:rsid w:val="11CD64CC"/>
    <w:rsid w:val="11CE8E1E"/>
    <w:rsid w:val="11E272B6"/>
    <w:rsid w:val="11E2A25B"/>
    <w:rsid w:val="11E67FEF"/>
    <w:rsid w:val="11EA5B77"/>
    <w:rsid w:val="11F2F859"/>
    <w:rsid w:val="11F33468"/>
    <w:rsid w:val="11FBC9C4"/>
    <w:rsid w:val="11FD6634"/>
    <w:rsid w:val="11FE0A1D"/>
    <w:rsid w:val="12065EE7"/>
    <w:rsid w:val="1208E0AA"/>
    <w:rsid w:val="120A4066"/>
    <w:rsid w:val="120B01E9"/>
    <w:rsid w:val="120CB485"/>
    <w:rsid w:val="120E166B"/>
    <w:rsid w:val="120FDBA6"/>
    <w:rsid w:val="121B10A3"/>
    <w:rsid w:val="121B724C"/>
    <w:rsid w:val="12209040"/>
    <w:rsid w:val="1220F7EE"/>
    <w:rsid w:val="122140CE"/>
    <w:rsid w:val="12226DE5"/>
    <w:rsid w:val="122B2C6B"/>
    <w:rsid w:val="122BBA6C"/>
    <w:rsid w:val="122FFF32"/>
    <w:rsid w:val="12320099"/>
    <w:rsid w:val="123B598C"/>
    <w:rsid w:val="1241D017"/>
    <w:rsid w:val="12435D3C"/>
    <w:rsid w:val="12491CEA"/>
    <w:rsid w:val="124CCE9B"/>
    <w:rsid w:val="125587BA"/>
    <w:rsid w:val="1260C8AD"/>
    <w:rsid w:val="1266FFEC"/>
    <w:rsid w:val="12684A64"/>
    <w:rsid w:val="1269FEAC"/>
    <w:rsid w:val="126C8BAA"/>
    <w:rsid w:val="126CB092"/>
    <w:rsid w:val="126EE617"/>
    <w:rsid w:val="128077BF"/>
    <w:rsid w:val="1280DAA3"/>
    <w:rsid w:val="1285DA84"/>
    <w:rsid w:val="128B1812"/>
    <w:rsid w:val="12954B22"/>
    <w:rsid w:val="129A9363"/>
    <w:rsid w:val="12A20CD3"/>
    <w:rsid w:val="12A2DC26"/>
    <w:rsid w:val="12A79FBC"/>
    <w:rsid w:val="12A9887B"/>
    <w:rsid w:val="12A9B93E"/>
    <w:rsid w:val="12A9BB67"/>
    <w:rsid w:val="12AF3797"/>
    <w:rsid w:val="12B6B89A"/>
    <w:rsid w:val="12C5580B"/>
    <w:rsid w:val="12CF0ED2"/>
    <w:rsid w:val="12D44ED8"/>
    <w:rsid w:val="12D6EBCB"/>
    <w:rsid w:val="12D7B097"/>
    <w:rsid w:val="12D965FC"/>
    <w:rsid w:val="12D99B13"/>
    <w:rsid w:val="12E4FC50"/>
    <w:rsid w:val="12E90308"/>
    <w:rsid w:val="12ECCFC3"/>
    <w:rsid w:val="12ECD839"/>
    <w:rsid w:val="12EDAD35"/>
    <w:rsid w:val="12F2A367"/>
    <w:rsid w:val="12F6698E"/>
    <w:rsid w:val="12F83BDB"/>
    <w:rsid w:val="12FB3B58"/>
    <w:rsid w:val="12FC63A9"/>
    <w:rsid w:val="1301CCA0"/>
    <w:rsid w:val="1306FB84"/>
    <w:rsid w:val="130CD114"/>
    <w:rsid w:val="13126F42"/>
    <w:rsid w:val="131A78AB"/>
    <w:rsid w:val="13207740"/>
    <w:rsid w:val="1321530C"/>
    <w:rsid w:val="132681D6"/>
    <w:rsid w:val="132683E3"/>
    <w:rsid w:val="132F37BB"/>
    <w:rsid w:val="133210A2"/>
    <w:rsid w:val="13326BAC"/>
    <w:rsid w:val="1333A7C0"/>
    <w:rsid w:val="133872D4"/>
    <w:rsid w:val="1338B019"/>
    <w:rsid w:val="133FA162"/>
    <w:rsid w:val="13439A54"/>
    <w:rsid w:val="1349AA77"/>
    <w:rsid w:val="134B8B6D"/>
    <w:rsid w:val="134EEB50"/>
    <w:rsid w:val="1350A5C4"/>
    <w:rsid w:val="135D3053"/>
    <w:rsid w:val="135E517D"/>
    <w:rsid w:val="1361CD59"/>
    <w:rsid w:val="13659BD7"/>
    <w:rsid w:val="136A936D"/>
    <w:rsid w:val="137170DA"/>
    <w:rsid w:val="1379A1BA"/>
    <w:rsid w:val="137BC5E6"/>
    <w:rsid w:val="137E0441"/>
    <w:rsid w:val="1386DE29"/>
    <w:rsid w:val="1388D6AF"/>
    <w:rsid w:val="13898C9A"/>
    <w:rsid w:val="138DC17A"/>
    <w:rsid w:val="13911059"/>
    <w:rsid w:val="139168AF"/>
    <w:rsid w:val="139496FF"/>
    <w:rsid w:val="139A6239"/>
    <w:rsid w:val="13ADA637"/>
    <w:rsid w:val="13B1E475"/>
    <w:rsid w:val="13B7572B"/>
    <w:rsid w:val="13BD1CF3"/>
    <w:rsid w:val="13C0BEA7"/>
    <w:rsid w:val="13C5F8C6"/>
    <w:rsid w:val="13CAEFF9"/>
    <w:rsid w:val="13CCAE2D"/>
    <w:rsid w:val="13CF6E6E"/>
    <w:rsid w:val="13D52868"/>
    <w:rsid w:val="13D80517"/>
    <w:rsid w:val="13E164F4"/>
    <w:rsid w:val="13E24257"/>
    <w:rsid w:val="13E577C0"/>
    <w:rsid w:val="13E627FF"/>
    <w:rsid w:val="13EF41CB"/>
    <w:rsid w:val="13F37291"/>
    <w:rsid w:val="13F9299A"/>
    <w:rsid w:val="13FC2E63"/>
    <w:rsid w:val="13FE27DD"/>
    <w:rsid w:val="14029C80"/>
    <w:rsid w:val="140BE004"/>
    <w:rsid w:val="140C8F6A"/>
    <w:rsid w:val="14101123"/>
    <w:rsid w:val="14150BC4"/>
    <w:rsid w:val="1417B2AB"/>
    <w:rsid w:val="142B6440"/>
    <w:rsid w:val="1431AE62"/>
    <w:rsid w:val="14349FB3"/>
    <w:rsid w:val="143644F7"/>
    <w:rsid w:val="143AED98"/>
    <w:rsid w:val="143CFAB5"/>
    <w:rsid w:val="143D8BA6"/>
    <w:rsid w:val="144076B5"/>
    <w:rsid w:val="144092BA"/>
    <w:rsid w:val="1442D6F0"/>
    <w:rsid w:val="144A71E4"/>
    <w:rsid w:val="144C9E92"/>
    <w:rsid w:val="144CB34E"/>
    <w:rsid w:val="144CECC7"/>
    <w:rsid w:val="14529751"/>
    <w:rsid w:val="14540186"/>
    <w:rsid w:val="1464C4E3"/>
    <w:rsid w:val="147389A5"/>
    <w:rsid w:val="1473AA2F"/>
    <w:rsid w:val="14748865"/>
    <w:rsid w:val="14758B07"/>
    <w:rsid w:val="147A0522"/>
    <w:rsid w:val="147BB66B"/>
    <w:rsid w:val="147CE06A"/>
    <w:rsid w:val="14810F41"/>
    <w:rsid w:val="148409D2"/>
    <w:rsid w:val="1495B8D6"/>
    <w:rsid w:val="1499FEC9"/>
    <w:rsid w:val="14A61C03"/>
    <w:rsid w:val="14AC1C07"/>
    <w:rsid w:val="14B21B18"/>
    <w:rsid w:val="14B8C706"/>
    <w:rsid w:val="14BE17EE"/>
    <w:rsid w:val="14C5B6B3"/>
    <w:rsid w:val="14C7F3C4"/>
    <w:rsid w:val="14C9830A"/>
    <w:rsid w:val="14E34368"/>
    <w:rsid w:val="14E491DA"/>
    <w:rsid w:val="14E67261"/>
    <w:rsid w:val="14E76BC8"/>
    <w:rsid w:val="14FABB0A"/>
    <w:rsid w:val="150341B2"/>
    <w:rsid w:val="1503E764"/>
    <w:rsid w:val="150E5F83"/>
    <w:rsid w:val="150E86D6"/>
    <w:rsid w:val="150F0A9B"/>
    <w:rsid w:val="1512AF87"/>
    <w:rsid w:val="151474E6"/>
    <w:rsid w:val="15149126"/>
    <w:rsid w:val="15159174"/>
    <w:rsid w:val="151773A2"/>
    <w:rsid w:val="151966C2"/>
    <w:rsid w:val="15197D43"/>
    <w:rsid w:val="151A8C71"/>
    <w:rsid w:val="151D2C5C"/>
    <w:rsid w:val="152240A4"/>
    <w:rsid w:val="1522A0D3"/>
    <w:rsid w:val="152875BF"/>
    <w:rsid w:val="15301578"/>
    <w:rsid w:val="1533B6CF"/>
    <w:rsid w:val="153744FA"/>
    <w:rsid w:val="153B339A"/>
    <w:rsid w:val="153BBBC9"/>
    <w:rsid w:val="153FCCA2"/>
    <w:rsid w:val="15446966"/>
    <w:rsid w:val="1552DB1F"/>
    <w:rsid w:val="155BAE72"/>
    <w:rsid w:val="1562FA92"/>
    <w:rsid w:val="15631FD9"/>
    <w:rsid w:val="15659AE4"/>
    <w:rsid w:val="1567E9D4"/>
    <w:rsid w:val="15694CEB"/>
    <w:rsid w:val="157BD8A5"/>
    <w:rsid w:val="157ECE60"/>
    <w:rsid w:val="157EF21A"/>
    <w:rsid w:val="1580511C"/>
    <w:rsid w:val="1585242C"/>
    <w:rsid w:val="15879120"/>
    <w:rsid w:val="15894705"/>
    <w:rsid w:val="158C4B5C"/>
    <w:rsid w:val="1593B370"/>
    <w:rsid w:val="15993BAB"/>
    <w:rsid w:val="159DE00F"/>
    <w:rsid w:val="159ED5C1"/>
    <w:rsid w:val="159F434C"/>
    <w:rsid w:val="15AE3574"/>
    <w:rsid w:val="15B79EB2"/>
    <w:rsid w:val="15C02923"/>
    <w:rsid w:val="15C74A72"/>
    <w:rsid w:val="15C7E677"/>
    <w:rsid w:val="15C94EC3"/>
    <w:rsid w:val="15CA690A"/>
    <w:rsid w:val="15CF2D33"/>
    <w:rsid w:val="15D04710"/>
    <w:rsid w:val="15D408F7"/>
    <w:rsid w:val="15D8A776"/>
    <w:rsid w:val="15DDAB18"/>
    <w:rsid w:val="15DDF01F"/>
    <w:rsid w:val="15E195DC"/>
    <w:rsid w:val="15E5DA36"/>
    <w:rsid w:val="15E5E3AC"/>
    <w:rsid w:val="15E780F8"/>
    <w:rsid w:val="15EC5F02"/>
    <w:rsid w:val="15F612ED"/>
    <w:rsid w:val="15FE86A7"/>
    <w:rsid w:val="15FF0D58"/>
    <w:rsid w:val="1606EC9D"/>
    <w:rsid w:val="1613B9B9"/>
    <w:rsid w:val="16168331"/>
    <w:rsid w:val="16181FF2"/>
    <w:rsid w:val="161BAEBF"/>
    <w:rsid w:val="161C6765"/>
    <w:rsid w:val="161D29D1"/>
    <w:rsid w:val="1620BDFC"/>
    <w:rsid w:val="16249E6F"/>
    <w:rsid w:val="162C5655"/>
    <w:rsid w:val="162CEAEE"/>
    <w:rsid w:val="16303559"/>
    <w:rsid w:val="16307781"/>
    <w:rsid w:val="16328997"/>
    <w:rsid w:val="1635FAE5"/>
    <w:rsid w:val="16365B38"/>
    <w:rsid w:val="164630BD"/>
    <w:rsid w:val="164B4B9B"/>
    <w:rsid w:val="164E6C4B"/>
    <w:rsid w:val="1654D99C"/>
    <w:rsid w:val="1657ED66"/>
    <w:rsid w:val="1660A84E"/>
    <w:rsid w:val="166B3FE7"/>
    <w:rsid w:val="166B8D28"/>
    <w:rsid w:val="166FB477"/>
    <w:rsid w:val="1671E162"/>
    <w:rsid w:val="1676788D"/>
    <w:rsid w:val="1678035B"/>
    <w:rsid w:val="167DCCB5"/>
    <w:rsid w:val="16897F9B"/>
    <w:rsid w:val="168BE1DF"/>
    <w:rsid w:val="16A2092E"/>
    <w:rsid w:val="16A37293"/>
    <w:rsid w:val="16A9E646"/>
    <w:rsid w:val="16ACBF59"/>
    <w:rsid w:val="16B10693"/>
    <w:rsid w:val="16B6B433"/>
    <w:rsid w:val="16C24E22"/>
    <w:rsid w:val="16C6C4E0"/>
    <w:rsid w:val="16CBC104"/>
    <w:rsid w:val="16D246A7"/>
    <w:rsid w:val="16D756B4"/>
    <w:rsid w:val="16D75C1C"/>
    <w:rsid w:val="16D7B45E"/>
    <w:rsid w:val="16DBA4FD"/>
    <w:rsid w:val="16DC0FB5"/>
    <w:rsid w:val="16DCE950"/>
    <w:rsid w:val="16DE8E3B"/>
    <w:rsid w:val="16EDD1DF"/>
    <w:rsid w:val="16F24EA1"/>
    <w:rsid w:val="16F2DA9B"/>
    <w:rsid w:val="16F87259"/>
    <w:rsid w:val="16FDA876"/>
    <w:rsid w:val="16FE6A73"/>
    <w:rsid w:val="170BF6C0"/>
    <w:rsid w:val="170D55DF"/>
    <w:rsid w:val="170E7840"/>
    <w:rsid w:val="170EC85E"/>
    <w:rsid w:val="171505D3"/>
    <w:rsid w:val="17154F66"/>
    <w:rsid w:val="17177A90"/>
    <w:rsid w:val="171F3217"/>
    <w:rsid w:val="17213B3A"/>
    <w:rsid w:val="1723514C"/>
    <w:rsid w:val="1723B58F"/>
    <w:rsid w:val="17242B30"/>
    <w:rsid w:val="172FDC91"/>
    <w:rsid w:val="17323540"/>
    <w:rsid w:val="173351D5"/>
    <w:rsid w:val="17402CA0"/>
    <w:rsid w:val="1759ADA7"/>
    <w:rsid w:val="175DEF84"/>
    <w:rsid w:val="1766B755"/>
    <w:rsid w:val="17696279"/>
    <w:rsid w:val="177090B9"/>
    <w:rsid w:val="1777915F"/>
    <w:rsid w:val="1778F129"/>
    <w:rsid w:val="177C5048"/>
    <w:rsid w:val="177C6679"/>
    <w:rsid w:val="177F5E2B"/>
    <w:rsid w:val="1780198E"/>
    <w:rsid w:val="17832A22"/>
    <w:rsid w:val="178589E1"/>
    <w:rsid w:val="178B9961"/>
    <w:rsid w:val="17959F5A"/>
    <w:rsid w:val="179697EE"/>
    <w:rsid w:val="17ACD462"/>
    <w:rsid w:val="17B1B54A"/>
    <w:rsid w:val="17B3DF80"/>
    <w:rsid w:val="17BAAB20"/>
    <w:rsid w:val="17BB24EB"/>
    <w:rsid w:val="17BC5114"/>
    <w:rsid w:val="17C36EEF"/>
    <w:rsid w:val="17CABEBA"/>
    <w:rsid w:val="17CC2718"/>
    <w:rsid w:val="17CF8E32"/>
    <w:rsid w:val="17D05AF6"/>
    <w:rsid w:val="17D3199B"/>
    <w:rsid w:val="17E1C965"/>
    <w:rsid w:val="17E3CA7A"/>
    <w:rsid w:val="17EA166E"/>
    <w:rsid w:val="17EAB5E2"/>
    <w:rsid w:val="17EBA063"/>
    <w:rsid w:val="17F0BDD0"/>
    <w:rsid w:val="17F325B6"/>
    <w:rsid w:val="17F6FA26"/>
    <w:rsid w:val="17F9CD29"/>
    <w:rsid w:val="17FDE44E"/>
    <w:rsid w:val="18005684"/>
    <w:rsid w:val="18048C95"/>
    <w:rsid w:val="18077DA3"/>
    <w:rsid w:val="180C751A"/>
    <w:rsid w:val="18124FCF"/>
    <w:rsid w:val="18128EF5"/>
    <w:rsid w:val="18194E42"/>
    <w:rsid w:val="181ABDB6"/>
    <w:rsid w:val="1821251F"/>
    <w:rsid w:val="18332F11"/>
    <w:rsid w:val="1834DF7E"/>
    <w:rsid w:val="183C5923"/>
    <w:rsid w:val="18433A43"/>
    <w:rsid w:val="1843DD3C"/>
    <w:rsid w:val="184748F8"/>
    <w:rsid w:val="1848A32C"/>
    <w:rsid w:val="184A73CA"/>
    <w:rsid w:val="184FA791"/>
    <w:rsid w:val="1851655F"/>
    <w:rsid w:val="18554BD7"/>
    <w:rsid w:val="1860E6CB"/>
    <w:rsid w:val="1864258F"/>
    <w:rsid w:val="1865D8CB"/>
    <w:rsid w:val="18673AEB"/>
    <w:rsid w:val="186A81C1"/>
    <w:rsid w:val="18707214"/>
    <w:rsid w:val="18758739"/>
    <w:rsid w:val="187C7B2E"/>
    <w:rsid w:val="187DAAD1"/>
    <w:rsid w:val="18802E55"/>
    <w:rsid w:val="1880E388"/>
    <w:rsid w:val="18853E60"/>
    <w:rsid w:val="188A9815"/>
    <w:rsid w:val="188D452B"/>
    <w:rsid w:val="18934FF2"/>
    <w:rsid w:val="18972862"/>
    <w:rsid w:val="1897B039"/>
    <w:rsid w:val="1899C2F3"/>
    <w:rsid w:val="189A0724"/>
    <w:rsid w:val="189B8EAB"/>
    <w:rsid w:val="189CA14B"/>
    <w:rsid w:val="189EB976"/>
    <w:rsid w:val="18A0CEEF"/>
    <w:rsid w:val="18A8508E"/>
    <w:rsid w:val="18ABD7D0"/>
    <w:rsid w:val="18B17326"/>
    <w:rsid w:val="18B83152"/>
    <w:rsid w:val="18B8A7B6"/>
    <w:rsid w:val="18C27C60"/>
    <w:rsid w:val="18C4B713"/>
    <w:rsid w:val="18C662D8"/>
    <w:rsid w:val="18C94073"/>
    <w:rsid w:val="18C9D6FF"/>
    <w:rsid w:val="18CA0532"/>
    <w:rsid w:val="18CDF4D3"/>
    <w:rsid w:val="18D2D518"/>
    <w:rsid w:val="18D74185"/>
    <w:rsid w:val="18DB22DA"/>
    <w:rsid w:val="18E0EFD4"/>
    <w:rsid w:val="18E4A1F1"/>
    <w:rsid w:val="18E8AE54"/>
    <w:rsid w:val="18F62C07"/>
    <w:rsid w:val="18F74F75"/>
    <w:rsid w:val="18F946E1"/>
    <w:rsid w:val="18FC8AF7"/>
    <w:rsid w:val="1904BF25"/>
    <w:rsid w:val="190852AE"/>
    <w:rsid w:val="190A9121"/>
    <w:rsid w:val="1910E376"/>
    <w:rsid w:val="191850A8"/>
    <w:rsid w:val="19224074"/>
    <w:rsid w:val="192CDB92"/>
    <w:rsid w:val="192DCE48"/>
    <w:rsid w:val="192ECDC6"/>
    <w:rsid w:val="19360CED"/>
    <w:rsid w:val="193F5DFB"/>
    <w:rsid w:val="19428122"/>
    <w:rsid w:val="1946F33C"/>
    <w:rsid w:val="194DFE7D"/>
    <w:rsid w:val="194E54B4"/>
    <w:rsid w:val="19536B3F"/>
    <w:rsid w:val="195B92F2"/>
    <w:rsid w:val="195D4F0F"/>
    <w:rsid w:val="1961D192"/>
    <w:rsid w:val="1962D64C"/>
    <w:rsid w:val="19632E55"/>
    <w:rsid w:val="196EE33D"/>
    <w:rsid w:val="19740077"/>
    <w:rsid w:val="197748F1"/>
    <w:rsid w:val="19790AE8"/>
    <w:rsid w:val="1982E107"/>
    <w:rsid w:val="1987C195"/>
    <w:rsid w:val="1989009D"/>
    <w:rsid w:val="198CA42C"/>
    <w:rsid w:val="199059B3"/>
    <w:rsid w:val="19924690"/>
    <w:rsid w:val="1995049F"/>
    <w:rsid w:val="199593CC"/>
    <w:rsid w:val="199646D3"/>
    <w:rsid w:val="19A06036"/>
    <w:rsid w:val="19A2D451"/>
    <w:rsid w:val="19A3BFC4"/>
    <w:rsid w:val="19A5D9D0"/>
    <w:rsid w:val="19A7B7CB"/>
    <w:rsid w:val="19A8DD33"/>
    <w:rsid w:val="19ACA4AA"/>
    <w:rsid w:val="19AF964C"/>
    <w:rsid w:val="19C0DBFB"/>
    <w:rsid w:val="19C2C7B5"/>
    <w:rsid w:val="19C32ADD"/>
    <w:rsid w:val="19C38364"/>
    <w:rsid w:val="19C70B81"/>
    <w:rsid w:val="19CF4B55"/>
    <w:rsid w:val="19D3E803"/>
    <w:rsid w:val="19DC0054"/>
    <w:rsid w:val="19E1085D"/>
    <w:rsid w:val="19E710AC"/>
    <w:rsid w:val="19ECE939"/>
    <w:rsid w:val="19EDCD1E"/>
    <w:rsid w:val="19F71D59"/>
    <w:rsid w:val="19F782F5"/>
    <w:rsid w:val="19F97A1E"/>
    <w:rsid w:val="19FA8BD1"/>
    <w:rsid w:val="19FC0FE7"/>
    <w:rsid w:val="1A00D1F4"/>
    <w:rsid w:val="1A020490"/>
    <w:rsid w:val="1A06E1E8"/>
    <w:rsid w:val="1A1B60A3"/>
    <w:rsid w:val="1A205900"/>
    <w:rsid w:val="1A2189B4"/>
    <w:rsid w:val="1A248841"/>
    <w:rsid w:val="1A259BC1"/>
    <w:rsid w:val="1A2B7797"/>
    <w:rsid w:val="1A2EFAC6"/>
    <w:rsid w:val="1A316AB3"/>
    <w:rsid w:val="1A3C4412"/>
    <w:rsid w:val="1A401154"/>
    <w:rsid w:val="1A4AD532"/>
    <w:rsid w:val="1A4C3D45"/>
    <w:rsid w:val="1A516C58"/>
    <w:rsid w:val="1A534668"/>
    <w:rsid w:val="1A568F1E"/>
    <w:rsid w:val="1A59600B"/>
    <w:rsid w:val="1A5D6A49"/>
    <w:rsid w:val="1A5D8164"/>
    <w:rsid w:val="1A5ECAD3"/>
    <w:rsid w:val="1A5FFDE6"/>
    <w:rsid w:val="1A6425A9"/>
    <w:rsid w:val="1A654D95"/>
    <w:rsid w:val="1A681E4D"/>
    <w:rsid w:val="1A6D834E"/>
    <w:rsid w:val="1A6FA2DF"/>
    <w:rsid w:val="1A6FEE97"/>
    <w:rsid w:val="1A77DA2E"/>
    <w:rsid w:val="1A796C89"/>
    <w:rsid w:val="1A7A0273"/>
    <w:rsid w:val="1A7E208B"/>
    <w:rsid w:val="1A848513"/>
    <w:rsid w:val="1A84ED11"/>
    <w:rsid w:val="1A86756E"/>
    <w:rsid w:val="1A8B0672"/>
    <w:rsid w:val="1A99DD15"/>
    <w:rsid w:val="1A9FBFF4"/>
    <w:rsid w:val="1AA793ED"/>
    <w:rsid w:val="1AA8EEFD"/>
    <w:rsid w:val="1AAE11D1"/>
    <w:rsid w:val="1AB089CF"/>
    <w:rsid w:val="1ABB0F1D"/>
    <w:rsid w:val="1ABF4E81"/>
    <w:rsid w:val="1AC9BA85"/>
    <w:rsid w:val="1ACABB20"/>
    <w:rsid w:val="1ACF914A"/>
    <w:rsid w:val="1AD8FB96"/>
    <w:rsid w:val="1AE2DCB8"/>
    <w:rsid w:val="1AE60A50"/>
    <w:rsid w:val="1AECF61A"/>
    <w:rsid w:val="1AED671E"/>
    <w:rsid w:val="1AEF3718"/>
    <w:rsid w:val="1AFCA983"/>
    <w:rsid w:val="1AFCB183"/>
    <w:rsid w:val="1B020823"/>
    <w:rsid w:val="1B03B5C1"/>
    <w:rsid w:val="1B03D09B"/>
    <w:rsid w:val="1B052D9B"/>
    <w:rsid w:val="1B105201"/>
    <w:rsid w:val="1B12EA2F"/>
    <w:rsid w:val="1B1DC6B8"/>
    <w:rsid w:val="1B2594D3"/>
    <w:rsid w:val="1B2DAD9D"/>
    <w:rsid w:val="1B32C094"/>
    <w:rsid w:val="1B349158"/>
    <w:rsid w:val="1B3878A5"/>
    <w:rsid w:val="1B395A9D"/>
    <w:rsid w:val="1B3ACC9D"/>
    <w:rsid w:val="1B3F2706"/>
    <w:rsid w:val="1B470EB8"/>
    <w:rsid w:val="1B47CD93"/>
    <w:rsid w:val="1B4B7B6B"/>
    <w:rsid w:val="1B4BADBA"/>
    <w:rsid w:val="1B50C4E1"/>
    <w:rsid w:val="1B53D71F"/>
    <w:rsid w:val="1B57759C"/>
    <w:rsid w:val="1B5B24F8"/>
    <w:rsid w:val="1B5CCF7D"/>
    <w:rsid w:val="1B5FE88F"/>
    <w:rsid w:val="1B63210D"/>
    <w:rsid w:val="1B689670"/>
    <w:rsid w:val="1B6C5FB6"/>
    <w:rsid w:val="1B6F1660"/>
    <w:rsid w:val="1B7CE944"/>
    <w:rsid w:val="1B804258"/>
    <w:rsid w:val="1B8CC021"/>
    <w:rsid w:val="1B8FAFA0"/>
    <w:rsid w:val="1B903661"/>
    <w:rsid w:val="1B93B62A"/>
    <w:rsid w:val="1B9F2B29"/>
    <w:rsid w:val="1BA45B42"/>
    <w:rsid w:val="1BA65DAA"/>
    <w:rsid w:val="1BAC3434"/>
    <w:rsid w:val="1BB63655"/>
    <w:rsid w:val="1BB6472A"/>
    <w:rsid w:val="1BBA9B24"/>
    <w:rsid w:val="1BBF658C"/>
    <w:rsid w:val="1BC4D60D"/>
    <w:rsid w:val="1BCD98FB"/>
    <w:rsid w:val="1BD694BF"/>
    <w:rsid w:val="1BDDA53C"/>
    <w:rsid w:val="1BE2D1BB"/>
    <w:rsid w:val="1BEAF33F"/>
    <w:rsid w:val="1BEEB697"/>
    <w:rsid w:val="1BF2788C"/>
    <w:rsid w:val="1BF62C70"/>
    <w:rsid w:val="1BFA35BC"/>
    <w:rsid w:val="1BFEBFD2"/>
    <w:rsid w:val="1BFF4EFD"/>
    <w:rsid w:val="1BFFEAFE"/>
    <w:rsid w:val="1C035B39"/>
    <w:rsid w:val="1C09319C"/>
    <w:rsid w:val="1C095CCA"/>
    <w:rsid w:val="1C0CAF5C"/>
    <w:rsid w:val="1C1210F9"/>
    <w:rsid w:val="1C17A911"/>
    <w:rsid w:val="1C277FD7"/>
    <w:rsid w:val="1C291991"/>
    <w:rsid w:val="1C2C427A"/>
    <w:rsid w:val="1C2CE7EA"/>
    <w:rsid w:val="1C33D755"/>
    <w:rsid w:val="1C3CC59B"/>
    <w:rsid w:val="1C4A4863"/>
    <w:rsid w:val="1C4EE16F"/>
    <w:rsid w:val="1C4FC852"/>
    <w:rsid w:val="1C51EDF4"/>
    <w:rsid w:val="1C55435A"/>
    <w:rsid w:val="1C56E61F"/>
    <w:rsid w:val="1C58FD6B"/>
    <w:rsid w:val="1C59ABDF"/>
    <w:rsid w:val="1C5CFD9D"/>
    <w:rsid w:val="1C6331B5"/>
    <w:rsid w:val="1C64A363"/>
    <w:rsid w:val="1C6C96AA"/>
    <w:rsid w:val="1C6FD26E"/>
    <w:rsid w:val="1C764625"/>
    <w:rsid w:val="1C7BA20C"/>
    <w:rsid w:val="1C7DF48B"/>
    <w:rsid w:val="1C817225"/>
    <w:rsid w:val="1C91B8BA"/>
    <w:rsid w:val="1C946BD8"/>
    <w:rsid w:val="1C952385"/>
    <w:rsid w:val="1C96052D"/>
    <w:rsid w:val="1C99B691"/>
    <w:rsid w:val="1C99CA9A"/>
    <w:rsid w:val="1CA3AE66"/>
    <w:rsid w:val="1CAFE452"/>
    <w:rsid w:val="1CB0A042"/>
    <w:rsid w:val="1CB18D85"/>
    <w:rsid w:val="1CB426F0"/>
    <w:rsid w:val="1CB646A5"/>
    <w:rsid w:val="1CB750B2"/>
    <w:rsid w:val="1CBFAFF5"/>
    <w:rsid w:val="1CC3551D"/>
    <w:rsid w:val="1CC8E301"/>
    <w:rsid w:val="1CCAB278"/>
    <w:rsid w:val="1CCC2B17"/>
    <w:rsid w:val="1CD6EE79"/>
    <w:rsid w:val="1CD9B656"/>
    <w:rsid w:val="1CDEEDA9"/>
    <w:rsid w:val="1CE07E17"/>
    <w:rsid w:val="1CE1B465"/>
    <w:rsid w:val="1CE7C033"/>
    <w:rsid w:val="1CE80D1A"/>
    <w:rsid w:val="1CEBCF76"/>
    <w:rsid w:val="1CEC6BD1"/>
    <w:rsid w:val="1CED52D7"/>
    <w:rsid w:val="1CED7B49"/>
    <w:rsid w:val="1CF8DC60"/>
    <w:rsid w:val="1CFBB703"/>
    <w:rsid w:val="1D02ED8B"/>
    <w:rsid w:val="1D07BA22"/>
    <w:rsid w:val="1D103294"/>
    <w:rsid w:val="1D1280C6"/>
    <w:rsid w:val="1D185E16"/>
    <w:rsid w:val="1D1C3ED2"/>
    <w:rsid w:val="1D1F887C"/>
    <w:rsid w:val="1D3521B7"/>
    <w:rsid w:val="1D363BD7"/>
    <w:rsid w:val="1D395F4D"/>
    <w:rsid w:val="1D3B494A"/>
    <w:rsid w:val="1D3D0C4A"/>
    <w:rsid w:val="1D40DDDB"/>
    <w:rsid w:val="1D49CC9B"/>
    <w:rsid w:val="1D4D6C48"/>
    <w:rsid w:val="1D4E7A36"/>
    <w:rsid w:val="1D529A60"/>
    <w:rsid w:val="1D53868B"/>
    <w:rsid w:val="1D585E8A"/>
    <w:rsid w:val="1D6DA226"/>
    <w:rsid w:val="1D6ED154"/>
    <w:rsid w:val="1D6F7BEE"/>
    <w:rsid w:val="1D71CC0F"/>
    <w:rsid w:val="1D74C703"/>
    <w:rsid w:val="1D7A94A3"/>
    <w:rsid w:val="1D7C18C6"/>
    <w:rsid w:val="1D8CC23B"/>
    <w:rsid w:val="1D8F45C8"/>
    <w:rsid w:val="1D92218A"/>
    <w:rsid w:val="1D93AFFC"/>
    <w:rsid w:val="1D95A887"/>
    <w:rsid w:val="1D9756C1"/>
    <w:rsid w:val="1DA6657A"/>
    <w:rsid w:val="1DA8B235"/>
    <w:rsid w:val="1DA8D8AA"/>
    <w:rsid w:val="1DA90FA3"/>
    <w:rsid w:val="1DAD1407"/>
    <w:rsid w:val="1DB1CD7A"/>
    <w:rsid w:val="1DB47CF2"/>
    <w:rsid w:val="1DB5F8C8"/>
    <w:rsid w:val="1DBFE884"/>
    <w:rsid w:val="1DC7A84C"/>
    <w:rsid w:val="1DC7CD23"/>
    <w:rsid w:val="1DCE3E7E"/>
    <w:rsid w:val="1DD06E0C"/>
    <w:rsid w:val="1DD5D103"/>
    <w:rsid w:val="1DD6A8B3"/>
    <w:rsid w:val="1DD845C5"/>
    <w:rsid w:val="1DDEB757"/>
    <w:rsid w:val="1DE2C7AE"/>
    <w:rsid w:val="1DE37A78"/>
    <w:rsid w:val="1DFB6B19"/>
    <w:rsid w:val="1DFE5CE3"/>
    <w:rsid w:val="1DFEFEED"/>
    <w:rsid w:val="1E00EFB7"/>
    <w:rsid w:val="1E00EFE5"/>
    <w:rsid w:val="1E01796A"/>
    <w:rsid w:val="1E03EB3A"/>
    <w:rsid w:val="1E0436B0"/>
    <w:rsid w:val="1E12AA02"/>
    <w:rsid w:val="1E165E6C"/>
    <w:rsid w:val="1E1AC675"/>
    <w:rsid w:val="1E1C5541"/>
    <w:rsid w:val="1E1E2762"/>
    <w:rsid w:val="1E25B44A"/>
    <w:rsid w:val="1E277CC2"/>
    <w:rsid w:val="1E27FED6"/>
    <w:rsid w:val="1E29AEFF"/>
    <w:rsid w:val="1E2C0C8F"/>
    <w:rsid w:val="1E2FAE6F"/>
    <w:rsid w:val="1E3257FF"/>
    <w:rsid w:val="1E36992A"/>
    <w:rsid w:val="1E3713DE"/>
    <w:rsid w:val="1E3C6C9F"/>
    <w:rsid w:val="1E3EB917"/>
    <w:rsid w:val="1E3EDDA0"/>
    <w:rsid w:val="1E450A4E"/>
    <w:rsid w:val="1E4754F1"/>
    <w:rsid w:val="1E49FAEB"/>
    <w:rsid w:val="1E52F962"/>
    <w:rsid w:val="1E555EF1"/>
    <w:rsid w:val="1E559D27"/>
    <w:rsid w:val="1E5F99E0"/>
    <w:rsid w:val="1E610EE2"/>
    <w:rsid w:val="1E63E64E"/>
    <w:rsid w:val="1E694C0F"/>
    <w:rsid w:val="1E75B5E0"/>
    <w:rsid w:val="1E7E944C"/>
    <w:rsid w:val="1E816E64"/>
    <w:rsid w:val="1E81A38A"/>
    <w:rsid w:val="1E84E17A"/>
    <w:rsid w:val="1E855B9F"/>
    <w:rsid w:val="1E944772"/>
    <w:rsid w:val="1E9647C2"/>
    <w:rsid w:val="1EA07C67"/>
    <w:rsid w:val="1EA42257"/>
    <w:rsid w:val="1EA52B46"/>
    <w:rsid w:val="1EAEE12C"/>
    <w:rsid w:val="1EB11A8F"/>
    <w:rsid w:val="1EB3F0BA"/>
    <w:rsid w:val="1EB47B23"/>
    <w:rsid w:val="1EB5EF4F"/>
    <w:rsid w:val="1EB6EB93"/>
    <w:rsid w:val="1EBC252C"/>
    <w:rsid w:val="1EBF199B"/>
    <w:rsid w:val="1EC025C1"/>
    <w:rsid w:val="1EC2DC52"/>
    <w:rsid w:val="1ECC9426"/>
    <w:rsid w:val="1ECD222B"/>
    <w:rsid w:val="1ED8DACB"/>
    <w:rsid w:val="1EE04692"/>
    <w:rsid w:val="1EE12D40"/>
    <w:rsid w:val="1EEC5349"/>
    <w:rsid w:val="1EF25C99"/>
    <w:rsid w:val="1EF79890"/>
    <w:rsid w:val="1EF9F131"/>
    <w:rsid w:val="1EFD6AB8"/>
    <w:rsid w:val="1F05BA6E"/>
    <w:rsid w:val="1F0CF353"/>
    <w:rsid w:val="1F138F5D"/>
    <w:rsid w:val="1F147B3C"/>
    <w:rsid w:val="1F14C8B5"/>
    <w:rsid w:val="1F168BDB"/>
    <w:rsid w:val="1F17C8FC"/>
    <w:rsid w:val="1F2204B2"/>
    <w:rsid w:val="1F279E90"/>
    <w:rsid w:val="1F27D591"/>
    <w:rsid w:val="1F2B14AA"/>
    <w:rsid w:val="1F33ACC7"/>
    <w:rsid w:val="1F377F0E"/>
    <w:rsid w:val="1F468908"/>
    <w:rsid w:val="1F4797DB"/>
    <w:rsid w:val="1F51202A"/>
    <w:rsid w:val="1F519DCB"/>
    <w:rsid w:val="1F58812C"/>
    <w:rsid w:val="1F59971A"/>
    <w:rsid w:val="1F5B88AE"/>
    <w:rsid w:val="1F5F8D40"/>
    <w:rsid w:val="1F60CF51"/>
    <w:rsid w:val="1F6B6041"/>
    <w:rsid w:val="1F6D7B83"/>
    <w:rsid w:val="1F6EEBF6"/>
    <w:rsid w:val="1F78AE65"/>
    <w:rsid w:val="1F7C1B2B"/>
    <w:rsid w:val="1F7DF415"/>
    <w:rsid w:val="1F82C6C1"/>
    <w:rsid w:val="1F870A5B"/>
    <w:rsid w:val="1F9B1776"/>
    <w:rsid w:val="1F9F6E12"/>
    <w:rsid w:val="1FA07EA4"/>
    <w:rsid w:val="1FA32BD5"/>
    <w:rsid w:val="1FA40275"/>
    <w:rsid w:val="1FAB076A"/>
    <w:rsid w:val="1FAB62AE"/>
    <w:rsid w:val="1FAEDE7F"/>
    <w:rsid w:val="1FB1B453"/>
    <w:rsid w:val="1FB1EDEE"/>
    <w:rsid w:val="1FB267A4"/>
    <w:rsid w:val="1FBA1307"/>
    <w:rsid w:val="1FCB86F7"/>
    <w:rsid w:val="1FE3AF29"/>
    <w:rsid w:val="1FE4BA8F"/>
    <w:rsid w:val="1FE843C4"/>
    <w:rsid w:val="1FEC65D5"/>
    <w:rsid w:val="1FF5633E"/>
    <w:rsid w:val="1FF7139D"/>
    <w:rsid w:val="1FFC2B49"/>
    <w:rsid w:val="1FFDBF36"/>
    <w:rsid w:val="20059C15"/>
    <w:rsid w:val="20070181"/>
    <w:rsid w:val="200CB8D9"/>
    <w:rsid w:val="20100100"/>
    <w:rsid w:val="20174861"/>
    <w:rsid w:val="201AFB98"/>
    <w:rsid w:val="201F02FE"/>
    <w:rsid w:val="201FA4DA"/>
    <w:rsid w:val="20237CBF"/>
    <w:rsid w:val="2027BAC7"/>
    <w:rsid w:val="202DE910"/>
    <w:rsid w:val="202EB4C1"/>
    <w:rsid w:val="2036E054"/>
    <w:rsid w:val="2038E652"/>
    <w:rsid w:val="203FACC8"/>
    <w:rsid w:val="204CAC2F"/>
    <w:rsid w:val="204E8BB1"/>
    <w:rsid w:val="20504EF0"/>
    <w:rsid w:val="2054CEAF"/>
    <w:rsid w:val="205D2B29"/>
    <w:rsid w:val="20608864"/>
    <w:rsid w:val="206B2B16"/>
    <w:rsid w:val="206FCFE6"/>
    <w:rsid w:val="207D425F"/>
    <w:rsid w:val="207F4C13"/>
    <w:rsid w:val="208281AB"/>
    <w:rsid w:val="208330C5"/>
    <w:rsid w:val="208F9B04"/>
    <w:rsid w:val="20946B2D"/>
    <w:rsid w:val="209AACA9"/>
    <w:rsid w:val="209D143B"/>
    <w:rsid w:val="20AB83FA"/>
    <w:rsid w:val="20B11FCE"/>
    <w:rsid w:val="20B3E911"/>
    <w:rsid w:val="20BA4E75"/>
    <w:rsid w:val="20BF66A7"/>
    <w:rsid w:val="20C2529D"/>
    <w:rsid w:val="20C436EC"/>
    <w:rsid w:val="20D0A241"/>
    <w:rsid w:val="20D28E40"/>
    <w:rsid w:val="20D3E557"/>
    <w:rsid w:val="20D4C00B"/>
    <w:rsid w:val="20D8D982"/>
    <w:rsid w:val="20E1F151"/>
    <w:rsid w:val="20E4C2F3"/>
    <w:rsid w:val="20E6178A"/>
    <w:rsid w:val="20E67CD5"/>
    <w:rsid w:val="20E6E749"/>
    <w:rsid w:val="20E8AE72"/>
    <w:rsid w:val="20EA45E4"/>
    <w:rsid w:val="20EB8264"/>
    <w:rsid w:val="20EB8352"/>
    <w:rsid w:val="20EC20D1"/>
    <w:rsid w:val="20EF54A2"/>
    <w:rsid w:val="20F00574"/>
    <w:rsid w:val="20F02159"/>
    <w:rsid w:val="20F1A686"/>
    <w:rsid w:val="2104E68D"/>
    <w:rsid w:val="21052571"/>
    <w:rsid w:val="210F7C45"/>
    <w:rsid w:val="21191985"/>
    <w:rsid w:val="211DA6F1"/>
    <w:rsid w:val="2122993E"/>
    <w:rsid w:val="2122D0CF"/>
    <w:rsid w:val="21286F25"/>
    <w:rsid w:val="212D69CB"/>
    <w:rsid w:val="213064B0"/>
    <w:rsid w:val="21318E72"/>
    <w:rsid w:val="2132BBD4"/>
    <w:rsid w:val="21427C23"/>
    <w:rsid w:val="2142D9E2"/>
    <w:rsid w:val="21463DED"/>
    <w:rsid w:val="214A0B41"/>
    <w:rsid w:val="214B55D4"/>
    <w:rsid w:val="214DBCAE"/>
    <w:rsid w:val="214E03E1"/>
    <w:rsid w:val="21509B0F"/>
    <w:rsid w:val="21512954"/>
    <w:rsid w:val="2153A92E"/>
    <w:rsid w:val="21635BE3"/>
    <w:rsid w:val="2164504C"/>
    <w:rsid w:val="2165FE1E"/>
    <w:rsid w:val="216D82B8"/>
    <w:rsid w:val="2174861D"/>
    <w:rsid w:val="21776247"/>
    <w:rsid w:val="2181DF80"/>
    <w:rsid w:val="2181FB4F"/>
    <w:rsid w:val="2184EFD4"/>
    <w:rsid w:val="218967AC"/>
    <w:rsid w:val="218AD07F"/>
    <w:rsid w:val="219067A3"/>
    <w:rsid w:val="21949B4D"/>
    <w:rsid w:val="219BB18B"/>
    <w:rsid w:val="219EE1D3"/>
    <w:rsid w:val="21BEB7FC"/>
    <w:rsid w:val="21C62FED"/>
    <w:rsid w:val="21C961B8"/>
    <w:rsid w:val="21D21F91"/>
    <w:rsid w:val="21D41AC0"/>
    <w:rsid w:val="21D634F0"/>
    <w:rsid w:val="21E7E248"/>
    <w:rsid w:val="21E852CB"/>
    <w:rsid w:val="21F4974E"/>
    <w:rsid w:val="21F91D90"/>
    <w:rsid w:val="21FA0F25"/>
    <w:rsid w:val="21FC7FA0"/>
    <w:rsid w:val="21FDE9FC"/>
    <w:rsid w:val="21FFEFEB"/>
    <w:rsid w:val="2207005D"/>
    <w:rsid w:val="2209F2A5"/>
    <w:rsid w:val="220BEF01"/>
    <w:rsid w:val="2215B9FB"/>
    <w:rsid w:val="22177EE9"/>
    <w:rsid w:val="22185BE4"/>
    <w:rsid w:val="2224B19A"/>
    <w:rsid w:val="2224FAAD"/>
    <w:rsid w:val="222D8F05"/>
    <w:rsid w:val="222DAF93"/>
    <w:rsid w:val="222F4E1C"/>
    <w:rsid w:val="22329A4B"/>
    <w:rsid w:val="2235B1AE"/>
    <w:rsid w:val="2239348B"/>
    <w:rsid w:val="224596E8"/>
    <w:rsid w:val="224AE7BE"/>
    <w:rsid w:val="224F6F01"/>
    <w:rsid w:val="2257B081"/>
    <w:rsid w:val="225B23E3"/>
    <w:rsid w:val="225B6580"/>
    <w:rsid w:val="225D16BC"/>
    <w:rsid w:val="225D8D62"/>
    <w:rsid w:val="2260D614"/>
    <w:rsid w:val="2266C88C"/>
    <w:rsid w:val="2268676D"/>
    <w:rsid w:val="22695C9F"/>
    <w:rsid w:val="22706062"/>
    <w:rsid w:val="2270A9EF"/>
    <w:rsid w:val="2275E8EE"/>
    <w:rsid w:val="2277E951"/>
    <w:rsid w:val="2286BA35"/>
    <w:rsid w:val="2288A67D"/>
    <w:rsid w:val="22963C49"/>
    <w:rsid w:val="229810E5"/>
    <w:rsid w:val="22A110AB"/>
    <w:rsid w:val="22A2387B"/>
    <w:rsid w:val="22A3A663"/>
    <w:rsid w:val="22AC6194"/>
    <w:rsid w:val="22AEACCB"/>
    <w:rsid w:val="22AFA15D"/>
    <w:rsid w:val="22B0FBB9"/>
    <w:rsid w:val="22B5F589"/>
    <w:rsid w:val="22C56645"/>
    <w:rsid w:val="22D07F8D"/>
    <w:rsid w:val="22D3838D"/>
    <w:rsid w:val="22E56847"/>
    <w:rsid w:val="22E6FA38"/>
    <w:rsid w:val="22EB53E8"/>
    <w:rsid w:val="22EB66B8"/>
    <w:rsid w:val="22EB9C62"/>
    <w:rsid w:val="22EC7BB3"/>
    <w:rsid w:val="22EEAD8D"/>
    <w:rsid w:val="22EF1219"/>
    <w:rsid w:val="22F474D4"/>
    <w:rsid w:val="22F9917B"/>
    <w:rsid w:val="22FF18E4"/>
    <w:rsid w:val="23026975"/>
    <w:rsid w:val="230B5D43"/>
    <w:rsid w:val="230E79B1"/>
    <w:rsid w:val="2327A527"/>
    <w:rsid w:val="232B85F3"/>
    <w:rsid w:val="232C290B"/>
    <w:rsid w:val="23312148"/>
    <w:rsid w:val="2336183D"/>
    <w:rsid w:val="2338316F"/>
    <w:rsid w:val="23396237"/>
    <w:rsid w:val="23396B95"/>
    <w:rsid w:val="2343393B"/>
    <w:rsid w:val="2348FE63"/>
    <w:rsid w:val="23539832"/>
    <w:rsid w:val="23552E90"/>
    <w:rsid w:val="23562E98"/>
    <w:rsid w:val="23589B5E"/>
    <w:rsid w:val="235A96D1"/>
    <w:rsid w:val="235C71B1"/>
    <w:rsid w:val="2366C22A"/>
    <w:rsid w:val="236ECDB0"/>
    <w:rsid w:val="2370C48D"/>
    <w:rsid w:val="2378E637"/>
    <w:rsid w:val="2380060E"/>
    <w:rsid w:val="23807517"/>
    <w:rsid w:val="238289E5"/>
    <w:rsid w:val="2388B226"/>
    <w:rsid w:val="23898A93"/>
    <w:rsid w:val="238996F0"/>
    <w:rsid w:val="238CA777"/>
    <w:rsid w:val="239110D3"/>
    <w:rsid w:val="239247D3"/>
    <w:rsid w:val="2393A0E1"/>
    <w:rsid w:val="239FEA6E"/>
    <w:rsid w:val="23B7C7C4"/>
    <w:rsid w:val="23BF0141"/>
    <w:rsid w:val="23C0FE3A"/>
    <w:rsid w:val="23C9A664"/>
    <w:rsid w:val="23CA0C9C"/>
    <w:rsid w:val="23CE2FA6"/>
    <w:rsid w:val="23D27ED9"/>
    <w:rsid w:val="23D3B180"/>
    <w:rsid w:val="23D6D8F3"/>
    <w:rsid w:val="23DAC07B"/>
    <w:rsid w:val="23DD6DE0"/>
    <w:rsid w:val="23E4EFDE"/>
    <w:rsid w:val="23E7BDE9"/>
    <w:rsid w:val="23E8ED58"/>
    <w:rsid w:val="23F65594"/>
    <w:rsid w:val="23FD7F81"/>
    <w:rsid w:val="2400C6E9"/>
    <w:rsid w:val="240F115D"/>
    <w:rsid w:val="24122EAA"/>
    <w:rsid w:val="2417F2FD"/>
    <w:rsid w:val="2420B987"/>
    <w:rsid w:val="242A44A0"/>
    <w:rsid w:val="242A84E6"/>
    <w:rsid w:val="242A99A0"/>
    <w:rsid w:val="242ADB53"/>
    <w:rsid w:val="24357DB3"/>
    <w:rsid w:val="243944AC"/>
    <w:rsid w:val="24396358"/>
    <w:rsid w:val="243C905C"/>
    <w:rsid w:val="24511AAD"/>
    <w:rsid w:val="2452271E"/>
    <w:rsid w:val="24555993"/>
    <w:rsid w:val="24592563"/>
    <w:rsid w:val="245DA94F"/>
    <w:rsid w:val="2460C29A"/>
    <w:rsid w:val="2460E797"/>
    <w:rsid w:val="24661372"/>
    <w:rsid w:val="24690AFE"/>
    <w:rsid w:val="24697755"/>
    <w:rsid w:val="2469E771"/>
    <w:rsid w:val="246D000D"/>
    <w:rsid w:val="246FED1C"/>
    <w:rsid w:val="2478872D"/>
    <w:rsid w:val="247AC7C0"/>
    <w:rsid w:val="24817EEB"/>
    <w:rsid w:val="2485814E"/>
    <w:rsid w:val="2487B319"/>
    <w:rsid w:val="248F23ED"/>
    <w:rsid w:val="2493BBF0"/>
    <w:rsid w:val="249485F0"/>
    <w:rsid w:val="2497AE8B"/>
    <w:rsid w:val="249D4DC6"/>
    <w:rsid w:val="249DF91D"/>
    <w:rsid w:val="24A86A22"/>
    <w:rsid w:val="24B1777F"/>
    <w:rsid w:val="24B5677D"/>
    <w:rsid w:val="24BA87DD"/>
    <w:rsid w:val="24BD21EA"/>
    <w:rsid w:val="24BD7B6B"/>
    <w:rsid w:val="24BEB68A"/>
    <w:rsid w:val="24BFAC74"/>
    <w:rsid w:val="24C1E915"/>
    <w:rsid w:val="24C25615"/>
    <w:rsid w:val="24C3A8A3"/>
    <w:rsid w:val="24C4A51F"/>
    <w:rsid w:val="24CC1B91"/>
    <w:rsid w:val="24D7BB6C"/>
    <w:rsid w:val="24D91542"/>
    <w:rsid w:val="24DB448B"/>
    <w:rsid w:val="24DC5634"/>
    <w:rsid w:val="24EB4D7E"/>
    <w:rsid w:val="24F1D91E"/>
    <w:rsid w:val="24F34849"/>
    <w:rsid w:val="24F3E685"/>
    <w:rsid w:val="24FC05FD"/>
    <w:rsid w:val="24FCCD84"/>
    <w:rsid w:val="24FD7738"/>
    <w:rsid w:val="25023DF9"/>
    <w:rsid w:val="250405B3"/>
    <w:rsid w:val="2508DC48"/>
    <w:rsid w:val="250B015C"/>
    <w:rsid w:val="251B8807"/>
    <w:rsid w:val="251C39B9"/>
    <w:rsid w:val="25263FF9"/>
    <w:rsid w:val="2528E565"/>
    <w:rsid w:val="2535D6BC"/>
    <w:rsid w:val="253F2EF4"/>
    <w:rsid w:val="254B3917"/>
    <w:rsid w:val="254BB524"/>
    <w:rsid w:val="254D68E5"/>
    <w:rsid w:val="25508A9A"/>
    <w:rsid w:val="25513B03"/>
    <w:rsid w:val="255D3D17"/>
    <w:rsid w:val="256592CB"/>
    <w:rsid w:val="25689A3A"/>
    <w:rsid w:val="2569775F"/>
    <w:rsid w:val="256E7E1F"/>
    <w:rsid w:val="2579E39C"/>
    <w:rsid w:val="2583852A"/>
    <w:rsid w:val="258BEC09"/>
    <w:rsid w:val="258C388B"/>
    <w:rsid w:val="2593B201"/>
    <w:rsid w:val="25A37C19"/>
    <w:rsid w:val="25A64629"/>
    <w:rsid w:val="25A82E5C"/>
    <w:rsid w:val="25A897C2"/>
    <w:rsid w:val="25AA1B1B"/>
    <w:rsid w:val="25B0762A"/>
    <w:rsid w:val="25B3DB78"/>
    <w:rsid w:val="25B69F35"/>
    <w:rsid w:val="25B92A4B"/>
    <w:rsid w:val="25BB25F6"/>
    <w:rsid w:val="25C2168F"/>
    <w:rsid w:val="25D01786"/>
    <w:rsid w:val="25D10D13"/>
    <w:rsid w:val="25D26DF4"/>
    <w:rsid w:val="25D77FD7"/>
    <w:rsid w:val="25E2A30D"/>
    <w:rsid w:val="25E426B0"/>
    <w:rsid w:val="25E55839"/>
    <w:rsid w:val="25E7DA3C"/>
    <w:rsid w:val="25F21C05"/>
    <w:rsid w:val="25F32EC9"/>
    <w:rsid w:val="25FE3035"/>
    <w:rsid w:val="260393A0"/>
    <w:rsid w:val="26057086"/>
    <w:rsid w:val="261AC4E5"/>
    <w:rsid w:val="26240A09"/>
    <w:rsid w:val="2625CED0"/>
    <w:rsid w:val="262B0C44"/>
    <w:rsid w:val="262B1BD2"/>
    <w:rsid w:val="262BB206"/>
    <w:rsid w:val="26331174"/>
    <w:rsid w:val="263A9A24"/>
    <w:rsid w:val="263E7E25"/>
    <w:rsid w:val="264538E7"/>
    <w:rsid w:val="265BEC89"/>
    <w:rsid w:val="2660890C"/>
    <w:rsid w:val="2669E056"/>
    <w:rsid w:val="26705DBD"/>
    <w:rsid w:val="26732582"/>
    <w:rsid w:val="26764705"/>
    <w:rsid w:val="26816146"/>
    <w:rsid w:val="26819522"/>
    <w:rsid w:val="268B2B02"/>
    <w:rsid w:val="2690593B"/>
    <w:rsid w:val="2693B9D6"/>
    <w:rsid w:val="26993C02"/>
    <w:rsid w:val="26A6F95B"/>
    <w:rsid w:val="26AB69DE"/>
    <w:rsid w:val="26AF1F06"/>
    <w:rsid w:val="26B308F3"/>
    <w:rsid w:val="26B56D4D"/>
    <w:rsid w:val="26B6BC1F"/>
    <w:rsid w:val="26B80712"/>
    <w:rsid w:val="26BED90B"/>
    <w:rsid w:val="26C54AF1"/>
    <w:rsid w:val="26C82408"/>
    <w:rsid w:val="26CB252B"/>
    <w:rsid w:val="26D240A1"/>
    <w:rsid w:val="26D3273F"/>
    <w:rsid w:val="26D41805"/>
    <w:rsid w:val="26D58DC9"/>
    <w:rsid w:val="26D6D6A3"/>
    <w:rsid w:val="26DD2CAD"/>
    <w:rsid w:val="26E7EF75"/>
    <w:rsid w:val="26E94205"/>
    <w:rsid w:val="26E9E865"/>
    <w:rsid w:val="26EF0A23"/>
    <w:rsid w:val="26F16E9D"/>
    <w:rsid w:val="26F264C4"/>
    <w:rsid w:val="26F53E2C"/>
    <w:rsid w:val="26F64B2F"/>
    <w:rsid w:val="26FF2A2C"/>
    <w:rsid w:val="2700E673"/>
    <w:rsid w:val="2700EA3F"/>
    <w:rsid w:val="27011893"/>
    <w:rsid w:val="270CEFED"/>
    <w:rsid w:val="270DCF95"/>
    <w:rsid w:val="270F7212"/>
    <w:rsid w:val="27124BA0"/>
    <w:rsid w:val="271378EC"/>
    <w:rsid w:val="2713B893"/>
    <w:rsid w:val="2715D930"/>
    <w:rsid w:val="271B804A"/>
    <w:rsid w:val="271FA0E9"/>
    <w:rsid w:val="27233128"/>
    <w:rsid w:val="272BD596"/>
    <w:rsid w:val="27346B27"/>
    <w:rsid w:val="2747F75B"/>
    <w:rsid w:val="274A0208"/>
    <w:rsid w:val="274BD866"/>
    <w:rsid w:val="27503E11"/>
    <w:rsid w:val="2756060D"/>
    <w:rsid w:val="275A5CC5"/>
    <w:rsid w:val="276197FA"/>
    <w:rsid w:val="276213C3"/>
    <w:rsid w:val="2762BBC4"/>
    <w:rsid w:val="27677425"/>
    <w:rsid w:val="2768A107"/>
    <w:rsid w:val="276BA9A3"/>
    <w:rsid w:val="27740E4E"/>
    <w:rsid w:val="2774B693"/>
    <w:rsid w:val="2778C2EC"/>
    <w:rsid w:val="277F47AB"/>
    <w:rsid w:val="278706B9"/>
    <w:rsid w:val="2793D19C"/>
    <w:rsid w:val="2794CDC4"/>
    <w:rsid w:val="27987914"/>
    <w:rsid w:val="279A3222"/>
    <w:rsid w:val="279BBAAB"/>
    <w:rsid w:val="27A9E53D"/>
    <w:rsid w:val="27AA0C16"/>
    <w:rsid w:val="27ABF6B2"/>
    <w:rsid w:val="27B568C0"/>
    <w:rsid w:val="27BA0BAA"/>
    <w:rsid w:val="27BE728A"/>
    <w:rsid w:val="27C11046"/>
    <w:rsid w:val="27C7F873"/>
    <w:rsid w:val="27D65E3D"/>
    <w:rsid w:val="27D7E932"/>
    <w:rsid w:val="27DC4A0A"/>
    <w:rsid w:val="27DD2899"/>
    <w:rsid w:val="27DE0CBD"/>
    <w:rsid w:val="27E01AA2"/>
    <w:rsid w:val="27E3BF44"/>
    <w:rsid w:val="27E93764"/>
    <w:rsid w:val="27EED3F4"/>
    <w:rsid w:val="2801F396"/>
    <w:rsid w:val="280B5F13"/>
    <w:rsid w:val="281044FA"/>
    <w:rsid w:val="282A0E17"/>
    <w:rsid w:val="282D9CCB"/>
    <w:rsid w:val="2839CE72"/>
    <w:rsid w:val="283A47AD"/>
    <w:rsid w:val="283D7FDD"/>
    <w:rsid w:val="2840B94A"/>
    <w:rsid w:val="28463B3E"/>
    <w:rsid w:val="2849D8DD"/>
    <w:rsid w:val="284A3D6A"/>
    <w:rsid w:val="284EBD4E"/>
    <w:rsid w:val="28535FF1"/>
    <w:rsid w:val="28553B68"/>
    <w:rsid w:val="285D4338"/>
    <w:rsid w:val="28601788"/>
    <w:rsid w:val="2861C8D0"/>
    <w:rsid w:val="2861E947"/>
    <w:rsid w:val="2868DABE"/>
    <w:rsid w:val="286A2BD2"/>
    <w:rsid w:val="286B7C9C"/>
    <w:rsid w:val="286C4873"/>
    <w:rsid w:val="286F6D77"/>
    <w:rsid w:val="28703FC3"/>
    <w:rsid w:val="28745EEF"/>
    <w:rsid w:val="287610A3"/>
    <w:rsid w:val="2879CA1A"/>
    <w:rsid w:val="2882E0A4"/>
    <w:rsid w:val="2887D5FE"/>
    <w:rsid w:val="2889D3AD"/>
    <w:rsid w:val="288D2B4E"/>
    <w:rsid w:val="288DEB46"/>
    <w:rsid w:val="289D9340"/>
    <w:rsid w:val="28A9BA2B"/>
    <w:rsid w:val="28AFEA79"/>
    <w:rsid w:val="28B2150E"/>
    <w:rsid w:val="28B6587D"/>
    <w:rsid w:val="28C130FD"/>
    <w:rsid w:val="28CB2D1E"/>
    <w:rsid w:val="28CB80F7"/>
    <w:rsid w:val="28D7297D"/>
    <w:rsid w:val="28D89789"/>
    <w:rsid w:val="28DA8762"/>
    <w:rsid w:val="28DB76C9"/>
    <w:rsid w:val="28DF8DE6"/>
    <w:rsid w:val="28E0310B"/>
    <w:rsid w:val="28E4D4CC"/>
    <w:rsid w:val="28E6C3CD"/>
    <w:rsid w:val="28ED0E03"/>
    <w:rsid w:val="28FD158F"/>
    <w:rsid w:val="29010212"/>
    <w:rsid w:val="290303F0"/>
    <w:rsid w:val="2904E674"/>
    <w:rsid w:val="2905CB25"/>
    <w:rsid w:val="29084CC0"/>
    <w:rsid w:val="2908F1E6"/>
    <w:rsid w:val="290C8A2C"/>
    <w:rsid w:val="29118007"/>
    <w:rsid w:val="2915C3B9"/>
    <w:rsid w:val="2919889B"/>
    <w:rsid w:val="291FFD7B"/>
    <w:rsid w:val="292660C3"/>
    <w:rsid w:val="292BBF42"/>
    <w:rsid w:val="29372EB7"/>
    <w:rsid w:val="29383FFF"/>
    <w:rsid w:val="2938531A"/>
    <w:rsid w:val="29387A74"/>
    <w:rsid w:val="293A8B90"/>
    <w:rsid w:val="293EC898"/>
    <w:rsid w:val="2941DD31"/>
    <w:rsid w:val="294C898A"/>
    <w:rsid w:val="294D2B8B"/>
    <w:rsid w:val="29519663"/>
    <w:rsid w:val="2954B8A2"/>
    <w:rsid w:val="29566F1C"/>
    <w:rsid w:val="29570747"/>
    <w:rsid w:val="29575C5F"/>
    <w:rsid w:val="29583637"/>
    <w:rsid w:val="295902C7"/>
    <w:rsid w:val="295C13CA"/>
    <w:rsid w:val="29625B86"/>
    <w:rsid w:val="2965E3EC"/>
    <w:rsid w:val="2977ACBE"/>
    <w:rsid w:val="2979480F"/>
    <w:rsid w:val="297C2BFC"/>
    <w:rsid w:val="2982FECC"/>
    <w:rsid w:val="298A2536"/>
    <w:rsid w:val="2990C994"/>
    <w:rsid w:val="29916CC8"/>
    <w:rsid w:val="29918FBC"/>
    <w:rsid w:val="29938330"/>
    <w:rsid w:val="29983EA5"/>
    <w:rsid w:val="299ACEE2"/>
    <w:rsid w:val="29A14C01"/>
    <w:rsid w:val="29A1CE52"/>
    <w:rsid w:val="29A45E5B"/>
    <w:rsid w:val="29AA2988"/>
    <w:rsid w:val="29AA3724"/>
    <w:rsid w:val="29B40004"/>
    <w:rsid w:val="29B9577F"/>
    <w:rsid w:val="29B9BE95"/>
    <w:rsid w:val="29BF454E"/>
    <w:rsid w:val="29C0AE1D"/>
    <w:rsid w:val="29C5395D"/>
    <w:rsid w:val="29CB660C"/>
    <w:rsid w:val="29CDB1AD"/>
    <w:rsid w:val="29CEA906"/>
    <w:rsid w:val="29D184C4"/>
    <w:rsid w:val="29D2B065"/>
    <w:rsid w:val="29D4AA54"/>
    <w:rsid w:val="29DAF4B0"/>
    <w:rsid w:val="29DFD94A"/>
    <w:rsid w:val="29E63952"/>
    <w:rsid w:val="29E6C4F4"/>
    <w:rsid w:val="29E6CCC4"/>
    <w:rsid w:val="29E799DA"/>
    <w:rsid w:val="29EB5B1E"/>
    <w:rsid w:val="29F0B0E8"/>
    <w:rsid w:val="29F44696"/>
    <w:rsid w:val="29FCBC2E"/>
    <w:rsid w:val="29FFC920"/>
    <w:rsid w:val="2A022F77"/>
    <w:rsid w:val="2A04EA86"/>
    <w:rsid w:val="2A0924B7"/>
    <w:rsid w:val="2A0CA311"/>
    <w:rsid w:val="2A10092F"/>
    <w:rsid w:val="2A125430"/>
    <w:rsid w:val="2A12FC10"/>
    <w:rsid w:val="2A156974"/>
    <w:rsid w:val="2A16E11F"/>
    <w:rsid w:val="2A17E8D9"/>
    <w:rsid w:val="2A1DAAAC"/>
    <w:rsid w:val="2A2AE690"/>
    <w:rsid w:val="2A30106E"/>
    <w:rsid w:val="2A312055"/>
    <w:rsid w:val="2A350DFC"/>
    <w:rsid w:val="2A3B2E5F"/>
    <w:rsid w:val="2A3F0D95"/>
    <w:rsid w:val="2A3F1F16"/>
    <w:rsid w:val="2A45CB8E"/>
    <w:rsid w:val="2A49111E"/>
    <w:rsid w:val="2A576716"/>
    <w:rsid w:val="2A5F13B5"/>
    <w:rsid w:val="2A5F98D9"/>
    <w:rsid w:val="2A5FC1CD"/>
    <w:rsid w:val="2A67B1DB"/>
    <w:rsid w:val="2A685B4C"/>
    <w:rsid w:val="2A6E88DA"/>
    <w:rsid w:val="2A700FF4"/>
    <w:rsid w:val="2A7214BF"/>
    <w:rsid w:val="2A72414F"/>
    <w:rsid w:val="2A736693"/>
    <w:rsid w:val="2A795DD2"/>
    <w:rsid w:val="2A7A0741"/>
    <w:rsid w:val="2A7BB5D6"/>
    <w:rsid w:val="2A80419A"/>
    <w:rsid w:val="2A8274DA"/>
    <w:rsid w:val="2A856C5C"/>
    <w:rsid w:val="2A86058E"/>
    <w:rsid w:val="2A8863B7"/>
    <w:rsid w:val="2A8E53B4"/>
    <w:rsid w:val="2A914C2E"/>
    <w:rsid w:val="2A9393EF"/>
    <w:rsid w:val="2A9936D9"/>
    <w:rsid w:val="2A9E83B3"/>
    <w:rsid w:val="2AAC1203"/>
    <w:rsid w:val="2AAE3342"/>
    <w:rsid w:val="2AAE48FE"/>
    <w:rsid w:val="2AB39F0C"/>
    <w:rsid w:val="2AB7AFF9"/>
    <w:rsid w:val="2ABE92F6"/>
    <w:rsid w:val="2AC00AB7"/>
    <w:rsid w:val="2AC4DD78"/>
    <w:rsid w:val="2AC61DED"/>
    <w:rsid w:val="2AC96CDB"/>
    <w:rsid w:val="2AC98126"/>
    <w:rsid w:val="2ACA2549"/>
    <w:rsid w:val="2ACB9C49"/>
    <w:rsid w:val="2ACD7D23"/>
    <w:rsid w:val="2AD6A60D"/>
    <w:rsid w:val="2AD72C6E"/>
    <w:rsid w:val="2AD7D2B4"/>
    <w:rsid w:val="2ADD72D9"/>
    <w:rsid w:val="2AE72D83"/>
    <w:rsid w:val="2AEC7C2A"/>
    <w:rsid w:val="2AEEF804"/>
    <w:rsid w:val="2AF0146D"/>
    <w:rsid w:val="2AF15751"/>
    <w:rsid w:val="2AF1D0C0"/>
    <w:rsid w:val="2AFCBC49"/>
    <w:rsid w:val="2B00B3CE"/>
    <w:rsid w:val="2B074363"/>
    <w:rsid w:val="2B0B2B28"/>
    <w:rsid w:val="2B0C7656"/>
    <w:rsid w:val="2B1565C8"/>
    <w:rsid w:val="2B1ADE47"/>
    <w:rsid w:val="2B1C9AD2"/>
    <w:rsid w:val="2B1DAC78"/>
    <w:rsid w:val="2B24BF87"/>
    <w:rsid w:val="2B25EB9D"/>
    <w:rsid w:val="2B280667"/>
    <w:rsid w:val="2B2CA312"/>
    <w:rsid w:val="2B2FA6C3"/>
    <w:rsid w:val="2B486A98"/>
    <w:rsid w:val="2B4FEB34"/>
    <w:rsid w:val="2B52FCE8"/>
    <w:rsid w:val="2B58A712"/>
    <w:rsid w:val="2B5D7BBE"/>
    <w:rsid w:val="2B69B7A5"/>
    <w:rsid w:val="2B7368C6"/>
    <w:rsid w:val="2B742220"/>
    <w:rsid w:val="2B74BF6F"/>
    <w:rsid w:val="2B758C71"/>
    <w:rsid w:val="2B77704D"/>
    <w:rsid w:val="2B78BED3"/>
    <w:rsid w:val="2B808320"/>
    <w:rsid w:val="2B880027"/>
    <w:rsid w:val="2B8813B5"/>
    <w:rsid w:val="2B891F64"/>
    <w:rsid w:val="2B8A8551"/>
    <w:rsid w:val="2B8ABDDC"/>
    <w:rsid w:val="2B8ABDE8"/>
    <w:rsid w:val="2B8C4E45"/>
    <w:rsid w:val="2B9266E3"/>
    <w:rsid w:val="2B95E737"/>
    <w:rsid w:val="2B9BC755"/>
    <w:rsid w:val="2BA08965"/>
    <w:rsid w:val="2BA7ED9A"/>
    <w:rsid w:val="2BA96DB2"/>
    <w:rsid w:val="2BB75FD3"/>
    <w:rsid w:val="2BB959B7"/>
    <w:rsid w:val="2BBB39FD"/>
    <w:rsid w:val="2BC02FAC"/>
    <w:rsid w:val="2BC24EB3"/>
    <w:rsid w:val="2BC27D3E"/>
    <w:rsid w:val="2BC3923F"/>
    <w:rsid w:val="2BC5938A"/>
    <w:rsid w:val="2BC71879"/>
    <w:rsid w:val="2BC78852"/>
    <w:rsid w:val="2BCAA175"/>
    <w:rsid w:val="2BD13AB3"/>
    <w:rsid w:val="2BD2E519"/>
    <w:rsid w:val="2BD5A043"/>
    <w:rsid w:val="2BD691F0"/>
    <w:rsid w:val="2BDA219A"/>
    <w:rsid w:val="2BDE6856"/>
    <w:rsid w:val="2BE18AF6"/>
    <w:rsid w:val="2BE67D81"/>
    <w:rsid w:val="2BF111C0"/>
    <w:rsid w:val="2BF30588"/>
    <w:rsid w:val="2BF50EF3"/>
    <w:rsid w:val="2BF6C75B"/>
    <w:rsid w:val="2BFBF13C"/>
    <w:rsid w:val="2C036697"/>
    <w:rsid w:val="2C0C0F76"/>
    <w:rsid w:val="2C0F1873"/>
    <w:rsid w:val="2C110008"/>
    <w:rsid w:val="2C17A131"/>
    <w:rsid w:val="2C19F8CD"/>
    <w:rsid w:val="2C1C9BDD"/>
    <w:rsid w:val="2C27CB05"/>
    <w:rsid w:val="2C2B3DF4"/>
    <w:rsid w:val="2C2D3A03"/>
    <w:rsid w:val="2C357863"/>
    <w:rsid w:val="2C37C6D6"/>
    <w:rsid w:val="2C39A3EA"/>
    <w:rsid w:val="2C3BC3CF"/>
    <w:rsid w:val="2C3E52FE"/>
    <w:rsid w:val="2C457DCB"/>
    <w:rsid w:val="2C485D5D"/>
    <w:rsid w:val="2C4DEC22"/>
    <w:rsid w:val="2C53DA7C"/>
    <w:rsid w:val="2C56CE59"/>
    <w:rsid w:val="2C57D245"/>
    <w:rsid w:val="2C5A03C2"/>
    <w:rsid w:val="2C5A5E13"/>
    <w:rsid w:val="2C5B35EA"/>
    <w:rsid w:val="2C64635D"/>
    <w:rsid w:val="2C653733"/>
    <w:rsid w:val="2C67918B"/>
    <w:rsid w:val="2C6A0A2C"/>
    <w:rsid w:val="2C6F54B3"/>
    <w:rsid w:val="2C777E5E"/>
    <w:rsid w:val="2C7D7362"/>
    <w:rsid w:val="2C808948"/>
    <w:rsid w:val="2C90487E"/>
    <w:rsid w:val="2C90F998"/>
    <w:rsid w:val="2C949C4F"/>
    <w:rsid w:val="2CA134D3"/>
    <w:rsid w:val="2CA44B4F"/>
    <w:rsid w:val="2CA7B23B"/>
    <w:rsid w:val="2CAD88E3"/>
    <w:rsid w:val="2CADDF41"/>
    <w:rsid w:val="2CAEE31D"/>
    <w:rsid w:val="2CB066D4"/>
    <w:rsid w:val="2CB2C340"/>
    <w:rsid w:val="2CB92DD4"/>
    <w:rsid w:val="2CBF5652"/>
    <w:rsid w:val="2CC194CF"/>
    <w:rsid w:val="2CC2292C"/>
    <w:rsid w:val="2CC89DF3"/>
    <w:rsid w:val="2CC9E0C0"/>
    <w:rsid w:val="2CCF979B"/>
    <w:rsid w:val="2CD05E02"/>
    <w:rsid w:val="2CD20AF2"/>
    <w:rsid w:val="2CD60C41"/>
    <w:rsid w:val="2CD7C704"/>
    <w:rsid w:val="2CFC82BF"/>
    <w:rsid w:val="2CFE4915"/>
    <w:rsid w:val="2D00038D"/>
    <w:rsid w:val="2D013432"/>
    <w:rsid w:val="2D050E5D"/>
    <w:rsid w:val="2D08507F"/>
    <w:rsid w:val="2D0C828D"/>
    <w:rsid w:val="2D0CC947"/>
    <w:rsid w:val="2D1091E2"/>
    <w:rsid w:val="2D160076"/>
    <w:rsid w:val="2D1F724F"/>
    <w:rsid w:val="2D20C6AA"/>
    <w:rsid w:val="2D22B8E2"/>
    <w:rsid w:val="2D36DCA4"/>
    <w:rsid w:val="2D3E05D9"/>
    <w:rsid w:val="2D3E4ADE"/>
    <w:rsid w:val="2D3F2BE1"/>
    <w:rsid w:val="2D405CA8"/>
    <w:rsid w:val="2D463CAC"/>
    <w:rsid w:val="2D5A0279"/>
    <w:rsid w:val="2D605971"/>
    <w:rsid w:val="2D60DB5B"/>
    <w:rsid w:val="2D61A279"/>
    <w:rsid w:val="2D63AAE9"/>
    <w:rsid w:val="2D6455F5"/>
    <w:rsid w:val="2D6AD7A0"/>
    <w:rsid w:val="2D6C6550"/>
    <w:rsid w:val="2D72D801"/>
    <w:rsid w:val="2D76F037"/>
    <w:rsid w:val="2D780F79"/>
    <w:rsid w:val="2D84ECC5"/>
    <w:rsid w:val="2D873CFB"/>
    <w:rsid w:val="2D8AD43A"/>
    <w:rsid w:val="2D8CF90A"/>
    <w:rsid w:val="2D8EB033"/>
    <w:rsid w:val="2D8EBD18"/>
    <w:rsid w:val="2D91314A"/>
    <w:rsid w:val="2DA3637B"/>
    <w:rsid w:val="2DA6886C"/>
    <w:rsid w:val="2DABA86B"/>
    <w:rsid w:val="2DAFA701"/>
    <w:rsid w:val="2DB029F1"/>
    <w:rsid w:val="2DB8D95E"/>
    <w:rsid w:val="2DBAB998"/>
    <w:rsid w:val="2DBC52B8"/>
    <w:rsid w:val="2DBC88E9"/>
    <w:rsid w:val="2DBDF1AE"/>
    <w:rsid w:val="2DBE08C1"/>
    <w:rsid w:val="2DC4BE3D"/>
    <w:rsid w:val="2DC62B2C"/>
    <w:rsid w:val="2DC7A0AD"/>
    <w:rsid w:val="2DCD007A"/>
    <w:rsid w:val="2DD54F10"/>
    <w:rsid w:val="2DD643DA"/>
    <w:rsid w:val="2DDEFA5E"/>
    <w:rsid w:val="2DE5BF38"/>
    <w:rsid w:val="2DF32AE7"/>
    <w:rsid w:val="2DF52422"/>
    <w:rsid w:val="2DF8D9A0"/>
    <w:rsid w:val="2DFA0B7A"/>
    <w:rsid w:val="2DFC2A3A"/>
    <w:rsid w:val="2E043F77"/>
    <w:rsid w:val="2E166C9B"/>
    <w:rsid w:val="2E239C80"/>
    <w:rsid w:val="2E270394"/>
    <w:rsid w:val="2E30907D"/>
    <w:rsid w:val="2E31CB56"/>
    <w:rsid w:val="2E35812C"/>
    <w:rsid w:val="2E3D1A27"/>
    <w:rsid w:val="2E457B73"/>
    <w:rsid w:val="2E4A2993"/>
    <w:rsid w:val="2E4E551E"/>
    <w:rsid w:val="2E517069"/>
    <w:rsid w:val="2E54E5FE"/>
    <w:rsid w:val="2E5920B1"/>
    <w:rsid w:val="2E59C01D"/>
    <w:rsid w:val="2E609933"/>
    <w:rsid w:val="2E631DBB"/>
    <w:rsid w:val="2E633966"/>
    <w:rsid w:val="2E65624C"/>
    <w:rsid w:val="2E68AE47"/>
    <w:rsid w:val="2E6B9C01"/>
    <w:rsid w:val="2E730D16"/>
    <w:rsid w:val="2E735D4E"/>
    <w:rsid w:val="2E764C54"/>
    <w:rsid w:val="2E7A5B9C"/>
    <w:rsid w:val="2E857CA5"/>
    <w:rsid w:val="2E87267C"/>
    <w:rsid w:val="2E8B0AB3"/>
    <w:rsid w:val="2E91C908"/>
    <w:rsid w:val="2E943098"/>
    <w:rsid w:val="2E94B6E3"/>
    <w:rsid w:val="2E9BB6E7"/>
    <w:rsid w:val="2EA559DC"/>
    <w:rsid w:val="2EA9A569"/>
    <w:rsid w:val="2EA9E044"/>
    <w:rsid w:val="2EAC01A0"/>
    <w:rsid w:val="2EAD793F"/>
    <w:rsid w:val="2EB5DF2B"/>
    <w:rsid w:val="2EB70885"/>
    <w:rsid w:val="2EC1C9B0"/>
    <w:rsid w:val="2ED194CF"/>
    <w:rsid w:val="2ED636EB"/>
    <w:rsid w:val="2EDA5D6B"/>
    <w:rsid w:val="2EDB7D20"/>
    <w:rsid w:val="2EDF3D33"/>
    <w:rsid w:val="2EDF6FE1"/>
    <w:rsid w:val="2EE4611A"/>
    <w:rsid w:val="2EE81457"/>
    <w:rsid w:val="2EECA7CF"/>
    <w:rsid w:val="2EEDAABC"/>
    <w:rsid w:val="2EF61B5E"/>
    <w:rsid w:val="2EFA3B9B"/>
    <w:rsid w:val="2EFBB3C5"/>
    <w:rsid w:val="2EFC1717"/>
    <w:rsid w:val="2F01DD8B"/>
    <w:rsid w:val="2F0712E9"/>
    <w:rsid w:val="2F08B9E7"/>
    <w:rsid w:val="2F18C29E"/>
    <w:rsid w:val="2F1A821B"/>
    <w:rsid w:val="2F1EC7D8"/>
    <w:rsid w:val="2F245490"/>
    <w:rsid w:val="2F25EC44"/>
    <w:rsid w:val="2F26EC11"/>
    <w:rsid w:val="2F2C3AB6"/>
    <w:rsid w:val="2F325536"/>
    <w:rsid w:val="2F428113"/>
    <w:rsid w:val="2F43B6C8"/>
    <w:rsid w:val="2F440813"/>
    <w:rsid w:val="2F4A0E65"/>
    <w:rsid w:val="2F4AAC07"/>
    <w:rsid w:val="2F512012"/>
    <w:rsid w:val="2F531048"/>
    <w:rsid w:val="2F534462"/>
    <w:rsid w:val="2F54752B"/>
    <w:rsid w:val="2F576D90"/>
    <w:rsid w:val="2F5837F1"/>
    <w:rsid w:val="2F58F425"/>
    <w:rsid w:val="2F5BA959"/>
    <w:rsid w:val="2F5FA8C5"/>
    <w:rsid w:val="2F6147EF"/>
    <w:rsid w:val="2F64E214"/>
    <w:rsid w:val="2F651651"/>
    <w:rsid w:val="2F6EAA04"/>
    <w:rsid w:val="2F75C059"/>
    <w:rsid w:val="2F7B25F1"/>
    <w:rsid w:val="2F7F49B5"/>
    <w:rsid w:val="2F86C734"/>
    <w:rsid w:val="2F88B9F9"/>
    <w:rsid w:val="2F8D8DF1"/>
    <w:rsid w:val="2F939A80"/>
    <w:rsid w:val="2F9C7E49"/>
    <w:rsid w:val="2FA11FCB"/>
    <w:rsid w:val="2FA33552"/>
    <w:rsid w:val="2FA4D0A1"/>
    <w:rsid w:val="2FAC38E4"/>
    <w:rsid w:val="2FADC1F0"/>
    <w:rsid w:val="2FAF9837"/>
    <w:rsid w:val="2FB0880C"/>
    <w:rsid w:val="2FB4BCEC"/>
    <w:rsid w:val="2FBDC5B1"/>
    <w:rsid w:val="2FC2F28B"/>
    <w:rsid w:val="2FC6DCB9"/>
    <w:rsid w:val="2FC94465"/>
    <w:rsid w:val="2FD46E64"/>
    <w:rsid w:val="2FD9B21D"/>
    <w:rsid w:val="2FDC45E1"/>
    <w:rsid w:val="2FE19800"/>
    <w:rsid w:val="2FE257BF"/>
    <w:rsid w:val="2FE31B95"/>
    <w:rsid w:val="2FE3B75D"/>
    <w:rsid w:val="2FE70F6B"/>
    <w:rsid w:val="2FEC6D4A"/>
    <w:rsid w:val="2FF639AD"/>
    <w:rsid w:val="2FF9D0C6"/>
    <w:rsid w:val="300342DB"/>
    <w:rsid w:val="3007DF45"/>
    <w:rsid w:val="3010F5AD"/>
    <w:rsid w:val="30125826"/>
    <w:rsid w:val="30133F73"/>
    <w:rsid w:val="30152F9B"/>
    <w:rsid w:val="3016954B"/>
    <w:rsid w:val="301AFBA8"/>
    <w:rsid w:val="301FCD90"/>
    <w:rsid w:val="3021A8D0"/>
    <w:rsid w:val="302347D6"/>
    <w:rsid w:val="3027D977"/>
    <w:rsid w:val="30312080"/>
    <w:rsid w:val="303291BC"/>
    <w:rsid w:val="303426A2"/>
    <w:rsid w:val="303B761C"/>
    <w:rsid w:val="303C07DC"/>
    <w:rsid w:val="303F98DB"/>
    <w:rsid w:val="3041993F"/>
    <w:rsid w:val="30420257"/>
    <w:rsid w:val="3048D6E1"/>
    <w:rsid w:val="304BB0CB"/>
    <w:rsid w:val="305D8BA9"/>
    <w:rsid w:val="306057F6"/>
    <w:rsid w:val="306545DC"/>
    <w:rsid w:val="3066631A"/>
    <w:rsid w:val="3067FB8B"/>
    <w:rsid w:val="30684D50"/>
    <w:rsid w:val="3069FFD4"/>
    <w:rsid w:val="3071F35E"/>
    <w:rsid w:val="3073CC3C"/>
    <w:rsid w:val="30774397"/>
    <w:rsid w:val="3082BB92"/>
    <w:rsid w:val="30847FB9"/>
    <w:rsid w:val="3085BB02"/>
    <w:rsid w:val="308D5101"/>
    <w:rsid w:val="30962F10"/>
    <w:rsid w:val="3097B887"/>
    <w:rsid w:val="30A176A4"/>
    <w:rsid w:val="30A38B5F"/>
    <w:rsid w:val="30A4DD0E"/>
    <w:rsid w:val="30A52B7A"/>
    <w:rsid w:val="30A73BE2"/>
    <w:rsid w:val="30A80E0A"/>
    <w:rsid w:val="30A8DC9C"/>
    <w:rsid w:val="30AEC6EA"/>
    <w:rsid w:val="30C04E17"/>
    <w:rsid w:val="30C44787"/>
    <w:rsid w:val="30CDAB54"/>
    <w:rsid w:val="30CF362D"/>
    <w:rsid w:val="30D36235"/>
    <w:rsid w:val="30D79A92"/>
    <w:rsid w:val="30DC45EC"/>
    <w:rsid w:val="30E4BF36"/>
    <w:rsid w:val="30E66E1E"/>
    <w:rsid w:val="30EC752D"/>
    <w:rsid w:val="30F66657"/>
    <w:rsid w:val="30F9F237"/>
    <w:rsid w:val="31009FC8"/>
    <w:rsid w:val="3101C046"/>
    <w:rsid w:val="31027E60"/>
    <w:rsid w:val="3102FB3F"/>
    <w:rsid w:val="31044E1F"/>
    <w:rsid w:val="31057D2F"/>
    <w:rsid w:val="310B5E73"/>
    <w:rsid w:val="310E042C"/>
    <w:rsid w:val="310F15D3"/>
    <w:rsid w:val="3115A6F1"/>
    <w:rsid w:val="31187CA6"/>
    <w:rsid w:val="3121D8D2"/>
    <w:rsid w:val="312246F0"/>
    <w:rsid w:val="3127A342"/>
    <w:rsid w:val="31293FBC"/>
    <w:rsid w:val="31326C2D"/>
    <w:rsid w:val="3136E92F"/>
    <w:rsid w:val="31379E11"/>
    <w:rsid w:val="3138B2BD"/>
    <w:rsid w:val="3139F0CE"/>
    <w:rsid w:val="313A634D"/>
    <w:rsid w:val="313ACD26"/>
    <w:rsid w:val="313E52B7"/>
    <w:rsid w:val="314533F3"/>
    <w:rsid w:val="3148BD18"/>
    <w:rsid w:val="314CCC0F"/>
    <w:rsid w:val="31518E7A"/>
    <w:rsid w:val="3153EB91"/>
    <w:rsid w:val="3155C766"/>
    <w:rsid w:val="315A8AC1"/>
    <w:rsid w:val="315E27E6"/>
    <w:rsid w:val="31620B1D"/>
    <w:rsid w:val="316981AD"/>
    <w:rsid w:val="316CF0AE"/>
    <w:rsid w:val="316D12EB"/>
    <w:rsid w:val="316EC35A"/>
    <w:rsid w:val="317B4B39"/>
    <w:rsid w:val="317D3AD7"/>
    <w:rsid w:val="31835838"/>
    <w:rsid w:val="3186C904"/>
    <w:rsid w:val="31871C36"/>
    <w:rsid w:val="318B578B"/>
    <w:rsid w:val="3191AA10"/>
    <w:rsid w:val="3193C92D"/>
    <w:rsid w:val="31969BC3"/>
    <w:rsid w:val="319E98E2"/>
    <w:rsid w:val="31A534D4"/>
    <w:rsid w:val="31AC8968"/>
    <w:rsid w:val="31B04C93"/>
    <w:rsid w:val="31B15E89"/>
    <w:rsid w:val="31B2DA2A"/>
    <w:rsid w:val="31B93BC0"/>
    <w:rsid w:val="31C7675D"/>
    <w:rsid w:val="31CA5423"/>
    <w:rsid w:val="31CF5B56"/>
    <w:rsid w:val="31D33876"/>
    <w:rsid w:val="31D364FF"/>
    <w:rsid w:val="31D7D1A4"/>
    <w:rsid w:val="31DBABC7"/>
    <w:rsid w:val="31DDACC3"/>
    <w:rsid w:val="31E91D98"/>
    <w:rsid w:val="31EA2EFE"/>
    <w:rsid w:val="31EF6F21"/>
    <w:rsid w:val="31FC4DBE"/>
    <w:rsid w:val="32030D14"/>
    <w:rsid w:val="32037549"/>
    <w:rsid w:val="3209B75B"/>
    <w:rsid w:val="320EF2DA"/>
    <w:rsid w:val="32131522"/>
    <w:rsid w:val="3213FA06"/>
    <w:rsid w:val="321469D1"/>
    <w:rsid w:val="321C52BC"/>
    <w:rsid w:val="3220C1A8"/>
    <w:rsid w:val="3227EAF2"/>
    <w:rsid w:val="322A7DF5"/>
    <w:rsid w:val="323A1257"/>
    <w:rsid w:val="323F11E9"/>
    <w:rsid w:val="324A01B5"/>
    <w:rsid w:val="324A7D86"/>
    <w:rsid w:val="3251DDE8"/>
    <w:rsid w:val="3257277D"/>
    <w:rsid w:val="325CE0C6"/>
    <w:rsid w:val="32675CF0"/>
    <w:rsid w:val="3268CE60"/>
    <w:rsid w:val="326B3537"/>
    <w:rsid w:val="32718089"/>
    <w:rsid w:val="3279CBC9"/>
    <w:rsid w:val="327BEF07"/>
    <w:rsid w:val="3281129C"/>
    <w:rsid w:val="3284BFCD"/>
    <w:rsid w:val="32868163"/>
    <w:rsid w:val="3287E863"/>
    <w:rsid w:val="329074B7"/>
    <w:rsid w:val="3292300F"/>
    <w:rsid w:val="32938509"/>
    <w:rsid w:val="32A291E8"/>
    <w:rsid w:val="32A38C05"/>
    <w:rsid w:val="32A89F85"/>
    <w:rsid w:val="32B22A24"/>
    <w:rsid w:val="32B7DD89"/>
    <w:rsid w:val="32B9F476"/>
    <w:rsid w:val="32BA1665"/>
    <w:rsid w:val="32BB0C16"/>
    <w:rsid w:val="32BE827D"/>
    <w:rsid w:val="32BEB6C7"/>
    <w:rsid w:val="32C25048"/>
    <w:rsid w:val="32C3FAE5"/>
    <w:rsid w:val="32C831CB"/>
    <w:rsid w:val="32E63312"/>
    <w:rsid w:val="32FCFC56"/>
    <w:rsid w:val="3300AA6A"/>
    <w:rsid w:val="3300E192"/>
    <w:rsid w:val="3301B1C7"/>
    <w:rsid w:val="330E357B"/>
    <w:rsid w:val="330EC050"/>
    <w:rsid w:val="33101E47"/>
    <w:rsid w:val="3311A221"/>
    <w:rsid w:val="33139BD2"/>
    <w:rsid w:val="33175806"/>
    <w:rsid w:val="331EDFE6"/>
    <w:rsid w:val="331F4C21"/>
    <w:rsid w:val="3325F71A"/>
    <w:rsid w:val="33269034"/>
    <w:rsid w:val="33347C1F"/>
    <w:rsid w:val="3334FFE8"/>
    <w:rsid w:val="3335E30E"/>
    <w:rsid w:val="333B5D3A"/>
    <w:rsid w:val="3346E689"/>
    <w:rsid w:val="3348A19A"/>
    <w:rsid w:val="334AC0BB"/>
    <w:rsid w:val="334CA742"/>
    <w:rsid w:val="3353421C"/>
    <w:rsid w:val="335F7E69"/>
    <w:rsid w:val="33618518"/>
    <w:rsid w:val="3363D8DC"/>
    <w:rsid w:val="33747D51"/>
    <w:rsid w:val="3378C634"/>
    <w:rsid w:val="337A3E48"/>
    <w:rsid w:val="337D29E5"/>
    <w:rsid w:val="337D63E3"/>
    <w:rsid w:val="3381AF27"/>
    <w:rsid w:val="33822E7D"/>
    <w:rsid w:val="33825824"/>
    <w:rsid w:val="338307AC"/>
    <w:rsid w:val="338B0673"/>
    <w:rsid w:val="338C2324"/>
    <w:rsid w:val="338D5B4E"/>
    <w:rsid w:val="338D749B"/>
    <w:rsid w:val="339140D9"/>
    <w:rsid w:val="3397CABC"/>
    <w:rsid w:val="33991EF4"/>
    <w:rsid w:val="339D0988"/>
    <w:rsid w:val="33A1C268"/>
    <w:rsid w:val="33A36A8D"/>
    <w:rsid w:val="33A8C9CE"/>
    <w:rsid w:val="33AFE0B2"/>
    <w:rsid w:val="33B06782"/>
    <w:rsid w:val="33B51347"/>
    <w:rsid w:val="33B65272"/>
    <w:rsid w:val="33BAA156"/>
    <w:rsid w:val="33BF9E9E"/>
    <w:rsid w:val="33D195B0"/>
    <w:rsid w:val="33D4E0A4"/>
    <w:rsid w:val="33D6389C"/>
    <w:rsid w:val="33E59D4E"/>
    <w:rsid w:val="33E8F12A"/>
    <w:rsid w:val="33FE03CD"/>
    <w:rsid w:val="34019446"/>
    <w:rsid w:val="34058A2B"/>
    <w:rsid w:val="340CA919"/>
    <w:rsid w:val="340E5344"/>
    <w:rsid w:val="340EF5B3"/>
    <w:rsid w:val="3411F9E4"/>
    <w:rsid w:val="34132C5E"/>
    <w:rsid w:val="3421E9A2"/>
    <w:rsid w:val="34230D3E"/>
    <w:rsid w:val="34245BD7"/>
    <w:rsid w:val="3427D039"/>
    <w:rsid w:val="342BEB67"/>
    <w:rsid w:val="342C46C2"/>
    <w:rsid w:val="3433F9AE"/>
    <w:rsid w:val="343659BB"/>
    <w:rsid w:val="34382CD5"/>
    <w:rsid w:val="3439A6E6"/>
    <w:rsid w:val="343FFE31"/>
    <w:rsid w:val="34481CEA"/>
    <w:rsid w:val="344E48BD"/>
    <w:rsid w:val="34571E67"/>
    <w:rsid w:val="345AAB37"/>
    <w:rsid w:val="346066DE"/>
    <w:rsid w:val="346764CA"/>
    <w:rsid w:val="346C55AA"/>
    <w:rsid w:val="34724689"/>
    <w:rsid w:val="3474CC77"/>
    <w:rsid w:val="347C10F3"/>
    <w:rsid w:val="347D3F87"/>
    <w:rsid w:val="3480C385"/>
    <w:rsid w:val="34825D33"/>
    <w:rsid w:val="348F1F85"/>
    <w:rsid w:val="34936B3F"/>
    <w:rsid w:val="34997524"/>
    <w:rsid w:val="349EAF33"/>
    <w:rsid w:val="349FCD0F"/>
    <w:rsid w:val="34A5DF09"/>
    <w:rsid w:val="34AB9767"/>
    <w:rsid w:val="34ACF808"/>
    <w:rsid w:val="34AFEEAA"/>
    <w:rsid w:val="34B42404"/>
    <w:rsid w:val="34B5594C"/>
    <w:rsid w:val="34BE6E35"/>
    <w:rsid w:val="34C079F4"/>
    <w:rsid w:val="34CD0AD8"/>
    <w:rsid w:val="34D1B79F"/>
    <w:rsid w:val="34D467BC"/>
    <w:rsid w:val="34DA228C"/>
    <w:rsid w:val="34DF6EA0"/>
    <w:rsid w:val="34E07333"/>
    <w:rsid w:val="34E53D0F"/>
    <w:rsid w:val="34E900C8"/>
    <w:rsid w:val="34EBEE7A"/>
    <w:rsid w:val="34F087BF"/>
    <w:rsid w:val="34F75137"/>
    <w:rsid w:val="34F78A22"/>
    <w:rsid w:val="34F80895"/>
    <w:rsid w:val="34FB4872"/>
    <w:rsid w:val="34FB6B1E"/>
    <w:rsid w:val="3509F578"/>
    <w:rsid w:val="350A6869"/>
    <w:rsid w:val="350EB568"/>
    <w:rsid w:val="3511E3B2"/>
    <w:rsid w:val="35139BD4"/>
    <w:rsid w:val="3514D867"/>
    <w:rsid w:val="35153CA3"/>
    <w:rsid w:val="351B81EE"/>
    <w:rsid w:val="35212A6E"/>
    <w:rsid w:val="35222B7D"/>
    <w:rsid w:val="35234890"/>
    <w:rsid w:val="3525386E"/>
    <w:rsid w:val="35261EFC"/>
    <w:rsid w:val="352A39AD"/>
    <w:rsid w:val="352CB8B0"/>
    <w:rsid w:val="352DDE1D"/>
    <w:rsid w:val="352E8F99"/>
    <w:rsid w:val="352F2F7A"/>
    <w:rsid w:val="35329D86"/>
    <w:rsid w:val="35373ACB"/>
    <w:rsid w:val="353CC9F1"/>
    <w:rsid w:val="353DE8BB"/>
    <w:rsid w:val="35428FA1"/>
    <w:rsid w:val="354F9BD1"/>
    <w:rsid w:val="35597BE6"/>
    <w:rsid w:val="355B05D4"/>
    <w:rsid w:val="355FECCC"/>
    <w:rsid w:val="3569A6F3"/>
    <w:rsid w:val="356F18A0"/>
    <w:rsid w:val="3573AFAD"/>
    <w:rsid w:val="3577515B"/>
    <w:rsid w:val="357C8CC0"/>
    <w:rsid w:val="357D1DFE"/>
    <w:rsid w:val="35801856"/>
    <w:rsid w:val="358E6F04"/>
    <w:rsid w:val="359A95CA"/>
    <w:rsid w:val="359BB614"/>
    <w:rsid w:val="359D43D4"/>
    <w:rsid w:val="359D47DE"/>
    <w:rsid w:val="35A82B79"/>
    <w:rsid w:val="35AA847F"/>
    <w:rsid w:val="35ABF5B6"/>
    <w:rsid w:val="35AD8A87"/>
    <w:rsid w:val="35B8927D"/>
    <w:rsid w:val="35BDF14A"/>
    <w:rsid w:val="35C2FD7E"/>
    <w:rsid w:val="35C38D39"/>
    <w:rsid w:val="35CCE10F"/>
    <w:rsid w:val="35CD0D97"/>
    <w:rsid w:val="35D52E47"/>
    <w:rsid w:val="35E35BF4"/>
    <w:rsid w:val="35E5FDB3"/>
    <w:rsid w:val="35ED880D"/>
    <w:rsid w:val="3601EF4D"/>
    <w:rsid w:val="3606A694"/>
    <w:rsid w:val="3608AC4F"/>
    <w:rsid w:val="3610E4C7"/>
    <w:rsid w:val="36280FE8"/>
    <w:rsid w:val="362B8FF2"/>
    <w:rsid w:val="36309F66"/>
    <w:rsid w:val="36321BDA"/>
    <w:rsid w:val="36334052"/>
    <w:rsid w:val="363A9112"/>
    <w:rsid w:val="363EADE5"/>
    <w:rsid w:val="363F64D5"/>
    <w:rsid w:val="36443EC4"/>
    <w:rsid w:val="3647E471"/>
    <w:rsid w:val="3649034D"/>
    <w:rsid w:val="364A0D32"/>
    <w:rsid w:val="364B2DC1"/>
    <w:rsid w:val="364D30CC"/>
    <w:rsid w:val="36565CD4"/>
    <w:rsid w:val="365DEF63"/>
    <w:rsid w:val="3662EC4F"/>
    <w:rsid w:val="36658E5D"/>
    <w:rsid w:val="3666625E"/>
    <w:rsid w:val="367360E0"/>
    <w:rsid w:val="367381FC"/>
    <w:rsid w:val="3677AA1E"/>
    <w:rsid w:val="367AAF0C"/>
    <w:rsid w:val="367BE298"/>
    <w:rsid w:val="368210A7"/>
    <w:rsid w:val="3689E676"/>
    <w:rsid w:val="36902722"/>
    <w:rsid w:val="369460D1"/>
    <w:rsid w:val="3696004E"/>
    <w:rsid w:val="369A0DEF"/>
    <w:rsid w:val="369C4E8E"/>
    <w:rsid w:val="36A5D2DF"/>
    <w:rsid w:val="36AACCD4"/>
    <w:rsid w:val="36B10A31"/>
    <w:rsid w:val="36B1B7E9"/>
    <w:rsid w:val="36B42CF8"/>
    <w:rsid w:val="36B981C7"/>
    <w:rsid w:val="36C13DFA"/>
    <w:rsid w:val="36C786D0"/>
    <w:rsid w:val="36CDCCA7"/>
    <w:rsid w:val="36D053FB"/>
    <w:rsid w:val="36E11B23"/>
    <w:rsid w:val="36E39AAF"/>
    <w:rsid w:val="36E96C6A"/>
    <w:rsid w:val="36EA1F8F"/>
    <w:rsid w:val="36F601F5"/>
    <w:rsid w:val="36FA2A9B"/>
    <w:rsid w:val="370251E2"/>
    <w:rsid w:val="37053225"/>
    <w:rsid w:val="370A9ECE"/>
    <w:rsid w:val="370FB60B"/>
    <w:rsid w:val="3711476F"/>
    <w:rsid w:val="3718B397"/>
    <w:rsid w:val="3721FA85"/>
    <w:rsid w:val="37223F9E"/>
    <w:rsid w:val="372AA808"/>
    <w:rsid w:val="372B08E4"/>
    <w:rsid w:val="372D1A04"/>
    <w:rsid w:val="372D280D"/>
    <w:rsid w:val="372F76FA"/>
    <w:rsid w:val="37389555"/>
    <w:rsid w:val="37397DC9"/>
    <w:rsid w:val="373A0E6C"/>
    <w:rsid w:val="373A8CF3"/>
    <w:rsid w:val="373AAF7D"/>
    <w:rsid w:val="373AFDBA"/>
    <w:rsid w:val="373C3B62"/>
    <w:rsid w:val="373E555C"/>
    <w:rsid w:val="37439533"/>
    <w:rsid w:val="37453491"/>
    <w:rsid w:val="374699FD"/>
    <w:rsid w:val="374E0700"/>
    <w:rsid w:val="374E8D93"/>
    <w:rsid w:val="37506677"/>
    <w:rsid w:val="3757E114"/>
    <w:rsid w:val="3767C882"/>
    <w:rsid w:val="3767DDC3"/>
    <w:rsid w:val="376D926C"/>
    <w:rsid w:val="3770D8BB"/>
    <w:rsid w:val="37774E10"/>
    <w:rsid w:val="377C663C"/>
    <w:rsid w:val="378106D0"/>
    <w:rsid w:val="37862151"/>
    <w:rsid w:val="37866348"/>
    <w:rsid w:val="3792A33F"/>
    <w:rsid w:val="3794AAB5"/>
    <w:rsid w:val="3795363C"/>
    <w:rsid w:val="379ED85E"/>
    <w:rsid w:val="37A2AE3A"/>
    <w:rsid w:val="37AD36FE"/>
    <w:rsid w:val="37AE565E"/>
    <w:rsid w:val="37B3FE1D"/>
    <w:rsid w:val="37BE2C08"/>
    <w:rsid w:val="37C2E106"/>
    <w:rsid w:val="37C6E2C3"/>
    <w:rsid w:val="37C92DE7"/>
    <w:rsid w:val="37C98B66"/>
    <w:rsid w:val="37D1C91C"/>
    <w:rsid w:val="37D5B0EB"/>
    <w:rsid w:val="37D84F9A"/>
    <w:rsid w:val="37DB6944"/>
    <w:rsid w:val="37DB8194"/>
    <w:rsid w:val="37DE2B02"/>
    <w:rsid w:val="37E07B84"/>
    <w:rsid w:val="37E10920"/>
    <w:rsid w:val="37E1AA45"/>
    <w:rsid w:val="37E45D33"/>
    <w:rsid w:val="37E67E11"/>
    <w:rsid w:val="37E8F70D"/>
    <w:rsid w:val="37E9BE32"/>
    <w:rsid w:val="37EAC11F"/>
    <w:rsid w:val="37F25381"/>
    <w:rsid w:val="37FAC528"/>
    <w:rsid w:val="38020FA1"/>
    <w:rsid w:val="3803F442"/>
    <w:rsid w:val="380920B8"/>
    <w:rsid w:val="380AE762"/>
    <w:rsid w:val="3812BF8F"/>
    <w:rsid w:val="381A838C"/>
    <w:rsid w:val="381E3E8E"/>
    <w:rsid w:val="381F74CA"/>
    <w:rsid w:val="38228F59"/>
    <w:rsid w:val="382404B8"/>
    <w:rsid w:val="38245926"/>
    <w:rsid w:val="3824DAD9"/>
    <w:rsid w:val="382836C3"/>
    <w:rsid w:val="382ABB9F"/>
    <w:rsid w:val="38316ED1"/>
    <w:rsid w:val="38343D41"/>
    <w:rsid w:val="383903F0"/>
    <w:rsid w:val="383D285F"/>
    <w:rsid w:val="383F6E44"/>
    <w:rsid w:val="3846A8ED"/>
    <w:rsid w:val="3847E8C8"/>
    <w:rsid w:val="3848E6CA"/>
    <w:rsid w:val="3849EB32"/>
    <w:rsid w:val="385089BD"/>
    <w:rsid w:val="3854E44C"/>
    <w:rsid w:val="3855FD3C"/>
    <w:rsid w:val="3857AA1F"/>
    <w:rsid w:val="385A4A11"/>
    <w:rsid w:val="385D3AD0"/>
    <w:rsid w:val="386256FD"/>
    <w:rsid w:val="3865BD7E"/>
    <w:rsid w:val="3869374A"/>
    <w:rsid w:val="386AA6B0"/>
    <w:rsid w:val="387041F5"/>
    <w:rsid w:val="388B21EF"/>
    <w:rsid w:val="388C8F2F"/>
    <w:rsid w:val="388CDB56"/>
    <w:rsid w:val="3897A7AA"/>
    <w:rsid w:val="389DED51"/>
    <w:rsid w:val="38ABB09F"/>
    <w:rsid w:val="38AE53B9"/>
    <w:rsid w:val="38B09E1F"/>
    <w:rsid w:val="38B47F62"/>
    <w:rsid w:val="38C38FC4"/>
    <w:rsid w:val="38CF43A0"/>
    <w:rsid w:val="38D10527"/>
    <w:rsid w:val="38D25A0F"/>
    <w:rsid w:val="38D7333B"/>
    <w:rsid w:val="38DB0679"/>
    <w:rsid w:val="38E04A57"/>
    <w:rsid w:val="38E2DC4D"/>
    <w:rsid w:val="38E5A760"/>
    <w:rsid w:val="38E5AE48"/>
    <w:rsid w:val="38E712B4"/>
    <w:rsid w:val="38E9FC51"/>
    <w:rsid w:val="38EC2688"/>
    <w:rsid w:val="38F2ED2B"/>
    <w:rsid w:val="38F3E73E"/>
    <w:rsid w:val="38FABA27"/>
    <w:rsid w:val="39026E33"/>
    <w:rsid w:val="3905EABE"/>
    <w:rsid w:val="39082EE5"/>
    <w:rsid w:val="39141AF2"/>
    <w:rsid w:val="3914A16E"/>
    <w:rsid w:val="3915ED33"/>
    <w:rsid w:val="39197F8D"/>
    <w:rsid w:val="391AFFC0"/>
    <w:rsid w:val="391B0B69"/>
    <w:rsid w:val="391E41DF"/>
    <w:rsid w:val="392A6851"/>
    <w:rsid w:val="392B7E24"/>
    <w:rsid w:val="392C8F85"/>
    <w:rsid w:val="392EA9D6"/>
    <w:rsid w:val="392FDA5B"/>
    <w:rsid w:val="392FDC97"/>
    <w:rsid w:val="3938FE77"/>
    <w:rsid w:val="393AD9DE"/>
    <w:rsid w:val="393C7FA8"/>
    <w:rsid w:val="393EE1FF"/>
    <w:rsid w:val="393F6774"/>
    <w:rsid w:val="39413B31"/>
    <w:rsid w:val="39430D04"/>
    <w:rsid w:val="3945515C"/>
    <w:rsid w:val="3945E22A"/>
    <w:rsid w:val="394C28C5"/>
    <w:rsid w:val="3951C8DE"/>
    <w:rsid w:val="3954C1CF"/>
    <w:rsid w:val="39556833"/>
    <w:rsid w:val="3957FA23"/>
    <w:rsid w:val="395D6A36"/>
    <w:rsid w:val="395E9200"/>
    <w:rsid w:val="396072FB"/>
    <w:rsid w:val="39634C1A"/>
    <w:rsid w:val="3963B0FF"/>
    <w:rsid w:val="39644ADF"/>
    <w:rsid w:val="39696596"/>
    <w:rsid w:val="39712668"/>
    <w:rsid w:val="39762A25"/>
    <w:rsid w:val="3976B7FA"/>
    <w:rsid w:val="3978F2FA"/>
    <w:rsid w:val="39794BB2"/>
    <w:rsid w:val="397B590E"/>
    <w:rsid w:val="397C7CF6"/>
    <w:rsid w:val="398548FE"/>
    <w:rsid w:val="398B372A"/>
    <w:rsid w:val="398E7832"/>
    <w:rsid w:val="39937E1F"/>
    <w:rsid w:val="39997EEF"/>
    <w:rsid w:val="39A385DF"/>
    <w:rsid w:val="39A3B6D8"/>
    <w:rsid w:val="39A72FE0"/>
    <w:rsid w:val="39ABE89A"/>
    <w:rsid w:val="39B099EA"/>
    <w:rsid w:val="39B362FE"/>
    <w:rsid w:val="39B4D3E3"/>
    <w:rsid w:val="39BB6D17"/>
    <w:rsid w:val="39C5F023"/>
    <w:rsid w:val="39C95251"/>
    <w:rsid w:val="39CA20B4"/>
    <w:rsid w:val="39CDAF24"/>
    <w:rsid w:val="39D36B32"/>
    <w:rsid w:val="39DA5602"/>
    <w:rsid w:val="39DA630B"/>
    <w:rsid w:val="39E2E882"/>
    <w:rsid w:val="39E3AAD1"/>
    <w:rsid w:val="39E86636"/>
    <w:rsid w:val="39E9E232"/>
    <w:rsid w:val="39EABF00"/>
    <w:rsid w:val="39F78513"/>
    <w:rsid w:val="3A011629"/>
    <w:rsid w:val="3A01AC16"/>
    <w:rsid w:val="3A0A404D"/>
    <w:rsid w:val="3A0C21B2"/>
    <w:rsid w:val="3A0C3254"/>
    <w:rsid w:val="3A0E2D80"/>
    <w:rsid w:val="3A15FCD7"/>
    <w:rsid w:val="3A232468"/>
    <w:rsid w:val="3A26F1B4"/>
    <w:rsid w:val="3A27367B"/>
    <w:rsid w:val="3A2C2725"/>
    <w:rsid w:val="3A35E61B"/>
    <w:rsid w:val="3A38F63E"/>
    <w:rsid w:val="3A3ADCC6"/>
    <w:rsid w:val="3A3D2783"/>
    <w:rsid w:val="3A3D5DC4"/>
    <w:rsid w:val="3A3EDC18"/>
    <w:rsid w:val="3A40C95C"/>
    <w:rsid w:val="3A4609CF"/>
    <w:rsid w:val="3A4CDF8F"/>
    <w:rsid w:val="3A4DC296"/>
    <w:rsid w:val="3A5B756F"/>
    <w:rsid w:val="3A647C3A"/>
    <w:rsid w:val="3A6F28D4"/>
    <w:rsid w:val="3A72987C"/>
    <w:rsid w:val="3A78968B"/>
    <w:rsid w:val="3A7C0C0B"/>
    <w:rsid w:val="3A80ECEA"/>
    <w:rsid w:val="3A826BCA"/>
    <w:rsid w:val="3A83425A"/>
    <w:rsid w:val="3A8AA153"/>
    <w:rsid w:val="3A8B1EAF"/>
    <w:rsid w:val="3A8BF615"/>
    <w:rsid w:val="3A92E737"/>
    <w:rsid w:val="3A9454E0"/>
    <w:rsid w:val="3AA390F3"/>
    <w:rsid w:val="3AABFE1A"/>
    <w:rsid w:val="3AAC1B9D"/>
    <w:rsid w:val="3AB073F7"/>
    <w:rsid w:val="3AB2E5CF"/>
    <w:rsid w:val="3AB68F4A"/>
    <w:rsid w:val="3AB9D7E0"/>
    <w:rsid w:val="3AC28AAE"/>
    <w:rsid w:val="3ACC1B6D"/>
    <w:rsid w:val="3AD7F831"/>
    <w:rsid w:val="3AD894E8"/>
    <w:rsid w:val="3AE2605D"/>
    <w:rsid w:val="3AEE1AF5"/>
    <w:rsid w:val="3AF6CF06"/>
    <w:rsid w:val="3AF8108E"/>
    <w:rsid w:val="3AFF0633"/>
    <w:rsid w:val="3B0C7CA7"/>
    <w:rsid w:val="3B0E47FA"/>
    <w:rsid w:val="3B16AB51"/>
    <w:rsid w:val="3B223779"/>
    <w:rsid w:val="3B2CC6CE"/>
    <w:rsid w:val="3B2FF2D0"/>
    <w:rsid w:val="3B30881B"/>
    <w:rsid w:val="3B3A9076"/>
    <w:rsid w:val="3B3C0649"/>
    <w:rsid w:val="3B3F97BE"/>
    <w:rsid w:val="3B467D9F"/>
    <w:rsid w:val="3B5446B5"/>
    <w:rsid w:val="3B56AA57"/>
    <w:rsid w:val="3B5BCB2A"/>
    <w:rsid w:val="3B5C9A46"/>
    <w:rsid w:val="3B60C5A8"/>
    <w:rsid w:val="3B6B2ABD"/>
    <w:rsid w:val="3B725E70"/>
    <w:rsid w:val="3B75FCBE"/>
    <w:rsid w:val="3B79DCAD"/>
    <w:rsid w:val="3B7A8122"/>
    <w:rsid w:val="3B850592"/>
    <w:rsid w:val="3B9848EB"/>
    <w:rsid w:val="3B98CC42"/>
    <w:rsid w:val="3B9B279D"/>
    <w:rsid w:val="3BA1103E"/>
    <w:rsid w:val="3BA139D8"/>
    <w:rsid w:val="3BA93A35"/>
    <w:rsid w:val="3BA9910D"/>
    <w:rsid w:val="3BABFED0"/>
    <w:rsid w:val="3BB0BE0B"/>
    <w:rsid w:val="3BB1F4C2"/>
    <w:rsid w:val="3BBA64CD"/>
    <w:rsid w:val="3BBD4FAF"/>
    <w:rsid w:val="3BC2C2A4"/>
    <w:rsid w:val="3BC6201F"/>
    <w:rsid w:val="3BC71935"/>
    <w:rsid w:val="3BCE9D88"/>
    <w:rsid w:val="3BCEFDB5"/>
    <w:rsid w:val="3BD4141D"/>
    <w:rsid w:val="3BD4A57F"/>
    <w:rsid w:val="3BDD50E4"/>
    <w:rsid w:val="3BE8001B"/>
    <w:rsid w:val="3BE8CAB8"/>
    <w:rsid w:val="3BF65271"/>
    <w:rsid w:val="3BF7E890"/>
    <w:rsid w:val="3C086C9F"/>
    <w:rsid w:val="3C0C93EE"/>
    <w:rsid w:val="3C142FAB"/>
    <w:rsid w:val="3C209631"/>
    <w:rsid w:val="3C289EC6"/>
    <w:rsid w:val="3C2B490B"/>
    <w:rsid w:val="3C2ED997"/>
    <w:rsid w:val="3C35A3A7"/>
    <w:rsid w:val="3C3E3955"/>
    <w:rsid w:val="3C3EC7CA"/>
    <w:rsid w:val="3C436F37"/>
    <w:rsid w:val="3C4501CF"/>
    <w:rsid w:val="3C45F635"/>
    <w:rsid w:val="3C480BA2"/>
    <w:rsid w:val="3C49521A"/>
    <w:rsid w:val="3C4974A2"/>
    <w:rsid w:val="3C4CE085"/>
    <w:rsid w:val="3C52DBFD"/>
    <w:rsid w:val="3C5313F2"/>
    <w:rsid w:val="3C53F889"/>
    <w:rsid w:val="3C5A65D1"/>
    <w:rsid w:val="3C60F0CC"/>
    <w:rsid w:val="3C6216AC"/>
    <w:rsid w:val="3C6BD7EB"/>
    <w:rsid w:val="3C78F9ED"/>
    <w:rsid w:val="3C7F0D86"/>
    <w:rsid w:val="3C8142F1"/>
    <w:rsid w:val="3C8485C8"/>
    <w:rsid w:val="3C86CC18"/>
    <w:rsid w:val="3C8771D2"/>
    <w:rsid w:val="3C8F7A97"/>
    <w:rsid w:val="3C941E3A"/>
    <w:rsid w:val="3C95A8D3"/>
    <w:rsid w:val="3C999449"/>
    <w:rsid w:val="3CA85A76"/>
    <w:rsid w:val="3CB458CB"/>
    <w:rsid w:val="3CB6495E"/>
    <w:rsid w:val="3CB6CEC2"/>
    <w:rsid w:val="3CB7FE3C"/>
    <w:rsid w:val="3CC11675"/>
    <w:rsid w:val="3CC89F50"/>
    <w:rsid w:val="3CD5A34D"/>
    <w:rsid w:val="3CD7299F"/>
    <w:rsid w:val="3CD98B13"/>
    <w:rsid w:val="3CDEA48C"/>
    <w:rsid w:val="3CE03AA4"/>
    <w:rsid w:val="3CE1250B"/>
    <w:rsid w:val="3CED384A"/>
    <w:rsid w:val="3CF08298"/>
    <w:rsid w:val="3CF4759E"/>
    <w:rsid w:val="3CF4F9C9"/>
    <w:rsid w:val="3CFA55AD"/>
    <w:rsid w:val="3CFB2CAC"/>
    <w:rsid w:val="3CFD5C8F"/>
    <w:rsid w:val="3D01E97C"/>
    <w:rsid w:val="3D047B99"/>
    <w:rsid w:val="3D0ABEEF"/>
    <w:rsid w:val="3D0EC297"/>
    <w:rsid w:val="3D10FA1A"/>
    <w:rsid w:val="3D123147"/>
    <w:rsid w:val="3D128A8D"/>
    <w:rsid w:val="3D1401BF"/>
    <w:rsid w:val="3D15147D"/>
    <w:rsid w:val="3D180868"/>
    <w:rsid w:val="3D201B69"/>
    <w:rsid w:val="3D2A8A85"/>
    <w:rsid w:val="3D2BCA30"/>
    <w:rsid w:val="3D2E05E9"/>
    <w:rsid w:val="3D36FD32"/>
    <w:rsid w:val="3D390F0C"/>
    <w:rsid w:val="3D396A1C"/>
    <w:rsid w:val="3D42A360"/>
    <w:rsid w:val="3D443C95"/>
    <w:rsid w:val="3D461796"/>
    <w:rsid w:val="3D4CB5DA"/>
    <w:rsid w:val="3D4E5C3D"/>
    <w:rsid w:val="3D54FBED"/>
    <w:rsid w:val="3D574CC7"/>
    <w:rsid w:val="3D583D18"/>
    <w:rsid w:val="3D5952F9"/>
    <w:rsid w:val="3D5A5D97"/>
    <w:rsid w:val="3D62CEBD"/>
    <w:rsid w:val="3D64B183"/>
    <w:rsid w:val="3D67F76C"/>
    <w:rsid w:val="3D742505"/>
    <w:rsid w:val="3D75F465"/>
    <w:rsid w:val="3D772CEF"/>
    <w:rsid w:val="3D7A51C1"/>
    <w:rsid w:val="3D7B9CF1"/>
    <w:rsid w:val="3D7D5801"/>
    <w:rsid w:val="3D8235AA"/>
    <w:rsid w:val="3D8BA56C"/>
    <w:rsid w:val="3D8BA779"/>
    <w:rsid w:val="3D8E4460"/>
    <w:rsid w:val="3D916564"/>
    <w:rsid w:val="3D93F034"/>
    <w:rsid w:val="3D942092"/>
    <w:rsid w:val="3D95B132"/>
    <w:rsid w:val="3D97E6CE"/>
    <w:rsid w:val="3D9ABB53"/>
    <w:rsid w:val="3D9C0300"/>
    <w:rsid w:val="3D9E7BBD"/>
    <w:rsid w:val="3DA2432F"/>
    <w:rsid w:val="3DA2992B"/>
    <w:rsid w:val="3DA391CF"/>
    <w:rsid w:val="3DAC7218"/>
    <w:rsid w:val="3DAE215E"/>
    <w:rsid w:val="3DB063A4"/>
    <w:rsid w:val="3DB4848E"/>
    <w:rsid w:val="3DB6A2F0"/>
    <w:rsid w:val="3DB6E72C"/>
    <w:rsid w:val="3DB8A8B9"/>
    <w:rsid w:val="3DC3D071"/>
    <w:rsid w:val="3DC75B1A"/>
    <w:rsid w:val="3DCB128E"/>
    <w:rsid w:val="3DCBD7D9"/>
    <w:rsid w:val="3DCC304B"/>
    <w:rsid w:val="3DCF9035"/>
    <w:rsid w:val="3DDC98D0"/>
    <w:rsid w:val="3DDF0228"/>
    <w:rsid w:val="3DE16CC9"/>
    <w:rsid w:val="3DE2FC16"/>
    <w:rsid w:val="3DE8CC61"/>
    <w:rsid w:val="3DECAA7F"/>
    <w:rsid w:val="3DF79DD7"/>
    <w:rsid w:val="3DF8BC60"/>
    <w:rsid w:val="3DF9F663"/>
    <w:rsid w:val="3DFA4436"/>
    <w:rsid w:val="3DFCABAD"/>
    <w:rsid w:val="3E00F474"/>
    <w:rsid w:val="3E01DD35"/>
    <w:rsid w:val="3E072C2B"/>
    <w:rsid w:val="3E07F423"/>
    <w:rsid w:val="3E0AEC00"/>
    <w:rsid w:val="3E0CB8A0"/>
    <w:rsid w:val="3E0FF328"/>
    <w:rsid w:val="3E144A40"/>
    <w:rsid w:val="3E17039E"/>
    <w:rsid w:val="3E18F4D6"/>
    <w:rsid w:val="3E1A8D93"/>
    <w:rsid w:val="3E1B4280"/>
    <w:rsid w:val="3E281333"/>
    <w:rsid w:val="3E299D11"/>
    <w:rsid w:val="3E30E03B"/>
    <w:rsid w:val="3E31A708"/>
    <w:rsid w:val="3E356F0C"/>
    <w:rsid w:val="3E3A0C12"/>
    <w:rsid w:val="3E3B2A07"/>
    <w:rsid w:val="3E3F9442"/>
    <w:rsid w:val="3E4A61BB"/>
    <w:rsid w:val="3E4C59ED"/>
    <w:rsid w:val="3E4CCE51"/>
    <w:rsid w:val="3E4FF5A9"/>
    <w:rsid w:val="3E526694"/>
    <w:rsid w:val="3E5D7C7C"/>
    <w:rsid w:val="3E6005C3"/>
    <w:rsid w:val="3E60AA1E"/>
    <w:rsid w:val="3E61F514"/>
    <w:rsid w:val="3E6AEED2"/>
    <w:rsid w:val="3E79A669"/>
    <w:rsid w:val="3E8397BA"/>
    <w:rsid w:val="3E911853"/>
    <w:rsid w:val="3E9658AA"/>
    <w:rsid w:val="3E99160C"/>
    <w:rsid w:val="3E9FBDCD"/>
    <w:rsid w:val="3EA1ABEB"/>
    <w:rsid w:val="3EA2753C"/>
    <w:rsid w:val="3EA3140C"/>
    <w:rsid w:val="3EA9EE3D"/>
    <w:rsid w:val="3EAB03D7"/>
    <w:rsid w:val="3EAC2831"/>
    <w:rsid w:val="3EAF5B4E"/>
    <w:rsid w:val="3EB3C740"/>
    <w:rsid w:val="3EB71A08"/>
    <w:rsid w:val="3EB83510"/>
    <w:rsid w:val="3EB872D7"/>
    <w:rsid w:val="3EBAFB95"/>
    <w:rsid w:val="3EBE2CE0"/>
    <w:rsid w:val="3EC5621E"/>
    <w:rsid w:val="3EC77EE1"/>
    <w:rsid w:val="3ED0B17D"/>
    <w:rsid w:val="3ED28103"/>
    <w:rsid w:val="3EDF9865"/>
    <w:rsid w:val="3EE4B01C"/>
    <w:rsid w:val="3EE4DAB5"/>
    <w:rsid w:val="3EE58EE6"/>
    <w:rsid w:val="3EE5D742"/>
    <w:rsid w:val="3EE9E3BF"/>
    <w:rsid w:val="3EED1166"/>
    <w:rsid w:val="3EF7F0EE"/>
    <w:rsid w:val="3F0029E6"/>
    <w:rsid w:val="3F05300F"/>
    <w:rsid w:val="3F0599D8"/>
    <w:rsid w:val="3F05BCCF"/>
    <w:rsid w:val="3F0C5B9D"/>
    <w:rsid w:val="3F12B2F5"/>
    <w:rsid w:val="3F18C2D8"/>
    <w:rsid w:val="3F1CA618"/>
    <w:rsid w:val="3F1CF5AB"/>
    <w:rsid w:val="3F22EAED"/>
    <w:rsid w:val="3F265DDE"/>
    <w:rsid w:val="3F2892F5"/>
    <w:rsid w:val="3F2A1B75"/>
    <w:rsid w:val="3F2C5E66"/>
    <w:rsid w:val="3F2C9BFC"/>
    <w:rsid w:val="3F300C23"/>
    <w:rsid w:val="3F322CBD"/>
    <w:rsid w:val="3F353DCA"/>
    <w:rsid w:val="3F380185"/>
    <w:rsid w:val="3F3979DA"/>
    <w:rsid w:val="3F42F7BB"/>
    <w:rsid w:val="3F46B0F6"/>
    <w:rsid w:val="3F49FE48"/>
    <w:rsid w:val="3F5336AF"/>
    <w:rsid w:val="3F5C0F6C"/>
    <w:rsid w:val="3F5D0B83"/>
    <w:rsid w:val="3F5D20CB"/>
    <w:rsid w:val="3F5E2F95"/>
    <w:rsid w:val="3F627A12"/>
    <w:rsid w:val="3F650F09"/>
    <w:rsid w:val="3F670D80"/>
    <w:rsid w:val="3F6C0403"/>
    <w:rsid w:val="3F6C7474"/>
    <w:rsid w:val="3F6EF1E8"/>
    <w:rsid w:val="3F730858"/>
    <w:rsid w:val="3F76E2E2"/>
    <w:rsid w:val="3F7951B8"/>
    <w:rsid w:val="3F7C20D4"/>
    <w:rsid w:val="3F80C1A1"/>
    <w:rsid w:val="3F86E3FD"/>
    <w:rsid w:val="3F878C8F"/>
    <w:rsid w:val="3F8C8DA8"/>
    <w:rsid w:val="3F8DB1C1"/>
    <w:rsid w:val="3F9046F4"/>
    <w:rsid w:val="3F9E3FBD"/>
    <w:rsid w:val="3FA6D1A2"/>
    <w:rsid w:val="3FA72511"/>
    <w:rsid w:val="3FAC4DC1"/>
    <w:rsid w:val="3FAE0FFD"/>
    <w:rsid w:val="3FAE1A5D"/>
    <w:rsid w:val="3FAF9156"/>
    <w:rsid w:val="3FB1EDF2"/>
    <w:rsid w:val="3FB36F84"/>
    <w:rsid w:val="3FB528A2"/>
    <w:rsid w:val="3FB5F14C"/>
    <w:rsid w:val="3FBEEC92"/>
    <w:rsid w:val="3FC11E97"/>
    <w:rsid w:val="3FC93ECD"/>
    <w:rsid w:val="3FCEFC6E"/>
    <w:rsid w:val="3FD4D27F"/>
    <w:rsid w:val="3FD8A7FB"/>
    <w:rsid w:val="3FDEA8AE"/>
    <w:rsid w:val="3FE191B2"/>
    <w:rsid w:val="3FE32C95"/>
    <w:rsid w:val="3FEBFCA5"/>
    <w:rsid w:val="3FF1D55E"/>
    <w:rsid w:val="3FF6F02B"/>
    <w:rsid w:val="3FF8D69B"/>
    <w:rsid w:val="3FF8EA17"/>
    <w:rsid w:val="3FFCA21B"/>
    <w:rsid w:val="3FFE17BE"/>
    <w:rsid w:val="40001D3E"/>
    <w:rsid w:val="40053F75"/>
    <w:rsid w:val="4005CEA7"/>
    <w:rsid w:val="400F44AB"/>
    <w:rsid w:val="4011B705"/>
    <w:rsid w:val="401A4ED0"/>
    <w:rsid w:val="401C35CE"/>
    <w:rsid w:val="40209485"/>
    <w:rsid w:val="4031EC20"/>
    <w:rsid w:val="403470B8"/>
    <w:rsid w:val="403D6730"/>
    <w:rsid w:val="40437C05"/>
    <w:rsid w:val="4044B8C7"/>
    <w:rsid w:val="4046004A"/>
    <w:rsid w:val="40465FF3"/>
    <w:rsid w:val="40511372"/>
    <w:rsid w:val="4053D827"/>
    <w:rsid w:val="405D724A"/>
    <w:rsid w:val="4061AE8D"/>
    <w:rsid w:val="40698692"/>
    <w:rsid w:val="406E2B99"/>
    <w:rsid w:val="40731F99"/>
    <w:rsid w:val="4073C135"/>
    <w:rsid w:val="40757199"/>
    <w:rsid w:val="407761DD"/>
    <w:rsid w:val="408AA585"/>
    <w:rsid w:val="40983A86"/>
    <w:rsid w:val="409CB172"/>
    <w:rsid w:val="409EACCE"/>
    <w:rsid w:val="409F04B6"/>
    <w:rsid w:val="40A4F334"/>
    <w:rsid w:val="40A6F3ED"/>
    <w:rsid w:val="40AFAE64"/>
    <w:rsid w:val="40B76506"/>
    <w:rsid w:val="40B7D4FC"/>
    <w:rsid w:val="40BAE80C"/>
    <w:rsid w:val="40C105F3"/>
    <w:rsid w:val="40C294B8"/>
    <w:rsid w:val="40C3CC1E"/>
    <w:rsid w:val="40C4F510"/>
    <w:rsid w:val="40CA35EC"/>
    <w:rsid w:val="40CA7862"/>
    <w:rsid w:val="40CAE024"/>
    <w:rsid w:val="40CD3C33"/>
    <w:rsid w:val="40D10495"/>
    <w:rsid w:val="40D5DDEB"/>
    <w:rsid w:val="40D5EDAF"/>
    <w:rsid w:val="40DACCD6"/>
    <w:rsid w:val="40DAD49B"/>
    <w:rsid w:val="40DB2FAD"/>
    <w:rsid w:val="40DBD0F6"/>
    <w:rsid w:val="40E0789D"/>
    <w:rsid w:val="40E826B9"/>
    <w:rsid w:val="40E8A5D5"/>
    <w:rsid w:val="40EA261B"/>
    <w:rsid w:val="40EA3A64"/>
    <w:rsid w:val="40EA43C5"/>
    <w:rsid w:val="40F5231E"/>
    <w:rsid w:val="40FC3D88"/>
    <w:rsid w:val="4101B7D7"/>
    <w:rsid w:val="410637DA"/>
    <w:rsid w:val="41099437"/>
    <w:rsid w:val="410E6277"/>
    <w:rsid w:val="41138B5B"/>
    <w:rsid w:val="4117C362"/>
    <w:rsid w:val="4118AE7D"/>
    <w:rsid w:val="4119EAEC"/>
    <w:rsid w:val="411A4E89"/>
    <w:rsid w:val="411C9E27"/>
    <w:rsid w:val="412308CE"/>
    <w:rsid w:val="4127CB6A"/>
    <w:rsid w:val="412BE110"/>
    <w:rsid w:val="413275DE"/>
    <w:rsid w:val="4135B905"/>
    <w:rsid w:val="4137FBB7"/>
    <w:rsid w:val="41399573"/>
    <w:rsid w:val="4159E156"/>
    <w:rsid w:val="41613378"/>
    <w:rsid w:val="4165B67F"/>
    <w:rsid w:val="41664240"/>
    <w:rsid w:val="417E8666"/>
    <w:rsid w:val="41813030"/>
    <w:rsid w:val="418EAD5D"/>
    <w:rsid w:val="419A3F28"/>
    <w:rsid w:val="419D2319"/>
    <w:rsid w:val="41A98945"/>
    <w:rsid w:val="41ACB289"/>
    <w:rsid w:val="41B1D2DF"/>
    <w:rsid w:val="41B4905B"/>
    <w:rsid w:val="41C2EC2F"/>
    <w:rsid w:val="41C48FA5"/>
    <w:rsid w:val="41C795F4"/>
    <w:rsid w:val="41C8B8CF"/>
    <w:rsid w:val="41D01656"/>
    <w:rsid w:val="41D7A0A9"/>
    <w:rsid w:val="41D7C385"/>
    <w:rsid w:val="41DC0667"/>
    <w:rsid w:val="41DF28D9"/>
    <w:rsid w:val="41E5ABB0"/>
    <w:rsid w:val="41E82587"/>
    <w:rsid w:val="41E8A491"/>
    <w:rsid w:val="41F338D3"/>
    <w:rsid w:val="41FE772B"/>
    <w:rsid w:val="42020584"/>
    <w:rsid w:val="420A0331"/>
    <w:rsid w:val="420B8183"/>
    <w:rsid w:val="420BA4FD"/>
    <w:rsid w:val="420D3850"/>
    <w:rsid w:val="4215E646"/>
    <w:rsid w:val="4216FEF8"/>
    <w:rsid w:val="421D45B3"/>
    <w:rsid w:val="4226797A"/>
    <w:rsid w:val="422B4D84"/>
    <w:rsid w:val="422B8622"/>
    <w:rsid w:val="422CE32F"/>
    <w:rsid w:val="4230EF81"/>
    <w:rsid w:val="42350ED7"/>
    <w:rsid w:val="4236C6B7"/>
    <w:rsid w:val="4238BB4F"/>
    <w:rsid w:val="423A9F27"/>
    <w:rsid w:val="423D7F54"/>
    <w:rsid w:val="423F7ECE"/>
    <w:rsid w:val="423FEBA3"/>
    <w:rsid w:val="42411B64"/>
    <w:rsid w:val="424196F0"/>
    <w:rsid w:val="424428A1"/>
    <w:rsid w:val="424A39A3"/>
    <w:rsid w:val="424C89A2"/>
    <w:rsid w:val="42518F01"/>
    <w:rsid w:val="4255B991"/>
    <w:rsid w:val="42576305"/>
    <w:rsid w:val="425F8233"/>
    <w:rsid w:val="425FE2A8"/>
    <w:rsid w:val="4260E527"/>
    <w:rsid w:val="4262ACFF"/>
    <w:rsid w:val="42670A51"/>
    <w:rsid w:val="42753666"/>
    <w:rsid w:val="4277D5B2"/>
    <w:rsid w:val="427AAB2D"/>
    <w:rsid w:val="427AC659"/>
    <w:rsid w:val="427E6480"/>
    <w:rsid w:val="427FB82C"/>
    <w:rsid w:val="427FE59C"/>
    <w:rsid w:val="428027D5"/>
    <w:rsid w:val="4295B955"/>
    <w:rsid w:val="42984A28"/>
    <w:rsid w:val="429BF522"/>
    <w:rsid w:val="429CA975"/>
    <w:rsid w:val="42A58724"/>
    <w:rsid w:val="42A78C70"/>
    <w:rsid w:val="42B4127D"/>
    <w:rsid w:val="42B8652A"/>
    <w:rsid w:val="42BAF368"/>
    <w:rsid w:val="42C14AFB"/>
    <w:rsid w:val="42C4FC08"/>
    <w:rsid w:val="42CDC720"/>
    <w:rsid w:val="42D022C6"/>
    <w:rsid w:val="42ED87D8"/>
    <w:rsid w:val="43021BB5"/>
    <w:rsid w:val="430AAD0E"/>
    <w:rsid w:val="430E06D4"/>
    <w:rsid w:val="430E18A8"/>
    <w:rsid w:val="430EA319"/>
    <w:rsid w:val="4310B051"/>
    <w:rsid w:val="431CAA45"/>
    <w:rsid w:val="431E02FB"/>
    <w:rsid w:val="431E16DA"/>
    <w:rsid w:val="43204224"/>
    <w:rsid w:val="43243F86"/>
    <w:rsid w:val="43271B8B"/>
    <w:rsid w:val="432C9D71"/>
    <w:rsid w:val="432F5987"/>
    <w:rsid w:val="4330995C"/>
    <w:rsid w:val="43310F8D"/>
    <w:rsid w:val="4331E5BC"/>
    <w:rsid w:val="4337EF1B"/>
    <w:rsid w:val="433878A4"/>
    <w:rsid w:val="43389362"/>
    <w:rsid w:val="433E34A3"/>
    <w:rsid w:val="433FA338"/>
    <w:rsid w:val="4340BEB3"/>
    <w:rsid w:val="4347CC6A"/>
    <w:rsid w:val="4349A1A3"/>
    <w:rsid w:val="4351C32E"/>
    <w:rsid w:val="4355025E"/>
    <w:rsid w:val="43563981"/>
    <w:rsid w:val="435D7197"/>
    <w:rsid w:val="435DD067"/>
    <w:rsid w:val="435EFBE4"/>
    <w:rsid w:val="435FEFF8"/>
    <w:rsid w:val="436819A5"/>
    <w:rsid w:val="43696E7B"/>
    <w:rsid w:val="436A830E"/>
    <w:rsid w:val="437152EF"/>
    <w:rsid w:val="437765DA"/>
    <w:rsid w:val="438BB5AC"/>
    <w:rsid w:val="438C8305"/>
    <w:rsid w:val="438E93DD"/>
    <w:rsid w:val="438F2D76"/>
    <w:rsid w:val="439231F5"/>
    <w:rsid w:val="439483A4"/>
    <w:rsid w:val="43A1A27B"/>
    <w:rsid w:val="43A217A3"/>
    <w:rsid w:val="43A21BB8"/>
    <w:rsid w:val="43A2ED4B"/>
    <w:rsid w:val="43A4B576"/>
    <w:rsid w:val="43AA19D9"/>
    <w:rsid w:val="43AE8785"/>
    <w:rsid w:val="43B534D8"/>
    <w:rsid w:val="43B82759"/>
    <w:rsid w:val="43B8B8E1"/>
    <w:rsid w:val="43BDA31C"/>
    <w:rsid w:val="43C3FF4E"/>
    <w:rsid w:val="43C9BD38"/>
    <w:rsid w:val="43D4A3AB"/>
    <w:rsid w:val="43D7916C"/>
    <w:rsid w:val="43E746CB"/>
    <w:rsid w:val="43F3270D"/>
    <w:rsid w:val="43F5CC30"/>
    <w:rsid w:val="43F9F73E"/>
    <w:rsid w:val="44070137"/>
    <w:rsid w:val="4407AE2A"/>
    <w:rsid w:val="44081115"/>
    <w:rsid w:val="4408C901"/>
    <w:rsid w:val="440C16B1"/>
    <w:rsid w:val="441210F0"/>
    <w:rsid w:val="4414EFA3"/>
    <w:rsid w:val="441565F0"/>
    <w:rsid w:val="4419A8AC"/>
    <w:rsid w:val="441C1946"/>
    <w:rsid w:val="4426F196"/>
    <w:rsid w:val="442EAAF8"/>
    <w:rsid w:val="442EB26F"/>
    <w:rsid w:val="4435ACD1"/>
    <w:rsid w:val="443688F6"/>
    <w:rsid w:val="443A230F"/>
    <w:rsid w:val="443AD1A3"/>
    <w:rsid w:val="4443C1BA"/>
    <w:rsid w:val="44478D43"/>
    <w:rsid w:val="444CD51E"/>
    <w:rsid w:val="44521913"/>
    <w:rsid w:val="4454F3D8"/>
    <w:rsid w:val="445790D1"/>
    <w:rsid w:val="445BB4E2"/>
    <w:rsid w:val="445C0EC9"/>
    <w:rsid w:val="445D8BB8"/>
    <w:rsid w:val="4467EF76"/>
    <w:rsid w:val="446935E7"/>
    <w:rsid w:val="446B52DD"/>
    <w:rsid w:val="446D7A70"/>
    <w:rsid w:val="446F5F22"/>
    <w:rsid w:val="4475228F"/>
    <w:rsid w:val="447D75B2"/>
    <w:rsid w:val="447DE46F"/>
    <w:rsid w:val="448306A5"/>
    <w:rsid w:val="44834440"/>
    <w:rsid w:val="449D04C3"/>
    <w:rsid w:val="449D851A"/>
    <w:rsid w:val="449DDDFD"/>
    <w:rsid w:val="449F4DD4"/>
    <w:rsid w:val="44A0727A"/>
    <w:rsid w:val="44A7CB0B"/>
    <w:rsid w:val="44A8885C"/>
    <w:rsid w:val="44B7A3AE"/>
    <w:rsid w:val="44B8CA4B"/>
    <w:rsid w:val="44B91FCE"/>
    <w:rsid w:val="44BEFC90"/>
    <w:rsid w:val="44C3CCFA"/>
    <w:rsid w:val="44C40FF2"/>
    <w:rsid w:val="44C8966D"/>
    <w:rsid w:val="44D1EEB7"/>
    <w:rsid w:val="44D3506B"/>
    <w:rsid w:val="44D8B2A9"/>
    <w:rsid w:val="44DA9F2C"/>
    <w:rsid w:val="44DD44E8"/>
    <w:rsid w:val="44E03033"/>
    <w:rsid w:val="44F08B1D"/>
    <w:rsid w:val="44F2281D"/>
    <w:rsid w:val="44F448A7"/>
    <w:rsid w:val="44F638B7"/>
    <w:rsid w:val="44F8BF67"/>
    <w:rsid w:val="44FBCD3C"/>
    <w:rsid w:val="44FCE6DC"/>
    <w:rsid w:val="44FDD08A"/>
    <w:rsid w:val="44FE574C"/>
    <w:rsid w:val="4500BEDC"/>
    <w:rsid w:val="450253B4"/>
    <w:rsid w:val="450475A9"/>
    <w:rsid w:val="45073A0B"/>
    <w:rsid w:val="450EB2AF"/>
    <w:rsid w:val="45118D3A"/>
    <w:rsid w:val="45139F2C"/>
    <w:rsid w:val="452D6FAB"/>
    <w:rsid w:val="4534425A"/>
    <w:rsid w:val="453D1ED1"/>
    <w:rsid w:val="4549F316"/>
    <w:rsid w:val="45525E9F"/>
    <w:rsid w:val="4559846B"/>
    <w:rsid w:val="455B279E"/>
    <w:rsid w:val="455DB107"/>
    <w:rsid w:val="45636ED0"/>
    <w:rsid w:val="4563EB19"/>
    <w:rsid w:val="456CA68A"/>
    <w:rsid w:val="4573D0FC"/>
    <w:rsid w:val="45744526"/>
    <w:rsid w:val="457BF97D"/>
    <w:rsid w:val="457E3C66"/>
    <w:rsid w:val="458153E4"/>
    <w:rsid w:val="45835357"/>
    <w:rsid w:val="45908B0D"/>
    <w:rsid w:val="459941CD"/>
    <w:rsid w:val="459A0916"/>
    <w:rsid w:val="459A8A8D"/>
    <w:rsid w:val="459CD9DA"/>
    <w:rsid w:val="459FE71B"/>
    <w:rsid w:val="45A12603"/>
    <w:rsid w:val="45A2C2FF"/>
    <w:rsid w:val="45A3CFAD"/>
    <w:rsid w:val="45A7388C"/>
    <w:rsid w:val="45AA1171"/>
    <w:rsid w:val="45AD9F2B"/>
    <w:rsid w:val="45AE9C33"/>
    <w:rsid w:val="45B2D721"/>
    <w:rsid w:val="45B5CA70"/>
    <w:rsid w:val="45B88113"/>
    <w:rsid w:val="45BB26EC"/>
    <w:rsid w:val="45BF0A85"/>
    <w:rsid w:val="45C576D4"/>
    <w:rsid w:val="45C9FAD1"/>
    <w:rsid w:val="45CF5F15"/>
    <w:rsid w:val="45D47707"/>
    <w:rsid w:val="45DA2EEB"/>
    <w:rsid w:val="45DBD72A"/>
    <w:rsid w:val="45DC860E"/>
    <w:rsid w:val="45DD6DA7"/>
    <w:rsid w:val="45DE4235"/>
    <w:rsid w:val="45E2973B"/>
    <w:rsid w:val="45EB966C"/>
    <w:rsid w:val="45F3B55D"/>
    <w:rsid w:val="45F803F3"/>
    <w:rsid w:val="45F8A63B"/>
    <w:rsid w:val="45F97EA8"/>
    <w:rsid w:val="45FDF5E0"/>
    <w:rsid w:val="4604691D"/>
    <w:rsid w:val="460E579B"/>
    <w:rsid w:val="4618E2FF"/>
    <w:rsid w:val="461B7A6C"/>
    <w:rsid w:val="461E71F6"/>
    <w:rsid w:val="46227A26"/>
    <w:rsid w:val="462F8981"/>
    <w:rsid w:val="46350ADB"/>
    <w:rsid w:val="463F05F0"/>
    <w:rsid w:val="4644E5ED"/>
    <w:rsid w:val="464B0647"/>
    <w:rsid w:val="4653BA42"/>
    <w:rsid w:val="4654C634"/>
    <w:rsid w:val="46574B90"/>
    <w:rsid w:val="46584CCF"/>
    <w:rsid w:val="465C1258"/>
    <w:rsid w:val="465C3897"/>
    <w:rsid w:val="465F7085"/>
    <w:rsid w:val="4666C14E"/>
    <w:rsid w:val="4667524B"/>
    <w:rsid w:val="466FB08F"/>
    <w:rsid w:val="466FBF46"/>
    <w:rsid w:val="46700D7D"/>
    <w:rsid w:val="467C09A5"/>
    <w:rsid w:val="467E0DD6"/>
    <w:rsid w:val="46808736"/>
    <w:rsid w:val="4682BC3B"/>
    <w:rsid w:val="46873D22"/>
    <w:rsid w:val="468C0F12"/>
    <w:rsid w:val="46946516"/>
    <w:rsid w:val="469894CE"/>
    <w:rsid w:val="469C981C"/>
    <w:rsid w:val="46A008AC"/>
    <w:rsid w:val="46B4F273"/>
    <w:rsid w:val="46B59F38"/>
    <w:rsid w:val="46B988D0"/>
    <w:rsid w:val="46BE019B"/>
    <w:rsid w:val="46C3889C"/>
    <w:rsid w:val="46D1F8CF"/>
    <w:rsid w:val="46D3E4B4"/>
    <w:rsid w:val="46DBC4F7"/>
    <w:rsid w:val="46DDA7AA"/>
    <w:rsid w:val="46E06782"/>
    <w:rsid w:val="46E8D47B"/>
    <w:rsid w:val="46EF1F07"/>
    <w:rsid w:val="46F2C52D"/>
    <w:rsid w:val="46F6CE78"/>
    <w:rsid w:val="46F73A4C"/>
    <w:rsid w:val="46FB5B26"/>
    <w:rsid w:val="46FEC83F"/>
    <w:rsid w:val="4700C1E1"/>
    <w:rsid w:val="4706C922"/>
    <w:rsid w:val="47151E37"/>
    <w:rsid w:val="47153BF9"/>
    <w:rsid w:val="47161FE9"/>
    <w:rsid w:val="471F16EB"/>
    <w:rsid w:val="47218730"/>
    <w:rsid w:val="472BDECF"/>
    <w:rsid w:val="472DDC56"/>
    <w:rsid w:val="472EAB00"/>
    <w:rsid w:val="472EDCDE"/>
    <w:rsid w:val="4731C6E0"/>
    <w:rsid w:val="47345B9C"/>
    <w:rsid w:val="47363096"/>
    <w:rsid w:val="4739B50E"/>
    <w:rsid w:val="473E5F45"/>
    <w:rsid w:val="4741C5CF"/>
    <w:rsid w:val="4744261C"/>
    <w:rsid w:val="474829B8"/>
    <w:rsid w:val="4748F00A"/>
    <w:rsid w:val="4749B17B"/>
    <w:rsid w:val="474CC5FA"/>
    <w:rsid w:val="474F1E1E"/>
    <w:rsid w:val="47531D27"/>
    <w:rsid w:val="475423B5"/>
    <w:rsid w:val="4755F02F"/>
    <w:rsid w:val="47601C96"/>
    <w:rsid w:val="47629634"/>
    <w:rsid w:val="47637E4D"/>
    <w:rsid w:val="476D2D6B"/>
    <w:rsid w:val="4772E494"/>
    <w:rsid w:val="47755EDB"/>
    <w:rsid w:val="4777BD38"/>
    <w:rsid w:val="477894EC"/>
    <w:rsid w:val="477997A7"/>
    <w:rsid w:val="477B282C"/>
    <w:rsid w:val="4782DC72"/>
    <w:rsid w:val="478444EA"/>
    <w:rsid w:val="478FD836"/>
    <w:rsid w:val="47955222"/>
    <w:rsid w:val="4797D04B"/>
    <w:rsid w:val="47A83058"/>
    <w:rsid w:val="47AB3C6E"/>
    <w:rsid w:val="47AE3422"/>
    <w:rsid w:val="47B2E82E"/>
    <w:rsid w:val="47B5241E"/>
    <w:rsid w:val="47B614C4"/>
    <w:rsid w:val="47B6225F"/>
    <w:rsid w:val="47B8F01F"/>
    <w:rsid w:val="47C1E7FF"/>
    <w:rsid w:val="47C31872"/>
    <w:rsid w:val="47C6C9B7"/>
    <w:rsid w:val="47CD026D"/>
    <w:rsid w:val="47CE2ED4"/>
    <w:rsid w:val="47D04257"/>
    <w:rsid w:val="47D04ADF"/>
    <w:rsid w:val="47D0C588"/>
    <w:rsid w:val="47D30D5A"/>
    <w:rsid w:val="47DC31C6"/>
    <w:rsid w:val="47DC3DB1"/>
    <w:rsid w:val="47E0400C"/>
    <w:rsid w:val="47E70422"/>
    <w:rsid w:val="47EADCD1"/>
    <w:rsid w:val="47EB933D"/>
    <w:rsid w:val="47F197CF"/>
    <w:rsid w:val="4800020A"/>
    <w:rsid w:val="480912FC"/>
    <w:rsid w:val="480F9F1F"/>
    <w:rsid w:val="481BCC91"/>
    <w:rsid w:val="48212EA1"/>
    <w:rsid w:val="4821E526"/>
    <w:rsid w:val="4827B9AF"/>
    <w:rsid w:val="48282B33"/>
    <w:rsid w:val="48286CB8"/>
    <w:rsid w:val="4829643A"/>
    <w:rsid w:val="482A0953"/>
    <w:rsid w:val="482CD646"/>
    <w:rsid w:val="482F3A14"/>
    <w:rsid w:val="48316F7C"/>
    <w:rsid w:val="483289AA"/>
    <w:rsid w:val="4837F7C8"/>
    <w:rsid w:val="484511FE"/>
    <w:rsid w:val="48488CD9"/>
    <w:rsid w:val="484A384A"/>
    <w:rsid w:val="484ED6E3"/>
    <w:rsid w:val="484FD68B"/>
    <w:rsid w:val="485219A9"/>
    <w:rsid w:val="4854B7D6"/>
    <w:rsid w:val="4859DF1F"/>
    <w:rsid w:val="486385EE"/>
    <w:rsid w:val="486806AA"/>
    <w:rsid w:val="4868C441"/>
    <w:rsid w:val="4869D44E"/>
    <w:rsid w:val="486C3FCC"/>
    <w:rsid w:val="486EE66F"/>
    <w:rsid w:val="487688B7"/>
    <w:rsid w:val="4878F5C7"/>
    <w:rsid w:val="487ECD5E"/>
    <w:rsid w:val="48807426"/>
    <w:rsid w:val="4883703C"/>
    <w:rsid w:val="488419CE"/>
    <w:rsid w:val="48849520"/>
    <w:rsid w:val="4886D9EF"/>
    <w:rsid w:val="4887560D"/>
    <w:rsid w:val="4888583A"/>
    <w:rsid w:val="488A13F1"/>
    <w:rsid w:val="488DC084"/>
    <w:rsid w:val="4895EC5E"/>
    <w:rsid w:val="48967586"/>
    <w:rsid w:val="489B6223"/>
    <w:rsid w:val="489D465D"/>
    <w:rsid w:val="48A5348E"/>
    <w:rsid w:val="48AC4270"/>
    <w:rsid w:val="48ACE46C"/>
    <w:rsid w:val="48AEBEE3"/>
    <w:rsid w:val="48B22A70"/>
    <w:rsid w:val="48B4E95A"/>
    <w:rsid w:val="48B6AB5C"/>
    <w:rsid w:val="48BDF718"/>
    <w:rsid w:val="48C923B7"/>
    <w:rsid w:val="48D2D0B7"/>
    <w:rsid w:val="48D4F3C4"/>
    <w:rsid w:val="48DB16FE"/>
    <w:rsid w:val="48DB319A"/>
    <w:rsid w:val="48DD9B2E"/>
    <w:rsid w:val="48E40546"/>
    <w:rsid w:val="48EA51CE"/>
    <w:rsid w:val="48EC8017"/>
    <w:rsid w:val="48EDF1E5"/>
    <w:rsid w:val="48EF4C4C"/>
    <w:rsid w:val="48F183DE"/>
    <w:rsid w:val="48F30948"/>
    <w:rsid w:val="48F3BE69"/>
    <w:rsid w:val="48F92A3D"/>
    <w:rsid w:val="48FE499F"/>
    <w:rsid w:val="49003EF1"/>
    <w:rsid w:val="4913235E"/>
    <w:rsid w:val="4919700A"/>
    <w:rsid w:val="491E98A1"/>
    <w:rsid w:val="4922193B"/>
    <w:rsid w:val="492548B2"/>
    <w:rsid w:val="4927E2A1"/>
    <w:rsid w:val="4932345B"/>
    <w:rsid w:val="49393ED7"/>
    <w:rsid w:val="493CEF8F"/>
    <w:rsid w:val="493CF316"/>
    <w:rsid w:val="494CFD06"/>
    <w:rsid w:val="49520E46"/>
    <w:rsid w:val="49566E1F"/>
    <w:rsid w:val="4956A482"/>
    <w:rsid w:val="49570794"/>
    <w:rsid w:val="495F4749"/>
    <w:rsid w:val="496464E1"/>
    <w:rsid w:val="4964AEAE"/>
    <w:rsid w:val="496B2124"/>
    <w:rsid w:val="49723C71"/>
    <w:rsid w:val="4972E215"/>
    <w:rsid w:val="4978E219"/>
    <w:rsid w:val="497D2689"/>
    <w:rsid w:val="49823235"/>
    <w:rsid w:val="49832E6E"/>
    <w:rsid w:val="498605AA"/>
    <w:rsid w:val="49888A42"/>
    <w:rsid w:val="4988A802"/>
    <w:rsid w:val="498D3904"/>
    <w:rsid w:val="498EA1F9"/>
    <w:rsid w:val="49903151"/>
    <w:rsid w:val="499F1F68"/>
    <w:rsid w:val="49A3CB62"/>
    <w:rsid w:val="49A5443F"/>
    <w:rsid w:val="49B0BF86"/>
    <w:rsid w:val="49B66B58"/>
    <w:rsid w:val="49B6E693"/>
    <w:rsid w:val="49BD126B"/>
    <w:rsid w:val="49C23760"/>
    <w:rsid w:val="49C8EEDF"/>
    <w:rsid w:val="49C90E47"/>
    <w:rsid w:val="49CBFE44"/>
    <w:rsid w:val="49CD7CB0"/>
    <w:rsid w:val="49D5E0E5"/>
    <w:rsid w:val="49D894DF"/>
    <w:rsid w:val="49E3F175"/>
    <w:rsid w:val="49F0D46E"/>
    <w:rsid w:val="49F325C1"/>
    <w:rsid w:val="49F5960B"/>
    <w:rsid w:val="49F80CA9"/>
    <w:rsid w:val="49F846E2"/>
    <w:rsid w:val="49F91ED0"/>
    <w:rsid w:val="4A0046B0"/>
    <w:rsid w:val="4A0051D2"/>
    <w:rsid w:val="4A028CFE"/>
    <w:rsid w:val="4A09799C"/>
    <w:rsid w:val="4A0A9A26"/>
    <w:rsid w:val="4A0C53C1"/>
    <w:rsid w:val="4A1126E3"/>
    <w:rsid w:val="4A11DF88"/>
    <w:rsid w:val="4A12D500"/>
    <w:rsid w:val="4A134916"/>
    <w:rsid w:val="4A189D77"/>
    <w:rsid w:val="4A1D9990"/>
    <w:rsid w:val="4A2BCDE4"/>
    <w:rsid w:val="4A32FB3E"/>
    <w:rsid w:val="4A35BD4B"/>
    <w:rsid w:val="4A396075"/>
    <w:rsid w:val="4A44C6A0"/>
    <w:rsid w:val="4A471F1F"/>
    <w:rsid w:val="4A4C10B7"/>
    <w:rsid w:val="4A4F470C"/>
    <w:rsid w:val="4A56CFF8"/>
    <w:rsid w:val="4A65AE63"/>
    <w:rsid w:val="4A698643"/>
    <w:rsid w:val="4A6E7269"/>
    <w:rsid w:val="4A71907E"/>
    <w:rsid w:val="4A7577C1"/>
    <w:rsid w:val="4A7CB5F3"/>
    <w:rsid w:val="4A8515BE"/>
    <w:rsid w:val="4A8941DC"/>
    <w:rsid w:val="4A8C7D2C"/>
    <w:rsid w:val="4A8C89AE"/>
    <w:rsid w:val="4A93000F"/>
    <w:rsid w:val="4A978F09"/>
    <w:rsid w:val="4A985F87"/>
    <w:rsid w:val="4A9D03BC"/>
    <w:rsid w:val="4A9E509E"/>
    <w:rsid w:val="4A9FAAEB"/>
    <w:rsid w:val="4AA707DA"/>
    <w:rsid w:val="4AAC468C"/>
    <w:rsid w:val="4AAE9503"/>
    <w:rsid w:val="4AAF7DD8"/>
    <w:rsid w:val="4AAFFD23"/>
    <w:rsid w:val="4AB6D1DF"/>
    <w:rsid w:val="4ABD7E42"/>
    <w:rsid w:val="4AC191EB"/>
    <w:rsid w:val="4ACE0422"/>
    <w:rsid w:val="4AD5DAE3"/>
    <w:rsid w:val="4AD9F8D2"/>
    <w:rsid w:val="4ADA947C"/>
    <w:rsid w:val="4ADF4A20"/>
    <w:rsid w:val="4AE2EB39"/>
    <w:rsid w:val="4AE322B9"/>
    <w:rsid w:val="4AE930F1"/>
    <w:rsid w:val="4AEB2A66"/>
    <w:rsid w:val="4AEEBB68"/>
    <w:rsid w:val="4AF26E02"/>
    <w:rsid w:val="4B0115BA"/>
    <w:rsid w:val="4B05EE4F"/>
    <w:rsid w:val="4B0AECA4"/>
    <w:rsid w:val="4B0AFE6F"/>
    <w:rsid w:val="4B0E54B5"/>
    <w:rsid w:val="4B17A9F0"/>
    <w:rsid w:val="4B198D88"/>
    <w:rsid w:val="4B1B5106"/>
    <w:rsid w:val="4B1D9CBA"/>
    <w:rsid w:val="4B20F28C"/>
    <w:rsid w:val="4B2144C7"/>
    <w:rsid w:val="4B222257"/>
    <w:rsid w:val="4B243BB0"/>
    <w:rsid w:val="4B27718D"/>
    <w:rsid w:val="4B2B55D4"/>
    <w:rsid w:val="4B2CF58F"/>
    <w:rsid w:val="4B2F335D"/>
    <w:rsid w:val="4B2F5EAA"/>
    <w:rsid w:val="4B3437F2"/>
    <w:rsid w:val="4B368127"/>
    <w:rsid w:val="4B380747"/>
    <w:rsid w:val="4B399676"/>
    <w:rsid w:val="4B41DFDA"/>
    <w:rsid w:val="4B47BF2A"/>
    <w:rsid w:val="4B52A107"/>
    <w:rsid w:val="4B54E546"/>
    <w:rsid w:val="4B5722A0"/>
    <w:rsid w:val="4B59CCE5"/>
    <w:rsid w:val="4B5F985D"/>
    <w:rsid w:val="4B60AC3E"/>
    <w:rsid w:val="4B60ED5D"/>
    <w:rsid w:val="4B610E1D"/>
    <w:rsid w:val="4B6A3D9B"/>
    <w:rsid w:val="4B6EB58B"/>
    <w:rsid w:val="4B767528"/>
    <w:rsid w:val="4B7A3929"/>
    <w:rsid w:val="4B7AC819"/>
    <w:rsid w:val="4B7AD924"/>
    <w:rsid w:val="4B7C808C"/>
    <w:rsid w:val="4B7DA212"/>
    <w:rsid w:val="4B843FE9"/>
    <w:rsid w:val="4B85DC7A"/>
    <w:rsid w:val="4B899F51"/>
    <w:rsid w:val="4B8C2B3A"/>
    <w:rsid w:val="4B8C6D84"/>
    <w:rsid w:val="4B93E5E6"/>
    <w:rsid w:val="4B9AF8E0"/>
    <w:rsid w:val="4BA1AA17"/>
    <w:rsid w:val="4BA331B9"/>
    <w:rsid w:val="4BA50BF3"/>
    <w:rsid w:val="4BA73340"/>
    <w:rsid w:val="4BAB934F"/>
    <w:rsid w:val="4BAF4645"/>
    <w:rsid w:val="4BB4B559"/>
    <w:rsid w:val="4BB759CA"/>
    <w:rsid w:val="4BB8AF34"/>
    <w:rsid w:val="4BB9461E"/>
    <w:rsid w:val="4BBBBFCF"/>
    <w:rsid w:val="4BBE6D47"/>
    <w:rsid w:val="4BC03D6B"/>
    <w:rsid w:val="4BC4FF69"/>
    <w:rsid w:val="4BC6CC3D"/>
    <w:rsid w:val="4BC9C3BF"/>
    <w:rsid w:val="4BCE5D11"/>
    <w:rsid w:val="4BCEA2C1"/>
    <w:rsid w:val="4BDF6339"/>
    <w:rsid w:val="4BE1D738"/>
    <w:rsid w:val="4BE41925"/>
    <w:rsid w:val="4BE6684E"/>
    <w:rsid w:val="4BEE951B"/>
    <w:rsid w:val="4BF7BF4B"/>
    <w:rsid w:val="4BFCE96A"/>
    <w:rsid w:val="4C03311C"/>
    <w:rsid w:val="4C103BDF"/>
    <w:rsid w:val="4C147187"/>
    <w:rsid w:val="4C162871"/>
    <w:rsid w:val="4C1C086A"/>
    <w:rsid w:val="4C1DC6FC"/>
    <w:rsid w:val="4C1F1E96"/>
    <w:rsid w:val="4C2097D0"/>
    <w:rsid w:val="4C228F75"/>
    <w:rsid w:val="4C24FB27"/>
    <w:rsid w:val="4C269469"/>
    <w:rsid w:val="4C2D15D3"/>
    <w:rsid w:val="4C2D8076"/>
    <w:rsid w:val="4C2F1AA8"/>
    <w:rsid w:val="4C309E07"/>
    <w:rsid w:val="4C30E45E"/>
    <w:rsid w:val="4C354CC8"/>
    <w:rsid w:val="4C3797E7"/>
    <w:rsid w:val="4C39FE29"/>
    <w:rsid w:val="4C4885F1"/>
    <w:rsid w:val="4C49150F"/>
    <w:rsid w:val="4C4B631D"/>
    <w:rsid w:val="4C4C7B6D"/>
    <w:rsid w:val="4C5161CD"/>
    <w:rsid w:val="4C55B755"/>
    <w:rsid w:val="4C5613FA"/>
    <w:rsid w:val="4C595917"/>
    <w:rsid w:val="4C59CF42"/>
    <w:rsid w:val="4C5B6AF6"/>
    <w:rsid w:val="4C5C7C4A"/>
    <w:rsid w:val="4C5C8584"/>
    <w:rsid w:val="4C5EBECC"/>
    <w:rsid w:val="4C619ED3"/>
    <w:rsid w:val="4C62AF6B"/>
    <w:rsid w:val="4C63B43C"/>
    <w:rsid w:val="4C6502D6"/>
    <w:rsid w:val="4C663D2E"/>
    <w:rsid w:val="4C68326B"/>
    <w:rsid w:val="4C6AABDF"/>
    <w:rsid w:val="4C6CDA4E"/>
    <w:rsid w:val="4C70F540"/>
    <w:rsid w:val="4C738E67"/>
    <w:rsid w:val="4C7694E6"/>
    <w:rsid w:val="4C784722"/>
    <w:rsid w:val="4C78D4D3"/>
    <w:rsid w:val="4C7922C3"/>
    <w:rsid w:val="4C7CFD49"/>
    <w:rsid w:val="4C81C28B"/>
    <w:rsid w:val="4C867112"/>
    <w:rsid w:val="4C93699D"/>
    <w:rsid w:val="4C97017F"/>
    <w:rsid w:val="4C9EFF2F"/>
    <w:rsid w:val="4CA31049"/>
    <w:rsid w:val="4CA3CC97"/>
    <w:rsid w:val="4CA66104"/>
    <w:rsid w:val="4CA70A0C"/>
    <w:rsid w:val="4CA86654"/>
    <w:rsid w:val="4CAB9AD7"/>
    <w:rsid w:val="4CB2AB7A"/>
    <w:rsid w:val="4CB65D97"/>
    <w:rsid w:val="4CBECFD6"/>
    <w:rsid w:val="4CC19CA6"/>
    <w:rsid w:val="4CC28676"/>
    <w:rsid w:val="4CC54EEC"/>
    <w:rsid w:val="4CC5DDD0"/>
    <w:rsid w:val="4CC84B92"/>
    <w:rsid w:val="4CC9A588"/>
    <w:rsid w:val="4CCC4641"/>
    <w:rsid w:val="4CD1B0EC"/>
    <w:rsid w:val="4CDD0CD5"/>
    <w:rsid w:val="4CE20957"/>
    <w:rsid w:val="4CE82F39"/>
    <w:rsid w:val="4CEBE794"/>
    <w:rsid w:val="4CECA35C"/>
    <w:rsid w:val="4CECFAEE"/>
    <w:rsid w:val="4CEEE588"/>
    <w:rsid w:val="4D010512"/>
    <w:rsid w:val="4D02C776"/>
    <w:rsid w:val="4D067F11"/>
    <w:rsid w:val="4D09B851"/>
    <w:rsid w:val="4D0E06EE"/>
    <w:rsid w:val="4D0F9670"/>
    <w:rsid w:val="4D150C5B"/>
    <w:rsid w:val="4D1BB02A"/>
    <w:rsid w:val="4D2C82EC"/>
    <w:rsid w:val="4D2C9FED"/>
    <w:rsid w:val="4D2DEFE4"/>
    <w:rsid w:val="4D36FA47"/>
    <w:rsid w:val="4D3DCEC3"/>
    <w:rsid w:val="4D44CE17"/>
    <w:rsid w:val="4D451116"/>
    <w:rsid w:val="4D4B5C05"/>
    <w:rsid w:val="4D4E268A"/>
    <w:rsid w:val="4D5AECF7"/>
    <w:rsid w:val="4D5E985B"/>
    <w:rsid w:val="4D60A56F"/>
    <w:rsid w:val="4D6124D5"/>
    <w:rsid w:val="4D6196D6"/>
    <w:rsid w:val="4D65B4EA"/>
    <w:rsid w:val="4D6B6FA4"/>
    <w:rsid w:val="4D6B7DA6"/>
    <w:rsid w:val="4D6BA46C"/>
    <w:rsid w:val="4D6BA717"/>
    <w:rsid w:val="4D6BAA58"/>
    <w:rsid w:val="4D728284"/>
    <w:rsid w:val="4D73BF1D"/>
    <w:rsid w:val="4D7B7A26"/>
    <w:rsid w:val="4D7CF7A6"/>
    <w:rsid w:val="4D82F1DA"/>
    <w:rsid w:val="4D890CCA"/>
    <w:rsid w:val="4D8A706E"/>
    <w:rsid w:val="4D8E3ECA"/>
    <w:rsid w:val="4D930B11"/>
    <w:rsid w:val="4D9DB8C8"/>
    <w:rsid w:val="4DA53E98"/>
    <w:rsid w:val="4DAA16F5"/>
    <w:rsid w:val="4DABAC62"/>
    <w:rsid w:val="4DAE68F8"/>
    <w:rsid w:val="4DAEC3B5"/>
    <w:rsid w:val="4DB40947"/>
    <w:rsid w:val="4DBB16E4"/>
    <w:rsid w:val="4DBBCF1F"/>
    <w:rsid w:val="4DBF6B33"/>
    <w:rsid w:val="4DC5133F"/>
    <w:rsid w:val="4DC7759F"/>
    <w:rsid w:val="4DCE73FE"/>
    <w:rsid w:val="4DD000B6"/>
    <w:rsid w:val="4DD19567"/>
    <w:rsid w:val="4DD1BDE5"/>
    <w:rsid w:val="4DD7875A"/>
    <w:rsid w:val="4DDA853A"/>
    <w:rsid w:val="4DDAA28D"/>
    <w:rsid w:val="4DDFC15A"/>
    <w:rsid w:val="4DE068F5"/>
    <w:rsid w:val="4DEB7483"/>
    <w:rsid w:val="4DF15DA0"/>
    <w:rsid w:val="4DF17B97"/>
    <w:rsid w:val="4DF28578"/>
    <w:rsid w:val="4DF330C8"/>
    <w:rsid w:val="4DFB0003"/>
    <w:rsid w:val="4E003ECB"/>
    <w:rsid w:val="4E043975"/>
    <w:rsid w:val="4E08B53E"/>
    <w:rsid w:val="4E0D2F2F"/>
    <w:rsid w:val="4E20FF26"/>
    <w:rsid w:val="4E2B7CDC"/>
    <w:rsid w:val="4E2BC2F2"/>
    <w:rsid w:val="4E2EEB76"/>
    <w:rsid w:val="4E30C73E"/>
    <w:rsid w:val="4E3AF8FE"/>
    <w:rsid w:val="4E3BA9AA"/>
    <w:rsid w:val="4E4433FF"/>
    <w:rsid w:val="4E44D074"/>
    <w:rsid w:val="4E44DB79"/>
    <w:rsid w:val="4E495B75"/>
    <w:rsid w:val="4E49DA59"/>
    <w:rsid w:val="4E4D9C15"/>
    <w:rsid w:val="4E4E5C0D"/>
    <w:rsid w:val="4E4E9C12"/>
    <w:rsid w:val="4E51C926"/>
    <w:rsid w:val="4E603695"/>
    <w:rsid w:val="4E61B707"/>
    <w:rsid w:val="4E664ACF"/>
    <w:rsid w:val="4E691E05"/>
    <w:rsid w:val="4E6AE7C9"/>
    <w:rsid w:val="4E74ECA5"/>
    <w:rsid w:val="4E7890BB"/>
    <w:rsid w:val="4E849EB0"/>
    <w:rsid w:val="4E89A2FE"/>
    <w:rsid w:val="4E8DBA62"/>
    <w:rsid w:val="4E99A191"/>
    <w:rsid w:val="4E9A5F70"/>
    <w:rsid w:val="4E9A932A"/>
    <w:rsid w:val="4EAA0982"/>
    <w:rsid w:val="4EBD62B0"/>
    <w:rsid w:val="4EBE599D"/>
    <w:rsid w:val="4EBFD813"/>
    <w:rsid w:val="4EC9E541"/>
    <w:rsid w:val="4ECCF888"/>
    <w:rsid w:val="4ED0803F"/>
    <w:rsid w:val="4ED2C866"/>
    <w:rsid w:val="4EE2344E"/>
    <w:rsid w:val="4EE9C0BF"/>
    <w:rsid w:val="4EEEE7A2"/>
    <w:rsid w:val="4EF29E9A"/>
    <w:rsid w:val="4EFCECFB"/>
    <w:rsid w:val="4EFCFA79"/>
    <w:rsid w:val="4EFD676B"/>
    <w:rsid w:val="4EFFA4F5"/>
    <w:rsid w:val="4EFFEB33"/>
    <w:rsid w:val="4F027A58"/>
    <w:rsid w:val="4F030510"/>
    <w:rsid w:val="4F04951B"/>
    <w:rsid w:val="4F05A628"/>
    <w:rsid w:val="4F09B54D"/>
    <w:rsid w:val="4F09EF67"/>
    <w:rsid w:val="4F0ED886"/>
    <w:rsid w:val="4F185407"/>
    <w:rsid w:val="4F1C1E71"/>
    <w:rsid w:val="4F22B26C"/>
    <w:rsid w:val="4F2D9335"/>
    <w:rsid w:val="4F2FF38C"/>
    <w:rsid w:val="4F379F8B"/>
    <w:rsid w:val="4F3AF20C"/>
    <w:rsid w:val="4F3C5296"/>
    <w:rsid w:val="4F3CEE28"/>
    <w:rsid w:val="4F3D9E3B"/>
    <w:rsid w:val="4F3F45E2"/>
    <w:rsid w:val="4F4B0A0D"/>
    <w:rsid w:val="4F4B905E"/>
    <w:rsid w:val="4F4F7161"/>
    <w:rsid w:val="4F523813"/>
    <w:rsid w:val="4F5BF93B"/>
    <w:rsid w:val="4F601F19"/>
    <w:rsid w:val="4F61A2C2"/>
    <w:rsid w:val="4F6706A1"/>
    <w:rsid w:val="4F671514"/>
    <w:rsid w:val="4F6E178F"/>
    <w:rsid w:val="4F6FF89D"/>
    <w:rsid w:val="4F73A4F2"/>
    <w:rsid w:val="4F78C545"/>
    <w:rsid w:val="4F7B0F3D"/>
    <w:rsid w:val="4F7C9AB2"/>
    <w:rsid w:val="4F7DEA60"/>
    <w:rsid w:val="4F83FD0C"/>
    <w:rsid w:val="4F8A79E1"/>
    <w:rsid w:val="4F8BAB5C"/>
    <w:rsid w:val="4F8DBD6E"/>
    <w:rsid w:val="4F930AF9"/>
    <w:rsid w:val="4F93CC90"/>
    <w:rsid w:val="4F94EF75"/>
    <w:rsid w:val="4FA02AA7"/>
    <w:rsid w:val="4FA34332"/>
    <w:rsid w:val="4FA54D04"/>
    <w:rsid w:val="4FA7783B"/>
    <w:rsid w:val="4FAB06EB"/>
    <w:rsid w:val="4FB7DF77"/>
    <w:rsid w:val="4FB93B9A"/>
    <w:rsid w:val="4FBBD383"/>
    <w:rsid w:val="4FC4A643"/>
    <w:rsid w:val="4FC86456"/>
    <w:rsid w:val="4FCBBDEB"/>
    <w:rsid w:val="4FCD548E"/>
    <w:rsid w:val="4FCF0BC3"/>
    <w:rsid w:val="4FCF19DC"/>
    <w:rsid w:val="4FCFDC74"/>
    <w:rsid w:val="4FD0F5CB"/>
    <w:rsid w:val="4FD36656"/>
    <w:rsid w:val="4FD4F0ED"/>
    <w:rsid w:val="4FDE7299"/>
    <w:rsid w:val="4FE55730"/>
    <w:rsid w:val="4FEBCDF3"/>
    <w:rsid w:val="4FEC693C"/>
    <w:rsid w:val="4FEE0C4A"/>
    <w:rsid w:val="4FEF0928"/>
    <w:rsid w:val="4FF0879F"/>
    <w:rsid w:val="4FF34A8F"/>
    <w:rsid w:val="4FF40A7D"/>
    <w:rsid w:val="4FF49104"/>
    <w:rsid w:val="4FFAF222"/>
    <w:rsid w:val="50017D5B"/>
    <w:rsid w:val="500689DE"/>
    <w:rsid w:val="5015605A"/>
    <w:rsid w:val="50173572"/>
    <w:rsid w:val="50196296"/>
    <w:rsid w:val="5019774D"/>
    <w:rsid w:val="501AC5E8"/>
    <w:rsid w:val="501C4444"/>
    <w:rsid w:val="5023C3FE"/>
    <w:rsid w:val="50250B5B"/>
    <w:rsid w:val="5029B6AE"/>
    <w:rsid w:val="502F0587"/>
    <w:rsid w:val="502FD017"/>
    <w:rsid w:val="5032BE21"/>
    <w:rsid w:val="50330AF4"/>
    <w:rsid w:val="503C18CF"/>
    <w:rsid w:val="50411BDE"/>
    <w:rsid w:val="50430C3D"/>
    <w:rsid w:val="504463A1"/>
    <w:rsid w:val="50511BE2"/>
    <w:rsid w:val="5051C761"/>
    <w:rsid w:val="50551BD2"/>
    <w:rsid w:val="5056BA30"/>
    <w:rsid w:val="50586F77"/>
    <w:rsid w:val="505A9ACD"/>
    <w:rsid w:val="50608742"/>
    <w:rsid w:val="50637435"/>
    <w:rsid w:val="5068C0C6"/>
    <w:rsid w:val="506DB276"/>
    <w:rsid w:val="5078DB6D"/>
    <w:rsid w:val="507F3D24"/>
    <w:rsid w:val="50830E1E"/>
    <w:rsid w:val="508FF6CE"/>
    <w:rsid w:val="5097951C"/>
    <w:rsid w:val="509AEA07"/>
    <w:rsid w:val="509FB758"/>
    <w:rsid w:val="50A3BD75"/>
    <w:rsid w:val="50A82715"/>
    <w:rsid w:val="50AA0ADB"/>
    <w:rsid w:val="50B21DB7"/>
    <w:rsid w:val="50B40593"/>
    <w:rsid w:val="50B5055E"/>
    <w:rsid w:val="50B6CACE"/>
    <w:rsid w:val="50B7AD68"/>
    <w:rsid w:val="50BB0017"/>
    <w:rsid w:val="50BE67BD"/>
    <w:rsid w:val="50BEE1CF"/>
    <w:rsid w:val="50C1D7EC"/>
    <w:rsid w:val="50C38BC7"/>
    <w:rsid w:val="50C6AFFA"/>
    <w:rsid w:val="50CE8C87"/>
    <w:rsid w:val="50D30076"/>
    <w:rsid w:val="50D9BE68"/>
    <w:rsid w:val="50DC9F92"/>
    <w:rsid w:val="50E1DED9"/>
    <w:rsid w:val="50E3EDB2"/>
    <w:rsid w:val="50E7996C"/>
    <w:rsid w:val="50E8B851"/>
    <w:rsid w:val="50F38CB9"/>
    <w:rsid w:val="50F6F39C"/>
    <w:rsid w:val="51006C6D"/>
    <w:rsid w:val="51007D93"/>
    <w:rsid w:val="51015CAB"/>
    <w:rsid w:val="510B054E"/>
    <w:rsid w:val="510C1D07"/>
    <w:rsid w:val="510DBEB3"/>
    <w:rsid w:val="51100718"/>
    <w:rsid w:val="51117F4C"/>
    <w:rsid w:val="511704FC"/>
    <w:rsid w:val="51197F3C"/>
    <w:rsid w:val="511ADE19"/>
    <w:rsid w:val="511C3F84"/>
    <w:rsid w:val="511D46B0"/>
    <w:rsid w:val="511EE14D"/>
    <w:rsid w:val="5126A0FF"/>
    <w:rsid w:val="512A8837"/>
    <w:rsid w:val="512DB614"/>
    <w:rsid w:val="51326180"/>
    <w:rsid w:val="51347BF8"/>
    <w:rsid w:val="5138F688"/>
    <w:rsid w:val="513AADD4"/>
    <w:rsid w:val="513AB878"/>
    <w:rsid w:val="513BAA75"/>
    <w:rsid w:val="513C9526"/>
    <w:rsid w:val="513EAE1A"/>
    <w:rsid w:val="51455D12"/>
    <w:rsid w:val="514D0498"/>
    <w:rsid w:val="514E95DD"/>
    <w:rsid w:val="5151BCA4"/>
    <w:rsid w:val="5152D50B"/>
    <w:rsid w:val="515444DE"/>
    <w:rsid w:val="51597B62"/>
    <w:rsid w:val="51639DC0"/>
    <w:rsid w:val="51655698"/>
    <w:rsid w:val="51677445"/>
    <w:rsid w:val="51694BF6"/>
    <w:rsid w:val="516E0991"/>
    <w:rsid w:val="5171A1EB"/>
    <w:rsid w:val="5174FF13"/>
    <w:rsid w:val="517669D5"/>
    <w:rsid w:val="518670B7"/>
    <w:rsid w:val="5187E1BF"/>
    <w:rsid w:val="518C8761"/>
    <w:rsid w:val="518D8EAD"/>
    <w:rsid w:val="518F7C67"/>
    <w:rsid w:val="5194F1C0"/>
    <w:rsid w:val="519AB9FF"/>
    <w:rsid w:val="51A90B22"/>
    <w:rsid w:val="51B196BC"/>
    <w:rsid w:val="51B31091"/>
    <w:rsid w:val="51B324F6"/>
    <w:rsid w:val="51B56D22"/>
    <w:rsid w:val="51B98A25"/>
    <w:rsid w:val="51C308CE"/>
    <w:rsid w:val="51C4CFED"/>
    <w:rsid w:val="51C5FFA3"/>
    <w:rsid w:val="51C84441"/>
    <w:rsid w:val="51C8E27F"/>
    <w:rsid w:val="51CD3A14"/>
    <w:rsid w:val="51D53178"/>
    <w:rsid w:val="51E05B78"/>
    <w:rsid w:val="51E26B81"/>
    <w:rsid w:val="51E40ECC"/>
    <w:rsid w:val="51EC7120"/>
    <w:rsid w:val="51ED2B52"/>
    <w:rsid w:val="51ED73E0"/>
    <w:rsid w:val="51EE19A1"/>
    <w:rsid w:val="51F6A671"/>
    <w:rsid w:val="51F8051D"/>
    <w:rsid w:val="51FCC91E"/>
    <w:rsid w:val="52034058"/>
    <w:rsid w:val="5205CB22"/>
    <w:rsid w:val="5207E738"/>
    <w:rsid w:val="52122284"/>
    <w:rsid w:val="5218E219"/>
    <w:rsid w:val="52215BFC"/>
    <w:rsid w:val="5221D74B"/>
    <w:rsid w:val="52223AEB"/>
    <w:rsid w:val="52363CBB"/>
    <w:rsid w:val="5238AAC0"/>
    <w:rsid w:val="5239FD21"/>
    <w:rsid w:val="523CBF6D"/>
    <w:rsid w:val="5242DC26"/>
    <w:rsid w:val="52432AE6"/>
    <w:rsid w:val="525C584F"/>
    <w:rsid w:val="5264B716"/>
    <w:rsid w:val="526ACF97"/>
    <w:rsid w:val="526C635A"/>
    <w:rsid w:val="526C66F0"/>
    <w:rsid w:val="52727555"/>
    <w:rsid w:val="5274E7FB"/>
    <w:rsid w:val="5279F865"/>
    <w:rsid w:val="527C3719"/>
    <w:rsid w:val="527CD36D"/>
    <w:rsid w:val="52810739"/>
    <w:rsid w:val="52831862"/>
    <w:rsid w:val="52843A8F"/>
    <w:rsid w:val="528965E4"/>
    <w:rsid w:val="52978270"/>
    <w:rsid w:val="5299544D"/>
    <w:rsid w:val="529B27C9"/>
    <w:rsid w:val="52A5DB7A"/>
    <w:rsid w:val="52A6B973"/>
    <w:rsid w:val="52B03840"/>
    <w:rsid w:val="52B41735"/>
    <w:rsid w:val="52B8626B"/>
    <w:rsid w:val="52C67EF2"/>
    <w:rsid w:val="52C8E0C2"/>
    <w:rsid w:val="52CC1805"/>
    <w:rsid w:val="52CC1E53"/>
    <w:rsid w:val="52D13825"/>
    <w:rsid w:val="52D2B6FD"/>
    <w:rsid w:val="52D3FEA9"/>
    <w:rsid w:val="52D50F6D"/>
    <w:rsid w:val="52D95681"/>
    <w:rsid w:val="52D9D8B5"/>
    <w:rsid w:val="52DA0BDA"/>
    <w:rsid w:val="52DB4658"/>
    <w:rsid w:val="52E24465"/>
    <w:rsid w:val="52EC69B8"/>
    <w:rsid w:val="52EE4B38"/>
    <w:rsid w:val="52F4C036"/>
    <w:rsid w:val="52FAD4C7"/>
    <w:rsid w:val="5300474C"/>
    <w:rsid w:val="5301D302"/>
    <w:rsid w:val="5302015B"/>
    <w:rsid w:val="530EC1FE"/>
    <w:rsid w:val="531F0D6B"/>
    <w:rsid w:val="53205A7D"/>
    <w:rsid w:val="53220755"/>
    <w:rsid w:val="53221613"/>
    <w:rsid w:val="53227662"/>
    <w:rsid w:val="5324521C"/>
    <w:rsid w:val="53245DD1"/>
    <w:rsid w:val="5327A2E9"/>
    <w:rsid w:val="532884E2"/>
    <w:rsid w:val="532E8BFB"/>
    <w:rsid w:val="53364849"/>
    <w:rsid w:val="53475AA2"/>
    <w:rsid w:val="5347AC8C"/>
    <w:rsid w:val="534B4D61"/>
    <w:rsid w:val="534E7840"/>
    <w:rsid w:val="5352C4FB"/>
    <w:rsid w:val="53583963"/>
    <w:rsid w:val="5359B443"/>
    <w:rsid w:val="535FC483"/>
    <w:rsid w:val="53632B5E"/>
    <w:rsid w:val="53679DEC"/>
    <w:rsid w:val="536F9CA2"/>
    <w:rsid w:val="5379DF2B"/>
    <w:rsid w:val="537AAE0F"/>
    <w:rsid w:val="537AF48B"/>
    <w:rsid w:val="537B8D55"/>
    <w:rsid w:val="537BC908"/>
    <w:rsid w:val="53866313"/>
    <w:rsid w:val="5388BDDE"/>
    <w:rsid w:val="538ADA72"/>
    <w:rsid w:val="538F261C"/>
    <w:rsid w:val="538FE43F"/>
    <w:rsid w:val="53905E3F"/>
    <w:rsid w:val="5393C098"/>
    <w:rsid w:val="5393CACF"/>
    <w:rsid w:val="53952CB0"/>
    <w:rsid w:val="53958E52"/>
    <w:rsid w:val="5398D1B1"/>
    <w:rsid w:val="539A34E9"/>
    <w:rsid w:val="539D9CFA"/>
    <w:rsid w:val="539E9722"/>
    <w:rsid w:val="53A2C206"/>
    <w:rsid w:val="53A31082"/>
    <w:rsid w:val="53AFF842"/>
    <w:rsid w:val="53B4DD63"/>
    <w:rsid w:val="53B8A966"/>
    <w:rsid w:val="53BB35BF"/>
    <w:rsid w:val="53C08BF2"/>
    <w:rsid w:val="53C39260"/>
    <w:rsid w:val="53CEE61F"/>
    <w:rsid w:val="53D7393D"/>
    <w:rsid w:val="53D8117C"/>
    <w:rsid w:val="53DA5C28"/>
    <w:rsid w:val="53DC4439"/>
    <w:rsid w:val="53E2E9B5"/>
    <w:rsid w:val="53E84917"/>
    <w:rsid w:val="53EA8BDF"/>
    <w:rsid w:val="53ED70E1"/>
    <w:rsid w:val="53EDE6ED"/>
    <w:rsid w:val="53F14351"/>
    <w:rsid w:val="53F27346"/>
    <w:rsid w:val="540030B8"/>
    <w:rsid w:val="540E868C"/>
    <w:rsid w:val="54107747"/>
    <w:rsid w:val="5411FD71"/>
    <w:rsid w:val="5415D193"/>
    <w:rsid w:val="54169354"/>
    <w:rsid w:val="541B0A4F"/>
    <w:rsid w:val="54235BE6"/>
    <w:rsid w:val="5426F45E"/>
    <w:rsid w:val="542F1A4D"/>
    <w:rsid w:val="5430A137"/>
    <w:rsid w:val="54367E25"/>
    <w:rsid w:val="544DB436"/>
    <w:rsid w:val="544E8173"/>
    <w:rsid w:val="54532036"/>
    <w:rsid w:val="545D58DC"/>
    <w:rsid w:val="545D6D60"/>
    <w:rsid w:val="545E2FF3"/>
    <w:rsid w:val="545F1713"/>
    <w:rsid w:val="54663FA8"/>
    <w:rsid w:val="546C13FE"/>
    <w:rsid w:val="546E866D"/>
    <w:rsid w:val="546FE99D"/>
    <w:rsid w:val="547568DE"/>
    <w:rsid w:val="547E8C8D"/>
    <w:rsid w:val="54801C6A"/>
    <w:rsid w:val="5480D8CA"/>
    <w:rsid w:val="5481E32F"/>
    <w:rsid w:val="54830401"/>
    <w:rsid w:val="548A5216"/>
    <w:rsid w:val="5492A1BD"/>
    <w:rsid w:val="54933BB5"/>
    <w:rsid w:val="54965472"/>
    <w:rsid w:val="54974272"/>
    <w:rsid w:val="549FA5AB"/>
    <w:rsid w:val="54A690CF"/>
    <w:rsid w:val="54A79EAC"/>
    <w:rsid w:val="54A9E0A8"/>
    <w:rsid w:val="54B219D3"/>
    <w:rsid w:val="54B72C68"/>
    <w:rsid w:val="54BA5A23"/>
    <w:rsid w:val="54C1BC54"/>
    <w:rsid w:val="54C629DD"/>
    <w:rsid w:val="54C6C16C"/>
    <w:rsid w:val="54C703C6"/>
    <w:rsid w:val="54C8D64B"/>
    <w:rsid w:val="54D107EE"/>
    <w:rsid w:val="54DA233E"/>
    <w:rsid w:val="54DA864B"/>
    <w:rsid w:val="54DBC49D"/>
    <w:rsid w:val="54DFCF0A"/>
    <w:rsid w:val="54EEDEC5"/>
    <w:rsid w:val="54FAE2FE"/>
    <w:rsid w:val="54FD7DAC"/>
    <w:rsid w:val="55079041"/>
    <w:rsid w:val="5507A6AD"/>
    <w:rsid w:val="5512875B"/>
    <w:rsid w:val="55144DCB"/>
    <w:rsid w:val="551600C3"/>
    <w:rsid w:val="551B6ED0"/>
    <w:rsid w:val="551E86EE"/>
    <w:rsid w:val="552FE126"/>
    <w:rsid w:val="553429A9"/>
    <w:rsid w:val="553B3425"/>
    <w:rsid w:val="5542D992"/>
    <w:rsid w:val="5546FC56"/>
    <w:rsid w:val="554A5B51"/>
    <w:rsid w:val="554FC731"/>
    <w:rsid w:val="5553ABFC"/>
    <w:rsid w:val="55551879"/>
    <w:rsid w:val="555851E1"/>
    <w:rsid w:val="55600274"/>
    <w:rsid w:val="55630844"/>
    <w:rsid w:val="55680C0A"/>
    <w:rsid w:val="556A84DB"/>
    <w:rsid w:val="556C3D6F"/>
    <w:rsid w:val="55776505"/>
    <w:rsid w:val="55824E2B"/>
    <w:rsid w:val="5584A32A"/>
    <w:rsid w:val="558A7CDD"/>
    <w:rsid w:val="558AE3CB"/>
    <w:rsid w:val="558D0D78"/>
    <w:rsid w:val="558D42DC"/>
    <w:rsid w:val="55917130"/>
    <w:rsid w:val="5593A06C"/>
    <w:rsid w:val="559C5BF4"/>
    <w:rsid w:val="559E70FC"/>
    <w:rsid w:val="55A9826A"/>
    <w:rsid w:val="55A9F12C"/>
    <w:rsid w:val="55B4E04D"/>
    <w:rsid w:val="55B64EA6"/>
    <w:rsid w:val="55B76D1B"/>
    <w:rsid w:val="55CEDA5A"/>
    <w:rsid w:val="55CF3D3E"/>
    <w:rsid w:val="55DA7C23"/>
    <w:rsid w:val="55DDFB04"/>
    <w:rsid w:val="55DEF18B"/>
    <w:rsid w:val="55E12BBF"/>
    <w:rsid w:val="55E48971"/>
    <w:rsid w:val="55F741B2"/>
    <w:rsid w:val="55F7F199"/>
    <w:rsid w:val="55FB475A"/>
    <w:rsid w:val="55FBD5B2"/>
    <w:rsid w:val="560BD814"/>
    <w:rsid w:val="561BB9ED"/>
    <w:rsid w:val="561DCD96"/>
    <w:rsid w:val="5624E114"/>
    <w:rsid w:val="56257AC7"/>
    <w:rsid w:val="562AED9E"/>
    <w:rsid w:val="562C9B19"/>
    <w:rsid w:val="562E22EF"/>
    <w:rsid w:val="563457CE"/>
    <w:rsid w:val="563495ED"/>
    <w:rsid w:val="5635E1F8"/>
    <w:rsid w:val="563FDBBF"/>
    <w:rsid w:val="56409F67"/>
    <w:rsid w:val="564C85DF"/>
    <w:rsid w:val="5654945B"/>
    <w:rsid w:val="565E1AA6"/>
    <w:rsid w:val="566055B1"/>
    <w:rsid w:val="5666DEDD"/>
    <w:rsid w:val="5667D9FB"/>
    <w:rsid w:val="5668A90E"/>
    <w:rsid w:val="566A402B"/>
    <w:rsid w:val="56701ADE"/>
    <w:rsid w:val="567256AA"/>
    <w:rsid w:val="56749B7A"/>
    <w:rsid w:val="56755D27"/>
    <w:rsid w:val="5677E8F4"/>
    <w:rsid w:val="5678733E"/>
    <w:rsid w:val="5678FB85"/>
    <w:rsid w:val="567F2FCC"/>
    <w:rsid w:val="5682AC6D"/>
    <w:rsid w:val="56897C71"/>
    <w:rsid w:val="568BCC6E"/>
    <w:rsid w:val="568D714B"/>
    <w:rsid w:val="568DDAAE"/>
    <w:rsid w:val="5694347B"/>
    <w:rsid w:val="569569BB"/>
    <w:rsid w:val="56A0898D"/>
    <w:rsid w:val="56A3EC79"/>
    <w:rsid w:val="56A4110A"/>
    <w:rsid w:val="56AA1FFC"/>
    <w:rsid w:val="56ACA478"/>
    <w:rsid w:val="56AD122E"/>
    <w:rsid w:val="56B87092"/>
    <w:rsid w:val="56C0963F"/>
    <w:rsid w:val="56C626E5"/>
    <w:rsid w:val="56CF36B0"/>
    <w:rsid w:val="56D16B9D"/>
    <w:rsid w:val="56D231E2"/>
    <w:rsid w:val="56D2FA35"/>
    <w:rsid w:val="56D736B4"/>
    <w:rsid w:val="56D74E6E"/>
    <w:rsid w:val="56D9F737"/>
    <w:rsid w:val="56DAFEDE"/>
    <w:rsid w:val="56E04ACD"/>
    <w:rsid w:val="56E2639C"/>
    <w:rsid w:val="56E3472A"/>
    <w:rsid w:val="56E3F18F"/>
    <w:rsid w:val="56E64629"/>
    <w:rsid w:val="56F0BEE9"/>
    <w:rsid w:val="5705C0AF"/>
    <w:rsid w:val="57079168"/>
    <w:rsid w:val="570AD885"/>
    <w:rsid w:val="570C0B74"/>
    <w:rsid w:val="570C15A8"/>
    <w:rsid w:val="5713315E"/>
    <w:rsid w:val="571B43A2"/>
    <w:rsid w:val="5721BD0E"/>
    <w:rsid w:val="57221CE1"/>
    <w:rsid w:val="5724A00B"/>
    <w:rsid w:val="5725F21F"/>
    <w:rsid w:val="572681CA"/>
    <w:rsid w:val="572A6CF1"/>
    <w:rsid w:val="5736D613"/>
    <w:rsid w:val="573CF2A3"/>
    <w:rsid w:val="57428995"/>
    <w:rsid w:val="57457812"/>
    <w:rsid w:val="574DE3B9"/>
    <w:rsid w:val="574FE1CC"/>
    <w:rsid w:val="575C0B32"/>
    <w:rsid w:val="575D4242"/>
    <w:rsid w:val="57696C33"/>
    <w:rsid w:val="576DDA4B"/>
    <w:rsid w:val="576E9CFE"/>
    <w:rsid w:val="576F3E8F"/>
    <w:rsid w:val="577061EB"/>
    <w:rsid w:val="5771ABB0"/>
    <w:rsid w:val="5771BBF1"/>
    <w:rsid w:val="57772AA0"/>
    <w:rsid w:val="5778DFDF"/>
    <w:rsid w:val="5778E2EF"/>
    <w:rsid w:val="57804BD9"/>
    <w:rsid w:val="578C3386"/>
    <w:rsid w:val="578EC0A4"/>
    <w:rsid w:val="57921D2B"/>
    <w:rsid w:val="57A0E88F"/>
    <w:rsid w:val="57A3F7E9"/>
    <w:rsid w:val="57A60363"/>
    <w:rsid w:val="57A78E88"/>
    <w:rsid w:val="57AAD898"/>
    <w:rsid w:val="57AE257A"/>
    <w:rsid w:val="57B723B8"/>
    <w:rsid w:val="57C10519"/>
    <w:rsid w:val="57C2DBAB"/>
    <w:rsid w:val="57C3858E"/>
    <w:rsid w:val="57CAD0DF"/>
    <w:rsid w:val="57CF3085"/>
    <w:rsid w:val="57DA3AFF"/>
    <w:rsid w:val="57E31CB6"/>
    <w:rsid w:val="57ED5C0B"/>
    <w:rsid w:val="57F85429"/>
    <w:rsid w:val="57FB24C9"/>
    <w:rsid w:val="57FF64BA"/>
    <w:rsid w:val="5803A0CD"/>
    <w:rsid w:val="5804E9A0"/>
    <w:rsid w:val="580A84D3"/>
    <w:rsid w:val="580A8675"/>
    <w:rsid w:val="581D68CB"/>
    <w:rsid w:val="58249376"/>
    <w:rsid w:val="582BA5BC"/>
    <w:rsid w:val="582F5D89"/>
    <w:rsid w:val="58310B88"/>
    <w:rsid w:val="58313EAA"/>
    <w:rsid w:val="58325FB9"/>
    <w:rsid w:val="5835BB39"/>
    <w:rsid w:val="5835E89F"/>
    <w:rsid w:val="58383281"/>
    <w:rsid w:val="5838EF47"/>
    <w:rsid w:val="583BAAAE"/>
    <w:rsid w:val="583C8B6A"/>
    <w:rsid w:val="583DDBB3"/>
    <w:rsid w:val="583E1551"/>
    <w:rsid w:val="58435705"/>
    <w:rsid w:val="5847BB2E"/>
    <w:rsid w:val="5848233E"/>
    <w:rsid w:val="584976E3"/>
    <w:rsid w:val="584A9918"/>
    <w:rsid w:val="5850B988"/>
    <w:rsid w:val="585173A7"/>
    <w:rsid w:val="58537D24"/>
    <w:rsid w:val="5856125F"/>
    <w:rsid w:val="5856618C"/>
    <w:rsid w:val="58573306"/>
    <w:rsid w:val="58580558"/>
    <w:rsid w:val="5859DE90"/>
    <w:rsid w:val="585F0DB6"/>
    <w:rsid w:val="585F6869"/>
    <w:rsid w:val="585FE1D0"/>
    <w:rsid w:val="58614431"/>
    <w:rsid w:val="586F698F"/>
    <w:rsid w:val="586F6AB9"/>
    <w:rsid w:val="58703850"/>
    <w:rsid w:val="587376E9"/>
    <w:rsid w:val="588E3AE7"/>
    <w:rsid w:val="5891BAAE"/>
    <w:rsid w:val="5896676A"/>
    <w:rsid w:val="58986736"/>
    <w:rsid w:val="5899D5A4"/>
    <w:rsid w:val="589B9C57"/>
    <w:rsid w:val="589D6CE2"/>
    <w:rsid w:val="589DBFDD"/>
    <w:rsid w:val="58A19325"/>
    <w:rsid w:val="58A6B893"/>
    <w:rsid w:val="58A83CEB"/>
    <w:rsid w:val="58AD8B00"/>
    <w:rsid w:val="58B28029"/>
    <w:rsid w:val="58BCE8DF"/>
    <w:rsid w:val="58BF26F7"/>
    <w:rsid w:val="58C426DA"/>
    <w:rsid w:val="58C6B989"/>
    <w:rsid w:val="58CB19C0"/>
    <w:rsid w:val="58CB79AB"/>
    <w:rsid w:val="58D250FF"/>
    <w:rsid w:val="58D40AEC"/>
    <w:rsid w:val="58D69528"/>
    <w:rsid w:val="58E06294"/>
    <w:rsid w:val="58E21BB5"/>
    <w:rsid w:val="58F2929B"/>
    <w:rsid w:val="58F2E11C"/>
    <w:rsid w:val="58F75CEE"/>
    <w:rsid w:val="58FDD927"/>
    <w:rsid w:val="59048B77"/>
    <w:rsid w:val="590760E6"/>
    <w:rsid w:val="591268C8"/>
    <w:rsid w:val="591A0074"/>
    <w:rsid w:val="591C6649"/>
    <w:rsid w:val="591EFF1A"/>
    <w:rsid w:val="591F17D1"/>
    <w:rsid w:val="59219975"/>
    <w:rsid w:val="5926B5C8"/>
    <w:rsid w:val="592865C2"/>
    <w:rsid w:val="592AABB2"/>
    <w:rsid w:val="592C35A2"/>
    <w:rsid w:val="592F1CFF"/>
    <w:rsid w:val="5937C217"/>
    <w:rsid w:val="593A48DF"/>
    <w:rsid w:val="594159A0"/>
    <w:rsid w:val="594D10D8"/>
    <w:rsid w:val="595DA398"/>
    <w:rsid w:val="5962E0FC"/>
    <w:rsid w:val="5966979C"/>
    <w:rsid w:val="596754EF"/>
    <w:rsid w:val="5967C574"/>
    <w:rsid w:val="596B1EE7"/>
    <w:rsid w:val="597030C0"/>
    <w:rsid w:val="5970A698"/>
    <w:rsid w:val="597337D3"/>
    <w:rsid w:val="59786384"/>
    <w:rsid w:val="597A06A1"/>
    <w:rsid w:val="59805592"/>
    <w:rsid w:val="598438E7"/>
    <w:rsid w:val="598511C4"/>
    <w:rsid w:val="59896AC5"/>
    <w:rsid w:val="598A2561"/>
    <w:rsid w:val="5997E767"/>
    <w:rsid w:val="599A1B03"/>
    <w:rsid w:val="59A4367A"/>
    <w:rsid w:val="59AA7FAB"/>
    <w:rsid w:val="59AAE2BE"/>
    <w:rsid w:val="59ADA772"/>
    <w:rsid w:val="59B1101A"/>
    <w:rsid w:val="59B28EE6"/>
    <w:rsid w:val="59B3DACA"/>
    <w:rsid w:val="59B5585A"/>
    <w:rsid w:val="59BAFAD0"/>
    <w:rsid w:val="59BD035F"/>
    <w:rsid w:val="59BEB3CC"/>
    <w:rsid w:val="59C00934"/>
    <w:rsid w:val="59C46DD9"/>
    <w:rsid w:val="59C6944F"/>
    <w:rsid w:val="59C6FADF"/>
    <w:rsid w:val="59CAD7C5"/>
    <w:rsid w:val="59D84671"/>
    <w:rsid w:val="59D9A242"/>
    <w:rsid w:val="59DC9112"/>
    <w:rsid w:val="59DE1B27"/>
    <w:rsid w:val="59DE9E48"/>
    <w:rsid w:val="59E25C4D"/>
    <w:rsid w:val="59E4B157"/>
    <w:rsid w:val="59E61DEE"/>
    <w:rsid w:val="59EB22A5"/>
    <w:rsid w:val="59EC54DE"/>
    <w:rsid w:val="59ED3CFC"/>
    <w:rsid w:val="59F53599"/>
    <w:rsid w:val="59FA9852"/>
    <w:rsid w:val="59FAB9FC"/>
    <w:rsid w:val="5A02A1D9"/>
    <w:rsid w:val="5A054535"/>
    <w:rsid w:val="5A057EBD"/>
    <w:rsid w:val="5A0C5A5D"/>
    <w:rsid w:val="5A0F3DA2"/>
    <w:rsid w:val="5A11152D"/>
    <w:rsid w:val="5A1301B9"/>
    <w:rsid w:val="5A146E18"/>
    <w:rsid w:val="5A21BD7F"/>
    <w:rsid w:val="5A2BA486"/>
    <w:rsid w:val="5A2F71F2"/>
    <w:rsid w:val="5A36A7D8"/>
    <w:rsid w:val="5A37A983"/>
    <w:rsid w:val="5A3C5410"/>
    <w:rsid w:val="5A3E9ECD"/>
    <w:rsid w:val="5A428A7E"/>
    <w:rsid w:val="5A44BBB2"/>
    <w:rsid w:val="5A476D54"/>
    <w:rsid w:val="5A488D4B"/>
    <w:rsid w:val="5A4A9998"/>
    <w:rsid w:val="5A527A5E"/>
    <w:rsid w:val="5A56FCC1"/>
    <w:rsid w:val="5A58FB1E"/>
    <w:rsid w:val="5A59DD0E"/>
    <w:rsid w:val="5A5DB73D"/>
    <w:rsid w:val="5A5DF563"/>
    <w:rsid w:val="5A65EA15"/>
    <w:rsid w:val="5A6B7491"/>
    <w:rsid w:val="5A6C232D"/>
    <w:rsid w:val="5A6C4E36"/>
    <w:rsid w:val="5A6E37D5"/>
    <w:rsid w:val="5A749D08"/>
    <w:rsid w:val="5A9068DD"/>
    <w:rsid w:val="5A930891"/>
    <w:rsid w:val="5A957EC0"/>
    <w:rsid w:val="5A97A28E"/>
    <w:rsid w:val="5A9AB884"/>
    <w:rsid w:val="5A9D4D70"/>
    <w:rsid w:val="5A9F0499"/>
    <w:rsid w:val="5AA4CC01"/>
    <w:rsid w:val="5AA82467"/>
    <w:rsid w:val="5AA962EB"/>
    <w:rsid w:val="5AACB15F"/>
    <w:rsid w:val="5AAE5176"/>
    <w:rsid w:val="5AB37E10"/>
    <w:rsid w:val="5AB3DC50"/>
    <w:rsid w:val="5AB4008F"/>
    <w:rsid w:val="5AB87583"/>
    <w:rsid w:val="5AB8DE0E"/>
    <w:rsid w:val="5ABBB8C5"/>
    <w:rsid w:val="5AC02D83"/>
    <w:rsid w:val="5AC09D48"/>
    <w:rsid w:val="5AC52376"/>
    <w:rsid w:val="5ACB398F"/>
    <w:rsid w:val="5ACF4CB4"/>
    <w:rsid w:val="5ACFCF7D"/>
    <w:rsid w:val="5ADB91FB"/>
    <w:rsid w:val="5ADD7E83"/>
    <w:rsid w:val="5AE034EF"/>
    <w:rsid w:val="5AEAA7E4"/>
    <w:rsid w:val="5AF5659E"/>
    <w:rsid w:val="5AFA4CC6"/>
    <w:rsid w:val="5AFE51D6"/>
    <w:rsid w:val="5AFE8656"/>
    <w:rsid w:val="5B0539BB"/>
    <w:rsid w:val="5B05DCED"/>
    <w:rsid w:val="5B0934C4"/>
    <w:rsid w:val="5B16AA39"/>
    <w:rsid w:val="5B17FF58"/>
    <w:rsid w:val="5B22D7BC"/>
    <w:rsid w:val="5B27B996"/>
    <w:rsid w:val="5B2FD473"/>
    <w:rsid w:val="5B3191CA"/>
    <w:rsid w:val="5B31E383"/>
    <w:rsid w:val="5B397DF9"/>
    <w:rsid w:val="5B3FA253"/>
    <w:rsid w:val="5B547E8A"/>
    <w:rsid w:val="5B5D3D4E"/>
    <w:rsid w:val="5B60DA15"/>
    <w:rsid w:val="5B618864"/>
    <w:rsid w:val="5B668EE0"/>
    <w:rsid w:val="5B74B4EF"/>
    <w:rsid w:val="5B7EEA5E"/>
    <w:rsid w:val="5B7F4486"/>
    <w:rsid w:val="5B864879"/>
    <w:rsid w:val="5B8C90EA"/>
    <w:rsid w:val="5B8C970C"/>
    <w:rsid w:val="5B8CFE6A"/>
    <w:rsid w:val="5B8F24C0"/>
    <w:rsid w:val="5B8FF603"/>
    <w:rsid w:val="5B9139B1"/>
    <w:rsid w:val="5B931AA8"/>
    <w:rsid w:val="5B94A704"/>
    <w:rsid w:val="5B975829"/>
    <w:rsid w:val="5B9F3A76"/>
    <w:rsid w:val="5BA29C7D"/>
    <w:rsid w:val="5BA697F2"/>
    <w:rsid w:val="5BAA539B"/>
    <w:rsid w:val="5BB1E15C"/>
    <w:rsid w:val="5BB466FB"/>
    <w:rsid w:val="5BB6FB82"/>
    <w:rsid w:val="5BCA747C"/>
    <w:rsid w:val="5BCE66A9"/>
    <w:rsid w:val="5BE1CE28"/>
    <w:rsid w:val="5BE6444F"/>
    <w:rsid w:val="5BE69730"/>
    <w:rsid w:val="5BE6B598"/>
    <w:rsid w:val="5BECCB54"/>
    <w:rsid w:val="5BF10CD3"/>
    <w:rsid w:val="5BF35574"/>
    <w:rsid w:val="5BF49ACE"/>
    <w:rsid w:val="5BF5C26F"/>
    <w:rsid w:val="5BF707E1"/>
    <w:rsid w:val="5BF8CBC4"/>
    <w:rsid w:val="5C112EAD"/>
    <w:rsid w:val="5C12ED04"/>
    <w:rsid w:val="5C14804C"/>
    <w:rsid w:val="5C149EB5"/>
    <w:rsid w:val="5C15609C"/>
    <w:rsid w:val="5C15D090"/>
    <w:rsid w:val="5C1702D1"/>
    <w:rsid w:val="5C170D24"/>
    <w:rsid w:val="5C1AA30A"/>
    <w:rsid w:val="5C1F2A1E"/>
    <w:rsid w:val="5C26B7BD"/>
    <w:rsid w:val="5C2C8A09"/>
    <w:rsid w:val="5C30A92A"/>
    <w:rsid w:val="5C395B58"/>
    <w:rsid w:val="5C3D5EF8"/>
    <w:rsid w:val="5C41A64C"/>
    <w:rsid w:val="5C4384AC"/>
    <w:rsid w:val="5C4F7111"/>
    <w:rsid w:val="5C51674B"/>
    <w:rsid w:val="5C540BD1"/>
    <w:rsid w:val="5C5A32E9"/>
    <w:rsid w:val="5C5D84BF"/>
    <w:rsid w:val="5C5DE255"/>
    <w:rsid w:val="5C670B4E"/>
    <w:rsid w:val="5C676C9B"/>
    <w:rsid w:val="5C6BE835"/>
    <w:rsid w:val="5C6D63D7"/>
    <w:rsid w:val="5C6E57A7"/>
    <w:rsid w:val="5C6F1D94"/>
    <w:rsid w:val="5C722161"/>
    <w:rsid w:val="5C760EDF"/>
    <w:rsid w:val="5C7AD72C"/>
    <w:rsid w:val="5C80DFC6"/>
    <w:rsid w:val="5C845A4C"/>
    <w:rsid w:val="5C8B4919"/>
    <w:rsid w:val="5C952741"/>
    <w:rsid w:val="5C9A2DD5"/>
    <w:rsid w:val="5CA36C9E"/>
    <w:rsid w:val="5CA48BDD"/>
    <w:rsid w:val="5CA80119"/>
    <w:rsid w:val="5CA867AC"/>
    <w:rsid w:val="5CAA9C57"/>
    <w:rsid w:val="5CBBF076"/>
    <w:rsid w:val="5CBC9DC3"/>
    <w:rsid w:val="5CC0A6D0"/>
    <w:rsid w:val="5CCC06E8"/>
    <w:rsid w:val="5CCDC8AD"/>
    <w:rsid w:val="5CCE4112"/>
    <w:rsid w:val="5CE2D5E5"/>
    <w:rsid w:val="5CE651FC"/>
    <w:rsid w:val="5CE9E94D"/>
    <w:rsid w:val="5CEBBE04"/>
    <w:rsid w:val="5CF5FCD1"/>
    <w:rsid w:val="5CF6E5CC"/>
    <w:rsid w:val="5CF7AAF5"/>
    <w:rsid w:val="5D01598C"/>
    <w:rsid w:val="5D0405E6"/>
    <w:rsid w:val="5D05371F"/>
    <w:rsid w:val="5D07700C"/>
    <w:rsid w:val="5D09EA4F"/>
    <w:rsid w:val="5D0D2ED6"/>
    <w:rsid w:val="5D0E8045"/>
    <w:rsid w:val="5D1B9DA5"/>
    <w:rsid w:val="5D22208F"/>
    <w:rsid w:val="5D2401DA"/>
    <w:rsid w:val="5D28340A"/>
    <w:rsid w:val="5D2C8B31"/>
    <w:rsid w:val="5D2E184F"/>
    <w:rsid w:val="5D2E33E4"/>
    <w:rsid w:val="5D323140"/>
    <w:rsid w:val="5D3B2310"/>
    <w:rsid w:val="5D3D1B4E"/>
    <w:rsid w:val="5D3F1631"/>
    <w:rsid w:val="5D3F713D"/>
    <w:rsid w:val="5D515B57"/>
    <w:rsid w:val="5D53CAB1"/>
    <w:rsid w:val="5D5AA038"/>
    <w:rsid w:val="5D5D2554"/>
    <w:rsid w:val="5D70E9FF"/>
    <w:rsid w:val="5D744127"/>
    <w:rsid w:val="5D794DEB"/>
    <w:rsid w:val="5D7AAB08"/>
    <w:rsid w:val="5D81E033"/>
    <w:rsid w:val="5D827A97"/>
    <w:rsid w:val="5D83734D"/>
    <w:rsid w:val="5D8BAFCF"/>
    <w:rsid w:val="5D8DE15A"/>
    <w:rsid w:val="5D8ECDCD"/>
    <w:rsid w:val="5D92CD58"/>
    <w:rsid w:val="5D92F488"/>
    <w:rsid w:val="5D98A6D1"/>
    <w:rsid w:val="5D9BB3E9"/>
    <w:rsid w:val="5D9D9938"/>
    <w:rsid w:val="5DA10915"/>
    <w:rsid w:val="5DA14A00"/>
    <w:rsid w:val="5DA1F63B"/>
    <w:rsid w:val="5DA44DFA"/>
    <w:rsid w:val="5DA4E4E4"/>
    <w:rsid w:val="5DA55F8C"/>
    <w:rsid w:val="5DA69FDA"/>
    <w:rsid w:val="5DB352AF"/>
    <w:rsid w:val="5DB3C3D4"/>
    <w:rsid w:val="5DB7CD33"/>
    <w:rsid w:val="5DB82043"/>
    <w:rsid w:val="5DBC356A"/>
    <w:rsid w:val="5DBC5555"/>
    <w:rsid w:val="5DBC6FC4"/>
    <w:rsid w:val="5DBC91C8"/>
    <w:rsid w:val="5DBD31E8"/>
    <w:rsid w:val="5DC38970"/>
    <w:rsid w:val="5DC4B657"/>
    <w:rsid w:val="5DC75045"/>
    <w:rsid w:val="5DC85EEE"/>
    <w:rsid w:val="5DCA1730"/>
    <w:rsid w:val="5DCBBBCC"/>
    <w:rsid w:val="5DCF05D0"/>
    <w:rsid w:val="5DDF5D75"/>
    <w:rsid w:val="5DE3E172"/>
    <w:rsid w:val="5DE6EE8E"/>
    <w:rsid w:val="5DE70B20"/>
    <w:rsid w:val="5DED5BFB"/>
    <w:rsid w:val="5DF49510"/>
    <w:rsid w:val="5DF55FA6"/>
    <w:rsid w:val="5DF72A1B"/>
    <w:rsid w:val="5DF996F6"/>
    <w:rsid w:val="5DFAF542"/>
    <w:rsid w:val="5E0018E1"/>
    <w:rsid w:val="5E0D00DA"/>
    <w:rsid w:val="5E0DBE71"/>
    <w:rsid w:val="5E109654"/>
    <w:rsid w:val="5E17AFF3"/>
    <w:rsid w:val="5E17E9C7"/>
    <w:rsid w:val="5E19C2BC"/>
    <w:rsid w:val="5E1A19C9"/>
    <w:rsid w:val="5E1ABF8E"/>
    <w:rsid w:val="5E1AD90D"/>
    <w:rsid w:val="5E1F1573"/>
    <w:rsid w:val="5E20A901"/>
    <w:rsid w:val="5E22A083"/>
    <w:rsid w:val="5E2364B7"/>
    <w:rsid w:val="5E251A84"/>
    <w:rsid w:val="5E2DD6A4"/>
    <w:rsid w:val="5E2FCDC3"/>
    <w:rsid w:val="5E342657"/>
    <w:rsid w:val="5E3486F4"/>
    <w:rsid w:val="5E4185EC"/>
    <w:rsid w:val="5E446BDE"/>
    <w:rsid w:val="5E45BE8C"/>
    <w:rsid w:val="5E478EB6"/>
    <w:rsid w:val="5E4D71E6"/>
    <w:rsid w:val="5E4E9282"/>
    <w:rsid w:val="5E50ADD1"/>
    <w:rsid w:val="5E55C5C2"/>
    <w:rsid w:val="5E5A0C10"/>
    <w:rsid w:val="5E648FBE"/>
    <w:rsid w:val="5E659BC3"/>
    <w:rsid w:val="5E65FABE"/>
    <w:rsid w:val="5E66B7E2"/>
    <w:rsid w:val="5E6D65EE"/>
    <w:rsid w:val="5E792748"/>
    <w:rsid w:val="5E793BC1"/>
    <w:rsid w:val="5E7AC168"/>
    <w:rsid w:val="5E81105C"/>
    <w:rsid w:val="5E8E52DD"/>
    <w:rsid w:val="5E91AC25"/>
    <w:rsid w:val="5E93FD0F"/>
    <w:rsid w:val="5E9547DF"/>
    <w:rsid w:val="5E98D816"/>
    <w:rsid w:val="5E9A3740"/>
    <w:rsid w:val="5E9D397D"/>
    <w:rsid w:val="5E9D558D"/>
    <w:rsid w:val="5EA01BBD"/>
    <w:rsid w:val="5EA4EEEC"/>
    <w:rsid w:val="5EA860A8"/>
    <w:rsid w:val="5EAC1EBE"/>
    <w:rsid w:val="5EAF4666"/>
    <w:rsid w:val="5EB12254"/>
    <w:rsid w:val="5EB14294"/>
    <w:rsid w:val="5EB4FDDC"/>
    <w:rsid w:val="5EBC7D6B"/>
    <w:rsid w:val="5EC64FA9"/>
    <w:rsid w:val="5ECD4D09"/>
    <w:rsid w:val="5ED3C5F0"/>
    <w:rsid w:val="5ED5ED8C"/>
    <w:rsid w:val="5ED83BF6"/>
    <w:rsid w:val="5ED84E8B"/>
    <w:rsid w:val="5ED8672D"/>
    <w:rsid w:val="5EE2B1B2"/>
    <w:rsid w:val="5EEADA70"/>
    <w:rsid w:val="5EEF45C8"/>
    <w:rsid w:val="5EF29248"/>
    <w:rsid w:val="5EF359DF"/>
    <w:rsid w:val="5EF36A47"/>
    <w:rsid w:val="5EF531B3"/>
    <w:rsid w:val="5EF602D8"/>
    <w:rsid w:val="5EF94F62"/>
    <w:rsid w:val="5EFB9807"/>
    <w:rsid w:val="5F02EFC7"/>
    <w:rsid w:val="5F03ECC1"/>
    <w:rsid w:val="5F0ED9D6"/>
    <w:rsid w:val="5F145AD7"/>
    <w:rsid w:val="5F1A8D68"/>
    <w:rsid w:val="5F1EFE3D"/>
    <w:rsid w:val="5F229E86"/>
    <w:rsid w:val="5F23703A"/>
    <w:rsid w:val="5F24830B"/>
    <w:rsid w:val="5F276126"/>
    <w:rsid w:val="5F2DEBCE"/>
    <w:rsid w:val="5F371C2E"/>
    <w:rsid w:val="5F3E7787"/>
    <w:rsid w:val="5F3ED78E"/>
    <w:rsid w:val="5F4185C1"/>
    <w:rsid w:val="5F5315E9"/>
    <w:rsid w:val="5F58B782"/>
    <w:rsid w:val="5F5D1C50"/>
    <w:rsid w:val="5F5EB07B"/>
    <w:rsid w:val="5F622E5E"/>
    <w:rsid w:val="5F62D067"/>
    <w:rsid w:val="5F64CE38"/>
    <w:rsid w:val="5F67001D"/>
    <w:rsid w:val="5F6A69CF"/>
    <w:rsid w:val="5F75B2F2"/>
    <w:rsid w:val="5F766719"/>
    <w:rsid w:val="5F7C5673"/>
    <w:rsid w:val="5F7CF5B4"/>
    <w:rsid w:val="5F836040"/>
    <w:rsid w:val="5F8624A5"/>
    <w:rsid w:val="5F88BB4F"/>
    <w:rsid w:val="5F8D42DA"/>
    <w:rsid w:val="5F952A9D"/>
    <w:rsid w:val="5F9AC2FB"/>
    <w:rsid w:val="5FA0DA2D"/>
    <w:rsid w:val="5FA5200F"/>
    <w:rsid w:val="5FA9811A"/>
    <w:rsid w:val="5FAB5C45"/>
    <w:rsid w:val="5FAEEF8A"/>
    <w:rsid w:val="5FB64640"/>
    <w:rsid w:val="5FB962A2"/>
    <w:rsid w:val="5FC6A505"/>
    <w:rsid w:val="5FDFA5A3"/>
    <w:rsid w:val="5FE0D20D"/>
    <w:rsid w:val="5FE0E174"/>
    <w:rsid w:val="5FE57138"/>
    <w:rsid w:val="5FF18AD2"/>
    <w:rsid w:val="5FF420B1"/>
    <w:rsid w:val="5FF668EF"/>
    <w:rsid w:val="5FF735B3"/>
    <w:rsid w:val="5FF8C6FF"/>
    <w:rsid w:val="5FFFCA77"/>
    <w:rsid w:val="6003BE52"/>
    <w:rsid w:val="6005707E"/>
    <w:rsid w:val="6007F03A"/>
    <w:rsid w:val="600A768C"/>
    <w:rsid w:val="600D5112"/>
    <w:rsid w:val="6014D4C0"/>
    <w:rsid w:val="6025735D"/>
    <w:rsid w:val="6028817C"/>
    <w:rsid w:val="602B48B1"/>
    <w:rsid w:val="60378AE5"/>
    <w:rsid w:val="60388413"/>
    <w:rsid w:val="603A0AC8"/>
    <w:rsid w:val="603BD155"/>
    <w:rsid w:val="603EDDDF"/>
    <w:rsid w:val="60405150"/>
    <w:rsid w:val="60409146"/>
    <w:rsid w:val="60450D9E"/>
    <w:rsid w:val="60495543"/>
    <w:rsid w:val="604F2D4C"/>
    <w:rsid w:val="60508283"/>
    <w:rsid w:val="60570677"/>
    <w:rsid w:val="605CFA8F"/>
    <w:rsid w:val="606431C1"/>
    <w:rsid w:val="6066B3B0"/>
    <w:rsid w:val="606AF83A"/>
    <w:rsid w:val="606DB132"/>
    <w:rsid w:val="6085B083"/>
    <w:rsid w:val="608A6184"/>
    <w:rsid w:val="6098CDA0"/>
    <w:rsid w:val="60A459DA"/>
    <w:rsid w:val="60A58520"/>
    <w:rsid w:val="60A7DC41"/>
    <w:rsid w:val="60A9C474"/>
    <w:rsid w:val="60AE45BC"/>
    <w:rsid w:val="60B5AE85"/>
    <w:rsid w:val="60B626B5"/>
    <w:rsid w:val="60BA2039"/>
    <w:rsid w:val="60BE2D05"/>
    <w:rsid w:val="60C6B309"/>
    <w:rsid w:val="60C9B9A3"/>
    <w:rsid w:val="60CD78C1"/>
    <w:rsid w:val="60CDC3A7"/>
    <w:rsid w:val="60CF17C7"/>
    <w:rsid w:val="60CF3726"/>
    <w:rsid w:val="60CF6950"/>
    <w:rsid w:val="60DA05D8"/>
    <w:rsid w:val="60E1DEA0"/>
    <w:rsid w:val="60E305BD"/>
    <w:rsid w:val="60F2C87D"/>
    <w:rsid w:val="60F2F609"/>
    <w:rsid w:val="60F46380"/>
    <w:rsid w:val="60F768BA"/>
    <w:rsid w:val="60F9E594"/>
    <w:rsid w:val="60FBBD8C"/>
    <w:rsid w:val="60FE7FF8"/>
    <w:rsid w:val="6103E1EF"/>
    <w:rsid w:val="610A6787"/>
    <w:rsid w:val="610CF7C3"/>
    <w:rsid w:val="610DF107"/>
    <w:rsid w:val="61158017"/>
    <w:rsid w:val="611DB713"/>
    <w:rsid w:val="611F23C2"/>
    <w:rsid w:val="611F5F68"/>
    <w:rsid w:val="612009D7"/>
    <w:rsid w:val="6120165C"/>
    <w:rsid w:val="6122A2D1"/>
    <w:rsid w:val="61290BA2"/>
    <w:rsid w:val="612CC21E"/>
    <w:rsid w:val="6130B0D2"/>
    <w:rsid w:val="6134592A"/>
    <w:rsid w:val="613F0BD1"/>
    <w:rsid w:val="6147C6E2"/>
    <w:rsid w:val="614DE56B"/>
    <w:rsid w:val="6153C258"/>
    <w:rsid w:val="61569B17"/>
    <w:rsid w:val="615A6724"/>
    <w:rsid w:val="6171ACE0"/>
    <w:rsid w:val="6178F25E"/>
    <w:rsid w:val="617C7B50"/>
    <w:rsid w:val="617D3219"/>
    <w:rsid w:val="61803D62"/>
    <w:rsid w:val="618598E5"/>
    <w:rsid w:val="618C04D2"/>
    <w:rsid w:val="6191F2F6"/>
    <w:rsid w:val="6196550F"/>
    <w:rsid w:val="6199D007"/>
    <w:rsid w:val="619CB511"/>
    <w:rsid w:val="61A1A758"/>
    <w:rsid w:val="61A52363"/>
    <w:rsid w:val="61A7219A"/>
    <w:rsid w:val="61A7955A"/>
    <w:rsid w:val="61AD0C03"/>
    <w:rsid w:val="61AD4AF0"/>
    <w:rsid w:val="61AF3684"/>
    <w:rsid w:val="61AF96D1"/>
    <w:rsid w:val="61B3AE2C"/>
    <w:rsid w:val="61B3DD6C"/>
    <w:rsid w:val="61B4B52E"/>
    <w:rsid w:val="61BBAB6C"/>
    <w:rsid w:val="61BBF9FB"/>
    <w:rsid w:val="61BC12F3"/>
    <w:rsid w:val="61C06461"/>
    <w:rsid w:val="61C22013"/>
    <w:rsid w:val="61C319F9"/>
    <w:rsid w:val="61C4E8D7"/>
    <w:rsid w:val="61C94D67"/>
    <w:rsid w:val="61C9F6DE"/>
    <w:rsid w:val="61CEDDCE"/>
    <w:rsid w:val="61D1F6B9"/>
    <w:rsid w:val="61D2024D"/>
    <w:rsid w:val="61D20A43"/>
    <w:rsid w:val="61D2CE2F"/>
    <w:rsid w:val="61D7CE43"/>
    <w:rsid w:val="61D8EA8D"/>
    <w:rsid w:val="61E1154C"/>
    <w:rsid w:val="61E421C6"/>
    <w:rsid w:val="61E73DA8"/>
    <w:rsid w:val="61E798C8"/>
    <w:rsid w:val="61F39220"/>
    <w:rsid w:val="61F40E09"/>
    <w:rsid w:val="61F64072"/>
    <w:rsid w:val="61FE2D82"/>
    <w:rsid w:val="6200A699"/>
    <w:rsid w:val="6201BD54"/>
    <w:rsid w:val="621377E4"/>
    <w:rsid w:val="6214B291"/>
    <w:rsid w:val="6216C5FB"/>
    <w:rsid w:val="621A5864"/>
    <w:rsid w:val="6224548E"/>
    <w:rsid w:val="6225E9AC"/>
    <w:rsid w:val="62267B81"/>
    <w:rsid w:val="6233A067"/>
    <w:rsid w:val="6240C15F"/>
    <w:rsid w:val="62441D5F"/>
    <w:rsid w:val="624A691E"/>
    <w:rsid w:val="624A6A8E"/>
    <w:rsid w:val="624ECD85"/>
    <w:rsid w:val="624F36F8"/>
    <w:rsid w:val="624F5F96"/>
    <w:rsid w:val="6252D6B0"/>
    <w:rsid w:val="6254A038"/>
    <w:rsid w:val="625641F1"/>
    <w:rsid w:val="6256EAFC"/>
    <w:rsid w:val="625982C9"/>
    <w:rsid w:val="6259B8A8"/>
    <w:rsid w:val="6261FCF9"/>
    <w:rsid w:val="6265ECDE"/>
    <w:rsid w:val="6266CE38"/>
    <w:rsid w:val="626C56B1"/>
    <w:rsid w:val="626CF49B"/>
    <w:rsid w:val="627B4DA6"/>
    <w:rsid w:val="627BD593"/>
    <w:rsid w:val="627FAA25"/>
    <w:rsid w:val="62874305"/>
    <w:rsid w:val="6287B7DF"/>
    <w:rsid w:val="6288B21B"/>
    <w:rsid w:val="6292AEAD"/>
    <w:rsid w:val="62940FAB"/>
    <w:rsid w:val="62959E0C"/>
    <w:rsid w:val="6296B2D1"/>
    <w:rsid w:val="629CB238"/>
    <w:rsid w:val="62ABD6CF"/>
    <w:rsid w:val="62B43FFB"/>
    <w:rsid w:val="62B8D6C4"/>
    <w:rsid w:val="62BBCF89"/>
    <w:rsid w:val="62C6451A"/>
    <w:rsid w:val="62C7F8E2"/>
    <w:rsid w:val="62C8321E"/>
    <w:rsid w:val="62C894B9"/>
    <w:rsid w:val="62E15204"/>
    <w:rsid w:val="62E2DED1"/>
    <w:rsid w:val="62E53AC8"/>
    <w:rsid w:val="62E6B668"/>
    <w:rsid w:val="62F2AF23"/>
    <w:rsid w:val="62F549D7"/>
    <w:rsid w:val="62FE879F"/>
    <w:rsid w:val="6305961B"/>
    <w:rsid w:val="6310EFE7"/>
    <w:rsid w:val="63138BA1"/>
    <w:rsid w:val="6317D74A"/>
    <w:rsid w:val="631A18D8"/>
    <w:rsid w:val="631EA9F8"/>
    <w:rsid w:val="6322C99C"/>
    <w:rsid w:val="633CD3B7"/>
    <w:rsid w:val="6340D81F"/>
    <w:rsid w:val="63437168"/>
    <w:rsid w:val="634668EA"/>
    <w:rsid w:val="634A02DD"/>
    <w:rsid w:val="634CD032"/>
    <w:rsid w:val="634DF484"/>
    <w:rsid w:val="634E5F3E"/>
    <w:rsid w:val="635D94B5"/>
    <w:rsid w:val="6363C0B8"/>
    <w:rsid w:val="636712BD"/>
    <w:rsid w:val="636D16F8"/>
    <w:rsid w:val="636DBE15"/>
    <w:rsid w:val="636EB42A"/>
    <w:rsid w:val="6376486E"/>
    <w:rsid w:val="63785957"/>
    <w:rsid w:val="6378B701"/>
    <w:rsid w:val="637B488E"/>
    <w:rsid w:val="6382077E"/>
    <w:rsid w:val="63862753"/>
    <w:rsid w:val="6390D3F9"/>
    <w:rsid w:val="63939542"/>
    <w:rsid w:val="639A48DE"/>
    <w:rsid w:val="63A59294"/>
    <w:rsid w:val="63A6A43C"/>
    <w:rsid w:val="63AFD5A0"/>
    <w:rsid w:val="63B694E0"/>
    <w:rsid w:val="63B7F45F"/>
    <w:rsid w:val="63B9AEB9"/>
    <w:rsid w:val="63BA3573"/>
    <w:rsid w:val="63BB06F6"/>
    <w:rsid w:val="63CD104B"/>
    <w:rsid w:val="63D046BA"/>
    <w:rsid w:val="63D78DED"/>
    <w:rsid w:val="63DCB5AC"/>
    <w:rsid w:val="63DE43A5"/>
    <w:rsid w:val="63DE58D1"/>
    <w:rsid w:val="63E8346C"/>
    <w:rsid w:val="63EC4441"/>
    <w:rsid w:val="63ECCC5D"/>
    <w:rsid w:val="63EE3A54"/>
    <w:rsid w:val="63EEBD33"/>
    <w:rsid w:val="63FE560B"/>
    <w:rsid w:val="6402E012"/>
    <w:rsid w:val="6409B8AE"/>
    <w:rsid w:val="640A88D8"/>
    <w:rsid w:val="640BE64D"/>
    <w:rsid w:val="6415D3E8"/>
    <w:rsid w:val="641E6349"/>
    <w:rsid w:val="6424119B"/>
    <w:rsid w:val="64283E1F"/>
    <w:rsid w:val="642AE3F6"/>
    <w:rsid w:val="642F22AD"/>
    <w:rsid w:val="64325689"/>
    <w:rsid w:val="6432639B"/>
    <w:rsid w:val="64339D8B"/>
    <w:rsid w:val="6441A600"/>
    <w:rsid w:val="644318BA"/>
    <w:rsid w:val="6443524A"/>
    <w:rsid w:val="644EC021"/>
    <w:rsid w:val="6454810F"/>
    <w:rsid w:val="645568A5"/>
    <w:rsid w:val="64556FC7"/>
    <w:rsid w:val="6456DAF1"/>
    <w:rsid w:val="645D57BD"/>
    <w:rsid w:val="646050AD"/>
    <w:rsid w:val="64607ADF"/>
    <w:rsid w:val="64633A4E"/>
    <w:rsid w:val="646AF430"/>
    <w:rsid w:val="646B6045"/>
    <w:rsid w:val="64706E9B"/>
    <w:rsid w:val="64753C6A"/>
    <w:rsid w:val="647CF9F6"/>
    <w:rsid w:val="648348D2"/>
    <w:rsid w:val="6487B75F"/>
    <w:rsid w:val="648C3836"/>
    <w:rsid w:val="648E1528"/>
    <w:rsid w:val="649015BF"/>
    <w:rsid w:val="6490F2FA"/>
    <w:rsid w:val="649AD033"/>
    <w:rsid w:val="649C5B53"/>
    <w:rsid w:val="64A4BD73"/>
    <w:rsid w:val="64ACAE16"/>
    <w:rsid w:val="64AE3AC2"/>
    <w:rsid w:val="64B53847"/>
    <w:rsid w:val="64D47E77"/>
    <w:rsid w:val="64D54203"/>
    <w:rsid w:val="64D57D5B"/>
    <w:rsid w:val="64D7F37E"/>
    <w:rsid w:val="64D816FB"/>
    <w:rsid w:val="64D948B8"/>
    <w:rsid w:val="64E2CC60"/>
    <w:rsid w:val="64E4E5FB"/>
    <w:rsid w:val="64E8AEDE"/>
    <w:rsid w:val="64ED2F22"/>
    <w:rsid w:val="64EFE97C"/>
    <w:rsid w:val="64F221E1"/>
    <w:rsid w:val="64F24005"/>
    <w:rsid w:val="64F683DF"/>
    <w:rsid w:val="64F7D719"/>
    <w:rsid w:val="64FA326A"/>
    <w:rsid w:val="64FB9194"/>
    <w:rsid w:val="6500C26F"/>
    <w:rsid w:val="6510E8D7"/>
    <w:rsid w:val="65162ACC"/>
    <w:rsid w:val="651756E8"/>
    <w:rsid w:val="651B4DC9"/>
    <w:rsid w:val="65202D68"/>
    <w:rsid w:val="65212EFC"/>
    <w:rsid w:val="65217971"/>
    <w:rsid w:val="6525EB78"/>
    <w:rsid w:val="652747C8"/>
    <w:rsid w:val="652BA6DB"/>
    <w:rsid w:val="65329500"/>
    <w:rsid w:val="653A95D9"/>
    <w:rsid w:val="6540B268"/>
    <w:rsid w:val="65573F1D"/>
    <w:rsid w:val="6559D35B"/>
    <w:rsid w:val="655AF1A6"/>
    <w:rsid w:val="65611979"/>
    <w:rsid w:val="6562BD11"/>
    <w:rsid w:val="65645F99"/>
    <w:rsid w:val="65697AB4"/>
    <w:rsid w:val="65714131"/>
    <w:rsid w:val="65751D0E"/>
    <w:rsid w:val="657674E4"/>
    <w:rsid w:val="657DE705"/>
    <w:rsid w:val="6584D1DA"/>
    <w:rsid w:val="658815A9"/>
    <w:rsid w:val="658A89F8"/>
    <w:rsid w:val="658D1958"/>
    <w:rsid w:val="658E2A52"/>
    <w:rsid w:val="659B15ED"/>
    <w:rsid w:val="659B8BF5"/>
    <w:rsid w:val="659BC562"/>
    <w:rsid w:val="65A27738"/>
    <w:rsid w:val="65A47D6D"/>
    <w:rsid w:val="65A785CE"/>
    <w:rsid w:val="65B0D963"/>
    <w:rsid w:val="65B5FE7D"/>
    <w:rsid w:val="65B96A5E"/>
    <w:rsid w:val="65CD0165"/>
    <w:rsid w:val="65D5F676"/>
    <w:rsid w:val="65E410F9"/>
    <w:rsid w:val="65E8AB51"/>
    <w:rsid w:val="65ED5667"/>
    <w:rsid w:val="65EEA480"/>
    <w:rsid w:val="65EFC6B6"/>
    <w:rsid w:val="65F3B8D4"/>
    <w:rsid w:val="65F7EF97"/>
    <w:rsid w:val="66018DA4"/>
    <w:rsid w:val="66085DC8"/>
    <w:rsid w:val="6611B080"/>
    <w:rsid w:val="66134AF7"/>
    <w:rsid w:val="6614D76B"/>
    <w:rsid w:val="661A2A11"/>
    <w:rsid w:val="661E22CC"/>
    <w:rsid w:val="661E6A82"/>
    <w:rsid w:val="6628ACCB"/>
    <w:rsid w:val="662D79EC"/>
    <w:rsid w:val="662E67F8"/>
    <w:rsid w:val="6631BDE5"/>
    <w:rsid w:val="6633E3CC"/>
    <w:rsid w:val="66381FFB"/>
    <w:rsid w:val="6638B2F0"/>
    <w:rsid w:val="663B1EAE"/>
    <w:rsid w:val="663DCCA8"/>
    <w:rsid w:val="66409F0B"/>
    <w:rsid w:val="6648102F"/>
    <w:rsid w:val="664C31A4"/>
    <w:rsid w:val="664DDBD1"/>
    <w:rsid w:val="66599375"/>
    <w:rsid w:val="665AF0E9"/>
    <w:rsid w:val="665DCD1E"/>
    <w:rsid w:val="665F25EF"/>
    <w:rsid w:val="665FD849"/>
    <w:rsid w:val="6661AA1A"/>
    <w:rsid w:val="666337A7"/>
    <w:rsid w:val="66663F83"/>
    <w:rsid w:val="66689262"/>
    <w:rsid w:val="666DF198"/>
    <w:rsid w:val="667098D6"/>
    <w:rsid w:val="66761684"/>
    <w:rsid w:val="6684EB12"/>
    <w:rsid w:val="66888536"/>
    <w:rsid w:val="668D11E7"/>
    <w:rsid w:val="6694A37D"/>
    <w:rsid w:val="6694ED6D"/>
    <w:rsid w:val="6696960B"/>
    <w:rsid w:val="669CC276"/>
    <w:rsid w:val="669E6778"/>
    <w:rsid w:val="66A08BCD"/>
    <w:rsid w:val="66A40FA7"/>
    <w:rsid w:val="66B25361"/>
    <w:rsid w:val="66C1BEFD"/>
    <w:rsid w:val="66C277EE"/>
    <w:rsid w:val="66C4B92F"/>
    <w:rsid w:val="66CDFDE1"/>
    <w:rsid w:val="66D0CAAF"/>
    <w:rsid w:val="66D14F09"/>
    <w:rsid w:val="66D63A3C"/>
    <w:rsid w:val="66DD33F0"/>
    <w:rsid w:val="66ECE58A"/>
    <w:rsid w:val="66F26674"/>
    <w:rsid w:val="66F2780F"/>
    <w:rsid w:val="66F797EF"/>
    <w:rsid w:val="66F905E1"/>
    <w:rsid w:val="6700627C"/>
    <w:rsid w:val="67016EF2"/>
    <w:rsid w:val="670CEB20"/>
    <w:rsid w:val="67184C1B"/>
    <w:rsid w:val="671F2B0D"/>
    <w:rsid w:val="6721A000"/>
    <w:rsid w:val="67239207"/>
    <w:rsid w:val="6729CD0E"/>
    <w:rsid w:val="672C756F"/>
    <w:rsid w:val="672E0AD2"/>
    <w:rsid w:val="6732CBE1"/>
    <w:rsid w:val="6734E932"/>
    <w:rsid w:val="673B6074"/>
    <w:rsid w:val="67406651"/>
    <w:rsid w:val="67412713"/>
    <w:rsid w:val="67432987"/>
    <w:rsid w:val="67461837"/>
    <w:rsid w:val="674AAEB7"/>
    <w:rsid w:val="6754A54E"/>
    <w:rsid w:val="675654AE"/>
    <w:rsid w:val="675908D9"/>
    <w:rsid w:val="675A4CD9"/>
    <w:rsid w:val="67674DFD"/>
    <w:rsid w:val="67686B48"/>
    <w:rsid w:val="676913A9"/>
    <w:rsid w:val="6769E824"/>
    <w:rsid w:val="676D6D01"/>
    <w:rsid w:val="67735314"/>
    <w:rsid w:val="6775110B"/>
    <w:rsid w:val="6776E64A"/>
    <w:rsid w:val="677F659C"/>
    <w:rsid w:val="678E1E4D"/>
    <w:rsid w:val="678E8325"/>
    <w:rsid w:val="679BE7CC"/>
    <w:rsid w:val="679D7374"/>
    <w:rsid w:val="679E544D"/>
    <w:rsid w:val="679EE59B"/>
    <w:rsid w:val="67A00198"/>
    <w:rsid w:val="67A48F89"/>
    <w:rsid w:val="67A69DE4"/>
    <w:rsid w:val="67A70195"/>
    <w:rsid w:val="67AAF0DD"/>
    <w:rsid w:val="67AD1656"/>
    <w:rsid w:val="67B1E580"/>
    <w:rsid w:val="67B6ABD4"/>
    <w:rsid w:val="67C2085E"/>
    <w:rsid w:val="67C6E155"/>
    <w:rsid w:val="67C75E59"/>
    <w:rsid w:val="67CAF70E"/>
    <w:rsid w:val="67CCBF8F"/>
    <w:rsid w:val="67E5821B"/>
    <w:rsid w:val="67E75A87"/>
    <w:rsid w:val="67EA4D4F"/>
    <w:rsid w:val="67ECF087"/>
    <w:rsid w:val="67F04980"/>
    <w:rsid w:val="67FC6FE5"/>
    <w:rsid w:val="68082029"/>
    <w:rsid w:val="682310B5"/>
    <w:rsid w:val="68281332"/>
    <w:rsid w:val="682CEE7C"/>
    <w:rsid w:val="683259B0"/>
    <w:rsid w:val="68331005"/>
    <w:rsid w:val="68332F76"/>
    <w:rsid w:val="68340EA3"/>
    <w:rsid w:val="683966FA"/>
    <w:rsid w:val="683CFF64"/>
    <w:rsid w:val="68435A55"/>
    <w:rsid w:val="68485FFC"/>
    <w:rsid w:val="68497CF2"/>
    <w:rsid w:val="684E60C6"/>
    <w:rsid w:val="68535012"/>
    <w:rsid w:val="6854D994"/>
    <w:rsid w:val="6858297F"/>
    <w:rsid w:val="6859CFFA"/>
    <w:rsid w:val="685A5452"/>
    <w:rsid w:val="685C0980"/>
    <w:rsid w:val="685D4015"/>
    <w:rsid w:val="685E1818"/>
    <w:rsid w:val="685E9A9B"/>
    <w:rsid w:val="686608E0"/>
    <w:rsid w:val="6866F44D"/>
    <w:rsid w:val="6868CDFD"/>
    <w:rsid w:val="6869E68B"/>
    <w:rsid w:val="68705F4B"/>
    <w:rsid w:val="6873418A"/>
    <w:rsid w:val="68757201"/>
    <w:rsid w:val="687954A8"/>
    <w:rsid w:val="687ACD89"/>
    <w:rsid w:val="6881D1A1"/>
    <w:rsid w:val="688543EF"/>
    <w:rsid w:val="68887A09"/>
    <w:rsid w:val="688AFC55"/>
    <w:rsid w:val="688DDDCE"/>
    <w:rsid w:val="688EAF5B"/>
    <w:rsid w:val="688FD254"/>
    <w:rsid w:val="6891A575"/>
    <w:rsid w:val="68960B83"/>
    <w:rsid w:val="68972B3B"/>
    <w:rsid w:val="68999402"/>
    <w:rsid w:val="689A3774"/>
    <w:rsid w:val="689B3ABB"/>
    <w:rsid w:val="689FFD7A"/>
    <w:rsid w:val="68A0155A"/>
    <w:rsid w:val="68A7AFEF"/>
    <w:rsid w:val="68A7DA50"/>
    <w:rsid w:val="68AC0A1A"/>
    <w:rsid w:val="68B4AFCC"/>
    <w:rsid w:val="68B9C3A2"/>
    <w:rsid w:val="68C2AC00"/>
    <w:rsid w:val="68C8B8FC"/>
    <w:rsid w:val="68D1DE4D"/>
    <w:rsid w:val="68D2A8C8"/>
    <w:rsid w:val="68D3D78B"/>
    <w:rsid w:val="68D40006"/>
    <w:rsid w:val="68D51E3C"/>
    <w:rsid w:val="68D73F7C"/>
    <w:rsid w:val="68D857C8"/>
    <w:rsid w:val="68D965A3"/>
    <w:rsid w:val="68DCC2B0"/>
    <w:rsid w:val="68DE4732"/>
    <w:rsid w:val="68DF0FE3"/>
    <w:rsid w:val="68E48028"/>
    <w:rsid w:val="68E53AA4"/>
    <w:rsid w:val="68E8B6DD"/>
    <w:rsid w:val="68EB979F"/>
    <w:rsid w:val="68F168F2"/>
    <w:rsid w:val="68F32280"/>
    <w:rsid w:val="68F85A36"/>
    <w:rsid w:val="68F95E7F"/>
    <w:rsid w:val="68FC281D"/>
    <w:rsid w:val="69033515"/>
    <w:rsid w:val="6905E1D9"/>
    <w:rsid w:val="69064072"/>
    <w:rsid w:val="6913F135"/>
    <w:rsid w:val="6920EF97"/>
    <w:rsid w:val="69249906"/>
    <w:rsid w:val="69271F48"/>
    <w:rsid w:val="6927B143"/>
    <w:rsid w:val="692A5B45"/>
    <w:rsid w:val="692FDFA0"/>
    <w:rsid w:val="69314A53"/>
    <w:rsid w:val="6932BB55"/>
    <w:rsid w:val="693B9B31"/>
    <w:rsid w:val="693C12D0"/>
    <w:rsid w:val="693CBBDA"/>
    <w:rsid w:val="693E1A24"/>
    <w:rsid w:val="693FF86E"/>
    <w:rsid w:val="6940CB9D"/>
    <w:rsid w:val="69483B6E"/>
    <w:rsid w:val="694AE790"/>
    <w:rsid w:val="695251CB"/>
    <w:rsid w:val="69591CE3"/>
    <w:rsid w:val="6959226C"/>
    <w:rsid w:val="6959F160"/>
    <w:rsid w:val="696418AB"/>
    <w:rsid w:val="696E1F59"/>
    <w:rsid w:val="69721916"/>
    <w:rsid w:val="6972AEAB"/>
    <w:rsid w:val="6973FA58"/>
    <w:rsid w:val="69772E0C"/>
    <w:rsid w:val="697B4BEB"/>
    <w:rsid w:val="69807A9E"/>
    <w:rsid w:val="69883FA9"/>
    <w:rsid w:val="698DF5F4"/>
    <w:rsid w:val="698EEB89"/>
    <w:rsid w:val="699428BE"/>
    <w:rsid w:val="699DAE86"/>
    <w:rsid w:val="699EC534"/>
    <w:rsid w:val="69A10545"/>
    <w:rsid w:val="69A14F7B"/>
    <w:rsid w:val="69A6F06B"/>
    <w:rsid w:val="69A94817"/>
    <w:rsid w:val="69A9CE24"/>
    <w:rsid w:val="69AF6DDD"/>
    <w:rsid w:val="69B40C3A"/>
    <w:rsid w:val="69B8CE73"/>
    <w:rsid w:val="69C2E03D"/>
    <w:rsid w:val="69C81227"/>
    <w:rsid w:val="69C980C9"/>
    <w:rsid w:val="69CC5363"/>
    <w:rsid w:val="69CD2AED"/>
    <w:rsid w:val="69CE1C99"/>
    <w:rsid w:val="69CF0F54"/>
    <w:rsid w:val="69D571FF"/>
    <w:rsid w:val="69D6622B"/>
    <w:rsid w:val="69DC74E5"/>
    <w:rsid w:val="69E62385"/>
    <w:rsid w:val="69F13E5F"/>
    <w:rsid w:val="69F51B26"/>
    <w:rsid w:val="69F70970"/>
    <w:rsid w:val="69F8DAD6"/>
    <w:rsid w:val="6A0145F8"/>
    <w:rsid w:val="6A05B15A"/>
    <w:rsid w:val="6A073277"/>
    <w:rsid w:val="6A09711D"/>
    <w:rsid w:val="6A12BDD2"/>
    <w:rsid w:val="6A179379"/>
    <w:rsid w:val="6A1F33D2"/>
    <w:rsid w:val="6A22E85C"/>
    <w:rsid w:val="6A271B3A"/>
    <w:rsid w:val="6A2DF34D"/>
    <w:rsid w:val="6A31611F"/>
    <w:rsid w:val="6A32A720"/>
    <w:rsid w:val="6A33BCBA"/>
    <w:rsid w:val="6A3689E2"/>
    <w:rsid w:val="6A395081"/>
    <w:rsid w:val="6A3AB5AE"/>
    <w:rsid w:val="6A4011C1"/>
    <w:rsid w:val="6A455C75"/>
    <w:rsid w:val="6A4649EC"/>
    <w:rsid w:val="6A49AF9C"/>
    <w:rsid w:val="6A4B2C29"/>
    <w:rsid w:val="6A564C7B"/>
    <w:rsid w:val="6A579C88"/>
    <w:rsid w:val="6A5D6D96"/>
    <w:rsid w:val="6A6350B1"/>
    <w:rsid w:val="6A6A7C66"/>
    <w:rsid w:val="6A6AF9E7"/>
    <w:rsid w:val="6A71EC70"/>
    <w:rsid w:val="6A7B3887"/>
    <w:rsid w:val="6A7B5961"/>
    <w:rsid w:val="6A7D916B"/>
    <w:rsid w:val="6A7E0E81"/>
    <w:rsid w:val="6A7F340C"/>
    <w:rsid w:val="6A8130F6"/>
    <w:rsid w:val="6A8337E2"/>
    <w:rsid w:val="6A83D3C5"/>
    <w:rsid w:val="6A8483BB"/>
    <w:rsid w:val="6A84C593"/>
    <w:rsid w:val="6A85429F"/>
    <w:rsid w:val="6A8A8EBC"/>
    <w:rsid w:val="6A990036"/>
    <w:rsid w:val="6A9D3773"/>
    <w:rsid w:val="6AA389A2"/>
    <w:rsid w:val="6AA3F6D5"/>
    <w:rsid w:val="6AA81A8F"/>
    <w:rsid w:val="6AA88284"/>
    <w:rsid w:val="6AABCCA9"/>
    <w:rsid w:val="6AACA1B7"/>
    <w:rsid w:val="6AAE17D2"/>
    <w:rsid w:val="6AB438EB"/>
    <w:rsid w:val="6AB86132"/>
    <w:rsid w:val="6ABE26E9"/>
    <w:rsid w:val="6AC2FE53"/>
    <w:rsid w:val="6AC4AD3A"/>
    <w:rsid w:val="6ACA9FB1"/>
    <w:rsid w:val="6ACC3940"/>
    <w:rsid w:val="6ACD44F7"/>
    <w:rsid w:val="6AE08BBF"/>
    <w:rsid w:val="6AE76C9E"/>
    <w:rsid w:val="6AE927B6"/>
    <w:rsid w:val="6AEA41E0"/>
    <w:rsid w:val="6AEEAC09"/>
    <w:rsid w:val="6AF27F18"/>
    <w:rsid w:val="6AF98F32"/>
    <w:rsid w:val="6AF9B2F9"/>
    <w:rsid w:val="6AFA1EAE"/>
    <w:rsid w:val="6AFAA8FA"/>
    <w:rsid w:val="6AFF414E"/>
    <w:rsid w:val="6B04384F"/>
    <w:rsid w:val="6B174D90"/>
    <w:rsid w:val="6B1CEA2E"/>
    <w:rsid w:val="6B213380"/>
    <w:rsid w:val="6B285272"/>
    <w:rsid w:val="6B294E73"/>
    <w:rsid w:val="6B2AD52B"/>
    <w:rsid w:val="6B31CB1E"/>
    <w:rsid w:val="6B35BDF3"/>
    <w:rsid w:val="6B4655B5"/>
    <w:rsid w:val="6B47C778"/>
    <w:rsid w:val="6B4B941F"/>
    <w:rsid w:val="6B4BB54D"/>
    <w:rsid w:val="6B4E1EBC"/>
    <w:rsid w:val="6B513F2C"/>
    <w:rsid w:val="6B56D41C"/>
    <w:rsid w:val="6B56D656"/>
    <w:rsid w:val="6B60692A"/>
    <w:rsid w:val="6B6B38C1"/>
    <w:rsid w:val="6B6B4A5F"/>
    <w:rsid w:val="6B702145"/>
    <w:rsid w:val="6B712195"/>
    <w:rsid w:val="6B73F195"/>
    <w:rsid w:val="6B743925"/>
    <w:rsid w:val="6B75D264"/>
    <w:rsid w:val="6B7A969B"/>
    <w:rsid w:val="6B7BD0E1"/>
    <w:rsid w:val="6B7C71CB"/>
    <w:rsid w:val="6B7E73A3"/>
    <w:rsid w:val="6B82493A"/>
    <w:rsid w:val="6B84D71C"/>
    <w:rsid w:val="6B859A6A"/>
    <w:rsid w:val="6B8E704F"/>
    <w:rsid w:val="6B8F31EE"/>
    <w:rsid w:val="6B90F0BF"/>
    <w:rsid w:val="6B96DE08"/>
    <w:rsid w:val="6BA552E4"/>
    <w:rsid w:val="6BAFCD6F"/>
    <w:rsid w:val="6BAFE049"/>
    <w:rsid w:val="6BB3B3D2"/>
    <w:rsid w:val="6BB40237"/>
    <w:rsid w:val="6BB53C4A"/>
    <w:rsid w:val="6BB77847"/>
    <w:rsid w:val="6BBDCCB2"/>
    <w:rsid w:val="6BC47138"/>
    <w:rsid w:val="6BC7351F"/>
    <w:rsid w:val="6BC85BA7"/>
    <w:rsid w:val="6BC9EE0A"/>
    <w:rsid w:val="6BCFD6B4"/>
    <w:rsid w:val="6BDD0546"/>
    <w:rsid w:val="6BDF146C"/>
    <w:rsid w:val="6BDF9669"/>
    <w:rsid w:val="6BDFA054"/>
    <w:rsid w:val="6BE3FBED"/>
    <w:rsid w:val="6BE4122A"/>
    <w:rsid w:val="6BEAD034"/>
    <w:rsid w:val="6BEAEA56"/>
    <w:rsid w:val="6BED18FA"/>
    <w:rsid w:val="6BF27706"/>
    <w:rsid w:val="6BF349E7"/>
    <w:rsid w:val="6BFA6468"/>
    <w:rsid w:val="6BFF0049"/>
    <w:rsid w:val="6C00ACC9"/>
    <w:rsid w:val="6C06F2FB"/>
    <w:rsid w:val="6C085620"/>
    <w:rsid w:val="6C0BA6F5"/>
    <w:rsid w:val="6C0DE275"/>
    <w:rsid w:val="6C141969"/>
    <w:rsid w:val="6C14E072"/>
    <w:rsid w:val="6C1D5FEA"/>
    <w:rsid w:val="6C1E1479"/>
    <w:rsid w:val="6C1ED56C"/>
    <w:rsid w:val="6C1F137E"/>
    <w:rsid w:val="6C21F7CB"/>
    <w:rsid w:val="6C23B17A"/>
    <w:rsid w:val="6C25FAC8"/>
    <w:rsid w:val="6C271FBF"/>
    <w:rsid w:val="6C279F90"/>
    <w:rsid w:val="6C2942FF"/>
    <w:rsid w:val="6C35AC3E"/>
    <w:rsid w:val="6C35D2BB"/>
    <w:rsid w:val="6C36054C"/>
    <w:rsid w:val="6C36C35C"/>
    <w:rsid w:val="6C385CE1"/>
    <w:rsid w:val="6C427487"/>
    <w:rsid w:val="6C55C7E4"/>
    <w:rsid w:val="6C5656FD"/>
    <w:rsid w:val="6C5AB9BA"/>
    <w:rsid w:val="6C5D709B"/>
    <w:rsid w:val="6C5F722C"/>
    <w:rsid w:val="6C615027"/>
    <w:rsid w:val="6C6785AF"/>
    <w:rsid w:val="6C6E177F"/>
    <w:rsid w:val="6C742B35"/>
    <w:rsid w:val="6C7BC007"/>
    <w:rsid w:val="6C7BFF2A"/>
    <w:rsid w:val="6C81D422"/>
    <w:rsid w:val="6C833BAF"/>
    <w:rsid w:val="6C87D8F3"/>
    <w:rsid w:val="6C9139A1"/>
    <w:rsid w:val="6C93E7CF"/>
    <w:rsid w:val="6C940527"/>
    <w:rsid w:val="6C995D43"/>
    <w:rsid w:val="6C9E1762"/>
    <w:rsid w:val="6C9EA9B6"/>
    <w:rsid w:val="6C9F645D"/>
    <w:rsid w:val="6CA330CB"/>
    <w:rsid w:val="6CA3503A"/>
    <w:rsid w:val="6CA38EC3"/>
    <w:rsid w:val="6CA4962B"/>
    <w:rsid w:val="6CA74A8D"/>
    <w:rsid w:val="6CAC220C"/>
    <w:rsid w:val="6CACCB69"/>
    <w:rsid w:val="6CAEDEF8"/>
    <w:rsid w:val="6CB69A7A"/>
    <w:rsid w:val="6CBCC66D"/>
    <w:rsid w:val="6CBDC727"/>
    <w:rsid w:val="6CBE8898"/>
    <w:rsid w:val="6CC2BAE1"/>
    <w:rsid w:val="6CCAAEBE"/>
    <w:rsid w:val="6CCB50D9"/>
    <w:rsid w:val="6CCF6F40"/>
    <w:rsid w:val="6CD7438A"/>
    <w:rsid w:val="6CDE559A"/>
    <w:rsid w:val="6CE6C98A"/>
    <w:rsid w:val="6CF60F5E"/>
    <w:rsid w:val="6D02268A"/>
    <w:rsid w:val="6D031988"/>
    <w:rsid w:val="6D1354D7"/>
    <w:rsid w:val="6D1A8A0A"/>
    <w:rsid w:val="6D2A9F76"/>
    <w:rsid w:val="6D31A405"/>
    <w:rsid w:val="6D373485"/>
    <w:rsid w:val="6D3F75A1"/>
    <w:rsid w:val="6D422358"/>
    <w:rsid w:val="6D479597"/>
    <w:rsid w:val="6D49F66E"/>
    <w:rsid w:val="6D4A88A7"/>
    <w:rsid w:val="6D4D8E97"/>
    <w:rsid w:val="6D51FDD0"/>
    <w:rsid w:val="6D5E554E"/>
    <w:rsid w:val="6D5F4E4E"/>
    <w:rsid w:val="6D633603"/>
    <w:rsid w:val="6D6464FF"/>
    <w:rsid w:val="6D68B262"/>
    <w:rsid w:val="6D6BFAFC"/>
    <w:rsid w:val="6D789EBA"/>
    <w:rsid w:val="6D7E5E39"/>
    <w:rsid w:val="6D8593A0"/>
    <w:rsid w:val="6D8782B7"/>
    <w:rsid w:val="6D87D226"/>
    <w:rsid w:val="6D88A2DA"/>
    <w:rsid w:val="6D9F8A7A"/>
    <w:rsid w:val="6DA0475F"/>
    <w:rsid w:val="6DA0F156"/>
    <w:rsid w:val="6DA58082"/>
    <w:rsid w:val="6DA7CB4A"/>
    <w:rsid w:val="6DAC3F67"/>
    <w:rsid w:val="6DAC57F7"/>
    <w:rsid w:val="6DBB70F6"/>
    <w:rsid w:val="6DBC10B9"/>
    <w:rsid w:val="6DBEB5A5"/>
    <w:rsid w:val="6DBEF50D"/>
    <w:rsid w:val="6DBF7496"/>
    <w:rsid w:val="6DBFDD0C"/>
    <w:rsid w:val="6DC46822"/>
    <w:rsid w:val="6DC6DC2F"/>
    <w:rsid w:val="6DC723FD"/>
    <w:rsid w:val="6DC75494"/>
    <w:rsid w:val="6DC7BAD6"/>
    <w:rsid w:val="6DCF3FEB"/>
    <w:rsid w:val="6DD63B45"/>
    <w:rsid w:val="6DD78869"/>
    <w:rsid w:val="6DD9A361"/>
    <w:rsid w:val="6DDBB208"/>
    <w:rsid w:val="6DDE5F94"/>
    <w:rsid w:val="6DE33A10"/>
    <w:rsid w:val="6DE9A60F"/>
    <w:rsid w:val="6DEA68C2"/>
    <w:rsid w:val="6DF0FB4A"/>
    <w:rsid w:val="6DF5CFA2"/>
    <w:rsid w:val="6DF77C99"/>
    <w:rsid w:val="6DF97552"/>
    <w:rsid w:val="6DF9A3A3"/>
    <w:rsid w:val="6E024244"/>
    <w:rsid w:val="6E02BA70"/>
    <w:rsid w:val="6E076AFE"/>
    <w:rsid w:val="6E08DB4A"/>
    <w:rsid w:val="6E0A174E"/>
    <w:rsid w:val="6E0E2AB0"/>
    <w:rsid w:val="6E0FBFCD"/>
    <w:rsid w:val="6E0FD739"/>
    <w:rsid w:val="6E0FE64D"/>
    <w:rsid w:val="6E0FF1D3"/>
    <w:rsid w:val="6E23C7FE"/>
    <w:rsid w:val="6E2424FD"/>
    <w:rsid w:val="6E28736C"/>
    <w:rsid w:val="6E2F7C72"/>
    <w:rsid w:val="6E353E70"/>
    <w:rsid w:val="6E38FF41"/>
    <w:rsid w:val="6E4E4712"/>
    <w:rsid w:val="6E56F27C"/>
    <w:rsid w:val="6E5CAF74"/>
    <w:rsid w:val="6E5F9B38"/>
    <w:rsid w:val="6E6112EA"/>
    <w:rsid w:val="6E66F46D"/>
    <w:rsid w:val="6E680F8B"/>
    <w:rsid w:val="6E699FDA"/>
    <w:rsid w:val="6E6BC00C"/>
    <w:rsid w:val="6E6E91BE"/>
    <w:rsid w:val="6E706368"/>
    <w:rsid w:val="6E78F6A8"/>
    <w:rsid w:val="6E7F97CA"/>
    <w:rsid w:val="6E811EF0"/>
    <w:rsid w:val="6E81D09F"/>
    <w:rsid w:val="6E83DBDA"/>
    <w:rsid w:val="6E841FFB"/>
    <w:rsid w:val="6E8FEE3C"/>
    <w:rsid w:val="6E93C494"/>
    <w:rsid w:val="6E9C404D"/>
    <w:rsid w:val="6E9F7570"/>
    <w:rsid w:val="6E9F8A34"/>
    <w:rsid w:val="6EA2226B"/>
    <w:rsid w:val="6EAB9E0F"/>
    <w:rsid w:val="6EAD0635"/>
    <w:rsid w:val="6EAE5B31"/>
    <w:rsid w:val="6EB55671"/>
    <w:rsid w:val="6EB7B07E"/>
    <w:rsid w:val="6EB9246F"/>
    <w:rsid w:val="6EBBE870"/>
    <w:rsid w:val="6EC2A029"/>
    <w:rsid w:val="6EC5F3D3"/>
    <w:rsid w:val="6ECBD029"/>
    <w:rsid w:val="6ED1E50A"/>
    <w:rsid w:val="6ED8FB27"/>
    <w:rsid w:val="6EDB61BF"/>
    <w:rsid w:val="6EDC21E6"/>
    <w:rsid w:val="6EE07AF5"/>
    <w:rsid w:val="6EE5FF2A"/>
    <w:rsid w:val="6EE9183B"/>
    <w:rsid w:val="6EEA07EE"/>
    <w:rsid w:val="6EED10E5"/>
    <w:rsid w:val="6EF12B62"/>
    <w:rsid w:val="6EFAFA2E"/>
    <w:rsid w:val="6EFF4CD7"/>
    <w:rsid w:val="6F08955B"/>
    <w:rsid w:val="6F1E18A8"/>
    <w:rsid w:val="6F259574"/>
    <w:rsid w:val="6F272CD8"/>
    <w:rsid w:val="6F31AA5E"/>
    <w:rsid w:val="6F37AEE6"/>
    <w:rsid w:val="6F38326A"/>
    <w:rsid w:val="6F3934C3"/>
    <w:rsid w:val="6F3FF415"/>
    <w:rsid w:val="6F47C266"/>
    <w:rsid w:val="6F483A9E"/>
    <w:rsid w:val="6F4BC1D9"/>
    <w:rsid w:val="6F4D756C"/>
    <w:rsid w:val="6F5302A5"/>
    <w:rsid w:val="6F5B5E4E"/>
    <w:rsid w:val="6F63EBDA"/>
    <w:rsid w:val="6F6B9783"/>
    <w:rsid w:val="6F708CD5"/>
    <w:rsid w:val="6F772B11"/>
    <w:rsid w:val="6F7B55F7"/>
    <w:rsid w:val="6F84BF93"/>
    <w:rsid w:val="6F8EB39B"/>
    <w:rsid w:val="6F92F025"/>
    <w:rsid w:val="6F93A02C"/>
    <w:rsid w:val="6F9CB13F"/>
    <w:rsid w:val="6F9CBC5B"/>
    <w:rsid w:val="6FA1C85D"/>
    <w:rsid w:val="6FA50600"/>
    <w:rsid w:val="6FA8B81C"/>
    <w:rsid w:val="6FB362D0"/>
    <w:rsid w:val="6FC49636"/>
    <w:rsid w:val="6FC7C487"/>
    <w:rsid w:val="6FCA872C"/>
    <w:rsid w:val="6FD22EDD"/>
    <w:rsid w:val="6FD2748E"/>
    <w:rsid w:val="6FDAE82E"/>
    <w:rsid w:val="6FDDD994"/>
    <w:rsid w:val="6FE09907"/>
    <w:rsid w:val="6FE25E20"/>
    <w:rsid w:val="6FE4E7E2"/>
    <w:rsid w:val="6FE52039"/>
    <w:rsid w:val="6FE76B7F"/>
    <w:rsid w:val="6FE91384"/>
    <w:rsid w:val="6FEDEFDF"/>
    <w:rsid w:val="6FF4909F"/>
    <w:rsid w:val="6FF6BEBB"/>
    <w:rsid w:val="6FFB90E6"/>
    <w:rsid w:val="6FFECE30"/>
    <w:rsid w:val="6FFFF3C0"/>
    <w:rsid w:val="70044335"/>
    <w:rsid w:val="70091318"/>
    <w:rsid w:val="7012B99E"/>
    <w:rsid w:val="701803A6"/>
    <w:rsid w:val="701D24E3"/>
    <w:rsid w:val="702341E1"/>
    <w:rsid w:val="7027A517"/>
    <w:rsid w:val="703667E8"/>
    <w:rsid w:val="703A8F71"/>
    <w:rsid w:val="703B33E3"/>
    <w:rsid w:val="703C84DC"/>
    <w:rsid w:val="703C9477"/>
    <w:rsid w:val="703F8EF8"/>
    <w:rsid w:val="70423853"/>
    <w:rsid w:val="70427BED"/>
    <w:rsid w:val="7043E9E9"/>
    <w:rsid w:val="70487C48"/>
    <w:rsid w:val="704A0116"/>
    <w:rsid w:val="704B763B"/>
    <w:rsid w:val="704E49FA"/>
    <w:rsid w:val="7050255E"/>
    <w:rsid w:val="70523DDD"/>
    <w:rsid w:val="7054972B"/>
    <w:rsid w:val="7054C277"/>
    <w:rsid w:val="7057C87A"/>
    <w:rsid w:val="70589DF1"/>
    <w:rsid w:val="706427AA"/>
    <w:rsid w:val="70675E73"/>
    <w:rsid w:val="706B9F48"/>
    <w:rsid w:val="706F059A"/>
    <w:rsid w:val="707139F7"/>
    <w:rsid w:val="7071A0E0"/>
    <w:rsid w:val="70734432"/>
    <w:rsid w:val="7076084C"/>
    <w:rsid w:val="7077EBBE"/>
    <w:rsid w:val="707D3D92"/>
    <w:rsid w:val="707EF8F4"/>
    <w:rsid w:val="7095DD05"/>
    <w:rsid w:val="709FA755"/>
    <w:rsid w:val="70A7488A"/>
    <w:rsid w:val="70A95C9C"/>
    <w:rsid w:val="70AE0B7B"/>
    <w:rsid w:val="70AFFEE7"/>
    <w:rsid w:val="70B1FC5B"/>
    <w:rsid w:val="70B49C63"/>
    <w:rsid w:val="70B94CB2"/>
    <w:rsid w:val="70BAE347"/>
    <w:rsid w:val="70CB6289"/>
    <w:rsid w:val="70D42099"/>
    <w:rsid w:val="70DA1ABC"/>
    <w:rsid w:val="70E2F6C0"/>
    <w:rsid w:val="70E7F9DA"/>
    <w:rsid w:val="70F00501"/>
    <w:rsid w:val="70F462E6"/>
    <w:rsid w:val="70F4AA0D"/>
    <w:rsid w:val="70FC8200"/>
    <w:rsid w:val="710461BD"/>
    <w:rsid w:val="71073441"/>
    <w:rsid w:val="71083730"/>
    <w:rsid w:val="7108D2F6"/>
    <w:rsid w:val="710C3719"/>
    <w:rsid w:val="710C949D"/>
    <w:rsid w:val="710E5107"/>
    <w:rsid w:val="71130CFA"/>
    <w:rsid w:val="71131A98"/>
    <w:rsid w:val="711384A1"/>
    <w:rsid w:val="7122D2C3"/>
    <w:rsid w:val="7124E5AC"/>
    <w:rsid w:val="712600F1"/>
    <w:rsid w:val="71279176"/>
    <w:rsid w:val="713EFB8F"/>
    <w:rsid w:val="71493429"/>
    <w:rsid w:val="714F395B"/>
    <w:rsid w:val="714F8DFF"/>
    <w:rsid w:val="7151175F"/>
    <w:rsid w:val="715AC6ED"/>
    <w:rsid w:val="7161F9D0"/>
    <w:rsid w:val="71672866"/>
    <w:rsid w:val="7168AC1F"/>
    <w:rsid w:val="716A1C1A"/>
    <w:rsid w:val="716F1BA3"/>
    <w:rsid w:val="7171B2E5"/>
    <w:rsid w:val="7175831D"/>
    <w:rsid w:val="7183A65D"/>
    <w:rsid w:val="7186C3F4"/>
    <w:rsid w:val="71899E51"/>
    <w:rsid w:val="718EC5AD"/>
    <w:rsid w:val="718F04E0"/>
    <w:rsid w:val="71915296"/>
    <w:rsid w:val="7193E570"/>
    <w:rsid w:val="719992D5"/>
    <w:rsid w:val="719AA347"/>
    <w:rsid w:val="719C10CB"/>
    <w:rsid w:val="71AB0FE4"/>
    <w:rsid w:val="71BB1A80"/>
    <w:rsid w:val="71BC6ADA"/>
    <w:rsid w:val="71C4AD55"/>
    <w:rsid w:val="71C5C011"/>
    <w:rsid w:val="71C8D12E"/>
    <w:rsid w:val="71C9125D"/>
    <w:rsid w:val="71CBC2BD"/>
    <w:rsid w:val="71CC1099"/>
    <w:rsid w:val="71D18930"/>
    <w:rsid w:val="71D28E1A"/>
    <w:rsid w:val="71D82714"/>
    <w:rsid w:val="71DBEFD0"/>
    <w:rsid w:val="71E1328E"/>
    <w:rsid w:val="71E2689D"/>
    <w:rsid w:val="71E30FC8"/>
    <w:rsid w:val="71E8D591"/>
    <w:rsid w:val="71EAA2B7"/>
    <w:rsid w:val="71EEA3C2"/>
    <w:rsid w:val="71EEA9EA"/>
    <w:rsid w:val="71F65844"/>
    <w:rsid w:val="71FE9B02"/>
    <w:rsid w:val="72060CA9"/>
    <w:rsid w:val="72090589"/>
    <w:rsid w:val="720CE519"/>
    <w:rsid w:val="720DC643"/>
    <w:rsid w:val="720DDF12"/>
    <w:rsid w:val="7211A15E"/>
    <w:rsid w:val="72158BDF"/>
    <w:rsid w:val="7218938E"/>
    <w:rsid w:val="721A52EC"/>
    <w:rsid w:val="722A2D44"/>
    <w:rsid w:val="722A92DD"/>
    <w:rsid w:val="72318E45"/>
    <w:rsid w:val="72365AF3"/>
    <w:rsid w:val="72495E7E"/>
    <w:rsid w:val="724EE512"/>
    <w:rsid w:val="724F3CAA"/>
    <w:rsid w:val="72542AEC"/>
    <w:rsid w:val="7258BAEA"/>
    <w:rsid w:val="72625686"/>
    <w:rsid w:val="726496B5"/>
    <w:rsid w:val="7267C932"/>
    <w:rsid w:val="726B6515"/>
    <w:rsid w:val="726C4086"/>
    <w:rsid w:val="726EF91D"/>
    <w:rsid w:val="72733DE7"/>
    <w:rsid w:val="7274C638"/>
    <w:rsid w:val="727C9C8C"/>
    <w:rsid w:val="728308E9"/>
    <w:rsid w:val="72938972"/>
    <w:rsid w:val="72974AC4"/>
    <w:rsid w:val="729DF95B"/>
    <w:rsid w:val="72A37F56"/>
    <w:rsid w:val="72A7224A"/>
    <w:rsid w:val="72AA6E35"/>
    <w:rsid w:val="72B5B783"/>
    <w:rsid w:val="72B6C664"/>
    <w:rsid w:val="72BA54E0"/>
    <w:rsid w:val="72C17AB2"/>
    <w:rsid w:val="72C18108"/>
    <w:rsid w:val="72C1E79D"/>
    <w:rsid w:val="72C2B0E1"/>
    <w:rsid w:val="72C4D504"/>
    <w:rsid w:val="72C52670"/>
    <w:rsid w:val="72C7B914"/>
    <w:rsid w:val="72CCCFF3"/>
    <w:rsid w:val="72CF50E7"/>
    <w:rsid w:val="72D720B7"/>
    <w:rsid w:val="72D971B3"/>
    <w:rsid w:val="72DB4B37"/>
    <w:rsid w:val="72DC7978"/>
    <w:rsid w:val="72DD9558"/>
    <w:rsid w:val="72E2508C"/>
    <w:rsid w:val="72F04AFA"/>
    <w:rsid w:val="72F1B18A"/>
    <w:rsid w:val="72F41370"/>
    <w:rsid w:val="72F583D4"/>
    <w:rsid w:val="72FAEFC6"/>
    <w:rsid w:val="72FCEBCC"/>
    <w:rsid w:val="7304ADF5"/>
    <w:rsid w:val="7308D57F"/>
    <w:rsid w:val="731072DA"/>
    <w:rsid w:val="73128FDF"/>
    <w:rsid w:val="73143673"/>
    <w:rsid w:val="7315BBB6"/>
    <w:rsid w:val="731BB14F"/>
    <w:rsid w:val="731DD442"/>
    <w:rsid w:val="7324739A"/>
    <w:rsid w:val="73277CC4"/>
    <w:rsid w:val="7332D29A"/>
    <w:rsid w:val="7335C584"/>
    <w:rsid w:val="7335CC27"/>
    <w:rsid w:val="73391DBD"/>
    <w:rsid w:val="7347C284"/>
    <w:rsid w:val="735C41AE"/>
    <w:rsid w:val="735FC8A3"/>
    <w:rsid w:val="735FD5AC"/>
    <w:rsid w:val="7363A42C"/>
    <w:rsid w:val="7369AAB7"/>
    <w:rsid w:val="736B2542"/>
    <w:rsid w:val="736BC521"/>
    <w:rsid w:val="736FA2ED"/>
    <w:rsid w:val="7373794E"/>
    <w:rsid w:val="7376DD79"/>
    <w:rsid w:val="73781D0D"/>
    <w:rsid w:val="737EB4EF"/>
    <w:rsid w:val="73848CF9"/>
    <w:rsid w:val="738FFA9B"/>
    <w:rsid w:val="7392BD4F"/>
    <w:rsid w:val="739493F5"/>
    <w:rsid w:val="7394B91C"/>
    <w:rsid w:val="7398461B"/>
    <w:rsid w:val="73988DE9"/>
    <w:rsid w:val="7398C9C1"/>
    <w:rsid w:val="73A74CE6"/>
    <w:rsid w:val="73A890E6"/>
    <w:rsid w:val="73AB6A0F"/>
    <w:rsid w:val="73AF01CC"/>
    <w:rsid w:val="73C5FB94"/>
    <w:rsid w:val="73C81386"/>
    <w:rsid w:val="73C92B43"/>
    <w:rsid w:val="73CB54AA"/>
    <w:rsid w:val="73D4B9E2"/>
    <w:rsid w:val="73EAE485"/>
    <w:rsid w:val="73ECA0DE"/>
    <w:rsid w:val="73F9DBF4"/>
    <w:rsid w:val="73FAABA9"/>
    <w:rsid w:val="73FE2071"/>
    <w:rsid w:val="7408819C"/>
    <w:rsid w:val="7408B805"/>
    <w:rsid w:val="740AE8FC"/>
    <w:rsid w:val="740B7C9A"/>
    <w:rsid w:val="740B9021"/>
    <w:rsid w:val="740D736C"/>
    <w:rsid w:val="7417E26D"/>
    <w:rsid w:val="7419686B"/>
    <w:rsid w:val="741D9000"/>
    <w:rsid w:val="742619DC"/>
    <w:rsid w:val="7428C1B2"/>
    <w:rsid w:val="743071C7"/>
    <w:rsid w:val="74376DF9"/>
    <w:rsid w:val="743808E6"/>
    <w:rsid w:val="7439D8BB"/>
    <w:rsid w:val="743B0806"/>
    <w:rsid w:val="743D232C"/>
    <w:rsid w:val="74427562"/>
    <w:rsid w:val="744542F1"/>
    <w:rsid w:val="74484E77"/>
    <w:rsid w:val="7451DBB6"/>
    <w:rsid w:val="7454CD2B"/>
    <w:rsid w:val="745C9D74"/>
    <w:rsid w:val="74607880"/>
    <w:rsid w:val="7461E586"/>
    <w:rsid w:val="7464290F"/>
    <w:rsid w:val="746ECE3E"/>
    <w:rsid w:val="747076EF"/>
    <w:rsid w:val="74746442"/>
    <w:rsid w:val="74774209"/>
    <w:rsid w:val="747AA3A9"/>
    <w:rsid w:val="747E9689"/>
    <w:rsid w:val="7481C666"/>
    <w:rsid w:val="74835FDD"/>
    <w:rsid w:val="74938774"/>
    <w:rsid w:val="74A09E41"/>
    <w:rsid w:val="74A6E243"/>
    <w:rsid w:val="74AAA308"/>
    <w:rsid w:val="74AD8886"/>
    <w:rsid w:val="74AF5F6C"/>
    <w:rsid w:val="74B034B6"/>
    <w:rsid w:val="74B24998"/>
    <w:rsid w:val="74B3A1C3"/>
    <w:rsid w:val="74B68232"/>
    <w:rsid w:val="74B7CC60"/>
    <w:rsid w:val="74C17704"/>
    <w:rsid w:val="74CA83A3"/>
    <w:rsid w:val="74CB400E"/>
    <w:rsid w:val="74D63D44"/>
    <w:rsid w:val="74D98922"/>
    <w:rsid w:val="74E14367"/>
    <w:rsid w:val="74E2B584"/>
    <w:rsid w:val="74E4B83F"/>
    <w:rsid w:val="74E6D064"/>
    <w:rsid w:val="74EBCA67"/>
    <w:rsid w:val="74ECB0D0"/>
    <w:rsid w:val="74F114C6"/>
    <w:rsid w:val="74F6C51A"/>
    <w:rsid w:val="74FDDE8F"/>
    <w:rsid w:val="750316EB"/>
    <w:rsid w:val="7503D4A8"/>
    <w:rsid w:val="750CAF68"/>
    <w:rsid w:val="7516EFA2"/>
    <w:rsid w:val="75186BEB"/>
    <w:rsid w:val="751A2FE8"/>
    <w:rsid w:val="751EE1CA"/>
    <w:rsid w:val="751F2A25"/>
    <w:rsid w:val="75220928"/>
    <w:rsid w:val="75272001"/>
    <w:rsid w:val="753AE191"/>
    <w:rsid w:val="753C2BE1"/>
    <w:rsid w:val="753CED97"/>
    <w:rsid w:val="753DEF26"/>
    <w:rsid w:val="753F0181"/>
    <w:rsid w:val="754B691B"/>
    <w:rsid w:val="755690E4"/>
    <w:rsid w:val="7559A28F"/>
    <w:rsid w:val="7564BE43"/>
    <w:rsid w:val="756BC717"/>
    <w:rsid w:val="757417AC"/>
    <w:rsid w:val="7575EF1F"/>
    <w:rsid w:val="757819C9"/>
    <w:rsid w:val="757CDAA3"/>
    <w:rsid w:val="7581D455"/>
    <w:rsid w:val="75841794"/>
    <w:rsid w:val="75845624"/>
    <w:rsid w:val="758B89DD"/>
    <w:rsid w:val="758DA156"/>
    <w:rsid w:val="75964B65"/>
    <w:rsid w:val="75A1BAA6"/>
    <w:rsid w:val="75A34343"/>
    <w:rsid w:val="75A5EAC1"/>
    <w:rsid w:val="75A6E031"/>
    <w:rsid w:val="75A9947D"/>
    <w:rsid w:val="75ACE845"/>
    <w:rsid w:val="75ACF59E"/>
    <w:rsid w:val="75B3118F"/>
    <w:rsid w:val="75BB8A5A"/>
    <w:rsid w:val="75BE4A10"/>
    <w:rsid w:val="75CA7458"/>
    <w:rsid w:val="75CC6EF7"/>
    <w:rsid w:val="75CE8F8E"/>
    <w:rsid w:val="75D2378D"/>
    <w:rsid w:val="75D25F18"/>
    <w:rsid w:val="75D498DE"/>
    <w:rsid w:val="75DAE846"/>
    <w:rsid w:val="75DB76FB"/>
    <w:rsid w:val="75DC7FEF"/>
    <w:rsid w:val="75DCDEA4"/>
    <w:rsid w:val="75DEEFC1"/>
    <w:rsid w:val="75E7D69F"/>
    <w:rsid w:val="75EB21A4"/>
    <w:rsid w:val="75F24929"/>
    <w:rsid w:val="75F82402"/>
    <w:rsid w:val="75FEFB19"/>
    <w:rsid w:val="76016A26"/>
    <w:rsid w:val="760464B3"/>
    <w:rsid w:val="7609EAA4"/>
    <w:rsid w:val="760EA6FB"/>
    <w:rsid w:val="7611FD3C"/>
    <w:rsid w:val="76124FCC"/>
    <w:rsid w:val="76134014"/>
    <w:rsid w:val="76142313"/>
    <w:rsid w:val="76228E65"/>
    <w:rsid w:val="7623B5E5"/>
    <w:rsid w:val="76240F7F"/>
    <w:rsid w:val="762E75B9"/>
    <w:rsid w:val="762E9B2B"/>
    <w:rsid w:val="7630DD88"/>
    <w:rsid w:val="7631EDD2"/>
    <w:rsid w:val="7635DD1D"/>
    <w:rsid w:val="763B6969"/>
    <w:rsid w:val="764F0129"/>
    <w:rsid w:val="7650150F"/>
    <w:rsid w:val="7654740A"/>
    <w:rsid w:val="76560177"/>
    <w:rsid w:val="765605B1"/>
    <w:rsid w:val="765BB03B"/>
    <w:rsid w:val="765F0122"/>
    <w:rsid w:val="766DDFDE"/>
    <w:rsid w:val="766E5B6D"/>
    <w:rsid w:val="766F5BED"/>
    <w:rsid w:val="767D5F69"/>
    <w:rsid w:val="767E4BB7"/>
    <w:rsid w:val="767FD081"/>
    <w:rsid w:val="7681FC86"/>
    <w:rsid w:val="768328FA"/>
    <w:rsid w:val="7686AAAC"/>
    <w:rsid w:val="7687022E"/>
    <w:rsid w:val="768AB209"/>
    <w:rsid w:val="768BC638"/>
    <w:rsid w:val="768E15CE"/>
    <w:rsid w:val="7693FF3E"/>
    <w:rsid w:val="769F1173"/>
    <w:rsid w:val="769F76FA"/>
    <w:rsid w:val="76AB1E22"/>
    <w:rsid w:val="76B052CA"/>
    <w:rsid w:val="76B17072"/>
    <w:rsid w:val="76B2B276"/>
    <w:rsid w:val="76BCF570"/>
    <w:rsid w:val="76CB6521"/>
    <w:rsid w:val="76CE6253"/>
    <w:rsid w:val="76D414FF"/>
    <w:rsid w:val="76D480DF"/>
    <w:rsid w:val="76D78016"/>
    <w:rsid w:val="76D84A07"/>
    <w:rsid w:val="76D9E45C"/>
    <w:rsid w:val="76DA098F"/>
    <w:rsid w:val="76DDEDDD"/>
    <w:rsid w:val="76DEB692"/>
    <w:rsid w:val="76E22F8F"/>
    <w:rsid w:val="76E2EFE2"/>
    <w:rsid w:val="76E6A7E8"/>
    <w:rsid w:val="76E771EE"/>
    <w:rsid w:val="76F7CE0C"/>
    <w:rsid w:val="76FE4BFD"/>
    <w:rsid w:val="770B70EB"/>
    <w:rsid w:val="770DE230"/>
    <w:rsid w:val="771080D6"/>
    <w:rsid w:val="7715B5BE"/>
    <w:rsid w:val="771B133D"/>
    <w:rsid w:val="7720C021"/>
    <w:rsid w:val="7722D39C"/>
    <w:rsid w:val="7723FA8A"/>
    <w:rsid w:val="7726F15C"/>
    <w:rsid w:val="772BF6AE"/>
    <w:rsid w:val="772C241C"/>
    <w:rsid w:val="773203C6"/>
    <w:rsid w:val="773A4256"/>
    <w:rsid w:val="77401B1B"/>
    <w:rsid w:val="77465599"/>
    <w:rsid w:val="7748D8EB"/>
    <w:rsid w:val="7752600B"/>
    <w:rsid w:val="7753C381"/>
    <w:rsid w:val="7755E813"/>
    <w:rsid w:val="775AF650"/>
    <w:rsid w:val="775B8B84"/>
    <w:rsid w:val="775EA12D"/>
    <w:rsid w:val="775F25D5"/>
    <w:rsid w:val="776A9D8D"/>
    <w:rsid w:val="776D56C6"/>
    <w:rsid w:val="776F83C7"/>
    <w:rsid w:val="77700CFF"/>
    <w:rsid w:val="77739FCF"/>
    <w:rsid w:val="7776EF90"/>
    <w:rsid w:val="77772025"/>
    <w:rsid w:val="777E63EF"/>
    <w:rsid w:val="7780B832"/>
    <w:rsid w:val="778C597E"/>
    <w:rsid w:val="778CD871"/>
    <w:rsid w:val="778EC0B6"/>
    <w:rsid w:val="77905B4F"/>
    <w:rsid w:val="7794BB81"/>
    <w:rsid w:val="77963E12"/>
    <w:rsid w:val="7799ACBB"/>
    <w:rsid w:val="779BCD38"/>
    <w:rsid w:val="779E0453"/>
    <w:rsid w:val="77A10075"/>
    <w:rsid w:val="77A28FA1"/>
    <w:rsid w:val="77A8AA98"/>
    <w:rsid w:val="77A9C131"/>
    <w:rsid w:val="77AAEAB9"/>
    <w:rsid w:val="77AB8EFA"/>
    <w:rsid w:val="77AF9A0F"/>
    <w:rsid w:val="77B448E9"/>
    <w:rsid w:val="77B7AF8C"/>
    <w:rsid w:val="77B8FA1A"/>
    <w:rsid w:val="77BDF0A5"/>
    <w:rsid w:val="77C0457E"/>
    <w:rsid w:val="77C09834"/>
    <w:rsid w:val="77C0F0F5"/>
    <w:rsid w:val="77C595DF"/>
    <w:rsid w:val="77C72A8C"/>
    <w:rsid w:val="77CEE14C"/>
    <w:rsid w:val="77D2B4D6"/>
    <w:rsid w:val="77D4786E"/>
    <w:rsid w:val="77D80307"/>
    <w:rsid w:val="77E43D7F"/>
    <w:rsid w:val="77EBF420"/>
    <w:rsid w:val="77EE1EF0"/>
    <w:rsid w:val="77FA29A0"/>
    <w:rsid w:val="7801FBE8"/>
    <w:rsid w:val="780E9029"/>
    <w:rsid w:val="780EE293"/>
    <w:rsid w:val="78132492"/>
    <w:rsid w:val="78166677"/>
    <w:rsid w:val="7818BB9A"/>
    <w:rsid w:val="7819155C"/>
    <w:rsid w:val="781D1BCB"/>
    <w:rsid w:val="781DA185"/>
    <w:rsid w:val="7820056F"/>
    <w:rsid w:val="7820611C"/>
    <w:rsid w:val="7825720E"/>
    <w:rsid w:val="782B3AD4"/>
    <w:rsid w:val="782C6112"/>
    <w:rsid w:val="782D7B80"/>
    <w:rsid w:val="782E8405"/>
    <w:rsid w:val="783505F1"/>
    <w:rsid w:val="783937A2"/>
    <w:rsid w:val="783E5929"/>
    <w:rsid w:val="783F7B51"/>
    <w:rsid w:val="78403A9E"/>
    <w:rsid w:val="78479BAC"/>
    <w:rsid w:val="7849A372"/>
    <w:rsid w:val="784C62A2"/>
    <w:rsid w:val="784C94D0"/>
    <w:rsid w:val="784F5E9A"/>
    <w:rsid w:val="78523A95"/>
    <w:rsid w:val="78539A4A"/>
    <w:rsid w:val="78559ABC"/>
    <w:rsid w:val="785ACD93"/>
    <w:rsid w:val="785DED95"/>
    <w:rsid w:val="7865E557"/>
    <w:rsid w:val="78666B33"/>
    <w:rsid w:val="78684AD7"/>
    <w:rsid w:val="786BC307"/>
    <w:rsid w:val="78773098"/>
    <w:rsid w:val="78793AD6"/>
    <w:rsid w:val="787B5F25"/>
    <w:rsid w:val="787BFE67"/>
    <w:rsid w:val="78828B39"/>
    <w:rsid w:val="789F5C5E"/>
    <w:rsid w:val="78A1E39C"/>
    <w:rsid w:val="78A1F74B"/>
    <w:rsid w:val="78A43B52"/>
    <w:rsid w:val="78A6A551"/>
    <w:rsid w:val="78A8A9E6"/>
    <w:rsid w:val="78AF5CE5"/>
    <w:rsid w:val="78B01CDC"/>
    <w:rsid w:val="78BDB8D3"/>
    <w:rsid w:val="78BEA369"/>
    <w:rsid w:val="78C65242"/>
    <w:rsid w:val="78C7BC50"/>
    <w:rsid w:val="78C8C2DB"/>
    <w:rsid w:val="78CA738B"/>
    <w:rsid w:val="78CF89B2"/>
    <w:rsid w:val="78D1C85D"/>
    <w:rsid w:val="78D42FE3"/>
    <w:rsid w:val="78D52A87"/>
    <w:rsid w:val="78DBB229"/>
    <w:rsid w:val="78DDFD80"/>
    <w:rsid w:val="78E2C7C9"/>
    <w:rsid w:val="78E3F1C4"/>
    <w:rsid w:val="78E4A0AF"/>
    <w:rsid w:val="78E71017"/>
    <w:rsid w:val="78EC3FA5"/>
    <w:rsid w:val="78F0F8E2"/>
    <w:rsid w:val="78F6CCF1"/>
    <w:rsid w:val="78FA11EC"/>
    <w:rsid w:val="79001DA8"/>
    <w:rsid w:val="79007F15"/>
    <w:rsid w:val="7904BA9F"/>
    <w:rsid w:val="790EF825"/>
    <w:rsid w:val="791E2178"/>
    <w:rsid w:val="792356A7"/>
    <w:rsid w:val="792BD48D"/>
    <w:rsid w:val="792BF568"/>
    <w:rsid w:val="792EA00F"/>
    <w:rsid w:val="792F8434"/>
    <w:rsid w:val="79307472"/>
    <w:rsid w:val="79347028"/>
    <w:rsid w:val="79403C81"/>
    <w:rsid w:val="79407EEE"/>
    <w:rsid w:val="79467341"/>
    <w:rsid w:val="7955E192"/>
    <w:rsid w:val="795936A4"/>
    <w:rsid w:val="795C966F"/>
    <w:rsid w:val="796227A9"/>
    <w:rsid w:val="796F31C6"/>
    <w:rsid w:val="7973DE2F"/>
    <w:rsid w:val="79753BBB"/>
    <w:rsid w:val="7979C4D7"/>
    <w:rsid w:val="7979FB39"/>
    <w:rsid w:val="797AF3DF"/>
    <w:rsid w:val="7980685C"/>
    <w:rsid w:val="7985B4D4"/>
    <w:rsid w:val="798FF6BA"/>
    <w:rsid w:val="7991FFF7"/>
    <w:rsid w:val="7992B216"/>
    <w:rsid w:val="7995F172"/>
    <w:rsid w:val="7996E66D"/>
    <w:rsid w:val="7997D984"/>
    <w:rsid w:val="799AD1E6"/>
    <w:rsid w:val="799B36D1"/>
    <w:rsid w:val="799B65E2"/>
    <w:rsid w:val="799C77E1"/>
    <w:rsid w:val="79A1052F"/>
    <w:rsid w:val="79A15B27"/>
    <w:rsid w:val="79A16356"/>
    <w:rsid w:val="79B45CAE"/>
    <w:rsid w:val="79B938BE"/>
    <w:rsid w:val="79BD3239"/>
    <w:rsid w:val="79C005EC"/>
    <w:rsid w:val="79C6260C"/>
    <w:rsid w:val="79C6CF45"/>
    <w:rsid w:val="79C916BA"/>
    <w:rsid w:val="79CACD54"/>
    <w:rsid w:val="79D0617A"/>
    <w:rsid w:val="79D5B000"/>
    <w:rsid w:val="79E49366"/>
    <w:rsid w:val="79EA9468"/>
    <w:rsid w:val="79EB0C65"/>
    <w:rsid w:val="79F04D48"/>
    <w:rsid w:val="79F38389"/>
    <w:rsid w:val="79F45420"/>
    <w:rsid w:val="79F75A9D"/>
    <w:rsid w:val="79FA2FBC"/>
    <w:rsid w:val="79FE8A5F"/>
    <w:rsid w:val="79FEB97C"/>
    <w:rsid w:val="79FEBDC0"/>
    <w:rsid w:val="79FEDA56"/>
    <w:rsid w:val="79FF3DC4"/>
    <w:rsid w:val="7A049B0E"/>
    <w:rsid w:val="7A08A46E"/>
    <w:rsid w:val="7A0E7BCC"/>
    <w:rsid w:val="7A0EC3B0"/>
    <w:rsid w:val="7A0F1798"/>
    <w:rsid w:val="7A0F3B58"/>
    <w:rsid w:val="7A15A54E"/>
    <w:rsid w:val="7A177B32"/>
    <w:rsid w:val="7A1A1EF8"/>
    <w:rsid w:val="7A1C82D7"/>
    <w:rsid w:val="7A1D6A5D"/>
    <w:rsid w:val="7A1E2BC0"/>
    <w:rsid w:val="7A1EB41B"/>
    <w:rsid w:val="7A1EFC19"/>
    <w:rsid w:val="7A1FB733"/>
    <w:rsid w:val="7A210416"/>
    <w:rsid w:val="7A228823"/>
    <w:rsid w:val="7A25CF4A"/>
    <w:rsid w:val="7A29C4D8"/>
    <w:rsid w:val="7A2F400C"/>
    <w:rsid w:val="7A3466A4"/>
    <w:rsid w:val="7A34E434"/>
    <w:rsid w:val="7A3A5907"/>
    <w:rsid w:val="7A3F8EB0"/>
    <w:rsid w:val="7A41AE18"/>
    <w:rsid w:val="7A474F5A"/>
    <w:rsid w:val="7A48F689"/>
    <w:rsid w:val="7A4F8725"/>
    <w:rsid w:val="7A4FFAB5"/>
    <w:rsid w:val="7A50864C"/>
    <w:rsid w:val="7A51D9DC"/>
    <w:rsid w:val="7A5A41D9"/>
    <w:rsid w:val="7A5B6E02"/>
    <w:rsid w:val="7A632501"/>
    <w:rsid w:val="7A63535F"/>
    <w:rsid w:val="7A694121"/>
    <w:rsid w:val="7A6F1094"/>
    <w:rsid w:val="7A76B9F6"/>
    <w:rsid w:val="7A7FBD2C"/>
    <w:rsid w:val="7A82A574"/>
    <w:rsid w:val="7A83084C"/>
    <w:rsid w:val="7A854BD7"/>
    <w:rsid w:val="7A875B5E"/>
    <w:rsid w:val="7A911B8E"/>
    <w:rsid w:val="7A94AE34"/>
    <w:rsid w:val="7A9BBB87"/>
    <w:rsid w:val="7A9CD175"/>
    <w:rsid w:val="7AA5CA91"/>
    <w:rsid w:val="7AAB3C65"/>
    <w:rsid w:val="7AB29A49"/>
    <w:rsid w:val="7AB43323"/>
    <w:rsid w:val="7AB5BCEE"/>
    <w:rsid w:val="7AB6D8FF"/>
    <w:rsid w:val="7AB9EBCF"/>
    <w:rsid w:val="7ABCFF1B"/>
    <w:rsid w:val="7ABF91E7"/>
    <w:rsid w:val="7AC2E0A6"/>
    <w:rsid w:val="7AC69185"/>
    <w:rsid w:val="7AC6E3CA"/>
    <w:rsid w:val="7ACD38B6"/>
    <w:rsid w:val="7AD87F2D"/>
    <w:rsid w:val="7ADE0200"/>
    <w:rsid w:val="7AE23BAC"/>
    <w:rsid w:val="7AE394FB"/>
    <w:rsid w:val="7AECA8B2"/>
    <w:rsid w:val="7AEE3D4C"/>
    <w:rsid w:val="7AF2DC8A"/>
    <w:rsid w:val="7AF94054"/>
    <w:rsid w:val="7B0054C1"/>
    <w:rsid w:val="7B00E73D"/>
    <w:rsid w:val="7B02D753"/>
    <w:rsid w:val="7B0BC59F"/>
    <w:rsid w:val="7B0CC8D2"/>
    <w:rsid w:val="7B0DFFAD"/>
    <w:rsid w:val="7B155281"/>
    <w:rsid w:val="7B183934"/>
    <w:rsid w:val="7B18961C"/>
    <w:rsid w:val="7B2137DE"/>
    <w:rsid w:val="7B219EC8"/>
    <w:rsid w:val="7B287682"/>
    <w:rsid w:val="7B2D6924"/>
    <w:rsid w:val="7B2E944D"/>
    <w:rsid w:val="7B30FFA0"/>
    <w:rsid w:val="7B32B2DA"/>
    <w:rsid w:val="7B3805CF"/>
    <w:rsid w:val="7B397742"/>
    <w:rsid w:val="7B3B415A"/>
    <w:rsid w:val="7B3D0F8E"/>
    <w:rsid w:val="7B3E7B1C"/>
    <w:rsid w:val="7B46BFB8"/>
    <w:rsid w:val="7B474D3D"/>
    <w:rsid w:val="7B4C71FE"/>
    <w:rsid w:val="7B582F4F"/>
    <w:rsid w:val="7B5A0512"/>
    <w:rsid w:val="7B5BADBC"/>
    <w:rsid w:val="7B5CC094"/>
    <w:rsid w:val="7B62E4D3"/>
    <w:rsid w:val="7B67E3EF"/>
    <w:rsid w:val="7B6BD18F"/>
    <w:rsid w:val="7B6CC69E"/>
    <w:rsid w:val="7B742102"/>
    <w:rsid w:val="7B758D60"/>
    <w:rsid w:val="7B7AA11C"/>
    <w:rsid w:val="7B7B07D4"/>
    <w:rsid w:val="7B7B7BB4"/>
    <w:rsid w:val="7B83AD68"/>
    <w:rsid w:val="7B83C1B6"/>
    <w:rsid w:val="7B87C974"/>
    <w:rsid w:val="7B882E55"/>
    <w:rsid w:val="7B8A2DEF"/>
    <w:rsid w:val="7B8DCDE0"/>
    <w:rsid w:val="7B95F440"/>
    <w:rsid w:val="7B99668C"/>
    <w:rsid w:val="7B9E6FBC"/>
    <w:rsid w:val="7B9E8196"/>
    <w:rsid w:val="7BA268BA"/>
    <w:rsid w:val="7BA274F1"/>
    <w:rsid w:val="7BA3C777"/>
    <w:rsid w:val="7BA611E9"/>
    <w:rsid w:val="7BA9809B"/>
    <w:rsid w:val="7BAA5AEF"/>
    <w:rsid w:val="7BAD1A92"/>
    <w:rsid w:val="7BB21EDC"/>
    <w:rsid w:val="7BBD419A"/>
    <w:rsid w:val="7BBD53F1"/>
    <w:rsid w:val="7BBE4014"/>
    <w:rsid w:val="7BC27620"/>
    <w:rsid w:val="7BC64025"/>
    <w:rsid w:val="7BC84435"/>
    <w:rsid w:val="7BD25221"/>
    <w:rsid w:val="7BD52CCA"/>
    <w:rsid w:val="7BD5B88D"/>
    <w:rsid w:val="7BDC922F"/>
    <w:rsid w:val="7BDCA065"/>
    <w:rsid w:val="7BE046BA"/>
    <w:rsid w:val="7BE1554E"/>
    <w:rsid w:val="7BE361E6"/>
    <w:rsid w:val="7BEBB244"/>
    <w:rsid w:val="7BED8DC1"/>
    <w:rsid w:val="7BF046EC"/>
    <w:rsid w:val="7BF2C93E"/>
    <w:rsid w:val="7BF58B0F"/>
    <w:rsid w:val="7BF6AC2E"/>
    <w:rsid w:val="7BF80858"/>
    <w:rsid w:val="7BF8A6B7"/>
    <w:rsid w:val="7BF9122A"/>
    <w:rsid w:val="7BF9174E"/>
    <w:rsid w:val="7BFF1ACA"/>
    <w:rsid w:val="7BFF5D38"/>
    <w:rsid w:val="7C04A388"/>
    <w:rsid w:val="7C09BF19"/>
    <w:rsid w:val="7C0ADA7D"/>
    <w:rsid w:val="7C137A69"/>
    <w:rsid w:val="7C13FAD0"/>
    <w:rsid w:val="7C1D9467"/>
    <w:rsid w:val="7C1DFED6"/>
    <w:rsid w:val="7C27BD65"/>
    <w:rsid w:val="7C3360C4"/>
    <w:rsid w:val="7C36660C"/>
    <w:rsid w:val="7C384212"/>
    <w:rsid w:val="7C3D68CF"/>
    <w:rsid w:val="7C486AAB"/>
    <w:rsid w:val="7C4997F1"/>
    <w:rsid w:val="7C4A29A8"/>
    <w:rsid w:val="7C4D6B7E"/>
    <w:rsid w:val="7C5291FA"/>
    <w:rsid w:val="7C5653AB"/>
    <w:rsid w:val="7C5929F7"/>
    <w:rsid w:val="7C64BD0E"/>
    <w:rsid w:val="7C6601C5"/>
    <w:rsid w:val="7C6A4B52"/>
    <w:rsid w:val="7C6EC51B"/>
    <w:rsid w:val="7C7459CF"/>
    <w:rsid w:val="7C75B9AC"/>
    <w:rsid w:val="7C777B0C"/>
    <w:rsid w:val="7C786016"/>
    <w:rsid w:val="7C7D8207"/>
    <w:rsid w:val="7C82B7AF"/>
    <w:rsid w:val="7C861228"/>
    <w:rsid w:val="7C864FA5"/>
    <w:rsid w:val="7C8AA97F"/>
    <w:rsid w:val="7C927274"/>
    <w:rsid w:val="7C931158"/>
    <w:rsid w:val="7C981FB2"/>
    <w:rsid w:val="7C99C815"/>
    <w:rsid w:val="7C9CB672"/>
    <w:rsid w:val="7C9DB5D4"/>
    <w:rsid w:val="7C9E519C"/>
    <w:rsid w:val="7C9F16F5"/>
    <w:rsid w:val="7CA088FF"/>
    <w:rsid w:val="7CB00439"/>
    <w:rsid w:val="7CBD35CC"/>
    <w:rsid w:val="7CC796A9"/>
    <w:rsid w:val="7CD10985"/>
    <w:rsid w:val="7CD5C39F"/>
    <w:rsid w:val="7CDBC0C9"/>
    <w:rsid w:val="7CDE1601"/>
    <w:rsid w:val="7CE18E58"/>
    <w:rsid w:val="7CE5B785"/>
    <w:rsid w:val="7CE7B530"/>
    <w:rsid w:val="7CED61B5"/>
    <w:rsid w:val="7CEF3579"/>
    <w:rsid w:val="7CFFF3B6"/>
    <w:rsid w:val="7D0414F0"/>
    <w:rsid w:val="7D0A2777"/>
    <w:rsid w:val="7D12BE78"/>
    <w:rsid w:val="7D1E4A1B"/>
    <w:rsid w:val="7D1E9867"/>
    <w:rsid w:val="7D23A048"/>
    <w:rsid w:val="7D2749FB"/>
    <w:rsid w:val="7D292368"/>
    <w:rsid w:val="7D2A5B35"/>
    <w:rsid w:val="7D2D179E"/>
    <w:rsid w:val="7D3549B6"/>
    <w:rsid w:val="7D38E775"/>
    <w:rsid w:val="7D3D1B02"/>
    <w:rsid w:val="7D400D06"/>
    <w:rsid w:val="7D43CD17"/>
    <w:rsid w:val="7D49C75D"/>
    <w:rsid w:val="7D4AED99"/>
    <w:rsid w:val="7D4C37C6"/>
    <w:rsid w:val="7D4D207D"/>
    <w:rsid w:val="7D52BC5C"/>
    <w:rsid w:val="7D6074BA"/>
    <w:rsid w:val="7D629C35"/>
    <w:rsid w:val="7D62D508"/>
    <w:rsid w:val="7D650CD3"/>
    <w:rsid w:val="7D692164"/>
    <w:rsid w:val="7D6B9378"/>
    <w:rsid w:val="7D6CD429"/>
    <w:rsid w:val="7D784C46"/>
    <w:rsid w:val="7D7AC97A"/>
    <w:rsid w:val="7D7C0A1F"/>
    <w:rsid w:val="7D869628"/>
    <w:rsid w:val="7D8971EA"/>
    <w:rsid w:val="7D8D3DEE"/>
    <w:rsid w:val="7D8E9406"/>
    <w:rsid w:val="7D914ECB"/>
    <w:rsid w:val="7D98C7E2"/>
    <w:rsid w:val="7D9F0599"/>
    <w:rsid w:val="7DA8C6E5"/>
    <w:rsid w:val="7DAC8FED"/>
    <w:rsid w:val="7DB05C06"/>
    <w:rsid w:val="7DB2B6AE"/>
    <w:rsid w:val="7DB3B446"/>
    <w:rsid w:val="7DB72BDE"/>
    <w:rsid w:val="7DB9AE0B"/>
    <w:rsid w:val="7DC71D27"/>
    <w:rsid w:val="7DCBD9AE"/>
    <w:rsid w:val="7DD60EC4"/>
    <w:rsid w:val="7DD6900F"/>
    <w:rsid w:val="7DD6C33C"/>
    <w:rsid w:val="7DD6E9DF"/>
    <w:rsid w:val="7DD806D8"/>
    <w:rsid w:val="7DD95D76"/>
    <w:rsid w:val="7DDC0768"/>
    <w:rsid w:val="7DDDAD37"/>
    <w:rsid w:val="7DE56B44"/>
    <w:rsid w:val="7DEACF60"/>
    <w:rsid w:val="7DF64CEF"/>
    <w:rsid w:val="7DF82A8A"/>
    <w:rsid w:val="7DFA24DE"/>
    <w:rsid w:val="7DFC3B86"/>
    <w:rsid w:val="7DFF7470"/>
    <w:rsid w:val="7E07BEFE"/>
    <w:rsid w:val="7E096414"/>
    <w:rsid w:val="7E09E5C3"/>
    <w:rsid w:val="7E0B976A"/>
    <w:rsid w:val="7E136E34"/>
    <w:rsid w:val="7E14E9C5"/>
    <w:rsid w:val="7E21B07B"/>
    <w:rsid w:val="7E22C387"/>
    <w:rsid w:val="7E269E39"/>
    <w:rsid w:val="7E2D577F"/>
    <w:rsid w:val="7E3CC991"/>
    <w:rsid w:val="7E493C1E"/>
    <w:rsid w:val="7E4DC780"/>
    <w:rsid w:val="7E4F4D45"/>
    <w:rsid w:val="7E4FC33D"/>
    <w:rsid w:val="7E50D0C2"/>
    <w:rsid w:val="7E513AF4"/>
    <w:rsid w:val="7E53E1E4"/>
    <w:rsid w:val="7E5A9177"/>
    <w:rsid w:val="7E5E01EA"/>
    <w:rsid w:val="7E5F6F0A"/>
    <w:rsid w:val="7E6E9A75"/>
    <w:rsid w:val="7E700399"/>
    <w:rsid w:val="7E704F19"/>
    <w:rsid w:val="7E71DD74"/>
    <w:rsid w:val="7E752D63"/>
    <w:rsid w:val="7E75EEAB"/>
    <w:rsid w:val="7E79B0B3"/>
    <w:rsid w:val="7E7B08C0"/>
    <w:rsid w:val="7E7F1BAB"/>
    <w:rsid w:val="7E817449"/>
    <w:rsid w:val="7E84CB79"/>
    <w:rsid w:val="7E85E90E"/>
    <w:rsid w:val="7E8959B6"/>
    <w:rsid w:val="7E89DA31"/>
    <w:rsid w:val="7E8A693B"/>
    <w:rsid w:val="7E8C09E3"/>
    <w:rsid w:val="7E9B01C3"/>
    <w:rsid w:val="7EA0F7CE"/>
    <w:rsid w:val="7EA6B331"/>
    <w:rsid w:val="7EAB2003"/>
    <w:rsid w:val="7EAB4C37"/>
    <w:rsid w:val="7EAC426C"/>
    <w:rsid w:val="7EAD06E0"/>
    <w:rsid w:val="7EAE9DBD"/>
    <w:rsid w:val="7EAEC996"/>
    <w:rsid w:val="7EB389A7"/>
    <w:rsid w:val="7EBD1494"/>
    <w:rsid w:val="7EBD6DF9"/>
    <w:rsid w:val="7EC11A63"/>
    <w:rsid w:val="7EC16709"/>
    <w:rsid w:val="7EC3DA96"/>
    <w:rsid w:val="7ECE49BA"/>
    <w:rsid w:val="7ED21F14"/>
    <w:rsid w:val="7ED3EF6C"/>
    <w:rsid w:val="7ED9B68F"/>
    <w:rsid w:val="7EE32CE8"/>
    <w:rsid w:val="7EE35881"/>
    <w:rsid w:val="7EE3CF5C"/>
    <w:rsid w:val="7EEBF6D6"/>
    <w:rsid w:val="7EFB7ED2"/>
    <w:rsid w:val="7EFD68D8"/>
    <w:rsid w:val="7F0361B1"/>
    <w:rsid w:val="7F08B057"/>
    <w:rsid w:val="7F0E6129"/>
    <w:rsid w:val="7F1018D2"/>
    <w:rsid w:val="7F1639CE"/>
    <w:rsid w:val="7F1DEF5E"/>
    <w:rsid w:val="7F2C9CAB"/>
    <w:rsid w:val="7F380C50"/>
    <w:rsid w:val="7F3C18E6"/>
    <w:rsid w:val="7F3C5BF0"/>
    <w:rsid w:val="7F3D1C6E"/>
    <w:rsid w:val="7F3D9556"/>
    <w:rsid w:val="7F3EA509"/>
    <w:rsid w:val="7F4084F9"/>
    <w:rsid w:val="7F40FCEA"/>
    <w:rsid w:val="7F49F4DD"/>
    <w:rsid w:val="7F4DAA8C"/>
    <w:rsid w:val="7F50B726"/>
    <w:rsid w:val="7F54B472"/>
    <w:rsid w:val="7F56FE7D"/>
    <w:rsid w:val="7F57B575"/>
    <w:rsid w:val="7F59D8DE"/>
    <w:rsid w:val="7F5A8B80"/>
    <w:rsid w:val="7F5C573C"/>
    <w:rsid w:val="7F5C8D3F"/>
    <w:rsid w:val="7F5CA20D"/>
    <w:rsid w:val="7F5D6AE0"/>
    <w:rsid w:val="7F6056DB"/>
    <w:rsid w:val="7F66F4F2"/>
    <w:rsid w:val="7F6B65B2"/>
    <w:rsid w:val="7F6BA0A1"/>
    <w:rsid w:val="7F6D8B62"/>
    <w:rsid w:val="7F72B1A4"/>
    <w:rsid w:val="7F7374EA"/>
    <w:rsid w:val="7F73C718"/>
    <w:rsid w:val="7F7C3B5C"/>
    <w:rsid w:val="7F7C5B98"/>
    <w:rsid w:val="7F7C62E1"/>
    <w:rsid w:val="7F7CC676"/>
    <w:rsid w:val="7F7E5A9A"/>
    <w:rsid w:val="7F7FC9DF"/>
    <w:rsid w:val="7F806576"/>
    <w:rsid w:val="7F81D986"/>
    <w:rsid w:val="7F81E1B4"/>
    <w:rsid w:val="7F85B64F"/>
    <w:rsid w:val="7F85CC9F"/>
    <w:rsid w:val="7F8C873A"/>
    <w:rsid w:val="7F92FA08"/>
    <w:rsid w:val="7F94E459"/>
    <w:rsid w:val="7FA4A9CB"/>
    <w:rsid w:val="7FA91482"/>
    <w:rsid w:val="7FA9E266"/>
    <w:rsid w:val="7FAC1349"/>
    <w:rsid w:val="7FB735B6"/>
    <w:rsid w:val="7FBC054F"/>
    <w:rsid w:val="7FBC91A3"/>
    <w:rsid w:val="7FBE8F3A"/>
    <w:rsid w:val="7FC0D8AB"/>
    <w:rsid w:val="7FC2336E"/>
    <w:rsid w:val="7FC50252"/>
    <w:rsid w:val="7FD0351B"/>
    <w:rsid w:val="7FD72779"/>
    <w:rsid w:val="7FD9BE84"/>
    <w:rsid w:val="7FDBFB61"/>
    <w:rsid w:val="7FE54911"/>
    <w:rsid w:val="7FE753D1"/>
    <w:rsid w:val="7FE85613"/>
    <w:rsid w:val="7FE89B85"/>
    <w:rsid w:val="7FF2B738"/>
    <w:rsid w:val="7FFF68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AC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22"/>
      </w:numPr>
      <w:spacing w:before="240"/>
      <w:outlineLvl w:val="0"/>
    </w:pPr>
    <w:rPr>
      <w:b/>
      <w:smallCaps/>
    </w:rPr>
  </w:style>
  <w:style w:type="paragraph" w:styleId="Heading2">
    <w:name w:val="heading 2"/>
    <w:basedOn w:val="Normal"/>
    <w:next w:val="Text2"/>
    <w:uiPriority w:val="10"/>
    <w:qFormat/>
    <w:pPr>
      <w:keepNext/>
      <w:numPr>
        <w:ilvl w:val="1"/>
        <w:numId w:val="22"/>
      </w:numPr>
      <w:outlineLvl w:val="1"/>
    </w:pPr>
    <w:rPr>
      <w:b/>
    </w:rPr>
  </w:style>
  <w:style w:type="paragraph" w:styleId="Heading3">
    <w:name w:val="heading 3"/>
    <w:basedOn w:val="Normal"/>
    <w:next w:val="Text3"/>
    <w:uiPriority w:val="10"/>
    <w:qFormat/>
    <w:pPr>
      <w:keepNext/>
      <w:numPr>
        <w:ilvl w:val="2"/>
        <w:numId w:val="22"/>
      </w:numPr>
      <w:outlineLvl w:val="2"/>
    </w:pPr>
    <w:rPr>
      <w:i/>
    </w:rPr>
  </w:style>
  <w:style w:type="paragraph" w:styleId="Heading4">
    <w:name w:val="heading 4"/>
    <w:basedOn w:val="Normal"/>
    <w:next w:val="Text4"/>
    <w:uiPriority w:val="10"/>
    <w:qFormat/>
    <w:pPr>
      <w:keepNext/>
      <w:numPr>
        <w:ilvl w:val="3"/>
        <w:numId w:val="22"/>
      </w:numPr>
      <w:outlineLvl w:val="3"/>
    </w:pPr>
  </w:style>
  <w:style w:type="paragraph" w:styleId="Heading5">
    <w:name w:val="heading 5"/>
    <w:basedOn w:val="Normal"/>
    <w:next w:val="Normal"/>
    <w:semiHidden/>
    <w:pPr>
      <w:keepNext/>
      <w:numPr>
        <w:ilvl w:val="4"/>
        <w:numId w:val="22"/>
      </w:numPr>
      <w:outlineLvl w:val="4"/>
    </w:pPr>
  </w:style>
  <w:style w:type="paragraph" w:styleId="Heading6">
    <w:name w:val="heading 6"/>
    <w:basedOn w:val="Normal"/>
    <w:next w:val="Normal"/>
    <w:semiHidden/>
    <w:pPr>
      <w:keepNext/>
      <w:numPr>
        <w:ilvl w:val="5"/>
        <w:numId w:val="22"/>
      </w:numPr>
      <w:outlineLvl w:val="5"/>
    </w:pPr>
  </w:style>
  <w:style w:type="paragraph" w:styleId="Heading7">
    <w:name w:val="heading 7"/>
    <w:basedOn w:val="Normal"/>
    <w:next w:val="Normal"/>
    <w:semiHidden/>
    <w:pPr>
      <w:keepNext/>
      <w:numPr>
        <w:ilvl w:val="6"/>
        <w:numId w:val="22"/>
      </w:numPr>
      <w:outlineLvl w:val="6"/>
    </w:pPr>
  </w:style>
  <w:style w:type="paragraph" w:styleId="Heading8">
    <w:name w:val="heading 8"/>
    <w:basedOn w:val="Normal"/>
    <w:next w:val="Normal"/>
    <w:semiHidden/>
    <w:pPr>
      <w:keepNext/>
      <w:numPr>
        <w:ilvl w:val="7"/>
        <w:numId w:val="22"/>
      </w:numPr>
      <w:outlineLvl w:val="7"/>
    </w:pPr>
  </w:style>
  <w:style w:type="paragraph" w:styleId="Heading9">
    <w:name w:val="heading 9"/>
    <w:basedOn w:val="Normal"/>
    <w:next w:val="Normal"/>
    <w:semiHidden/>
    <w:pPr>
      <w:keepNext/>
      <w:numPr>
        <w:ilvl w:val="8"/>
        <w:numId w:val="2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5"/>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4"/>
      </w:numPr>
    </w:pPr>
  </w:style>
  <w:style w:type="paragraph" w:customStyle="1" w:styleId="ContNumLevel2">
    <w:name w:val="ContNum (Level 2)"/>
    <w:basedOn w:val="Normal"/>
    <w:uiPriority w:val="20"/>
    <w:pPr>
      <w:numPr>
        <w:ilvl w:val="1"/>
        <w:numId w:val="24"/>
      </w:numPr>
    </w:pPr>
  </w:style>
  <w:style w:type="paragraph" w:customStyle="1" w:styleId="ContNumLevel3">
    <w:name w:val="ContNum (Level 3)"/>
    <w:basedOn w:val="Normal"/>
    <w:uiPriority w:val="20"/>
    <w:pPr>
      <w:numPr>
        <w:ilvl w:val="2"/>
        <w:numId w:val="24"/>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23"/>
      </w:numPr>
      <w:spacing w:line="360" w:lineRule="auto"/>
    </w:pPr>
  </w:style>
  <w:style w:type="paragraph" w:customStyle="1" w:styleId="LegalNumPar2">
    <w:name w:val="LegalNumPar2"/>
    <w:basedOn w:val="Normal"/>
    <w:uiPriority w:val="20"/>
    <w:pPr>
      <w:numPr>
        <w:ilvl w:val="1"/>
        <w:numId w:val="23"/>
      </w:numPr>
      <w:spacing w:line="360" w:lineRule="auto"/>
    </w:pPr>
  </w:style>
  <w:style w:type="paragraph" w:customStyle="1" w:styleId="LegalNumPar3">
    <w:name w:val="LegalNumPar3"/>
    <w:basedOn w:val="Normal"/>
    <w:uiPriority w:val="20"/>
    <w:pPr>
      <w:numPr>
        <w:ilvl w:val="2"/>
        <w:numId w:val="23"/>
      </w:numPr>
      <w:spacing w:line="360" w:lineRule="auto"/>
    </w:pPr>
  </w:style>
  <w:style w:type="paragraph" w:styleId="ListBullet">
    <w:name w:val="List Bullet"/>
    <w:basedOn w:val="Normal"/>
    <w:uiPriority w:val="35"/>
    <w:pPr>
      <w:numPr>
        <w:numId w:val="21"/>
      </w:numPr>
    </w:pPr>
  </w:style>
  <w:style w:type="paragraph" w:customStyle="1" w:styleId="ListBulletLevel2">
    <w:name w:val="List Bullet (Level 2)"/>
    <w:basedOn w:val="Normal"/>
    <w:uiPriority w:val="35"/>
    <w:semiHidden/>
    <w:unhideWhenUsed/>
    <w:pPr>
      <w:numPr>
        <w:ilvl w:val="1"/>
        <w:numId w:val="21"/>
      </w:numPr>
    </w:pPr>
  </w:style>
  <w:style w:type="paragraph" w:customStyle="1" w:styleId="ListBulletLevel3">
    <w:name w:val="List Bullet (Level 3)"/>
    <w:basedOn w:val="Normal"/>
    <w:uiPriority w:val="35"/>
    <w:semiHidden/>
    <w:unhideWhenUsed/>
    <w:pPr>
      <w:numPr>
        <w:ilvl w:val="2"/>
        <w:numId w:val="21"/>
      </w:numPr>
    </w:pPr>
  </w:style>
  <w:style w:type="paragraph" w:customStyle="1" w:styleId="ListBulletLevel4">
    <w:name w:val="List Bullet (Level 4)"/>
    <w:basedOn w:val="Normal"/>
    <w:uiPriority w:val="35"/>
    <w:semiHidden/>
    <w:unhideWhenUsed/>
    <w:pPr>
      <w:numPr>
        <w:ilvl w:val="3"/>
        <w:numId w:val="21"/>
      </w:numPr>
    </w:pPr>
  </w:style>
  <w:style w:type="paragraph" w:customStyle="1" w:styleId="ListBullet1">
    <w:name w:val="List Bullet 1"/>
    <w:basedOn w:val="Text1"/>
    <w:uiPriority w:val="35"/>
    <w:pPr>
      <w:numPr>
        <w:numId w:val="20"/>
      </w:numPr>
    </w:pPr>
  </w:style>
  <w:style w:type="paragraph" w:customStyle="1" w:styleId="ListBullet1Level2">
    <w:name w:val="List Bullet 1 (Level 2)"/>
    <w:basedOn w:val="Text1"/>
    <w:uiPriority w:val="35"/>
    <w:semiHidden/>
    <w:unhideWhenUsed/>
    <w:pPr>
      <w:numPr>
        <w:ilvl w:val="1"/>
        <w:numId w:val="20"/>
      </w:numPr>
    </w:pPr>
  </w:style>
  <w:style w:type="paragraph" w:customStyle="1" w:styleId="ListBullet1Level3">
    <w:name w:val="List Bullet 1 (Level 3)"/>
    <w:basedOn w:val="Text1"/>
    <w:uiPriority w:val="35"/>
    <w:semiHidden/>
    <w:unhideWhenUsed/>
    <w:pPr>
      <w:numPr>
        <w:ilvl w:val="2"/>
        <w:numId w:val="20"/>
      </w:numPr>
    </w:pPr>
  </w:style>
  <w:style w:type="paragraph" w:customStyle="1" w:styleId="ListBullet1Level4">
    <w:name w:val="List Bullet 1 (Level 4)"/>
    <w:basedOn w:val="Text1"/>
    <w:uiPriority w:val="35"/>
    <w:semiHidden/>
    <w:unhideWhenUsed/>
    <w:pPr>
      <w:numPr>
        <w:ilvl w:val="3"/>
        <w:numId w:val="20"/>
      </w:numPr>
    </w:pPr>
  </w:style>
  <w:style w:type="paragraph" w:styleId="ListBullet2">
    <w:name w:val="List Bullet 2"/>
    <w:basedOn w:val="Text2"/>
    <w:uiPriority w:val="35"/>
    <w:pPr>
      <w:numPr>
        <w:numId w:val="19"/>
      </w:numPr>
    </w:pPr>
  </w:style>
  <w:style w:type="paragraph" w:customStyle="1" w:styleId="ListBullet2Level2">
    <w:name w:val="List Bullet 2 (Level 2)"/>
    <w:basedOn w:val="Text2"/>
    <w:uiPriority w:val="35"/>
    <w:semiHidden/>
    <w:unhideWhenUsed/>
    <w:pPr>
      <w:numPr>
        <w:ilvl w:val="1"/>
        <w:numId w:val="19"/>
      </w:numPr>
    </w:pPr>
  </w:style>
  <w:style w:type="paragraph" w:customStyle="1" w:styleId="ListBullet2Level3">
    <w:name w:val="List Bullet 2 (Level 3)"/>
    <w:basedOn w:val="Text2"/>
    <w:uiPriority w:val="35"/>
    <w:semiHidden/>
    <w:unhideWhenUsed/>
    <w:pPr>
      <w:numPr>
        <w:ilvl w:val="2"/>
        <w:numId w:val="19"/>
      </w:numPr>
    </w:pPr>
  </w:style>
  <w:style w:type="paragraph" w:customStyle="1" w:styleId="ListBullet2Level4">
    <w:name w:val="List Bullet 2 (Level 4)"/>
    <w:basedOn w:val="Text2"/>
    <w:uiPriority w:val="35"/>
    <w:semiHidden/>
    <w:unhideWhenUsed/>
    <w:pPr>
      <w:numPr>
        <w:ilvl w:val="3"/>
        <w:numId w:val="19"/>
      </w:numPr>
    </w:pPr>
  </w:style>
  <w:style w:type="paragraph" w:styleId="ListBullet3">
    <w:name w:val="List Bullet 3"/>
    <w:basedOn w:val="Text3"/>
    <w:uiPriority w:val="35"/>
    <w:pPr>
      <w:numPr>
        <w:numId w:val="18"/>
      </w:numPr>
    </w:pPr>
  </w:style>
  <w:style w:type="paragraph" w:customStyle="1" w:styleId="ListBullet3Level2">
    <w:name w:val="List Bullet 3 (Level 2)"/>
    <w:basedOn w:val="Text3"/>
    <w:uiPriority w:val="35"/>
    <w:semiHidden/>
    <w:unhideWhenUsed/>
    <w:pPr>
      <w:numPr>
        <w:ilvl w:val="1"/>
        <w:numId w:val="18"/>
      </w:numPr>
    </w:pPr>
  </w:style>
  <w:style w:type="paragraph" w:customStyle="1" w:styleId="ListBullet3Level3">
    <w:name w:val="List Bullet 3 (Level 3)"/>
    <w:basedOn w:val="Text3"/>
    <w:uiPriority w:val="35"/>
    <w:semiHidden/>
    <w:unhideWhenUsed/>
    <w:pPr>
      <w:numPr>
        <w:ilvl w:val="2"/>
        <w:numId w:val="18"/>
      </w:numPr>
    </w:pPr>
  </w:style>
  <w:style w:type="paragraph" w:customStyle="1" w:styleId="ListBullet3Level4">
    <w:name w:val="List Bullet 3 (Level 4)"/>
    <w:basedOn w:val="Text3"/>
    <w:uiPriority w:val="35"/>
    <w:semiHidden/>
    <w:unhideWhenUsed/>
    <w:pPr>
      <w:numPr>
        <w:ilvl w:val="3"/>
        <w:numId w:val="18"/>
      </w:numPr>
    </w:pPr>
  </w:style>
  <w:style w:type="paragraph" w:styleId="ListBullet4">
    <w:name w:val="List Bullet 4"/>
    <w:basedOn w:val="Text4"/>
    <w:uiPriority w:val="35"/>
    <w:pPr>
      <w:numPr>
        <w:numId w:val="17"/>
      </w:numPr>
    </w:pPr>
  </w:style>
  <w:style w:type="paragraph" w:customStyle="1" w:styleId="ListBullet4Level2">
    <w:name w:val="List Bullet 4 (Level 2)"/>
    <w:basedOn w:val="Text4"/>
    <w:uiPriority w:val="35"/>
    <w:semiHidden/>
    <w:unhideWhenUsed/>
    <w:pPr>
      <w:numPr>
        <w:ilvl w:val="1"/>
        <w:numId w:val="17"/>
      </w:numPr>
    </w:pPr>
  </w:style>
  <w:style w:type="paragraph" w:customStyle="1" w:styleId="ListBullet4Level3">
    <w:name w:val="List Bullet 4 (Level 3)"/>
    <w:basedOn w:val="Text4"/>
    <w:uiPriority w:val="35"/>
    <w:semiHidden/>
    <w:unhideWhenUsed/>
    <w:pPr>
      <w:numPr>
        <w:ilvl w:val="2"/>
        <w:numId w:val="17"/>
      </w:numPr>
    </w:pPr>
  </w:style>
  <w:style w:type="paragraph" w:customStyle="1" w:styleId="ListBullet4Level4">
    <w:name w:val="List Bullet 4 (Level 4)"/>
    <w:basedOn w:val="Text4"/>
    <w:uiPriority w:val="35"/>
    <w:semiHidden/>
    <w:unhideWhenUsed/>
    <w:pPr>
      <w:numPr>
        <w:ilvl w:val="3"/>
        <w:numId w:val="17"/>
      </w:numPr>
    </w:pPr>
  </w:style>
  <w:style w:type="paragraph" w:customStyle="1" w:styleId="ListDash">
    <w:name w:val="List Dash"/>
    <w:basedOn w:val="Normal"/>
    <w:uiPriority w:val="35"/>
    <w:pPr>
      <w:numPr>
        <w:numId w:val="11"/>
      </w:numPr>
    </w:pPr>
  </w:style>
  <w:style w:type="paragraph" w:customStyle="1" w:styleId="ListDashLevel2">
    <w:name w:val="List Dash (Level 2)"/>
    <w:basedOn w:val="Normal"/>
    <w:semiHidden/>
    <w:unhideWhenUsed/>
    <w:pPr>
      <w:numPr>
        <w:ilvl w:val="1"/>
        <w:numId w:val="11"/>
      </w:numPr>
    </w:pPr>
  </w:style>
  <w:style w:type="paragraph" w:customStyle="1" w:styleId="ListDashLevel3">
    <w:name w:val="List Dash (Level 3)"/>
    <w:basedOn w:val="Normal"/>
    <w:semiHidden/>
    <w:unhideWhenUsed/>
    <w:pPr>
      <w:numPr>
        <w:ilvl w:val="2"/>
        <w:numId w:val="11"/>
      </w:numPr>
    </w:pPr>
  </w:style>
  <w:style w:type="paragraph" w:customStyle="1" w:styleId="ListDashLevel4">
    <w:name w:val="List Dash (Level 4)"/>
    <w:basedOn w:val="Normal"/>
    <w:semiHidden/>
    <w:unhideWhenUsed/>
    <w:pPr>
      <w:numPr>
        <w:ilvl w:val="3"/>
        <w:numId w:val="11"/>
      </w:numPr>
    </w:pPr>
  </w:style>
  <w:style w:type="paragraph" w:customStyle="1" w:styleId="ListDash1">
    <w:name w:val="List Dash 1"/>
    <w:basedOn w:val="Text1"/>
    <w:uiPriority w:val="35"/>
    <w:pPr>
      <w:numPr>
        <w:numId w:val="10"/>
      </w:numPr>
    </w:pPr>
  </w:style>
  <w:style w:type="paragraph" w:customStyle="1" w:styleId="ListDash1Level2">
    <w:name w:val="List Dash 1 (Level 2)"/>
    <w:basedOn w:val="Text1"/>
    <w:uiPriority w:val="35"/>
    <w:semiHidden/>
    <w:unhideWhenUsed/>
    <w:pPr>
      <w:numPr>
        <w:ilvl w:val="1"/>
        <w:numId w:val="10"/>
      </w:numPr>
    </w:pPr>
  </w:style>
  <w:style w:type="paragraph" w:customStyle="1" w:styleId="ListDash1Level3">
    <w:name w:val="List Dash 1 (Level 3)"/>
    <w:basedOn w:val="Text1"/>
    <w:uiPriority w:val="35"/>
    <w:semiHidden/>
    <w:unhideWhenUsed/>
    <w:pPr>
      <w:numPr>
        <w:ilvl w:val="2"/>
        <w:numId w:val="10"/>
      </w:numPr>
    </w:pPr>
  </w:style>
  <w:style w:type="paragraph" w:customStyle="1" w:styleId="ListDash1Level4">
    <w:name w:val="List Dash 1 (Level 4)"/>
    <w:basedOn w:val="Text1"/>
    <w:uiPriority w:val="35"/>
    <w:semiHidden/>
    <w:unhideWhenUsed/>
    <w:pPr>
      <w:numPr>
        <w:ilvl w:val="3"/>
        <w:numId w:val="10"/>
      </w:numPr>
    </w:pPr>
  </w:style>
  <w:style w:type="paragraph" w:customStyle="1" w:styleId="ListDash2">
    <w:name w:val="List Dash 2"/>
    <w:basedOn w:val="Text2"/>
    <w:uiPriority w:val="35"/>
    <w:pPr>
      <w:numPr>
        <w:numId w:val="9"/>
      </w:numPr>
    </w:pPr>
  </w:style>
  <w:style w:type="paragraph" w:customStyle="1" w:styleId="ListDash2Level2">
    <w:name w:val="List Dash 2 (Level 2)"/>
    <w:basedOn w:val="Text2"/>
    <w:uiPriority w:val="35"/>
    <w:semiHidden/>
    <w:unhideWhenUsed/>
    <w:pPr>
      <w:numPr>
        <w:ilvl w:val="1"/>
        <w:numId w:val="9"/>
      </w:numPr>
    </w:pPr>
  </w:style>
  <w:style w:type="paragraph" w:customStyle="1" w:styleId="ListDash2Level3">
    <w:name w:val="List Dash 2 (Level 3)"/>
    <w:basedOn w:val="Text2"/>
    <w:uiPriority w:val="35"/>
    <w:semiHidden/>
    <w:unhideWhenUsed/>
    <w:pPr>
      <w:numPr>
        <w:ilvl w:val="2"/>
        <w:numId w:val="9"/>
      </w:numPr>
    </w:pPr>
  </w:style>
  <w:style w:type="paragraph" w:customStyle="1" w:styleId="ListDash2Level4">
    <w:name w:val="List Dash 2 (Level 4)"/>
    <w:basedOn w:val="Text2"/>
    <w:uiPriority w:val="35"/>
    <w:semiHidden/>
    <w:unhideWhenUsed/>
    <w:pPr>
      <w:numPr>
        <w:ilvl w:val="3"/>
        <w:numId w:val="9"/>
      </w:numPr>
    </w:pPr>
  </w:style>
  <w:style w:type="paragraph" w:customStyle="1" w:styleId="ListDash3">
    <w:name w:val="List Dash 3"/>
    <w:basedOn w:val="Text3"/>
    <w:uiPriority w:val="35"/>
    <w:pPr>
      <w:numPr>
        <w:numId w:val="8"/>
      </w:numPr>
    </w:pPr>
  </w:style>
  <w:style w:type="paragraph" w:customStyle="1" w:styleId="ListDash3Level2">
    <w:name w:val="List Dash 3 (Level 2)"/>
    <w:basedOn w:val="Text3"/>
    <w:uiPriority w:val="35"/>
    <w:semiHidden/>
    <w:unhideWhenUsed/>
    <w:pPr>
      <w:numPr>
        <w:ilvl w:val="1"/>
        <w:numId w:val="8"/>
      </w:numPr>
    </w:pPr>
  </w:style>
  <w:style w:type="paragraph" w:customStyle="1" w:styleId="ListDash3Level3">
    <w:name w:val="List Dash 3 (Level 3)"/>
    <w:basedOn w:val="Text3"/>
    <w:uiPriority w:val="35"/>
    <w:semiHidden/>
    <w:unhideWhenUsed/>
    <w:pPr>
      <w:numPr>
        <w:ilvl w:val="2"/>
        <w:numId w:val="8"/>
      </w:numPr>
    </w:pPr>
  </w:style>
  <w:style w:type="paragraph" w:customStyle="1" w:styleId="ListDash3Level4">
    <w:name w:val="List Dash 3 (Level 4)"/>
    <w:basedOn w:val="Text3"/>
    <w:uiPriority w:val="35"/>
    <w:semiHidden/>
    <w:unhideWhenUsed/>
    <w:pPr>
      <w:numPr>
        <w:ilvl w:val="3"/>
        <w:numId w:val="8"/>
      </w:numPr>
    </w:pPr>
  </w:style>
  <w:style w:type="paragraph" w:customStyle="1" w:styleId="ListDash4">
    <w:name w:val="List Dash 4"/>
    <w:basedOn w:val="Text4"/>
    <w:uiPriority w:val="35"/>
    <w:pPr>
      <w:numPr>
        <w:numId w:val="7"/>
      </w:numPr>
    </w:pPr>
  </w:style>
  <w:style w:type="paragraph" w:customStyle="1" w:styleId="ListDash4Level2">
    <w:name w:val="List Dash 4 (Level 2)"/>
    <w:basedOn w:val="Text4"/>
    <w:uiPriority w:val="35"/>
    <w:semiHidden/>
    <w:unhideWhenUsed/>
    <w:pPr>
      <w:numPr>
        <w:ilvl w:val="1"/>
        <w:numId w:val="7"/>
      </w:numPr>
    </w:pPr>
  </w:style>
  <w:style w:type="paragraph" w:customStyle="1" w:styleId="ListDash4Level3">
    <w:name w:val="List Dash 4 (Level 3)"/>
    <w:basedOn w:val="Text4"/>
    <w:uiPriority w:val="35"/>
    <w:semiHidden/>
    <w:unhideWhenUsed/>
    <w:pPr>
      <w:numPr>
        <w:ilvl w:val="2"/>
        <w:numId w:val="7"/>
      </w:numPr>
    </w:pPr>
  </w:style>
  <w:style w:type="paragraph" w:customStyle="1" w:styleId="ListDash4Level4">
    <w:name w:val="List Dash 4 (Level 4)"/>
    <w:basedOn w:val="Text4"/>
    <w:uiPriority w:val="35"/>
    <w:semiHidden/>
    <w:unhideWhenUsed/>
    <w:pPr>
      <w:numPr>
        <w:ilvl w:val="3"/>
        <w:numId w:val="7"/>
      </w:numPr>
    </w:pPr>
  </w:style>
  <w:style w:type="paragraph" w:styleId="ListNumber">
    <w:name w:val="List Number"/>
    <w:basedOn w:val="Normal"/>
    <w:uiPriority w:val="30"/>
    <w:pPr>
      <w:numPr>
        <w:numId w:val="16"/>
      </w:numPr>
    </w:pPr>
  </w:style>
  <w:style w:type="paragraph" w:customStyle="1" w:styleId="ListNumberLevel2">
    <w:name w:val="List Number (Level 2)"/>
    <w:basedOn w:val="Normal"/>
    <w:uiPriority w:val="30"/>
    <w:pPr>
      <w:numPr>
        <w:ilvl w:val="1"/>
        <w:numId w:val="16"/>
      </w:numPr>
    </w:pPr>
  </w:style>
  <w:style w:type="paragraph" w:customStyle="1" w:styleId="ListNumberLevel3">
    <w:name w:val="List Number (Level 3)"/>
    <w:basedOn w:val="Normal"/>
    <w:uiPriority w:val="30"/>
    <w:pPr>
      <w:numPr>
        <w:ilvl w:val="2"/>
        <w:numId w:val="16"/>
      </w:numPr>
    </w:pPr>
  </w:style>
  <w:style w:type="paragraph" w:customStyle="1" w:styleId="ListNumberLevel4">
    <w:name w:val="List Number (Level 4)"/>
    <w:basedOn w:val="Normal"/>
    <w:uiPriority w:val="30"/>
    <w:pPr>
      <w:numPr>
        <w:ilvl w:val="3"/>
        <w:numId w:val="16"/>
      </w:numPr>
    </w:pPr>
  </w:style>
  <w:style w:type="paragraph" w:customStyle="1" w:styleId="ListNumber1">
    <w:name w:val="List Number 1"/>
    <w:basedOn w:val="Text1"/>
    <w:uiPriority w:val="30"/>
    <w:pPr>
      <w:numPr>
        <w:numId w:val="15"/>
      </w:numPr>
    </w:pPr>
  </w:style>
  <w:style w:type="paragraph" w:customStyle="1" w:styleId="ListNumber1Level2">
    <w:name w:val="List Number 1 (Level 2)"/>
    <w:basedOn w:val="Text1"/>
    <w:uiPriority w:val="30"/>
    <w:semiHidden/>
    <w:unhideWhenUsed/>
    <w:pPr>
      <w:numPr>
        <w:ilvl w:val="1"/>
        <w:numId w:val="15"/>
      </w:numPr>
    </w:pPr>
  </w:style>
  <w:style w:type="paragraph" w:customStyle="1" w:styleId="ListNumber1Level3">
    <w:name w:val="List Number 1 (Level 3)"/>
    <w:basedOn w:val="Text1"/>
    <w:uiPriority w:val="30"/>
    <w:semiHidden/>
    <w:unhideWhenUsed/>
    <w:pPr>
      <w:numPr>
        <w:ilvl w:val="2"/>
        <w:numId w:val="15"/>
      </w:numPr>
    </w:pPr>
  </w:style>
  <w:style w:type="paragraph" w:customStyle="1" w:styleId="ListNumber1Level4">
    <w:name w:val="List Number 1 (Level 4)"/>
    <w:basedOn w:val="Text1"/>
    <w:uiPriority w:val="30"/>
    <w:semiHidden/>
    <w:unhideWhenUsed/>
    <w:pPr>
      <w:numPr>
        <w:ilvl w:val="3"/>
        <w:numId w:val="15"/>
      </w:numPr>
    </w:pPr>
  </w:style>
  <w:style w:type="paragraph" w:styleId="ListNumber2">
    <w:name w:val="List Number 2"/>
    <w:basedOn w:val="Text2"/>
    <w:uiPriority w:val="30"/>
    <w:pPr>
      <w:numPr>
        <w:numId w:val="14"/>
      </w:numPr>
    </w:pPr>
  </w:style>
  <w:style w:type="paragraph" w:customStyle="1" w:styleId="ListNumber2Level2">
    <w:name w:val="List Number 2 (Level 2)"/>
    <w:basedOn w:val="Text2"/>
    <w:uiPriority w:val="30"/>
    <w:semiHidden/>
    <w:unhideWhenUsed/>
    <w:pPr>
      <w:numPr>
        <w:ilvl w:val="1"/>
        <w:numId w:val="14"/>
      </w:numPr>
    </w:pPr>
  </w:style>
  <w:style w:type="paragraph" w:customStyle="1" w:styleId="ListNumber2Level3">
    <w:name w:val="List Number 2 (Level 3)"/>
    <w:basedOn w:val="Text2"/>
    <w:uiPriority w:val="30"/>
    <w:semiHidden/>
    <w:unhideWhenUsed/>
    <w:pPr>
      <w:numPr>
        <w:ilvl w:val="2"/>
        <w:numId w:val="14"/>
      </w:numPr>
    </w:pPr>
  </w:style>
  <w:style w:type="paragraph" w:customStyle="1" w:styleId="ListNumber2Level4">
    <w:name w:val="List Number 2 (Level 4)"/>
    <w:basedOn w:val="Text2"/>
    <w:uiPriority w:val="30"/>
    <w:semiHidden/>
    <w:unhideWhenUsed/>
    <w:pPr>
      <w:numPr>
        <w:ilvl w:val="3"/>
        <w:numId w:val="14"/>
      </w:numPr>
    </w:pPr>
  </w:style>
  <w:style w:type="paragraph" w:styleId="ListNumber3">
    <w:name w:val="List Number 3"/>
    <w:basedOn w:val="Text3"/>
    <w:uiPriority w:val="30"/>
    <w:pPr>
      <w:numPr>
        <w:numId w:val="13"/>
      </w:numPr>
    </w:pPr>
  </w:style>
  <w:style w:type="paragraph" w:customStyle="1" w:styleId="ListNumber3Level2">
    <w:name w:val="List Number 3 (Level 2)"/>
    <w:basedOn w:val="Text3"/>
    <w:uiPriority w:val="30"/>
    <w:semiHidden/>
    <w:unhideWhenUsed/>
    <w:pPr>
      <w:numPr>
        <w:ilvl w:val="1"/>
        <w:numId w:val="13"/>
      </w:numPr>
    </w:pPr>
  </w:style>
  <w:style w:type="paragraph" w:customStyle="1" w:styleId="ListNumber3Level3">
    <w:name w:val="List Number 3 (Level 3)"/>
    <w:basedOn w:val="Text3"/>
    <w:uiPriority w:val="30"/>
    <w:semiHidden/>
    <w:unhideWhenUsed/>
    <w:pPr>
      <w:numPr>
        <w:ilvl w:val="2"/>
        <w:numId w:val="13"/>
      </w:numPr>
    </w:pPr>
  </w:style>
  <w:style w:type="paragraph" w:customStyle="1" w:styleId="ListNumber3Level4">
    <w:name w:val="List Number 3 (Level 4)"/>
    <w:basedOn w:val="Text3"/>
    <w:uiPriority w:val="30"/>
    <w:semiHidden/>
    <w:unhideWhenUsed/>
    <w:pPr>
      <w:numPr>
        <w:ilvl w:val="3"/>
        <w:numId w:val="13"/>
      </w:numPr>
    </w:pPr>
  </w:style>
  <w:style w:type="paragraph" w:styleId="ListNumber4">
    <w:name w:val="List Number 4"/>
    <w:basedOn w:val="Text4"/>
    <w:uiPriority w:val="30"/>
    <w:pPr>
      <w:numPr>
        <w:numId w:val="12"/>
      </w:numPr>
    </w:pPr>
  </w:style>
  <w:style w:type="paragraph" w:customStyle="1" w:styleId="ListNumber4Level2">
    <w:name w:val="List Number 4 (Level 2)"/>
    <w:basedOn w:val="Text4"/>
    <w:uiPriority w:val="30"/>
    <w:semiHidden/>
    <w:unhideWhenUsed/>
    <w:pPr>
      <w:numPr>
        <w:ilvl w:val="1"/>
        <w:numId w:val="12"/>
      </w:numPr>
    </w:pPr>
  </w:style>
  <w:style w:type="paragraph" w:customStyle="1" w:styleId="ListNumber4Level3">
    <w:name w:val="List Number 4 (Level 3)"/>
    <w:basedOn w:val="Text4"/>
    <w:uiPriority w:val="30"/>
    <w:semiHidden/>
    <w:unhideWhenUsed/>
    <w:pPr>
      <w:numPr>
        <w:ilvl w:val="2"/>
        <w:numId w:val="12"/>
      </w:numPr>
    </w:pPr>
  </w:style>
  <w:style w:type="paragraph" w:customStyle="1" w:styleId="ListNumber4Level4">
    <w:name w:val="List Number 4 (Level 4)"/>
    <w:basedOn w:val="Text4"/>
    <w:uiPriority w:val="30"/>
    <w:semiHidden/>
    <w:unhideWhenUsed/>
    <w:pPr>
      <w:numPr>
        <w:ilvl w:val="3"/>
        <w:numId w:val="12"/>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rsid w:val="05F8CE33"/>
    <w:pPr>
      <w:keepNext w:val="0"/>
      <w:spacing w:before="0"/>
    </w:pPr>
    <w:rPr>
      <w:b w:val="0"/>
      <w:bCs/>
      <w:smallCaps w:val="0"/>
    </w:rPr>
  </w:style>
  <w:style w:type="paragraph" w:customStyle="1" w:styleId="NumPar2">
    <w:name w:val="NumPar 2"/>
    <w:basedOn w:val="Heading2"/>
    <w:uiPriority w:val="20"/>
    <w:qFormat/>
    <w:rsid w:val="05F8CE33"/>
    <w:pPr>
      <w:keepNext w:val="0"/>
    </w:pPr>
    <w:rPr>
      <w:b w:val="0"/>
      <w:bCs/>
    </w:rPr>
  </w:style>
  <w:style w:type="paragraph" w:customStyle="1" w:styleId="NumPar3">
    <w:name w:val="NumPar 3"/>
    <w:basedOn w:val="Heading3"/>
    <w:uiPriority w:val="20"/>
    <w:qFormat/>
    <w:rsid w:val="05F8CE33"/>
    <w:pPr>
      <w:keepNext w:val="0"/>
    </w:pPr>
    <w:rPr>
      <w:i w:val="0"/>
      <w:iCs/>
    </w:rPr>
  </w:style>
  <w:style w:type="paragraph" w:customStyle="1" w:styleId="NumPar4">
    <w:name w:val="NumPar 4"/>
    <w:basedOn w:val="Heading4"/>
    <w:uiPriority w:val="20"/>
    <w:qFormat/>
    <w:rsid w:val="05F8CE33"/>
    <w:pPr>
      <w:keepNext w:val="0"/>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6"/>
      </w:numPr>
    </w:pPr>
  </w:style>
  <w:style w:type="paragraph" w:customStyle="1" w:styleId="TableListBulletLevel2">
    <w:name w:val="Table List Bullet (Level 2)"/>
    <w:basedOn w:val="TableText"/>
    <w:uiPriority w:val="55"/>
    <w:semiHidden/>
    <w:unhideWhenUsed/>
    <w:pPr>
      <w:numPr>
        <w:ilvl w:val="1"/>
        <w:numId w:val="26"/>
      </w:numPr>
    </w:pPr>
  </w:style>
  <w:style w:type="paragraph" w:customStyle="1" w:styleId="TableListBulletLevel3">
    <w:name w:val="Table List Bullet (Level 3)"/>
    <w:basedOn w:val="TableText"/>
    <w:uiPriority w:val="55"/>
    <w:semiHidden/>
    <w:unhideWhenUsed/>
    <w:pPr>
      <w:numPr>
        <w:ilvl w:val="2"/>
        <w:numId w:val="26"/>
      </w:numPr>
    </w:pPr>
  </w:style>
  <w:style w:type="paragraph" w:customStyle="1" w:styleId="TableListBulletLevel4">
    <w:name w:val="Table List Bullet (Level 4)"/>
    <w:basedOn w:val="TableText"/>
    <w:uiPriority w:val="55"/>
    <w:semiHidden/>
    <w:unhideWhenUsed/>
    <w:pPr>
      <w:numPr>
        <w:ilvl w:val="3"/>
        <w:numId w:val="26"/>
      </w:numPr>
    </w:pPr>
  </w:style>
  <w:style w:type="paragraph" w:customStyle="1" w:styleId="TableListDash">
    <w:name w:val="Table List Dash"/>
    <w:basedOn w:val="TableText"/>
    <w:uiPriority w:val="55"/>
    <w:pPr>
      <w:numPr>
        <w:numId w:val="27"/>
      </w:numPr>
    </w:pPr>
  </w:style>
  <w:style w:type="paragraph" w:customStyle="1" w:styleId="TableListDashLevel2">
    <w:name w:val="Table List Dash (Level 2)"/>
    <w:basedOn w:val="TableText"/>
    <w:uiPriority w:val="55"/>
    <w:semiHidden/>
    <w:unhideWhenUsed/>
    <w:pPr>
      <w:numPr>
        <w:ilvl w:val="1"/>
        <w:numId w:val="27"/>
      </w:numPr>
    </w:pPr>
  </w:style>
  <w:style w:type="paragraph" w:customStyle="1" w:styleId="TableListDashLevel3">
    <w:name w:val="Table List Dash (Level 3)"/>
    <w:basedOn w:val="TableText"/>
    <w:uiPriority w:val="55"/>
    <w:semiHidden/>
    <w:unhideWhenUsed/>
    <w:pPr>
      <w:numPr>
        <w:ilvl w:val="2"/>
        <w:numId w:val="27"/>
      </w:numPr>
    </w:pPr>
  </w:style>
  <w:style w:type="paragraph" w:customStyle="1" w:styleId="TableListDashLevel4">
    <w:name w:val="Table List Dash (Level 4)"/>
    <w:basedOn w:val="TableText"/>
    <w:uiPriority w:val="55"/>
    <w:semiHidden/>
    <w:unhideWhenUsed/>
    <w:pPr>
      <w:numPr>
        <w:ilvl w:val="3"/>
        <w:numId w:val="27"/>
      </w:numPr>
    </w:pPr>
  </w:style>
  <w:style w:type="paragraph" w:customStyle="1" w:styleId="TableListNumber">
    <w:name w:val="Table List Number"/>
    <w:basedOn w:val="TableText"/>
    <w:uiPriority w:val="55"/>
    <w:pPr>
      <w:numPr>
        <w:numId w:val="28"/>
      </w:numPr>
    </w:pPr>
  </w:style>
  <w:style w:type="paragraph" w:customStyle="1" w:styleId="TableListNumberLevel2">
    <w:name w:val="Table List Number (Level 2)"/>
    <w:basedOn w:val="TableText"/>
    <w:uiPriority w:val="55"/>
    <w:semiHidden/>
    <w:unhideWhenUsed/>
    <w:pPr>
      <w:numPr>
        <w:ilvl w:val="1"/>
        <w:numId w:val="28"/>
      </w:numPr>
    </w:pPr>
  </w:style>
  <w:style w:type="paragraph" w:customStyle="1" w:styleId="TableListNumberLevel3">
    <w:name w:val="Table List Number (Level 3)"/>
    <w:basedOn w:val="TableText"/>
    <w:uiPriority w:val="55"/>
    <w:semiHidden/>
    <w:unhideWhenUsed/>
    <w:pPr>
      <w:numPr>
        <w:ilvl w:val="2"/>
        <w:numId w:val="28"/>
      </w:numPr>
    </w:pPr>
  </w:style>
  <w:style w:type="paragraph" w:customStyle="1" w:styleId="TableListNumberLevel4">
    <w:name w:val="Table List Number (Level 4)"/>
    <w:basedOn w:val="TableText"/>
    <w:uiPriority w:val="55"/>
    <w:semiHidden/>
    <w:unhideWhenUsed/>
    <w:pPr>
      <w:numPr>
        <w:ilvl w:val="3"/>
        <w:numId w:val="28"/>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aliases w:val="Document Table"/>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aliases w:val="Normal bullet 2,Bullet list,List Paragraph1,Numbered List,1st level - Bullet List Paragraph,Lettre d'introduction,Paragrafo elenco,List Paragraph11,Normal bullet 21,List Paragraph111,Bullet list1,Dot pt,No Spacing1,Indicator Text,Bullet 1"/>
    <w:basedOn w:val="Normal"/>
    <w:link w:val="ListParagraphChar"/>
    <w:uiPriority w:val="34"/>
    <w:qFormat/>
    <w:rsid w:val="00846E24"/>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character" w:customStyle="1" w:styleId="FootnoteTextChar">
    <w:name w:val="Footnote Text Char"/>
    <w:basedOn w:val="DefaultParagraphFont"/>
    <w:link w:val="FootnoteText"/>
    <w:uiPriority w:val="99"/>
    <w:rsid w:val="00846E24"/>
    <w:rPr>
      <w:sz w:val="20"/>
    </w:r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basedOn w:val="DefaultParagraphFont"/>
    <w:link w:val="ListParagraph"/>
    <w:uiPriority w:val="34"/>
    <w:qFormat/>
    <w:locked/>
    <w:rsid w:val="00846E24"/>
    <w:rPr>
      <w:rFonts w:asciiTheme="minorHAnsi" w:eastAsiaTheme="minorHAnsi" w:hAnsiTheme="minorHAnsi" w:cstheme="minorBidi"/>
      <w:kern w:val="2"/>
      <w:sz w:val="22"/>
      <w:szCs w:val="22"/>
      <w:lang w:val="ro-RO" w:eastAsia="en-US"/>
      <w14:ligatures w14:val="standardContextual"/>
    </w:rPr>
  </w:style>
  <w:style w:type="character" w:styleId="CommentReference">
    <w:name w:val="annotation reference"/>
    <w:basedOn w:val="DefaultParagraphFont"/>
    <w:uiPriority w:val="99"/>
    <w:semiHidden/>
    <w:unhideWhenUsed/>
    <w:rsid w:val="00846E24"/>
    <w:rPr>
      <w:sz w:val="16"/>
      <w:szCs w:val="16"/>
    </w:rPr>
  </w:style>
  <w:style w:type="paragraph" w:styleId="CommentText">
    <w:name w:val="annotation text"/>
    <w:basedOn w:val="Normal"/>
    <w:link w:val="CommentTextChar"/>
    <w:uiPriority w:val="99"/>
    <w:unhideWhenUsed/>
    <w:rsid w:val="00846E24"/>
    <w:pPr>
      <w:spacing w:after="160"/>
      <w:jc w:val="left"/>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sid w:val="00846E24"/>
    <w:rPr>
      <w:rFonts w:asciiTheme="minorHAnsi" w:eastAsiaTheme="minorHAnsi" w:hAnsiTheme="minorHAnsi" w:cstheme="minorBidi"/>
      <w:kern w:val="2"/>
      <w:sz w:val="20"/>
      <w:lang w:val="ro-RO" w:eastAsia="en-US"/>
      <w14:ligatures w14:val="standardContextual"/>
    </w:rPr>
  </w:style>
  <w:style w:type="paragraph" w:styleId="CommentSubject">
    <w:name w:val="annotation subject"/>
    <w:basedOn w:val="CommentText"/>
    <w:next w:val="CommentText"/>
    <w:link w:val="CommentSubjectChar"/>
    <w:uiPriority w:val="99"/>
    <w:semiHidden/>
    <w:rsid w:val="00846E24"/>
    <w:pPr>
      <w:spacing w:after="240"/>
      <w:jc w:val="both"/>
    </w:pPr>
    <w:rPr>
      <w:rFonts w:ascii="Times New Roman" w:eastAsia="Times New Roman" w:hAnsi="Times New Roman" w:cs="Times New Roman"/>
      <w:b/>
      <w:bCs/>
      <w:kern w:val="0"/>
      <w:lang w:eastAsia="en-IE"/>
      <w14:ligatures w14:val="none"/>
    </w:rPr>
  </w:style>
  <w:style w:type="character" w:customStyle="1" w:styleId="CommentSubjectChar">
    <w:name w:val="Comment Subject Char"/>
    <w:basedOn w:val="CommentTextChar"/>
    <w:link w:val="CommentSubject"/>
    <w:uiPriority w:val="99"/>
    <w:semiHidden/>
    <w:rsid w:val="00846E24"/>
    <w:rPr>
      <w:rFonts w:asciiTheme="minorHAnsi" w:eastAsiaTheme="minorHAnsi" w:hAnsiTheme="minorHAnsi" w:cstheme="minorBidi"/>
      <w:b/>
      <w:bCs/>
      <w:kern w:val="2"/>
      <w:sz w:val="20"/>
      <w:lang w:val="ro-RO" w:eastAsia="en-US"/>
      <w14:ligatures w14:val="standardContextual"/>
    </w:rPr>
  </w:style>
  <w:style w:type="paragraph" w:styleId="Revision">
    <w:name w:val="Revision"/>
    <w:hidden/>
    <w:uiPriority w:val="99"/>
    <w:semiHidden/>
    <w:rsid w:val="0062250F"/>
  </w:style>
  <w:style w:type="character" w:styleId="Hyperlink">
    <w:name w:val="Hyperlink"/>
    <w:basedOn w:val="DefaultParagraphFont"/>
    <w:uiPriority w:val="99"/>
    <w:semiHidden/>
    <w:rsid w:val="00353B59"/>
    <w:rPr>
      <w:color w:val="0563C1" w:themeColor="hyperlink"/>
      <w:u w:val="single"/>
    </w:rPr>
  </w:style>
  <w:style w:type="character" w:customStyle="1" w:styleId="UnresolvedMention1">
    <w:name w:val="Unresolved Mention1"/>
    <w:basedOn w:val="DefaultParagraphFont"/>
    <w:uiPriority w:val="99"/>
    <w:semiHidden/>
    <w:unhideWhenUsed/>
    <w:rsid w:val="00353B59"/>
    <w:rPr>
      <w:color w:val="605E5C"/>
      <w:shd w:val="clear" w:color="auto" w:fill="E1DFDD"/>
    </w:rPr>
  </w:style>
  <w:style w:type="paragraph" w:customStyle="1" w:styleId="Default">
    <w:name w:val="Default"/>
    <w:rsid w:val="002F7995"/>
    <w:pPr>
      <w:autoSpaceDE w:val="0"/>
      <w:autoSpaceDN w:val="0"/>
      <w:adjustRightInd w:val="0"/>
    </w:pPr>
    <w:rPr>
      <w:rFonts w:ascii="Arial" w:hAnsi="Arial" w:cs="Arial"/>
      <w:color w:val="000000"/>
      <w:szCs w:val="24"/>
    </w:rPr>
  </w:style>
  <w:style w:type="character" w:customStyle="1" w:styleId="CommentTextChar1">
    <w:name w:val="Comment Text Char1"/>
    <w:basedOn w:val="DefaultParagraphFont"/>
    <w:uiPriority w:val="99"/>
    <w:rsid w:val="00C30FC1"/>
    <w:rPr>
      <w:lang w:val="ro-RO" w:eastAsia="en-US"/>
    </w:rPr>
  </w:style>
  <w:style w:type="character" w:customStyle="1" w:styleId="normaltextrun">
    <w:name w:val="normaltextrun"/>
    <w:basedOn w:val="DefaultParagraphFont"/>
    <w:rsid w:val="008A152E"/>
  </w:style>
  <w:style w:type="character" w:styleId="FollowedHyperlink">
    <w:name w:val="FollowedHyperlink"/>
    <w:basedOn w:val="DefaultParagraphFont"/>
    <w:uiPriority w:val="99"/>
    <w:semiHidden/>
    <w:rsid w:val="006774EF"/>
    <w:rPr>
      <w:color w:val="954F72" w:themeColor="followedHyperlink"/>
      <w:u w:val="single"/>
    </w:rPr>
  </w:style>
  <w:style w:type="character" w:customStyle="1" w:styleId="Mention1">
    <w:name w:val="Mention1"/>
    <w:basedOn w:val="DefaultParagraphFont"/>
    <w:uiPriority w:val="99"/>
    <w:unhideWhenUsed/>
    <w:rsid w:val="00487537"/>
    <w:rPr>
      <w:color w:val="2B579A"/>
      <w:shd w:val="clear" w:color="auto" w:fill="E1DFDD"/>
    </w:rPr>
  </w:style>
  <w:style w:type="character" w:customStyle="1" w:styleId="Marker">
    <w:name w:val="Marker"/>
    <w:basedOn w:val="DefaultParagraphFont"/>
    <w:rsid w:val="00F84713"/>
    <w:rPr>
      <w:color w:val="0000FF"/>
      <w:shd w:val="clear" w:color="auto" w:fill="auto"/>
    </w:rPr>
  </w:style>
  <w:style w:type="paragraph" w:customStyle="1" w:styleId="Pagedecouverture">
    <w:name w:val="Page de couverture"/>
    <w:basedOn w:val="Normal"/>
    <w:next w:val="Normal"/>
    <w:link w:val="PagedecouvertureChar"/>
    <w:rsid w:val="00F84713"/>
    <w:pPr>
      <w:spacing w:after="0"/>
    </w:pPr>
    <w:rPr>
      <w:rFonts w:eastAsiaTheme="minorHAnsi"/>
      <w:szCs w:val="22"/>
      <w:lang w:eastAsia="en-US"/>
    </w:rPr>
  </w:style>
  <w:style w:type="paragraph" w:customStyle="1" w:styleId="Typedudocument">
    <w:name w:val="Type du document"/>
    <w:basedOn w:val="Normal"/>
    <w:next w:val="Normal"/>
    <w:rsid w:val="00F84713"/>
    <w:pPr>
      <w:spacing w:before="360" w:after="0"/>
      <w:jc w:val="center"/>
    </w:pPr>
    <w:rPr>
      <w:rFonts w:eastAsiaTheme="minorHAnsi"/>
      <w:b/>
      <w:szCs w:val="22"/>
      <w:lang w:eastAsia="en-US"/>
    </w:rPr>
  </w:style>
  <w:style w:type="paragraph" w:customStyle="1" w:styleId="Titreobjet">
    <w:name w:val="Titre objet"/>
    <w:basedOn w:val="Normal"/>
    <w:next w:val="Normal"/>
    <w:rsid w:val="00F84713"/>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rsid w:val="00F84713"/>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F84713"/>
    <w:rPr>
      <w:rFonts w:eastAsiaTheme="minorHAnsi"/>
      <w:szCs w:val="22"/>
      <w:lang w:eastAsia="en-US"/>
    </w:rPr>
  </w:style>
  <w:style w:type="character" w:customStyle="1" w:styleId="FooterCoverPageChar">
    <w:name w:val="Footer Cover Page Char"/>
    <w:basedOn w:val="PagedecouvertureChar"/>
    <w:link w:val="FooterCoverPage"/>
    <w:rsid w:val="00F84713"/>
    <w:rPr>
      <w:rFonts w:eastAsiaTheme="minorHAnsi"/>
      <w:szCs w:val="22"/>
      <w:lang w:eastAsia="en-US"/>
    </w:rPr>
  </w:style>
  <w:style w:type="paragraph" w:customStyle="1" w:styleId="FooterSensitivity">
    <w:name w:val="Footer Sensitivity"/>
    <w:basedOn w:val="Normal"/>
    <w:link w:val="FooterSensitivityChar"/>
    <w:rsid w:val="00F8471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F84713"/>
    <w:rPr>
      <w:rFonts w:eastAsiaTheme="minorHAnsi"/>
      <w:b/>
      <w:sz w:val="32"/>
      <w:szCs w:val="22"/>
      <w:lang w:eastAsia="en-US"/>
    </w:rPr>
  </w:style>
  <w:style w:type="paragraph" w:customStyle="1" w:styleId="HeaderCoverPage">
    <w:name w:val="Header Cover Page"/>
    <w:basedOn w:val="Normal"/>
    <w:link w:val="HeaderCoverPageChar"/>
    <w:rsid w:val="00F84713"/>
    <w:pPr>
      <w:tabs>
        <w:tab w:val="center" w:pos="4535"/>
        <w:tab w:val="right" w:pos="9071"/>
      </w:tabs>
      <w:spacing w:after="120"/>
    </w:pPr>
  </w:style>
  <w:style w:type="character" w:customStyle="1" w:styleId="HeaderCoverPageChar">
    <w:name w:val="Header Cover Page Char"/>
    <w:basedOn w:val="PagedecouvertureChar"/>
    <w:link w:val="HeaderCoverPage"/>
    <w:rsid w:val="00F84713"/>
    <w:rPr>
      <w:rFonts w:eastAsiaTheme="minorHAnsi"/>
      <w:szCs w:val="22"/>
      <w:lang w:eastAsia="en-US"/>
    </w:rPr>
  </w:style>
  <w:style w:type="paragraph" w:customStyle="1" w:styleId="HeaderSensitivity">
    <w:name w:val="Header Sensitivity"/>
    <w:basedOn w:val="Normal"/>
    <w:link w:val="HeaderSensitivityChar"/>
    <w:rsid w:val="00F8471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F84713"/>
    <w:rPr>
      <w:rFonts w:eastAsiaTheme="minorHAnsi"/>
      <w:b/>
      <w:sz w:val="32"/>
      <w:szCs w:val="22"/>
      <w:lang w:eastAsia="en-US"/>
    </w:rPr>
  </w:style>
  <w:style w:type="paragraph" w:customStyle="1" w:styleId="HeaderSensitivityRight">
    <w:name w:val="Header Sensitivity Right"/>
    <w:basedOn w:val="Normal"/>
    <w:link w:val="HeaderSensitivityRightChar"/>
    <w:rsid w:val="00F84713"/>
    <w:pPr>
      <w:spacing w:after="120"/>
      <w:jc w:val="right"/>
    </w:pPr>
    <w:rPr>
      <w:sz w:val="28"/>
    </w:rPr>
  </w:style>
  <w:style w:type="character" w:customStyle="1" w:styleId="HeaderSensitivityRightChar">
    <w:name w:val="Header Sensitivity Right Char"/>
    <w:basedOn w:val="PagedecouvertureChar"/>
    <w:link w:val="HeaderSensitivityRight"/>
    <w:rsid w:val="00F84713"/>
    <w:rPr>
      <w:rFonts w:eastAsiaTheme="minorHAnsi"/>
      <w:sz w:val="28"/>
      <w:szCs w:val="22"/>
      <w:lang w:eastAsia="en-US"/>
    </w:rPr>
  </w:style>
  <w:style w:type="character" w:customStyle="1" w:styleId="FooterChar">
    <w:name w:val="Footer Char"/>
    <w:basedOn w:val="DefaultParagraphFont"/>
    <w:link w:val="Footer"/>
    <w:uiPriority w:val="99"/>
    <w:rsid w:val="00D518D5"/>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0296">
      <w:bodyDiv w:val="1"/>
      <w:marLeft w:val="0"/>
      <w:marRight w:val="0"/>
      <w:marTop w:val="0"/>
      <w:marBottom w:val="0"/>
      <w:divBdr>
        <w:top w:val="none" w:sz="0" w:space="0" w:color="auto"/>
        <w:left w:val="none" w:sz="0" w:space="0" w:color="auto"/>
        <w:bottom w:val="none" w:sz="0" w:space="0" w:color="auto"/>
        <w:right w:val="none" w:sz="0" w:space="0" w:color="auto"/>
      </w:divBdr>
      <w:divsChild>
        <w:div w:id="442919873">
          <w:marLeft w:val="720"/>
          <w:marRight w:val="0"/>
          <w:marTop w:val="0"/>
          <w:marBottom w:val="120"/>
          <w:divBdr>
            <w:top w:val="none" w:sz="0" w:space="0" w:color="auto"/>
            <w:left w:val="none" w:sz="0" w:space="0" w:color="auto"/>
            <w:bottom w:val="none" w:sz="0" w:space="0" w:color="auto"/>
            <w:right w:val="none" w:sz="0" w:space="0" w:color="auto"/>
          </w:divBdr>
        </w:div>
      </w:divsChild>
    </w:div>
    <w:div w:id="49772170">
      <w:bodyDiv w:val="1"/>
      <w:marLeft w:val="0"/>
      <w:marRight w:val="0"/>
      <w:marTop w:val="0"/>
      <w:marBottom w:val="0"/>
      <w:divBdr>
        <w:top w:val="none" w:sz="0" w:space="0" w:color="auto"/>
        <w:left w:val="none" w:sz="0" w:space="0" w:color="auto"/>
        <w:bottom w:val="none" w:sz="0" w:space="0" w:color="auto"/>
        <w:right w:val="none" w:sz="0" w:space="0" w:color="auto"/>
      </w:divBdr>
    </w:div>
    <w:div w:id="100801257">
      <w:bodyDiv w:val="1"/>
      <w:marLeft w:val="0"/>
      <w:marRight w:val="0"/>
      <w:marTop w:val="0"/>
      <w:marBottom w:val="0"/>
      <w:divBdr>
        <w:top w:val="none" w:sz="0" w:space="0" w:color="auto"/>
        <w:left w:val="none" w:sz="0" w:space="0" w:color="auto"/>
        <w:bottom w:val="none" w:sz="0" w:space="0" w:color="auto"/>
        <w:right w:val="none" w:sz="0" w:space="0" w:color="auto"/>
      </w:divBdr>
    </w:div>
    <w:div w:id="109513383">
      <w:bodyDiv w:val="1"/>
      <w:marLeft w:val="0"/>
      <w:marRight w:val="0"/>
      <w:marTop w:val="0"/>
      <w:marBottom w:val="0"/>
      <w:divBdr>
        <w:top w:val="none" w:sz="0" w:space="0" w:color="auto"/>
        <w:left w:val="none" w:sz="0" w:space="0" w:color="auto"/>
        <w:bottom w:val="none" w:sz="0" w:space="0" w:color="auto"/>
        <w:right w:val="none" w:sz="0" w:space="0" w:color="auto"/>
      </w:divBdr>
    </w:div>
    <w:div w:id="121121833">
      <w:bodyDiv w:val="1"/>
      <w:marLeft w:val="0"/>
      <w:marRight w:val="0"/>
      <w:marTop w:val="0"/>
      <w:marBottom w:val="0"/>
      <w:divBdr>
        <w:top w:val="none" w:sz="0" w:space="0" w:color="auto"/>
        <w:left w:val="none" w:sz="0" w:space="0" w:color="auto"/>
        <w:bottom w:val="none" w:sz="0" w:space="0" w:color="auto"/>
        <w:right w:val="none" w:sz="0" w:space="0" w:color="auto"/>
      </w:divBdr>
    </w:div>
    <w:div w:id="135534250">
      <w:bodyDiv w:val="1"/>
      <w:marLeft w:val="0"/>
      <w:marRight w:val="0"/>
      <w:marTop w:val="0"/>
      <w:marBottom w:val="0"/>
      <w:divBdr>
        <w:top w:val="none" w:sz="0" w:space="0" w:color="auto"/>
        <w:left w:val="none" w:sz="0" w:space="0" w:color="auto"/>
        <w:bottom w:val="none" w:sz="0" w:space="0" w:color="auto"/>
        <w:right w:val="none" w:sz="0" w:space="0" w:color="auto"/>
      </w:divBdr>
    </w:div>
    <w:div w:id="169569858">
      <w:bodyDiv w:val="1"/>
      <w:marLeft w:val="0"/>
      <w:marRight w:val="0"/>
      <w:marTop w:val="0"/>
      <w:marBottom w:val="0"/>
      <w:divBdr>
        <w:top w:val="none" w:sz="0" w:space="0" w:color="auto"/>
        <w:left w:val="none" w:sz="0" w:space="0" w:color="auto"/>
        <w:bottom w:val="none" w:sz="0" w:space="0" w:color="auto"/>
        <w:right w:val="none" w:sz="0" w:space="0" w:color="auto"/>
      </w:divBdr>
    </w:div>
    <w:div w:id="177938180">
      <w:bodyDiv w:val="1"/>
      <w:marLeft w:val="0"/>
      <w:marRight w:val="0"/>
      <w:marTop w:val="0"/>
      <w:marBottom w:val="0"/>
      <w:divBdr>
        <w:top w:val="none" w:sz="0" w:space="0" w:color="auto"/>
        <w:left w:val="none" w:sz="0" w:space="0" w:color="auto"/>
        <w:bottom w:val="none" w:sz="0" w:space="0" w:color="auto"/>
        <w:right w:val="none" w:sz="0" w:space="0" w:color="auto"/>
      </w:divBdr>
    </w:div>
    <w:div w:id="195311999">
      <w:bodyDiv w:val="1"/>
      <w:marLeft w:val="0"/>
      <w:marRight w:val="0"/>
      <w:marTop w:val="0"/>
      <w:marBottom w:val="0"/>
      <w:divBdr>
        <w:top w:val="none" w:sz="0" w:space="0" w:color="auto"/>
        <w:left w:val="none" w:sz="0" w:space="0" w:color="auto"/>
        <w:bottom w:val="none" w:sz="0" w:space="0" w:color="auto"/>
        <w:right w:val="none" w:sz="0" w:space="0" w:color="auto"/>
      </w:divBdr>
    </w:div>
    <w:div w:id="252860962">
      <w:bodyDiv w:val="1"/>
      <w:marLeft w:val="0"/>
      <w:marRight w:val="0"/>
      <w:marTop w:val="0"/>
      <w:marBottom w:val="0"/>
      <w:divBdr>
        <w:top w:val="none" w:sz="0" w:space="0" w:color="auto"/>
        <w:left w:val="none" w:sz="0" w:space="0" w:color="auto"/>
        <w:bottom w:val="none" w:sz="0" w:space="0" w:color="auto"/>
        <w:right w:val="none" w:sz="0" w:space="0" w:color="auto"/>
      </w:divBdr>
      <w:divsChild>
        <w:div w:id="821628372">
          <w:marLeft w:val="547"/>
          <w:marRight w:val="0"/>
          <w:marTop w:val="0"/>
          <w:marBottom w:val="0"/>
          <w:divBdr>
            <w:top w:val="none" w:sz="0" w:space="0" w:color="auto"/>
            <w:left w:val="none" w:sz="0" w:space="0" w:color="auto"/>
            <w:bottom w:val="none" w:sz="0" w:space="0" w:color="auto"/>
            <w:right w:val="none" w:sz="0" w:space="0" w:color="auto"/>
          </w:divBdr>
        </w:div>
      </w:divsChild>
    </w:div>
    <w:div w:id="260996752">
      <w:bodyDiv w:val="1"/>
      <w:marLeft w:val="0"/>
      <w:marRight w:val="0"/>
      <w:marTop w:val="0"/>
      <w:marBottom w:val="0"/>
      <w:divBdr>
        <w:top w:val="none" w:sz="0" w:space="0" w:color="auto"/>
        <w:left w:val="none" w:sz="0" w:space="0" w:color="auto"/>
        <w:bottom w:val="none" w:sz="0" w:space="0" w:color="auto"/>
        <w:right w:val="none" w:sz="0" w:space="0" w:color="auto"/>
      </w:divBdr>
    </w:div>
    <w:div w:id="263921774">
      <w:bodyDiv w:val="1"/>
      <w:marLeft w:val="0"/>
      <w:marRight w:val="0"/>
      <w:marTop w:val="0"/>
      <w:marBottom w:val="0"/>
      <w:divBdr>
        <w:top w:val="none" w:sz="0" w:space="0" w:color="auto"/>
        <w:left w:val="none" w:sz="0" w:space="0" w:color="auto"/>
        <w:bottom w:val="none" w:sz="0" w:space="0" w:color="auto"/>
        <w:right w:val="none" w:sz="0" w:space="0" w:color="auto"/>
      </w:divBdr>
    </w:div>
    <w:div w:id="276641046">
      <w:bodyDiv w:val="1"/>
      <w:marLeft w:val="0"/>
      <w:marRight w:val="0"/>
      <w:marTop w:val="0"/>
      <w:marBottom w:val="0"/>
      <w:divBdr>
        <w:top w:val="none" w:sz="0" w:space="0" w:color="auto"/>
        <w:left w:val="none" w:sz="0" w:space="0" w:color="auto"/>
        <w:bottom w:val="none" w:sz="0" w:space="0" w:color="auto"/>
        <w:right w:val="none" w:sz="0" w:space="0" w:color="auto"/>
      </w:divBdr>
    </w:div>
    <w:div w:id="287129074">
      <w:bodyDiv w:val="1"/>
      <w:marLeft w:val="0"/>
      <w:marRight w:val="0"/>
      <w:marTop w:val="0"/>
      <w:marBottom w:val="0"/>
      <w:divBdr>
        <w:top w:val="none" w:sz="0" w:space="0" w:color="auto"/>
        <w:left w:val="none" w:sz="0" w:space="0" w:color="auto"/>
        <w:bottom w:val="none" w:sz="0" w:space="0" w:color="auto"/>
        <w:right w:val="none" w:sz="0" w:space="0" w:color="auto"/>
      </w:divBdr>
    </w:div>
    <w:div w:id="305356322">
      <w:bodyDiv w:val="1"/>
      <w:marLeft w:val="0"/>
      <w:marRight w:val="0"/>
      <w:marTop w:val="0"/>
      <w:marBottom w:val="0"/>
      <w:divBdr>
        <w:top w:val="none" w:sz="0" w:space="0" w:color="auto"/>
        <w:left w:val="none" w:sz="0" w:space="0" w:color="auto"/>
        <w:bottom w:val="none" w:sz="0" w:space="0" w:color="auto"/>
        <w:right w:val="none" w:sz="0" w:space="0" w:color="auto"/>
      </w:divBdr>
      <w:divsChild>
        <w:div w:id="112794149">
          <w:marLeft w:val="720"/>
          <w:marRight w:val="0"/>
          <w:marTop w:val="0"/>
          <w:marBottom w:val="120"/>
          <w:divBdr>
            <w:top w:val="none" w:sz="0" w:space="0" w:color="auto"/>
            <w:left w:val="none" w:sz="0" w:space="0" w:color="auto"/>
            <w:bottom w:val="none" w:sz="0" w:space="0" w:color="auto"/>
            <w:right w:val="none" w:sz="0" w:space="0" w:color="auto"/>
          </w:divBdr>
        </w:div>
        <w:div w:id="163669597">
          <w:marLeft w:val="720"/>
          <w:marRight w:val="0"/>
          <w:marTop w:val="0"/>
          <w:marBottom w:val="120"/>
          <w:divBdr>
            <w:top w:val="none" w:sz="0" w:space="0" w:color="auto"/>
            <w:left w:val="none" w:sz="0" w:space="0" w:color="auto"/>
            <w:bottom w:val="none" w:sz="0" w:space="0" w:color="auto"/>
            <w:right w:val="none" w:sz="0" w:space="0" w:color="auto"/>
          </w:divBdr>
        </w:div>
        <w:div w:id="1514958504">
          <w:marLeft w:val="720"/>
          <w:marRight w:val="0"/>
          <w:marTop w:val="0"/>
          <w:marBottom w:val="120"/>
          <w:divBdr>
            <w:top w:val="none" w:sz="0" w:space="0" w:color="auto"/>
            <w:left w:val="none" w:sz="0" w:space="0" w:color="auto"/>
            <w:bottom w:val="none" w:sz="0" w:space="0" w:color="auto"/>
            <w:right w:val="none" w:sz="0" w:space="0" w:color="auto"/>
          </w:divBdr>
        </w:div>
      </w:divsChild>
    </w:div>
    <w:div w:id="351541477">
      <w:bodyDiv w:val="1"/>
      <w:marLeft w:val="0"/>
      <w:marRight w:val="0"/>
      <w:marTop w:val="0"/>
      <w:marBottom w:val="0"/>
      <w:divBdr>
        <w:top w:val="none" w:sz="0" w:space="0" w:color="auto"/>
        <w:left w:val="none" w:sz="0" w:space="0" w:color="auto"/>
        <w:bottom w:val="none" w:sz="0" w:space="0" w:color="auto"/>
        <w:right w:val="none" w:sz="0" w:space="0" w:color="auto"/>
      </w:divBdr>
    </w:div>
    <w:div w:id="365571350">
      <w:bodyDiv w:val="1"/>
      <w:marLeft w:val="0"/>
      <w:marRight w:val="0"/>
      <w:marTop w:val="0"/>
      <w:marBottom w:val="0"/>
      <w:divBdr>
        <w:top w:val="none" w:sz="0" w:space="0" w:color="auto"/>
        <w:left w:val="none" w:sz="0" w:space="0" w:color="auto"/>
        <w:bottom w:val="none" w:sz="0" w:space="0" w:color="auto"/>
        <w:right w:val="none" w:sz="0" w:space="0" w:color="auto"/>
      </w:divBdr>
    </w:div>
    <w:div w:id="373509381">
      <w:bodyDiv w:val="1"/>
      <w:marLeft w:val="0"/>
      <w:marRight w:val="0"/>
      <w:marTop w:val="0"/>
      <w:marBottom w:val="0"/>
      <w:divBdr>
        <w:top w:val="none" w:sz="0" w:space="0" w:color="auto"/>
        <w:left w:val="none" w:sz="0" w:space="0" w:color="auto"/>
        <w:bottom w:val="none" w:sz="0" w:space="0" w:color="auto"/>
        <w:right w:val="none" w:sz="0" w:space="0" w:color="auto"/>
      </w:divBdr>
    </w:div>
    <w:div w:id="425806257">
      <w:bodyDiv w:val="1"/>
      <w:marLeft w:val="0"/>
      <w:marRight w:val="0"/>
      <w:marTop w:val="0"/>
      <w:marBottom w:val="0"/>
      <w:divBdr>
        <w:top w:val="none" w:sz="0" w:space="0" w:color="auto"/>
        <w:left w:val="none" w:sz="0" w:space="0" w:color="auto"/>
        <w:bottom w:val="none" w:sz="0" w:space="0" w:color="auto"/>
        <w:right w:val="none" w:sz="0" w:space="0" w:color="auto"/>
      </w:divBdr>
    </w:div>
    <w:div w:id="519858629">
      <w:bodyDiv w:val="1"/>
      <w:marLeft w:val="0"/>
      <w:marRight w:val="0"/>
      <w:marTop w:val="0"/>
      <w:marBottom w:val="0"/>
      <w:divBdr>
        <w:top w:val="none" w:sz="0" w:space="0" w:color="auto"/>
        <w:left w:val="none" w:sz="0" w:space="0" w:color="auto"/>
        <w:bottom w:val="none" w:sz="0" w:space="0" w:color="auto"/>
        <w:right w:val="none" w:sz="0" w:space="0" w:color="auto"/>
      </w:divBdr>
    </w:div>
    <w:div w:id="625041332">
      <w:bodyDiv w:val="1"/>
      <w:marLeft w:val="0"/>
      <w:marRight w:val="0"/>
      <w:marTop w:val="0"/>
      <w:marBottom w:val="0"/>
      <w:divBdr>
        <w:top w:val="none" w:sz="0" w:space="0" w:color="auto"/>
        <w:left w:val="none" w:sz="0" w:space="0" w:color="auto"/>
        <w:bottom w:val="none" w:sz="0" w:space="0" w:color="auto"/>
        <w:right w:val="none" w:sz="0" w:space="0" w:color="auto"/>
      </w:divBdr>
    </w:div>
    <w:div w:id="649091853">
      <w:bodyDiv w:val="1"/>
      <w:marLeft w:val="0"/>
      <w:marRight w:val="0"/>
      <w:marTop w:val="0"/>
      <w:marBottom w:val="0"/>
      <w:divBdr>
        <w:top w:val="none" w:sz="0" w:space="0" w:color="auto"/>
        <w:left w:val="none" w:sz="0" w:space="0" w:color="auto"/>
        <w:bottom w:val="none" w:sz="0" w:space="0" w:color="auto"/>
        <w:right w:val="none" w:sz="0" w:space="0" w:color="auto"/>
      </w:divBdr>
    </w:div>
    <w:div w:id="687026018">
      <w:bodyDiv w:val="1"/>
      <w:marLeft w:val="0"/>
      <w:marRight w:val="0"/>
      <w:marTop w:val="0"/>
      <w:marBottom w:val="0"/>
      <w:divBdr>
        <w:top w:val="none" w:sz="0" w:space="0" w:color="auto"/>
        <w:left w:val="none" w:sz="0" w:space="0" w:color="auto"/>
        <w:bottom w:val="none" w:sz="0" w:space="0" w:color="auto"/>
        <w:right w:val="none" w:sz="0" w:space="0" w:color="auto"/>
      </w:divBdr>
    </w:div>
    <w:div w:id="688799466">
      <w:bodyDiv w:val="1"/>
      <w:marLeft w:val="0"/>
      <w:marRight w:val="0"/>
      <w:marTop w:val="0"/>
      <w:marBottom w:val="0"/>
      <w:divBdr>
        <w:top w:val="none" w:sz="0" w:space="0" w:color="auto"/>
        <w:left w:val="none" w:sz="0" w:space="0" w:color="auto"/>
        <w:bottom w:val="none" w:sz="0" w:space="0" w:color="auto"/>
        <w:right w:val="none" w:sz="0" w:space="0" w:color="auto"/>
      </w:divBdr>
    </w:div>
    <w:div w:id="717242441">
      <w:bodyDiv w:val="1"/>
      <w:marLeft w:val="0"/>
      <w:marRight w:val="0"/>
      <w:marTop w:val="0"/>
      <w:marBottom w:val="0"/>
      <w:divBdr>
        <w:top w:val="none" w:sz="0" w:space="0" w:color="auto"/>
        <w:left w:val="none" w:sz="0" w:space="0" w:color="auto"/>
        <w:bottom w:val="none" w:sz="0" w:space="0" w:color="auto"/>
        <w:right w:val="none" w:sz="0" w:space="0" w:color="auto"/>
      </w:divBdr>
    </w:div>
    <w:div w:id="771516079">
      <w:bodyDiv w:val="1"/>
      <w:marLeft w:val="0"/>
      <w:marRight w:val="0"/>
      <w:marTop w:val="0"/>
      <w:marBottom w:val="0"/>
      <w:divBdr>
        <w:top w:val="none" w:sz="0" w:space="0" w:color="auto"/>
        <w:left w:val="none" w:sz="0" w:space="0" w:color="auto"/>
        <w:bottom w:val="none" w:sz="0" w:space="0" w:color="auto"/>
        <w:right w:val="none" w:sz="0" w:space="0" w:color="auto"/>
      </w:divBdr>
    </w:div>
    <w:div w:id="787356225">
      <w:bodyDiv w:val="1"/>
      <w:marLeft w:val="0"/>
      <w:marRight w:val="0"/>
      <w:marTop w:val="0"/>
      <w:marBottom w:val="0"/>
      <w:divBdr>
        <w:top w:val="none" w:sz="0" w:space="0" w:color="auto"/>
        <w:left w:val="none" w:sz="0" w:space="0" w:color="auto"/>
        <w:bottom w:val="none" w:sz="0" w:space="0" w:color="auto"/>
        <w:right w:val="none" w:sz="0" w:space="0" w:color="auto"/>
      </w:divBdr>
    </w:div>
    <w:div w:id="831140185">
      <w:bodyDiv w:val="1"/>
      <w:marLeft w:val="0"/>
      <w:marRight w:val="0"/>
      <w:marTop w:val="0"/>
      <w:marBottom w:val="0"/>
      <w:divBdr>
        <w:top w:val="none" w:sz="0" w:space="0" w:color="auto"/>
        <w:left w:val="none" w:sz="0" w:space="0" w:color="auto"/>
        <w:bottom w:val="none" w:sz="0" w:space="0" w:color="auto"/>
        <w:right w:val="none" w:sz="0" w:space="0" w:color="auto"/>
      </w:divBdr>
    </w:div>
    <w:div w:id="864751952">
      <w:bodyDiv w:val="1"/>
      <w:marLeft w:val="0"/>
      <w:marRight w:val="0"/>
      <w:marTop w:val="0"/>
      <w:marBottom w:val="0"/>
      <w:divBdr>
        <w:top w:val="none" w:sz="0" w:space="0" w:color="auto"/>
        <w:left w:val="none" w:sz="0" w:space="0" w:color="auto"/>
        <w:bottom w:val="none" w:sz="0" w:space="0" w:color="auto"/>
        <w:right w:val="none" w:sz="0" w:space="0" w:color="auto"/>
      </w:divBdr>
    </w:div>
    <w:div w:id="942567973">
      <w:bodyDiv w:val="1"/>
      <w:marLeft w:val="0"/>
      <w:marRight w:val="0"/>
      <w:marTop w:val="0"/>
      <w:marBottom w:val="0"/>
      <w:divBdr>
        <w:top w:val="none" w:sz="0" w:space="0" w:color="auto"/>
        <w:left w:val="none" w:sz="0" w:space="0" w:color="auto"/>
        <w:bottom w:val="none" w:sz="0" w:space="0" w:color="auto"/>
        <w:right w:val="none" w:sz="0" w:space="0" w:color="auto"/>
      </w:divBdr>
    </w:div>
    <w:div w:id="1064832787">
      <w:bodyDiv w:val="1"/>
      <w:marLeft w:val="0"/>
      <w:marRight w:val="0"/>
      <w:marTop w:val="0"/>
      <w:marBottom w:val="0"/>
      <w:divBdr>
        <w:top w:val="none" w:sz="0" w:space="0" w:color="auto"/>
        <w:left w:val="none" w:sz="0" w:space="0" w:color="auto"/>
        <w:bottom w:val="none" w:sz="0" w:space="0" w:color="auto"/>
        <w:right w:val="none" w:sz="0" w:space="0" w:color="auto"/>
      </w:divBdr>
    </w:div>
    <w:div w:id="1085804888">
      <w:bodyDiv w:val="1"/>
      <w:marLeft w:val="0"/>
      <w:marRight w:val="0"/>
      <w:marTop w:val="0"/>
      <w:marBottom w:val="0"/>
      <w:divBdr>
        <w:top w:val="none" w:sz="0" w:space="0" w:color="auto"/>
        <w:left w:val="none" w:sz="0" w:space="0" w:color="auto"/>
        <w:bottom w:val="none" w:sz="0" w:space="0" w:color="auto"/>
        <w:right w:val="none" w:sz="0" w:space="0" w:color="auto"/>
      </w:divBdr>
    </w:div>
    <w:div w:id="1128546435">
      <w:bodyDiv w:val="1"/>
      <w:marLeft w:val="0"/>
      <w:marRight w:val="0"/>
      <w:marTop w:val="0"/>
      <w:marBottom w:val="0"/>
      <w:divBdr>
        <w:top w:val="none" w:sz="0" w:space="0" w:color="auto"/>
        <w:left w:val="none" w:sz="0" w:space="0" w:color="auto"/>
        <w:bottom w:val="none" w:sz="0" w:space="0" w:color="auto"/>
        <w:right w:val="none" w:sz="0" w:space="0" w:color="auto"/>
      </w:divBdr>
    </w:div>
    <w:div w:id="1147236242">
      <w:bodyDiv w:val="1"/>
      <w:marLeft w:val="0"/>
      <w:marRight w:val="0"/>
      <w:marTop w:val="0"/>
      <w:marBottom w:val="0"/>
      <w:divBdr>
        <w:top w:val="none" w:sz="0" w:space="0" w:color="auto"/>
        <w:left w:val="none" w:sz="0" w:space="0" w:color="auto"/>
        <w:bottom w:val="none" w:sz="0" w:space="0" w:color="auto"/>
        <w:right w:val="none" w:sz="0" w:space="0" w:color="auto"/>
      </w:divBdr>
    </w:div>
    <w:div w:id="1163471647">
      <w:bodyDiv w:val="1"/>
      <w:marLeft w:val="0"/>
      <w:marRight w:val="0"/>
      <w:marTop w:val="0"/>
      <w:marBottom w:val="0"/>
      <w:divBdr>
        <w:top w:val="none" w:sz="0" w:space="0" w:color="auto"/>
        <w:left w:val="none" w:sz="0" w:space="0" w:color="auto"/>
        <w:bottom w:val="none" w:sz="0" w:space="0" w:color="auto"/>
        <w:right w:val="none" w:sz="0" w:space="0" w:color="auto"/>
      </w:divBdr>
    </w:div>
    <w:div w:id="1175878952">
      <w:bodyDiv w:val="1"/>
      <w:marLeft w:val="0"/>
      <w:marRight w:val="0"/>
      <w:marTop w:val="0"/>
      <w:marBottom w:val="0"/>
      <w:divBdr>
        <w:top w:val="none" w:sz="0" w:space="0" w:color="auto"/>
        <w:left w:val="none" w:sz="0" w:space="0" w:color="auto"/>
        <w:bottom w:val="none" w:sz="0" w:space="0" w:color="auto"/>
        <w:right w:val="none" w:sz="0" w:space="0" w:color="auto"/>
      </w:divBdr>
    </w:div>
    <w:div w:id="1184981012">
      <w:bodyDiv w:val="1"/>
      <w:marLeft w:val="0"/>
      <w:marRight w:val="0"/>
      <w:marTop w:val="0"/>
      <w:marBottom w:val="0"/>
      <w:divBdr>
        <w:top w:val="none" w:sz="0" w:space="0" w:color="auto"/>
        <w:left w:val="none" w:sz="0" w:space="0" w:color="auto"/>
        <w:bottom w:val="none" w:sz="0" w:space="0" w:color="auto"/>
        <w:right w:val="none" w:sz="0" w:space="0" w:color="auto"/>
      </w:divBdr>
    </w:div>
    <w:div w:id="1190334053">
      <w:bodyDiv w:val="1"/>
      <w:marLeft w:val="0"/>
      <w:marRight w:val="0"/>
      <w:marTop w:val="0"/>
      <w:marBottom w:val="0"/>
      <w:divBdr>
        <w:top w:val="none" w:sz="0" w:space="0" w:color="auto"/>
        <w:left w:val="none" w:sz="0" w:space="0" w:color="auto"/>
        <w:bottom w:val="none" w:sz="0" w:space="0" w:color="auto"/>
        <w:right w:val="none" w:sz="0" w:space="0" w:color="auto"/>
      </w:divBdr>
    </w:div>
    <w:div w:id="1207795069">
      <w:bodyDiv w:val="1"/>
      <w:marLeft w:val="0"/>
      <w:marRight w:val="0"/>
      <w:marTop w:val="0"/>
      <w:marBottom w:val="0"/>
      <w:divBdr>
        <w:top w:val="none" w:sz="0" w:space="0" w:color="auto"/>
        <w:left w:val="none" w:sz="0" w:space="0" w:color="auto"/>
        <w:bottom w:val="none" w:sz="0" w:space="0" w:color="auto"/>
        <w:right w:val="none" w:sz="0" w:space="0" w:color="auto"/>
      </w:divBdr>
    </w:div>
    <w:div w:id="1240869544">
      <w:bodyDiv w:val="1"/>
      <w:marLeft w:val="0"/>
      <w:marRight w:val="0"/>
      <w:marTop w:val="0"/>
      <w:marBottom w:val="0"/>
      <w:divBdr>
        <w:top w:val="none" w:sz="0" w:space="0" w:color="auto"/>
        <w:left w:val="none" w:sz="0" w:space="0" w:color="auto"/>
        <w:bottom w:val="none" w:sz="0" w:space="0" w:color="auto"/>
        <w:right w:val="none" w:sz="0" w:space="0" w:color="auto"/>
      </w:divBdr>
    </w:div>
    <w:div w:id="1265042520">
      <w:bodyDiv w:val="1"/>
      <w:marLeft w:val="0"/>
      <w:marRight w:val="0"/>
      <w:marTop w:val="0"/>
      <w:marBottom w:val="0"/>
      <w:divBdr>
        <w:top w:val="none" w:sz="0" w:space="0" w:color="auto"/>
        <w:left w:val="none" w:sz="0" w:space="0" w:color="auto"/>
        <w:bottom w:val="none" w:sz="0" w:space="0" w:color="auto"/>
        <w:right w:val="none" w:sz="0" w:space="0" w:color="auto"/>
      </w:divBdr>
    </w:div>
    <w:div w:id="1294218358">
      <w:bodyDiv w:val="1"/>
      <w:marLeft w:val="0"/>
      <w:marRight w:val="0"/>
      <w:marTop w:val="0"/>
      <w:marBottom w:val="0"/>
      <w:divBdr>
        <w:top w:val="none" w:sz="0" w:space="0" w:color="auto"/>
        <w:left w:val="none" w:sz="0" w:space="0" w:color="auto"/>
        <w:bottom w:val="none" w:sz="0" w:space="0" w:color="auto"/>
        <w:right w:val="none" w:sz="0" w:space="0" w:color="auto"/>
      </w:divBdr>
    </w:div>
    <w:div w:id="1440879626">
      <w:bodyDiv w:val="1"/>
      <w:marLeft w:val="0"/>
      <w:marRight w:val="0"/>
      <w:marTop w:val="0"/>
      <w:marBottom w:val="0"/>
      <w:divBdr>
        <w:top w:val="none" w:sz="0" w:space="0" w:color="auto"/>
        <w:left w:val="none" w:sz="0" w:space="0" w:color="auto"/>
        <w:bottom w:val="none" w:sz="0" w:space="0" w:color="auto"/>
        <w:right w:val="none" w:sz="0" w:space="0" w:color="auto"/>
      </w:divBdr>
    </w:div>
    <w:div w:id="1454596901">
      <w:bodyDiv w:val="1"/>
      <w:marLeft w:val="0"/>
      <w:marRight w:val="0"/>
      <w:marTop w:val="0"/>
      <w:marBottom w:val="0"/>
      <w:divBdr>
        <w:top w:val="none" w:sz="0" w:space="0" w:color="auto"/>
        <w:left w:val="none" w:sz="0" w:space="0" w:color="auto"/>
        <w:bottom w:val="none" w:sz="0" w:space="0" w:color="auto"/>
        <w:right w:val="none" w:sz="0" w:space="0" w:color="auto"/>
      </w:divBdr>
    </w:div>
    <w:div w:id="1495800847">
      <w:bodyDiv w:val="1"/>
      <w:marLeft w:val="0"/>
      <w:marRight w:val="0"/>
      <w:marTop w:val="0"/>
      <w:marBottom w:val="0"/>
      <w:divBdr>
        <w:top w:val="none" w:sz="0" w:space="0" w:color="auto"/>
        <w:left w:val="none" w:sz="0" w:space="0" w:color="auto"/>
        <w:bottom w:val="none" w:sz="0" w:space="0" w:color="auto"/>
        <w:right w:val="none" w:sz="0" w:space="0" w:color="auto"/>
      </w:divBdr>
    </w:div>
    <w:div w:id="1500998600">
      <w:bodyDiv w:val="1"/>
      <w:marLeft w:val="0"/>
      <w:marRight w:val="0"/>
      <w:marTop w:val="0"/>
      <w:marBottom w:val="0"/>
      <w:divBdr>
        <w:top w:val="none" w:sz="0" w:space="0" w:color="auto"/>
        <w:left w:val="none" w:sz="0" w:space="0" w:color="auto"/>
        <w:bottom w:val="none" w:sz="0" w:space="0" w:color="auto"/>
        <w:right w:val="none" w:sz="0" w:space="0" w:color="auto"/>
      </w:divBdr>
    </w:div>
    <w:div w:id="1520393500">
      <w:bodyDiv w:val="1"/>
      <w:marLeft w:val="0"/>
      <w:marRight w:val="0"/>
      <w:marTop w:val="0"/>
      <w:marBottom w:val="0"/>
      <w:divBdr>
        <w:top w:val="none" w:sz="0" w:space="0" w:color="auto"/>
        <w:left w:val="none" w:sz="0" w:space="0" w:color="auto"/>
        <w:bottom w:val="none" w:sz="0" w:space="0" w:color="auto"/>
        <w:right w:val="none" w:sz="0" w:space="0" w:color="auto"/>
      </w:divBdr>
    </w:div>
    <w:div w:id="1573202881">
      <w:bodyDiv w:val="1"/>
      <w:marLeft w:val="0"/>
      <w:marRight w:val="0"/>
      <w:marTop w:val="0"/>
      <w:marBottom w:val="0"/>
      <w:divBdr>
        <w:top w:val="none" w:sz="0" w:space="0" w:color="auto"/>
        <w:left w:val="none" w:sz="0" w:space="0" w:color="auto"/>
        <w:bottom w:val="none" w:sz="0" w:space="0" w:color="auto"/>
        <w:right w:val="none" w:sz="0" w:space="0" w:color="auto"/>
      </w:divBdr>
    </w:div>
    <w:div w:id="1597326175">
      <w:bodyDiv w:val="1"/>
      <w:marLeft w:val="0"/>
      <w:marRight w:val="0"/>
      <w:marTop w:val="0"/>
      <w:marBottom w:val="0"/>
      <w:divBdr>
        <w:top w:val="none" w:sz="0" w:space="0" w:color="auto"/>
        <w:left w:val="none" w:sz="0" w:space="0" w:color="auto"/>
        <w:bottom w:val="none" w:sz="0" w:space="0" w:color="auto"/>
        <w:right w:val="none" w:sz="0" w:space="0" w:color="auto"/>
      </w:divBdr>
    </w:div>
    <w:div w:id="1641691639">
      <w:bodyDiv w:val="1"/>
      <w:marLeft w:val="0"/>
      <w:marRight w:val="0"/>
      <w:marTop w:val="0"/>
      <w:marBottom w:val="0"/>
      <w:divBdr>
        <w:top w:val="none" w:sz="0" w:space="0" w:color="auto"/>
        <w:left w:val="none" w:sz="0" w:space="0" w:color="auto"/>
        <w:bottom w:val="none" w:sz="0" w:space="0" w:color="auto"/>
        <w:right w:val="none" w:sz="0" w:space="0" w:color="auto"/>
      </w:divBdr>
    </w:div>
    <w:div w:id="1644501279">
      <w:bodyDiv w:val="1"/>
      <w:marLeft w:val="0"/>
      <w:marRight w:val="0"/>
      <w:marTop w:val="0"/>
      <w:marBottom w:val="0"/>
      <w:divBdr>
        <w:top w:val="none" w:sz="0" w:space="0" w:color="auto"/>
        <w:left w:val="none" w:sz="0" w:space="0" w:color="auto"/>
        <w:bottom w:val="none" w:sz="0" w:space="0" w:color="auto"/>
        <w:right w:val="none" w:sz="0" w:space="0" w:color="auto"/>
      </w:divBdr>
    </w:div>
    <w:div w:id="1645812565">
      <w:bodyDiv w:val="1"/>
      <w:marLeft w:val="0"/>
      <w:marRight w:val="0"/>
      <w:marTop w:val="0"/>
      <w:marBottom w:val="0"/>
      <w:divBdr>
        <w:top w:val="none" w:sz="0" w:space="0" w:color="auto"/>
        <w:left w:val="none" w:sz="0" w:space="0" w:color="auto"/>
        <w:bottom w:val="none" w:sz="0" w:space="0" w:color="auto"/>
        <w:right w:val="none" w:sz="0" w:space="0" w:color="auto"/>
      </w:divBdr>
    </w:div>
    <w:div w:id="1687444857">
      <w:bodyDiv w:val="1"/>
      <w:marLeft w:val="0"/>
      <w:marRight w:val="0"/>
      <w:marTop w:val="0"/>
      <w:marBottom w:val="0"/>
      <w:divBdr>
        <w:top w:val="none" w:sz="0" w:space="0" w:color="auto"/>
        <w:left w:val="none" w:sz="0" w:space="0" w:color="auto"/>
        <w:bottom w:val="none" w:sz="0" w:space="0" w:color="auto"/>
        <w:right w:val="none" w:sz="0" w:space="0" w:color="auto"/>
      </w:divBdr>
    </w:div>
    <w:div w:id="1976836532">
      <w:bodyDiv w:val="1"/>
      <w:marLeft w:val="0"/>
      <w:marRight w:val="0"/>
      <w:marTop w:val="0"/>
      <w:marBottom w:val="0"/>
      <w:divBdr>
        <w:top w:val="none" w:sz="0" w:space="0" w:color="auto"/>
        <w:left w:val="none" w:sz="0" w:space="0" w:color="auto"/>
        <w:bottom w:val="none" w:sz="0" w:space="0" w:color="auto"/>
        <w:right w:val="none" w:sz="0" w:space="0" w:color="auto"/>
      </w:divBdr>
    </w:div>
    <w:div w:id="1977833182">
      <w:bodyDiv w:val="1"/>
      <w:marLeft w:val="0"/>
      <w:marRight w:val="0"/>
      <w:marTop w:val="0"/>
      <w:marBottom w:val="0"/>
      <w:divBdr>
        <w:top w:val="none" w:sz="0" w:space="0" w:color="auto"/>
        <w:left w:val="none" w:sz="0" w:space="0" w:color="auto"/>
        <w:bottom w:val="none" w:sz="0" w:space="0" w:color="auto"/>
        <w:right w:val="none" w:sz="0" w:space="0" w:color="auto"/>
      </w:divBdr>
    </w:div>
    <w:div w:id="1987079902">
      <w:bodyDiv w:val="1"/>
      <w:marLeft w:val="0"/>
      <w:marRight w:val="0"/>
      <w:marTop w:val="0"/>
      <w:marBottom w:val="0"/>
      <w:divBdr>
        <w:top w:val="none" w:sz="0" w:space="0" w:color="auto"/>
        <w:left w:val="none" w:sz="0" w:space="0" w:color="auto"/>
        <w:bottom w:val="none" w:sz="0" w:space="0" w:color="auto"/>
        <w:right w:val="none" w:sz="0" w:space="0" w:color="auto"/>
      </w:divBdr>
    </w:div>
    <w:div w:id="2001959851">
      <w:bodyDiv w:val="1"/>
      <w:marLeft w:val="0"/>
      <w:marRight w:val="0"/>
      <w:marTop w:val="0"/>
      <w:marBottom w:val="0"/>
      <w:divBdr>
        <w:top w:val="none" w:sz="0" w:space="0" w:color="auto"/>
        <w:left w:val="none" w:sz="0" w:space="0" w:color="auto"/>
        <w:bottom w:val="none" w:sz="0" w:space="0" w:color="auto"/>
        <w:right w:val="none" w:sz="0" w:space="0" w:color="auto"/>
      </w:divBdr>
    </w:div>
    <w:div w:id="2035417852">
      <w:bodyDiv w:val="1"/>
      <w:marLeft w:val="0"/>
      <w:marRight w:val="0"/>
      <w:marTop w:val="0"/>
      <w:marBottom w:val="0"/>
      <w:divBdr>
        <w:top w:val="none" w:sz="0" w:space="0" w:color="auto"/>
        <w:left w:val="none" w:sz="0" w:space="0" w:color="auto"/>
        <w:bottom w:val="none" w:sz="0" w:space="0" w:color="auto"/>
        <w:right w:val="none" w:sz="0" w:space="0" w:color="auto"/>
      </w:divBdr>
    </w:div>
    <w:div w:id="2050107699">
      <w:bodyDiv w:val="1"/>
      <w:marLeft w:val="0"/>
      <w:marRight w:val="0"/>
      <w:marTop w:val="0"/>
      <w:marBottom w:val="0"/>
      <w:divBdr>
        <w:top w:val="none" w:sz="0" w:space="0" w:color="auto"/>
        <w:left w:val="none" w:sz="0" w:space="0" w:color="auto"/>
        <w:bottom w:val="none" w:sz="0" w:space="0" w:color="auto"/>
        <w:right w:val="none" w:sz="0" w:space="0" w:color="auto"/>
      </w:divBdr>
    </w:div>
    <w:div w:id="2104521633">
      <w:bodyDiv w:val="1"/>
      <w:marLeft w:val="0"/>
      <w:marRight w:val="0"/>
      <w:marTop w:val="0"/>
      <w:marBottom w:val="0"/>
      <w:divBdr>
        <w:top w:val="none" w:sz="0" w:space="0" w:color="auto"/>
        <w:left w:val="none" w:sz="0" w:space="0" w:color="auto"/>
        <w:bottom w:val="none" w:sz="0" w:space="0" w:color="auto"/>
        <w:right w:val="none" w:sz="0" w:space="0" w:color="auto"/>
      </w:divBdr>
    </w:div>
    <w:div w:id="2118678176">
      <w:bodyDiv w:val="1"/>
      <w:marLeft w:val="0"/>
      <w:marRight w:val="0"/>
      <w:marTop w:val="0"/>
      <w:marBottom w:val="0"/>
      <w:divBdr>
        <w:top w:val="none" w:sz="0" w:space="0" w:color="auto"/>
        <w:left w:val="none" w:sz="0" w:space="0" w:color="auto"/>
        <w:bottom w:val="none" w:sz="0" w:space="0" w:color="auto"/>
        <w:right w:val="none" w:sz="0" w:space="0" w:color="auto"/>
      </w:divBdr>
    </w:div>
    <w:div w:id="2137333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2.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reuters.com/markets/commodities/sky-high-energy-costs-fan-fire-under-aluminium-zinc-prices-2022-08-12/" TargetMode="External"/><Relationship Id="rId13" Type="http://schemas.openxmlformats.org/officeDocument/2006/relationships/hyperlink" Target="https://competition-policy.ec.europa.eu/document/download/45b532ce-53fb-4907-975c-79edaa31a166_en?filename=2025_CISAF_draft_EC_communication.pdf" TargetMode="External"/><Relationship Id="rId3" Type="http://schemas.openxmlformats.org/officeDocument/2006/relationships/hyperlink" Target="https://www.oecd.org/en/about/news/speech-statements/2024/11/96th-session-of-the-steel-committee-statement-by-the-chair.html" TargetMode="External"/><Relationship Id="rId7" Type="http://schemas.openxmlformats.org/officeDocument/2006/relationships/hyperlink" Target="https://www.reuters.com/markets/commodities/sky-high-energy-costs-fan-fire-under-aluminium-zinc-prices-2022-08-12/" TargetMode="External"/><Relationship Id="rId12" Type="http://schemas.openxmlformats.org/officeDocument/2006/relationships/hyperlink" Target="https://www.efrag.org/en/projects/power-purchase-agreements/endorsement-consultation" TargetMode="External"/><Relationship Id="rId2" Type="http://schemas.openxmlformats.org/officeDocument/2006/relationships/hyperlink" Target="https://international-aluminium.org/statistics/primary-aluminium-production/" TargetMode="External"/><Relationship Id="rId16" Type="http://schemas.openxmlformats.org/officeDocument/2006/relationships/hyperlink" Target="https://www.eurofer.eu/issues/climate-and-energy/maps-of-key-low-carbon-steel-projects" TargetMode="External"/><Relationship Id="rId1" Type="http://schemas.openxmlformats.org/officeDocument/2006/relationships/hyperlink" Target="https://eur-lex.europa.eu/legal-content/RO/TXT/PDF/?uri=CELEX:52025DC0030" TargetMode="External"/><Relationship Id="rId6" Type="http://schemas.openxmlformats.org/officeDocument/2006/relationships/hyperlink" Target="https://publications.jrc.ec.europa.eu/repository/handle/JRC121276" TargetMode="External"/><Relationship Id="rId11" Type="http://schemas.openxmlformats.org/officeDocument/2006/relationships/hyperlink" Target="https://www.efrag.org/en/projects/power-purchase-agreements/endorsement-consultation" TargetMode="External"/><Relationship Id="rId5" Type="http://schemas.openxmlformats.org/officeDocument/2006/relationships/hyperlink" Target="https://single-market-economy.ec.europa.eu/document/download/fe4b7a0b-cfb9-49fd-9d37-139c1e23832d_en" TargetMode="External"/><Relationship Id="rId15" Type="http://schemas.openxmlformats.org/officeDocument/2006/relationships/hyperlink" Target="https://pact-for-skills.ec.europa.eu/about/industrial-ecosystems-and-partnerships/energy-intensive-industries-large-scale-partnerships_en" TargetMode="External"/><Relationship Id="rId10" Type="http://schemas.openxmlformats.org/officeDocument/2006/relationships/hyperlink" Target="https://www.ifrs.org/projects/completed-projects/2024/power-purchase-agreements/" TargetMode="External"/><Relationship Id="rId4" Type="http://schemas.openxmlformats.org/officeDocument/2006/relationships/hyperlink" Target="https://publications.jrc.ec.europa.eu/repository/handle/JRC98333" TargetMode="External"/><Relationship Id="rId9" Type="http://schemas.openxmlformats.org/officeDocument/2006/relationships/hyperlink" Target="https://www.bruegel.org/policy-brief/decarbonising-competitiveness-four-ways-reduce-european-energy-prices" TargetMode="External"/><Relationship Id="rId14" Type="http://schemas.openxmlformats.org/officeDocument/2006/relationships/hyperlink" Target="https://eur-lex.europa.eu/legal-content/RO/TXT/?uri=CELEX:32024R11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875fcb-8c0e-4dac-ace7-103211bf21e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EC_ARES_TRANSFERRED_BY xmlns="ed350a78-f7eb-44a2-bb43-fd61cd942e28" xsi:nil="true"/>
    <date xmlns="c2875fcb-8c0e-4dac-ace7-103211bf21e3" xsi:nil="true"/>
    <Comment xmlns="c2875fcb-8c0e-4dac-ace7-103211bf21e3" xsi:nil="true"/>
    <EC_ARES_NUMBER xmlns="ed350a78-f7eb-44a2-bb43-fd61cd942e28">
      <Url xsi:nil="true"/>
      <Description xsi:nil="true"/>
    </EC_ARES_NUMBER>
    <EC_ARES_DATE_TRANSFERRED xmlns="ed350a78-f7eb-44a2-bb43-fd61cd942e28" xsi:nil="true"/>
    <_Flow_SignoffStatus xmlns="c2875fcb-8c0e-4dac-ace7-103211bf21e3" xsi:nil="true"/>
  </documentManagement>
</p:properties>
</file>

<file path=customXml/item2.xml><?xml version="1.0" encoding="utf-8"?>
<Author Role="Creator" AuthorRoleName="Writer" AuthorRoleId="a4fbaff4-b07c-48b4-a21e-e7b9eedf3796">
  <Id>d407c575-06c6-44e7-8f01-20b5590f4546</Id>
  <Names>
    <Latin>
      <FirstName>Joan</FirstName>
      <LastName>Canton</LastName>
    </Latin>
    <Greek>
      <FirstName/>
      <LastName/>
    </Greek>
    <Cyrillic>
      <FirstName/>
      <LastName/>
    </Cyrillic>
    <DocumentScript>
      <FirstName>Joan</FirstName>
      <LastName>Canton</LastName>
      <FullName>Joan Canton</FullName>
    </DocumentScript>
  </Names>
  <Initials>JC</Initials>
  <Gender>m</Gender>
  <Email>Joan.CANTON@ec.europa.eu</Email>
  <Service>GROW.I.1</Service>
  <Function ADCode="4" ShowInSignature="true" ShowInHeader="false" HeaderText="">Head of Unit</Function>
  <WebAddress/>
  <FunctionalMailbox/>
  <InheritedWebAddress>WebAddress</InheritedWebAddress>
  <OrgaEntity1>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8e9a861f-c83a-4d45-bfc7-d59873c92b24</Id>
    <LogicalLevel>2</LogicalLevel>
    <Name>GROW.I</Name>
    <HeadLine1>Ecosystems IV: Mobility &amp; Energy Intensive Industries</HeadLine1>
    <HeadLine2/>
    <PrimaryAddressId>f03b5801-04c9-4931-aa17-c6d6c70bc579</PrimaryAddressId>
    <SecondaryAddressId/>
    <WebAddress/>
    <InheritedWebAddress>WebAddress</InheritedWebAddress>
    <ShowInHeader>true</ShowInHeader>
  </OrgaEntity2>
  <OrgaEntity3>
    <Id>829c2587-2610-4302-9019-29062c032fb1</Id>
    <LogicalLevel>3</LogicalLevel>
    <Name>GROW.I.1</Name>
    <HeadLine1>I.1 – Energy Intensive Industries and Raw Materials</HeadLine1>
    <HeadLine2/>
    <PrimaryAddressId>f03b5801-04c9-4931-aa17-c6d6c70bc579</PrimaryAddressId>
    <SecondaryAddressId/>
    <WebAddress/>
    <InheritedWebAddress>WebAddress</InheritedWebAddress>
    <ShowInHeader>true</ShowInHeader>
  </OrgaEntity3>
  <Hierarchy>
    <OrgaEntity>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
    <OrgaEntity>
      <Id>8e9a861f-c83a-4d45-bfc7-d59873c92b24</Id>
      <LogicalLevel>2</LogicalLevel>
      <Name>GROW.I</Name>
      <HeadLine1>Ecosystems IV: Mobility &amp; Energy Intensive Industries</HeadLine1>
      <HeadLine2/>
      <PrimaryAddressId>f03b5801-04c9-4931-aa17-c6d6c70bc579</PrimaryAddressId>
      <SecondaryAddressId/>
      <WebAddress/>
      <InheritedWebAddress>WebAddress</InheritedWebAddress>
      <ShowInHeader>true</ShowInHeader>
    </OrgaEntity>
    <OrgaEntity>
      <Id>829c2587-2610-4302-9019-29062c032fb1</Id>
      <LogicalLevel>3</LogicalLevel>
      <Name>GROW.I.1</Name>
      <HeadLine1>I.1 – Energy Intensive Industries and Raw Materials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+32 229-52155</Phone>
    <Office>BREY 11/106</Office>
  </MainWorkplace>
  <Workplaces>
    <Workplace IsMain="true">
      <AddressId>f03b5801-04c9-4931-aa17-c6d6c70bc579</AddressId>
      <Fax/>
      <Phone>+32 229-52155</Phone>
      <Office>BREY 11/106</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EurolookProperties>
  <ProductCustomizationId>EC</ProductCustomizationId>
  <Created>
    <Version>10.0.46216.0</Version>
    <Date>2024-12-14T11:26:13</Date>
    <Language>EN</Language>
    <Note/>
  </Created>
  <Edited>
    <Version/>
    <Date/>
  </Edited>
  <DocumentModel>
    <Id>6cbda13a-4db2-46c6-876a-ef72275827ef</Id>
    <Name>Report</Name>
  </DocumentModel>
  <CustomTemplate>
    <Id/>
    <Name/>
  </CustomTemplate>
  <DocumentDate>2024-12-14T11:26:13</DocumentDate>
  <DocumentVersion>0.1</DocumentVersion>
  <CompatibilityMode>Eurolook10</CompatibilityMode>
  <DocumentMetadata>
    <EC_SecurityMarking MetadataSerializationType="SimpleValue"/>
    <EC_SecurityDistributionDG MetadataSerializationType="SimpleValue"/>
    <EC_SecurityDateMarkingEvent MetadataSerializationType="SimpleValue"/>
    <EC_SecurityDateMarkingDate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istributionSpecialHandling MetadataSerializationType="SimpleValue"/>
  </DocumentMetadata>
</Eurolook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66AEC4BD0A4BF469319B31048749EAB" ma:contentTypeVersion="17" ma:contentTypeDescription="Create a new document." ma:contentTypeScope="" ma:versionID="cd20692e1b34fa66beb2d02f750d3d08">
  <xsd:schema xmlns:xsd="http://www.w3.org/2001/XMLSchema" xmlns:xs="http://www.w3.org/2001/XMLSchema" xmlns:p="http://schemas.microsoft.com/office/2006/metadata/properties" xmlns:ns1="http://schemas.microsoft.com/sharepoint/v3" xmlns:ns2="c2875fcb-8c0e-4dac-ace7-103211bf21e3" xmlns:ns3="ed350a78-f7eb-44a2-bb43-fd61cd942e28" targetNamespace="http://schemas.microsoft.com/office/2006/metadata/properties" ma:root="true" ma:fieldsID="67a7472ae1a4323b0c68a5cf344eb67e" ns1:_="" ns2:_="" ns3:_="">
    <xsd:import namespace="http://schemas.microsoft.com/sharepoint/v3"/>
    <xsd:import namespace="c2875fcb-8c0e-4dac-ace7-103211bf21e3"/>
    <xsd:import namespace="ed350a78-f7eb-44a2-bb43-fd61cd942e28"/>
    <xsd:element name="properties">
      <xsd:complexType>
        <xsd:sequence>
          <xsd:element name="documentManagement">
            <xsd:complexType>
              <xsd:all>
                <xsd:element ref="ns1:_vti_ItemDeclaredRecord" minOccurs="0"/>
                <xsd:element ref="ns2:MediaServiceMetadata" minOccurs="0"/>
                <xsd:element ref="ns2:MediaServiceFastMetadata" minOccurs="0"/>
                <xsd:element ref="ns2:MediaServiceSearchProperties" minOccurs="0"/>
                <xsd:element ref="ns2:MediaServiceObjectDetectorVersions" minOccurs="0"/>
                <xsd:element ref="ns2:_Flow_SignoffStatu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date" minOccurs="0"/>
                <xsd:element ref="ns2:Comment" minOccurs="0"/>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875fcb-8c0e-4dac-ace7-103211bf21e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Flow_SignoffStatus" ma:index="13" nillable="true" ma:displayName="Sign-off status" ma:internalName="_x0024_Resources_x003a_core_x002c_Signoff_Status">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ate" ma:index="20" nillable="true" ma:displayName="date" ma:format="DateOnly" ma:internalName="date">
      <xsd:simpleType>
        <xsd:restriction base="dms:DateTime"/>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C66AEC4BD0A4BF469319B31048749EAB" ma:contentTypeVersion="17" ma:contentTypeDescription="Create a new document." ma:contentTypeScope="" ma:versionID="cd20692e1b34fa66beb2d02f750d3d08">
  <xsd:schema xmlns:xsd="http://www.w3.org/2001/XMLSchema" xmlns:xs="http://www.w3.org/2001/XMLSchema" xmlns:p="http://schemas.microsoft.com/office/2006/metadata/properties" xmlns:ns1="http://schemas.microsoft.com/sharepoint/v3" xmlns:ns2="c2875fcb-8c0e-4dac-ace7-103211bf21e3" xmlns:ns3="ed350a78-f7eb-44a2-bb43-fd61cd942e28" targetNamespace="http://schemas.microsoft.com/office/2006/metadata/properties" ma:root="true" ma:fieldsID="67a7472ae1a4323b0c68a5cf344eb67e" ns1:_="" ns2:_="" ns3:_="">
    <xsd:import namespace="http://schemas.microsoft.com/sharepoint/v3"/>
    <xsd:import namespace="c2875fcb-8c0e-4dac-ace7-103211bf21e3"/>
    <xsd:import namespace="ed350a78-f7eb-44a2-bb43-fd61cd942e28"/>
    <xsd:element name="properties">
      <xsd:complexType>
        <xsd:sequence>
          <xsd:element name="documentManagement">
            <xsd:complexType>
              <xsd:all>
                <xsd:element ref="ns1:_vti_ItemDeclaredRecord" minOccurs="0"/>
                <xsd:element ref="ns2:MediaServiceMetadata" minOccurs="0"/>
                <xsd:element ref="ns2:MediaServiceFastMetadata" minOccurs="0"/>
                <xsd:element ref="ns2:MediaServiceSearchProperties" minOccurs="0"/>
                <xsd:element ref="ns2:MediaServiceObjectDetectorVersions" minOccurs="0"/>
                <xsd:element ref="ns2:_Flow_SignoffStatu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date" minOccurs="0"/>
                <xsd:element ref="ns2:Comment" minOccurs="0"/>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875fcb-8c0e-4dac-ace7-103211bf21e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Flow_SignoffStatus" ma:index="13" nillable="true" ma:displayName="Sign-off status" ma:internalName="_x0024_Resources_x003a_core_x002c_Signoff_Status">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ate" ma:index="20" nillable="true" ma:displayName="date" ma:format="DateOnly" ma:internalName="date">
      <xsd:simpleType>
        <xsd:restriction base="dms:DateTime"/>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87919-279E-49E8-B108-52DEEC5D351E}">
  <ds:schemaRefs>
    <ds:schemaRef ds:uri="http://schemas.microsoft.com/office/2006/metadata/properties"/>
    <ds:schemaRef ds:uri="http://schemas.microsoft.com/office/infopath/2007/PartnerControls"/>
    <ds:schemaRef ds:uri="c2875fcb-8c0e-4dac-ace7-103211bf21e3"/>
    <ds:schemaRef ds:uri="ed350a78-f7eb-44a2-bb43-fd61cd942e28"/>
  </ds:schemaRefs>
</ds:datastoreItem>
</file>

<file path=customXml/itemProps2.xml><?xml version="1.0" encoding="utf-8"?>
<ds:datastoreItem xmlns:ds="http://schemas.openxmlformats.org/officeDocument/2006/customXml" ds:itemID="{64329C2D-B2EB-47A0-B7C3-E42C629DFCDE}">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DA46DBF0-18DB-4B63-AD65-331C91C93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875fcb-8c0e-4dac-ace7-103211bf21e3"/>
    <ds:schemaRef ds:uri="ed350a78-f7eb-44a2-bb43-fd61cd942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44F2918-9F9D-4CA3-882E-D13EE9DC5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875fcb-8c0e-4dac-ace7-103211bf21e3"/>
    <ds:schemaRef ds:uri="ed350a78-f7eb-44a2-bb43-fd61cd942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9358687-B310-45A5-B8CC-0D5A8F8070E2}">
  <ds:schemaRefs>
    <ds:schemaRef ds:uri="http://schemas.microsoft.com/sharepoint/v3/contenttype/forms"/>
  </ds:schemaRefs>
</ds:datastoreItem>
</file>

<file path=customXml/itemProps8.xml><?xml version="1.0" encoding="utf-8"?>
<ds:datastoreItem xmlns:ds="http://schemas.openxmlformats.org/officeDocument/2006/customXml" ds:itemID="{7B4DB750-2787-4199-AC1D-2F78EBF3F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9774</Words>
  <Characters>55716</Characters>
  <Application>Microsoft Office Word</Application>
  <DocSecurity>0</DocSecurity>
  <PresentationFormat>Microsoft Word 14.0</PresentationFormat>
  <Lines>464</Lines>
  <Paragraphs>130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65360</CharactersWithSpaces>
  <SharedDoc>false</SharedDoc>
  <HLinks>
    <vt:vector size="96" baseType="variant">
      <vt:variant>
        <vt:i4>7995516</vt:i4>
      </vt:variant>
      <vt:variant>
        <vt:i4>54</vt:i4>
      </vt:variant>
      <vt:variant>
        <vt:i4>0</vt:i4>
      </vt:variant>
      <vt:variant>
        <vt:i4>5</vt:i4>
      </vt:variant>
      <vt:variant>
        <vt:lpwstr>https://www.eurofer.eu/issues/climate-and-energy/maps-of-key-low-carbon-steel-projects</vt:lpwstr>
      </vt:variant>
      <vt:variant>
        <vt:lpwstr/>
      </vt:variant>
      <vt:variant>
        <vt:i4>6225972</vt:i4>
      </vt:variant>
      <vt:variant>
        <vt:i4>51</vt:i4>
      </vt:variant>
      <vt:variant>
        <vt:i4>0</vt:i4>
      </vt:variant>
      <vt:variant>
        <vt:i4>5</vt:i4>
      </vt:variant>
      <vt:variant>
        <vt:lpwstr>https://pact-for-skills.ec.europa.eu/about/industrial-ecosystems-and-partnerships/energy-intensive-industries-large-scale-partnerships_en</vt:lpwstr>
      </vt:variant>
      <vt:variant>
        <vt:lpwstr/>
      </vt:variant>
      <vt:variant>
        <vt:i4>7209074</vt:i4>
      </vt:variant>
      <vt:variant>
        <vt:i4>42</vt:i4>
      </vt:variant>
      <vt:variant>
        <vt:i4>0</vt:i4>
      </vt:variant>
      <vt:variant>
        <vt:i4>5</vt:i4>
      </vt:variant>
      <vt:variant>
        <vt:lpwstr>https://eur-lex.europa.eu/legal-content/EN/TXT/?uri=CELEX%3A32024R1157</vt:lpwstr>
      </vt:variant>
      <vt:variant>
        <vt:lpwstr/>
      </vt:variant>
      <vt:variant>
        <vt:i4>6291564</vt:i4>
      </vt:variant>
      <vt:variant>
        <vt:i4>39</vt:i4>
      </vt:variant>
      <vt:variant>
        <vt:i4>0</vt:i4>
      </vt:variant>
      <vt:variant>
        <vt:i4>5</vt:i4>
      </vt:variant>
      <vt:variant>
        <vt:lpwstr>https://www.oecd.org/en/about/news/speech-statements/2024/11/96th-session-of-the-steel-committee-statement-by-the-chair.html</vt:lpwstr>
      </vt:variant>
      <vt:variant>
        <vt:lpwstr>:~:text=China's%20steel%20subsidies%20are%20more,borrowings%20than%20in%20OECD%20countries</vt:lpwstr>
      </vt:variant>
      <vt:variant>
        <vt:i4>7274585</vt:i4>
      </vt:variant>
      <vt:variant>
        <vt:i4>33</vt:i4>
      </vt:variant>
      <vt:variant>
        <vt:i4>0</vt:i4>
      </vt:variant>
      <vt:variant>
        <vt:i4>5</vt:i4>
      </vt:variant>
      <vt:variant>
        <vt:lpwstr>https://competition-policy.ec.europa.eu/document/download/45b532ce-53fb-4907-975c-79edaa31a166_en?filename=2025_CISAF_draft_EC_communication.pdf</vt:lpwstr>
      </vt:variant>
      <vt:variant>
        <vt:lpwstr/>
      </vt:variant>
      <vt:variant>
        <vt:i4>4456537</vt:i4>
      </vt:variant>
      <vt:variant>
        <vt:i4>30</vt:i4>
      </vt:variant>
      <vt:variant>
        <vt:i4>0</vt:i4>
      </vt:variant>
      <vt:variant>
        <vt:i4>5</vt:i4>
      </vt:variant>
      <vt:variant>
        <vt:lpwstr>https://www.efrag.org/en/projects/power-purchase-agreements/endorsement-consultation</vt:lpwstr>
      </vt:variant>
      <vt:variant>
        <vt:lpwstr/>
      </vt:variant>
      <vt:variant>
        <vt:i4>1835076</vt:i4>
      </vt:variant>
      <vt:variant>
        <vt:i4>27</vt:i4>
      </vt:variant>
      <vt:variant>
        <vt:i4>0</vt:i4>
      </vt:variant>
      <vt:variant>
        <vt:i4>5</vt:i4>
      </vt:variant>
      <vt:variant>
        <vt:lpwstr>https://www.ifrs.org/projects/completed-projects/2024/power-purchase-agreements/</vt:lpwstr>
      </vt:variant>
      <vt:variant>
        <vt:lpwstr/>
      </vt:variant>
      <vt:variant>
        <vt:i4>7536678</vt:i4>
      </vt:variant>
      <vt:variant>
        <vt:i4>24</vt:i4>
      </vt:variant>
      <vt:variant>
        <vt:i4>0</vt:i4>
      </vt:variant>
      <vt:variant>
        <vt:i4>5</vt:i4>
      </vt:variant>
      <vt:variant>
        <vt:lpwstr>https://www.bruegel.org/policy-brief/decarbonising-competitiveness-four-ways-reduce-european-energy-prices</vt:lpwstr>
      </vt:variant>
      <vt:variant>
        <vt:lpwstr/>
      </vt:variant>
      <vt:variant>
        <vt:i4>8192060</vt:i4>
      </vt:variant>
      <vt:variant>
        <vt:i4>21</vt:i4>
      </vt:variant>
      <vt:variant>
        <vt:i4>0</vt:i4>
      </vt:variant>
      <vt:variant>
        <vt:i4>5</vt:i4>
      </vt:variant>
      <vt:variant>
        <vt:lpwstr>https://www.reuters.com/markets/commodities/sky-high-energy-costs-fan-fire-under-aluminium-zinc-prices-2022-08-12/</vt:lpwstr>
      </vt:variant>
      <vt:variant>
        <vt:lpwstr/>
      </vt:variant>
      <vt:variant>
        <vt:i4>8192060</vt:i4>
      </vt:variant>
      <vt:variant>
        <vt:i4>18</vt:i4>
      </vt:variant>
      <vt:variant>
        <vt:i4>0</vt:i4>
      </vt:variant>
      <vt:variant>
        <vt:i4>5</vt:i4>
      </vt:variant>
      <vt:variant>
        <vt:lpwstr>https://www.reuters.com/markets/commodities/sky-high-energy-costs-fan-fire-under-aluminium-zinc-prices-2022-08-12/</vt:lpwstr>
      </vt:variant>
      <vt:variant>
        <vt:lpwstr/>
      </vt:variant>
      <vt:variant>
        <vt:i4>327745</vt:i4>
      </vt:variant>
      <vt:variant>
        <vt:i4>15</vt:i4>
      </vt:variant>
      <vt:variant>
        <vt:i4>0</vt:i4>
      </vt:variant>
      <vt:variant>
        <vt:i4>5</vt:i4>
      </vt:variant>
      <vt:variant>
        <vt:lpwstr>https://publications.jrc.ec.europa.eu/repository/handle/JRC121276</vt:lpwstr>
      </vt:variant>
      <vt:variant>
        <vt:lpwstr/>
      </vt:variant>
      <vt:variant>
        <vt:i4>720970</vt:i4>
      </vt:variant>
      <vt:variant>
        <vt:i4>12</vt:i4>
      </vt:variant>
      <vt:variant>
        <vt:i4>0</vt:i4>
      </vt:variant>
      <vt:variant>
        <vt:i4>5</vt:i4>
      </vt:variant>
      <vt:variant>
        <vt:lpwstr>https://publications.jrc.ec.europa.eu/repository/handle/JRC98333</vt:lpwstr>
      </vt:variant>
      <vt:variant>
        <vt:lpwstr/>
      </vt:variant>
      <vt:variant>
        <vt:i4>458844</vt:i4>
      </vt:variant>
      <vt:variant>
        <vt:i4>9</vt:i4>
      </vt:variant>
      <vt:variant>
        <vt:i4>0</vt:i4>
      </vt:variant>
      <vt:variant>
        <vt:i4>5</vt:i4>
      </vt:variant>
      <vt:variant>
        <vt:lpwstr>https://www.oecd.org/en/about/news/speech-statements/2024/11/96th-session-of-the-steel-committee-statement-by-the-chair.html</vt:lpwstr>
      </vt:variant>
      <vt:variant>
        <vt:lpwstr/>
      </vt:variant>
      <vt:variant>
        <vt:i4>327698</vt:i4>
      </vt:variant>
      <vt:variant>
        <vt:i4>6</vt:i4>
      </vt:variant>
      <vt:variant>
        <vt:i4>0</vt:i4>
      </vt:variant>
      <vt:variant>
        <vt:i4>5</vt:i4>
      </vt:variant>
      <vt:variant>
        <vt:lpwstr>https://international-aluminium.org/statistics/primary-aluminium-production/</vt:lpwstr>
      </vt:variant>
      <vt:variant>
        <vt:lpwstr/>
      </vt:variant>
      <vt:variant>
        <vt:i4>6225950</vt:i4>
      </vt:variant>
      <vt:variant>
        <vt:i4>3</vt:i4>
      </vt:variant>
      <vt:variant>
        <vt:i4>0</vt:i4>
      </vt:variant>
      <vt:variant>
        <vt:i4>5</vt:i4>
      </vt:variant>
      <vt:variant>
        <vt:lpwstr>https://www.mckinsey.com/industries/metals-and-mining/our-insights/the-raw-materials-challenge-how-the-metals-and-mining-sector-will-be-at-the-core-of-enabling-the-energy-transition</vt:lpwstr>
      </vt:variant>
      <vt:variant>
        <vt:lpwstr/>
      </vt:variant>
      <vt:variant>
        <vt:i4>5046308</vt:i4>
      </vt:variant>
      <vt:variant>
        <vt:i4>0</vt:i4>
      </vt:variant>
      <vt:variant>
        <vt:i4>0</vt:i4>
      </vt:variant>
      <vt:variant>
        <vt:i4>5</vt:i4>
      </vt:variant>
      <vt:variant>
        <vt:lpwstr>https://commission.europa.eu/document/download/10017eb1-4722-4333-add2-e0ed18105a34_en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2025-03-18T18:14:00Z</dcterms:created>
  <dcterms:modified xsi:type="dcterms:W3CDTF">2025-04-09T15:49:00Z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0x010100C66AEC4BD0A4BF469319B31048749EAB</vt:lpwstr>
  </property>
  <property fmtid="{D5CDD505-2E9C-101B-9397-08002B2CF9AE}" pid="3" name="EC_TX_All_World_Countries">
    <vt:lpwstr/>
  </property>
  <property fmtid="{D5CDD505-2E9C-101B-9397-08002B2CF9AE}" pid="4" name="EC_TX_Corporate_x0020_Body">
    <vt:lpwstr/>
  </property>
  <property fmtid="{D5CDD505-2E9C-101B-9397-08002B2CF9AE}" pid="5" name="MediaServiceImageTags">
    <vt:lpwstr/>
  </property>
  <property fmtid="{D5CDD505-2E9C-101B-9397-08002B2CF9AE}" pid="6" name="i8c8ab8b63424c5d9f8c4a8434abf670">
    <vt:lpwstr/>
  </property>
  <property fmtid="{D5CDD505-2E9C-101B-9397-08002B2CF9AE}" pid="7" name="p26229aee9004b9f888149fd0449ec68">
    <vt:lpwstr/>
  </property>
  <property fmtid="{D5CDD505-2E9C-101B-9397-08002B2CF9AE}" pid="8" name="eff2cf69f10b4279bbb27215ca009b37">
    <vt:lpwstr/>
  </property>
  <property fmtid="{D5CDD505-2E9C-101B-9397-08002B2CF9AE}" pid="9" name="EC_TX_Policy_Area">
    <vt:lpwstr/>
  </property>
  <property fmtid="{D5CDD505-2E9C-101B-9397-08002B2CF9AE}" pid="10" name="EC_TX_EU_Member_State">
    <vt:lpwstr/>
  </property>
  <property fmtid="{D5CDD505-2E9C-101B-9397-08002B2CF9AE}" pid="11" name="EC_TX_Resource_Type">
    <vt:lpwstr/>
  </property>
  <property fmtid="{D5CDD505-2E9C-101B-9397-08002B2CF9AE}" pid="12" name="j8309f8bc3e645d1a2f07391f8e5795a">
    <vt:lpwstr/>
  </property>
  <property fmtid="{D5CDD505-2E9C-101B-9397-08002B2CF9AE}" pid="13" name="g81cb4d17be94922847ce418ea81f55a">
    <vt:lpwstr/>
  </property>
  <property fmtid="{D5CDD505-2E9C-101B-9397-08002B2CF9AE}" pid="14" name="TaxCatchAll">
    <vt:lpwstr/>
  </property>
  <property fmtid="{D5CDD505-2E9C-101B-9397-08002B2CF9AE}" pid="15" name="EC_TX_EU_Political_Leader">
    <vt:lpwstr/>
  </property>
  <property fmtid="{D5CDD505-2E9C-101B-9397-08002B2CF9AE}" pid="16" name="p6ffe5294acd41c38db3fcc8ababb05f">
    <vt:lpwstr/>
  </property>
  <property fmtid="{D5CDD505-2E9C-101B-9397-08002B2CF9AE}" pid="17" name="k2c54712f93b47eb83e1835ba301b6c6">
    <vt:lpwstr/>
  </property>
  <property fmtid="{D5CDD505-2E9C-101B-9397-08002B2CF9AE}" pid="18" name="EC_TX_Strategic_Priority">
    <vt:lpwstr/>
  </property>
  <property fmtid="{D5CDD505-2E9C-101B-9397-08002B2CF9AE}" pid="19" name="EC_TX_Corporate Body">
    <vt:lpwstr/>
  </property>
  <property fmtid="{D5CDD505-2E9C-101B-9397-08002B2CF9AE}" pid="20" name="Level of sensitivity">
    <vt:lpwstr>Standard treatment</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CP-014</vt:lpwstr>
  </property>
  <property fmtid="{D5CDD505-2E9C-101B-9397-08002B2CF9AE}" pid="25" name="Last edited using">
    <vt:lpwstr>LW 9.1, Build 20240808</vt:lpwstr>
  </property>
  <property fmtid="{D5CDD505-2E9C-101B-9397-08002B2CF9AE}" pid="26" name="Created using">
    <vt:lpwstr>LW 9.1, Build 20240808</vt:lpwstr>
  </property>
  <property fmtid="{D5CDD505-2E9C-101B-9397-08002B2CF9AE}" pid="27" name="MSIP_Label_6bd9ddd1-4d20-43f6-abfa-fc3c07406f94_Enabled">
    <vt:lpwstr>true</vt:lpwstr>
  </property>
  <property fmtid="{D5CDD505-2E9C-101B-9397-08002B2CF9AE}" pid="28" name="MSIP_Label_6bd9ddd1-4d20-43f6-abfa-fc3c07406f94_SetDate">
    <vt:lpwstr>2025-03-18T14:56:07Z</vt:lpwstr>
  </property>
  <property fmtid="{D5CDD505-2E9C-101B-9397-08002B2CF9AE}" pid="29" name="MSIP_Label_6bd9ddd1-4d20-43f6-abfa-fc3c07406f94_Method">
    <vt:lpwstr>Privileged</vt:lpwstr>
  </property>
  <property fmtid="{D5CDD505-2E9C-101B-9397-08002B2CF9AE}" pid="30" name="MSIP_Label_6bd9ddd1-4d20-43f6-abfa-fc3c07406f94_Name">
    <vt:lpwstr>Commission Use</vt:lpwstr>
  </property>
  <property fmtid="{D5CDD505-2E9C-101B-9397-08002B2CF9AE}" pid="31" name="MSIP_Label_6bd9ddd1-4d20-43f6-abfa-fc3c07406f94_SiteId">
    <vt:lpwstr>b24c8b06-522c-46fe-9080-70926f8dddb1</vt:lpwstr>
  </property>
  <property fmtid="{D5CDD505-2E9C-101B-9397-08002B2CF9AE}" pid="32" name="MSIP_Label_6bd9ddd1-4d20-43f6-abfa-fc3c07406f94_ActionId">
    <vt:lpwstr>12ff50be-9521-4b02-8beb-0be9947a86de</vt:lpwstr>
  </property>
  <property fmtid="{D5CDD505-2E9C-101B-9397-08002B2CF9AE}" pid="33" name="MSIP_Label_6bd9ddd1-4d20-43f6-abfa-fc3c07406f94_ContentBits">
    <vt:lpwstr>0</vt:lpwstr>
  </property>
</Properties>
</file>