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BBDDD" w14:textId="557297C4" w:rsidR="00D21D4C" w:rsidRPr="00E175AF" w:rsidRDefault="001544B0" w:rsidP="001544B0">
      <w:pPr>
        <w:pStyle w:val="Pagedecouverture"/>
        <w:rPr>
          <w:noProof/>
        </w:rPr>
      </w:pPr>
      <w:bookmarkStart w:id="0" w:name="LW_BM_COVERPAGE"/>
      <w:r>
        <w:rPr>
          <w:noProof/>
        </w:rPr>
        <w:pict w14:anchorId="4A21E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243ADD-5EB7-4376-81F5-039A5A7D6DFB" style="width:455.25pt;height:336.75pt">
            <v:imagedata r:id="rId11" o:title=""/>
          </v:shape>
        </w:pict>
      </w:r>
    </w:p>
    <w:bookmarkEnd w:id="0"/>
    <w:p w14:paraId="3691566F" w14:textId="77777777" w:rsidR="005E59FB" w:rsidRPr="00E175AF" w:rsidRDefault="005E59FB" w:rsidP="007D05FE">
      <w:pPr>
        <w:rPr>
          <w:noProof/>
          <w:szCs w:val="24"/>
        </w:rPr>
        <w:sectPr w:rsidR="005E59FB" w:rsidRPr="00E175AF" w:rsidSect="001544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972A3F4" w14:textId="1B3DFA9D" w:rsidR="00CF3BB9" w:rsidRPr="00E175AF" w:rsidRDefault="009A61B3" w:rsidP="00236735">
      <w:pPr>
        <w:pStyle w:val="Heading1"/>
        <w:numPr>
          <w:ilvl w:val="0"/>
          <w:numId w:val="0"/>
        </w:numPr>
        <w:spacing w:after="0"/>
        <w:jc w:val="center"/>
        <w:rPr>
          <w:b w:val="0"/>
          <w:bCs/>
          <w:noProof/>
          <w:sz w:val="32"/>
        </w:rPr>
      </w:pPr>
      <w:bookmarkStart w:id="1" w:name="_GoBack"/>
      <w:bookmarkEnd w:id="1"/>
      <w:r w:rsidRPr="00E175AF">
        <w:rPr>
          <w:noProof/>
          <w:sz w:val="32"/>
        </w:rPr>
        <w:lastRenderedPageBreak/>
        <w:t>O politică de coeziune modernizată:</w:t>
      </w:r>
    </w:p>
    <w:p w14:paraId="270BC4F5" w14:textId="63179863" w:rsidR="00B46539" w:rsidRPr="00E175AF" w:rsidRDefault="00B46539" w:rsidP="006C7479">
      <w:pPr>
        <w:pStyle w:val="Heading1"/>
        <w:numPr>
          <w:ilvl w:val="0"/>
          <w:numId w:val="0"/>
        </w:numPr>
        <w:jc w:val="center"/>
        <w:rPr>
          <w:b w:val="0"/>
          <w:bCs/>
          <w:noProof/>
          <w:sz w:val="28"/>
          <w:szCs w:val="28"/>
        </w:rPr>
      </w:pPr>
      <w:r w:rsidRPr="00E175AF">
        <w:rPr>
          <w:noProof/>
          <w:sz w:val="28"/>
        </w:rPr>
        <w:t xml:space="preserve">evaluarea intermediară </w:t>
      </w:r>
    </w:p>
    <w:p w14:paraId="096343E2" w14:textId="2F697723" w:rsidR="006F323F" w:rsidRPr="00E175AF" w:rsidRDefault="0A0054AF" w:rsidP="55B432AB">
      <w:pPr>
        <w:rPr>
          <w:rFonts w:cs="Times New Roman"/>
          <w:noProof/>
        </w:rPr>
      </w:pPr>
      <w:r w:rsidRPr="00E175AF">
        <w:rPr>
          <w:noProof/>
        </w:rPr>
        <w:t>Tratatele UE</w:t>
      </w:r>
      <w:r w:rsidR="00B41377" w:rsidRPr="00E175AF">
        <w:rPr>
          <w:rStyle w:val="FootnoteReference"/>
          <w:rFonts w:cs="Times New Roman"/>
          <w:noProof/>
        </w:rPr>
        <w:footnoteReference w:id="2"/>
      </w:r>
      <w:r w:rsidRPr="00E175AF">
        <w:rPr>
          <w:noProof/>
        </w:rPr>
        <w:t xml:space="preserve"> consacră promovarea solidarității și a coeziunii, în special reducerea disparităților dintre nivelurile de dezvoltare ale regiunilor, printre obiectivele centrale ale Uniunii. Relevanța politică și economică a politicii de coeziune nu a făcut decât să crească în timp, în concordanță cu progresul integrării europene, în special odată cu instituirea pieței unice. Raportul din 2010 privind piața unică a indicat că „</w:t>
      </w:r>
      <w:r w:rsidRPr="00E175AF">
        <w:rPr>
          <w:i/>
          <w:noProof/>
        </w:rPr>
        <w:t>integrarea pieței ar putea aduce beneficii tuturor părților numai dacă este completată cu acțiuni la nivelul UE menite să corecteze dezechilibrele structurale la nivel subnațional</w:t>
      </w:r>
      <w:r w:rsidRPr="00E175AF">
        <w:rPr>
          <w:noProof/>
        </w:rPr>
        <w:t>”. În pofida eforturilor considerabile depuse în ritm susținut de-a lungul mai multor decenii, obiectivele de coeziune și de reducere a disparităților regionale în Europa se confruntă în prezent cu provocări importante. Raportul Letta a evidențiat apariția unei percepții asupra efectelor distributive negative ale pieței unice, precizând că „</w:t>
      </w:r>
      <w:r w:rsidRPr="00E175AF">
        <w:rPr>
          <w:i/>
          <w:noProof/>
        </w:rPr>
        <w:t>dacă nu va fi abordată, această percepție ar putea eroda sprijinul public și politic care este vital pentru succesul pieței unice în continuare</w:t>
      </w:r>
      <w:r w:rsidRPr="00E175AF">
        <w:rPr>
          <w:noProof/>
        </w:rPr>
        <w:t xml:space="preserve">”. </w:t>
      </w:r>
    </w:p>
    <w:p w14:paraId="1044EF77" w14:textId="3969C9D1" w:rsidR="3BAFD553" w:rsidRPr="00E175AF" w:rsidRDefault="00C938B1" w:rsidP="007D05FE">
      <w:pPr>
        <w:rPr>
          <w:rFonts w:cs="Times New Roman"/>
          <w:noProof/>
          <w:szCs w:val="24"/>
        </w:rPr>
      </w:pPr>
      <w:r w:rsidRPr="00E175AF">
        <w:rPr>
          <w:noProof/>
        </w:rPr>
        <w:t>Întrucât un transformarea radicală a mediului global are efecte asimetrice asupra oamenilor și asupra teritoriilor, costurile ajustării pot fi resimțite în mod disproporționat de anumite regiuni și sectoare economice ale UE, ceea ce ar putea accentua disparitățile teritoriale, sociale și economice.</w:t>
      </w:r>
    </w:p>
    <w:p w14:paraId="303DD06C" w14:textId="153E019E" w:rsidR="006F323F" w:rsidRPr="00E175AF" w:rsidRDefault="67F3BC46" w:rsidP="00E2A179">
      <w:pPr>
        <w:rPr>
          <w:rFonts w:eastAsia="Times New Roman" w:cs="Times New Roman"/>
          <w:noProof/>
        </w:rPr>
      </w:pPr>
      <w:r w:rsidRPr="00E175AF">
        <w:rPr>
          <w:noProof/>
        </w:rPr>
        <w:t>Orientările politice pentru perioada 2024-2029, enunțate de președinta von der Leyen pe baza consultărilor cu Parlamentul European și a Agendei Consiliului European pentru perioada 2024-2029, stabilesc noile priorități politice esențiale cu ajutorul cărora Uniunea va putea să abordeze aceste provocări, între care se numără:</w:t>
      </w:r>
    </w:p>
    <w:p w14:paraId="10982F2F" w14:textId="61CE97B2" w:rsidR="4A2092D2" w:rsidRPr="00E175AF" w:rsidRDefault="2A606242" w:rsidP="056BD30A">
      <w:pPr>
        <w:pStyle w:val="ListParagraph"/>
        <w:numPr>
          <w:ilvl w:val="0"/>
          <w:numId w:val="39"/>
        </w:numPr>
        <w:rPr>
          <w:rFonts w:eastAsia="Times New Roman" w:cs="Times New Roman"/>
          <w:noProof/>
        </w:rPr>
      </w:pPr>
      <w:r w:rsidRPr="00E175AF">
        <w:rPr>
          <w:noProof/>
        </w:rPr>
        <w:t>un nou plan pentru prosperitatea și competitivitatea sustenabile ale Europei, incluzând un Pact pentru o industrie curată;</w:t>
      </w:r>
    </w:p>
    <w:p w14:paraId="605D6D44" w14:textId="2ADC0962" w:rsidR="4A2092D2" w:rsidRPr="00E175AF" w:rsidRDefault="4A2092D2" w:rsidP="007D05FE">
      <w:pPr>
        <w:pStyle w:val="ListParagraph"/>
        <w:numPr>
          <w:ilvl w:val="0"/>
          <w:numId w:val="39"/>
        </w:numPr>
        <w:rPr>
          <w:rFonts w:eastAsia="Times New Roman" w:cs="Times New Roman"/>
          <w:noProof/>
          <w:szCs w:val="24"/>
        </w:rPr>
      </w:pPr>
      <w:r w:rsidRPr="00E175AF">
        <w:rPr>
          <w:noProof/>
        </w:rPr>
        <w:t>o nouă eră pentru apărarea și securitatea europeană;</w:t>
      </w:r>
    </w:p>
    <w:p w14:paraId="5AC4088C" w14:textId="5BE39041" w:rsidR="4A2092D2" w:rsidRPr="00E175AF" w:rsidRDefault="4A2092D2" w:rsidP="007D05FE">
      <w:pPr>
        <w:pStyle w:val="ListParagraph"/>
        <w:numPr>
          <w:ilvl w:val="0"/>
          <w:numId w:val="39"/>
        </w:numPr>
        <w:rPr>
          <w:rFonts w:eastAsia="Times New Roman" w:cs="Times New Roman"/>
          <w:noProof/>
          <w:szCs w:val="24"/>
        </w:rPr>
      </w:pPr>
      <w:r w:rsidRPr="00E175AF">
        <w:rPr>
          <w:noProof/>
        </w:rPr>
        <w:t>sprijinirea cetățenilor, consolidarea societăților noastre și a modelului nostru social;</w:t>
      </w:r>
    </w:p>
    <w:p w14:paraId="0BC00F3B" w14:textId="214F2BF7" w:rsidR="4A2092D2" w:rsidRPr="00E175AF" w:rsidRDefault="2A606242" w:rsidP="056BD30A">
      <w:pPr>
        <w:pStyle w:val="ListParagraph"/>
        <w:numPr>
          <w:ilvl w:val="0"/>
          <w:numId w:val="39"/>
        </w:numPr>
        <w:rPr>
          <w:rFonts w:eastAsia="Times New Roman" w:cs="Times New Roman"/>
          <w:noProof/>
        </w:rPr>
      </w:pPr>
      <w:r w:rsidRPr="00E175AF">
        <w:rPr>
          <w:noProof/>
        </w:rPr>
        <w:t>menținerea calității vieții noastre: securitatea alimentară, apa și natura;</w:t>
      </w:r>
    </w:p>
    <w:p w14:paraId="78A998DE" w14:textId="2DD9B9D9" w:rsidR="6ABE77B1" w:rsidRPr="00E175AF" w:rsidRDefault="6ABE77B1" w:rsidP="056BD30A">
      <w:pPr>
        <w:pStyle w:val="ListParagraph"/>
        <w:numPr>
          <w:ilvl w:val="0"/>
          <w:numId w:val="39"/>
        </w:numPr>
        <w:rPr>
          <w:rFonts w:eastAsia="Times New Roman" w:cs="Times New Roman"/>
          <w:noProof/>
        </w:rPr>
      </w:pPr>
      <w:r w:rsidRPr="00E175AF">
        <w:rPr>
          <w:noProof/>
        </w:rPr>
        <w:t>îmbunătățirea gradului de pregătire al UE și a capacității sale de a preîntâmpina crizele viitoare.</w:t>
      </w:r>
    </w:p>
    <w:p w14:paraId="14C1A4B8" w14:textId="4BCF0C53" w:rsidR="2DFFFC6C" w:rsidRPr="00E175AF" w:rsidRDefault="2DFFFC6C" w:rsidP="007D05FE">
      <w:pPr>
        <w:rPr>
          <w:rFonts w:cs="Times New Roman"/>
          <w:b/>
          <w:bCs/>
          <w:noProof/>
          <w:szCs w:val="24"/>
        </w:rPr>
      </w:pPr>
      <w:r w:rsidRPr="00E175AF">
        <w:rPr>
          <w:b/>
          <w:noProof/>
        </w:rPr>
        <w:t xml:space="preserve">Datorită flexibilității sale inerente, politica de coeziune contribuie în mod semnificativ la prioritățile noi și vitale menționate mai sus, îndeplinind în același timp obiectivul principal de reducere a disparităților, un obiectiv esențial pentru proiectul european. </w:t>
      </w:r>
    </w:p>
    <w:p w14:paraId="063A0124" w14:textId="49BB979D" w:rsidR="13B11D01" w:rsidRPr="00E175AF" w:rsidRDefault="491C9A17" w:rsidP="00E2A179">
      <w:pPr>
        <w:rPr>
          <w:rFonts w:cs="Times New Roman"/>
          <w:noProof/>
        </w:rPr>
      </w:pPr>
      <w:r w:rsidRPr="00E175AF">
        <w:rPr>
          <w:noProof/>
        </w:rPr>
        <w:t>Comisia propune, în parteneriat cu autoritățile naționale, regionale și locale, să utilizeze evaluarea intermediară a politicii de coeziune pentru a maximiza contribuția acesteia la prioritățile politice actuale și emergente ale Uniunii și pentru a spori impactul său asupra coeziunii economice, sociale și teritoriale.</w:t>
      </w:r>
    </w:p>
    <w:p w14:paraId="0B1B338F" w14:textId="3278B27B" w:rsidR="5B6A61A3" w:rsidRPr="00E175AF" w:rsidRDefault="72DDF1D5" w:rsidP="00E2A179">
      <w:pPr>
        <w:rPr>
          <w:rFonts w:eastAsia="Times New Roman" w:cs="Times New Roman"/>
          <w:noProof/>
          <w:color w:val="000000" w:themeColor="text1"/>
        </w:rPr>
      </w:pPr>
      <w:r w:rsidRPr="00E175AF">
        <w:rPr>
          <w:noProof/>
        </w:rPr>
        <w:t>Pentru a facilita acest proces, Comisia propune modificări punctuale ale cadrului de reglementare al fondurilor politicii de coeziune</w:t>
      </w:r>
      <w:r w:rsidR="0082063E" w:rsidRPr="00E175AF">
        <w:rPr>
          <w:rFonts w:eastAsia="Times New Roman" w:cs="Times New Roman"/>
          <w:noProof/>
          <w:vertAlign w:val="superscript"/>
        </w:rPr>
        <w:footnoteReference w:id="3"/>
      </w:r>
      <w:r w:rsidRPr="00E175AF">
        <w:rPr>
          <w:noProof/>
        </w:rPr>
        <w:t xml:space="preserve">, cu următoarele scopuri: (i) </w:t>
      </w:r>
      <w:r w:rsidRPr="00E175AF">
        <w:rPr>
          <w:b/>
          <w:noProof/>
        </w:rPr>
        <w:t>alinierea priorităților de investiții</w:t>
      </w:r>
      <w:r w:rsidRPr="00E175AF">
        <w:rPr>
          <w:noProof/>
        </w:rPr>
        <w:t xml:space="preserve"> la evoluția contextului economic, societal și geopolitic, precum și la obiectivele noastre în materie de climă și de mediu și (ii) </w:t>
      </w:r>
      <w:r w:rsidRPr="00E175AF">
        <w:rPr>
          <w:b/>
          <w:noProof/>
        </w:rPr>
        <w:t>introducerea unei mai mari flexibilități și a unor stimulente</w:t>
      </w:r>
      <w:r w:rsidRPr="00E175AF">
        <w:rPr>
          <w:noProof/>
        </w:rPr>
        <w:t xml:space="preserve"> menite </w:t>
      </w:r>
      <w:r w:rsidRPr="00E175AF">
        <w:rPr>
          <w:rStyle w:val="eop"/>
          <w:noProof/>
          <w:color w:val="000000" w:themeColor="text1"/>
        </w:rPr>
        <w:t xml:space="preserve">să faciliteze mobilizarea rapidă a resurselor și să accelereze derularea programelor. </w:t>
      </w:r>
    </w:p>
    <w:p w14:paraId="54A6EAFA" w14:textId="5F5793A2" w:rsidR="00660824" w:rsidRPr="00E175AF" w:rsidRDefault="0D8652C9" w:rsidP="00CF3BB9">
      <w:pPr>
        <w:pStyle w:val="Heading1"/>
        <w:rPr>
          <w:noProof/>
        </w:rPr>
      </w:pPr>
      <w:r w:rsidRPr="00E175AF">
        <w:rPr>
          <w:noProof/>
        </w:rPr>
        <w:t>Politica de coeziune 2021-2027: situația actuală</w:t>
      </w:r>
    </w:p>
    <w:p w14:paraId="6D25BCF5" w14:textId="287A4E04" w:rsidR="000A1A5D" w:rsidRPr="00E175AF" w:rsidRDefault="00660824" w:rsidP="007D05FE">
      <w:pPr>
        <w:rPr>
          <w:rFonts w:cs="Times New Roman"/>
          <w:noProof/>
          <w:szCs w:val="24"/>
        </w:rPr>
      </w:pPr>
      <w:r w:rsidRPr="00E175AF">
        <w:rPr>
          <w:noProof/>
        </w:rPr>
        <w:t xml:space="preserve">Deși negocierile privind perioada de programare 2021-2027 au fost lansate la începutul anului 2019 și în pofida ambițiilor statelor membre de a dispune de programe pregătite pentru adoptare până la sfârșitul anului 2020, </w:t>
      </w:r>
      <w:r w:rsidRPr="00E175AF">
        <w:rPr>
          <w:b/>
          <w:noProof/>
        </w:rPr>
        <w:t>punerea în aplicare a început efectiv în 2023, cu peste un an mai târziu decât se prevăzuse</w:t>
      </w:r>
      <w:r w:rsidRPr="00E175AF">
        <w:rPr>
          <w:noProof/>
        </w:rPr>
        <w:t xml:space="preserve">. </w:t>
      </w:r>
    </w:p>
    <w:p w14:paraId="232C0439" w14:textId="453B4F6E" w:rsidR="006C49A3" w:rsidRPr="00E175AF" w:rsidRDefault="5C0D251A" w:rsidP="00E2A179">
      <w:pPr>
        <w:rPr>
          <w:rFonts w:cs="Times New Roman"/>
          <w:noProof/>
        </w:rPr>
      </w:pPr>
      <w:r w:rsidRPr="00E175AF">
        <w:rPr>
          <w:noProof/>
        </w:rPr>
        <w:t xml:space="preserve">Acest lucru s-a datorat unei combinații de factori, în special adoptării tardive a reglementărilor referitoare la politică și necesității de a rezolva o succesiune de crize, printre care pandemia de COVID-19, războiul împotriva Ucrainei și criza energetică determinată de acesta, precum și priorității acordate punerii în aplicare a instrumentelor Next Generation EU, în special a Mecanismului de redresare și reziliență (MRR), care aveau termene mai scurte. În plus, acești factori au limitat capacitățile autorităților statelor membre de a concepe și realiza investiții cu celeritate. </w:t>
      </w:r>
    </w:p>
    <w:p w14:paraId="20E144EC" w14:textId="1676BD23" w:rsidR="003B3AB3" w:rsidRPr="00E175AF" w:rsidRDefault="6B066E64" w:rsidP="00E2A179">
      <w:pPr>
        <w:rPr>
          <w:rFonts w:cs="Times New Roman"/>
          <w:noProof/>
        </w:rPr>
      </w:pPr>
      <w:r w:rsidRPr="00E175AF">
        <w:rPr>
          <w:noProof/>
        </w:rPr>
        <w:t>Nivelul plăților din perioada de programare 2021-2027 este similar cu cel din etapa echivalentă de după adoptarea cadrului de reglementare pentru perioada de programare 2014-2020</w:t>
      </w:r>
      <w:r w:rsidR="4A921125" w:rsidRPr="00E175AF">
        <w:rPr>
          <w:rFonts w:cs="Times New Roman"/>
          <w:noProof/>
          <w:vertAlign w:val="superscript"/>
        </w:rPr>
        <w:footnoteReference w:id="4"/>
      </w:r>
      <w:r w:rsidRPr="00E175AF">
        <w:rPr>
          <w:noProof/>
        </w:rPr>
        <w:t>, dar a rămas mai puțin timp pentru a absorbi integral resursele ciclului actual</w:t>
      </w:r>
      <w:r w:rsidR="4A921125" w:rsidRPr="00E175AF">
        <w:rPr>
          <w:rFonts w:cs="Times New Roman"/>
          <w:noProof/>
          <w:vertAlign w:val="superscript"/>
        </w:rPr>
        <w:footnoteReference w:id="5"/>
      </w:r>
      <w:r w:rsidRPr="00E175AF">
        <w:rPr>
          <w:noProof/>
        </w:rPr>
        <w:t xml:space="preserve">. </w:t>
      </w:r>
    </w:p>
    <w:p w14:paraId="44F7CFFD" w14:textId="75BB7E44" w:rsidR="00CF0B5E" w:rsidRPr="00E175AF" w:rsidRDefault="0F29C941">
      <w:pPr>
        <w:rPr>
          <w:rFonts w:cs="Times New Roman"/>
          <w:noProof/>
        </w:rPr>
      </w:pPr>
      <w:bookmarkStart w:id="2" w:name="_Hlk194129068"/>
      <w:r w:rsidRPr="00E175AF">
        <w:rPr>
          <w:noProof/>
        </w:rPr>
        <w:t>Politica de coeziune a demonstrat capacitatea de a mobiliza mijloace substanțiale la nivel regional și local și a reprezentat un vector important al răspunsului UE la pandemia de COVID-19</w:t>
      </w:r>
      <w:r w:rsidR="00CF0B5E" w:rsidRPr="00E175AF">
        <w:rPr>
          <w:rStyle w:val="FootnoteReference"/>
          <w:rFonts w:cs="Times New Roman"/>
          <w:noProof/>
        </w:rPr>
        <w:footnoteReference w:id="6"/>
      </w:r>
      <w:r w:rsidRPr="00E175AF">
        <w:rPr>
          <w:noProof/>
        </w:rPr>
        <w:t xml:space="preserve">. </w:t>
      </w:r>
      <w:bookmarkEnd w:id="2"/>
      <w:r w:rsidRPr="00E175AF">
        <w:rPr>
          <w:noProof/>
        </w:rPr>
        <w:t>Ulterior, aceasta a fost din nou utilizată pentru a răspunde consecințelor războiului de agresiune purtat de Rusia împotriva Ucrainei (prin Acțiunea de coeziune pentru refugiații din Europa – CARE</w:t>
      </w:r>
      <w:r w:rsidR="00CF0B5E" w:rsidRPr="00E175AF">
        <w:rPr>
          <w:rStyle w:val="FootnoteReference"/>
          <w:rFonts w:cs="Times New Roman"/>
          <w:noProof/>
        </w:rPr>
        <w:footnoteReference w:id="7"/>
      </w:r>
      <w:r w:rsidRPr="00E175AF">
        <w:rPr>
          <w:noProof/>
        </w:rPr>
        <w:t xml:space="preserve"> și FAST-CARE</w:t>
      </w:r>
      <w:r w:rsidR="00CF0B5E" w:rsidRPr="00E175AF">
        <w:rPr>
          <w:rStyle w:val="FootnoteReference"/>
          <w:rFonts w:cs="Times New Roman"/>
          <w:noProof/>
        </w:rPr>
        <w:footnoteReference w:id="8"/>
      </w:r>
      <w:r w:rsidRPr="00E175AF">
        <w:rPr>
          <w:noProof/>
        </w:rPr>
        <w:t>, precum și prin SAFE</w:t>
      </w:r>
      <w:r w:rsidR="00CF0B5E" w:rsidRPr="00E175AF">
        <w:rPr>
          <w:rStyle w:val="FootnoteReference"/>
          <w:rFonts w:cs="Times New Roman"/>
          <w:noProof/>
        </w:rPr>
        <w:footnoteReference w:id="9"/>
      </w:r>
      <w:r w:rsidRPr="00E175AF">
        <w:rPr>
          <w:noProof/>
        </w:rPr>
        <w:t xml:space="preserve"> pentru a sprijini IMM-urile și gospodăriile vulnerabile care se confruntau cu costuri ridicate ale energiei). Atunci când pe tot cuprinsul Europei au avut loc inundații din ce în ce mai mari ca intensitate și amploare, politica de coeziune a răspuns propunând RESTORE</w:t>
      </w:r>
      <w:r w:rsidR="00CF0B5E" w:rsidRPr="00E175AF">
        <w:rPr>
          <w:rStyle w:val="FootnoteReference"/>
          <w:rFonts w:cs="Times New Roman"/>
          <w:noProof/>
        </w:rPr>
        <w:footnoteReference w:id="10"/>
      </w:r>
      <w:r w:rsidRPr="00E175AF">
        <w:rPr>
          <w:noProof/>
        </w:rPr>
        <w:t xml:space="preserve">. </w:t>
      </w:r>
    </w:p>
    <w:p w14:paraId="52CE9B35" w14:textId="451EA765" w:rsidR="00B46539" w:rsidRPr="00E175AF" w:rsidRDefault="755F196D" w:rsidP="007D05FE">
      <w:pPr>
        <w:rPr>
          <w:rFonts w:cs="Times New Roman"/>
          <w:noProof/>
          <w:szCs w:val="24"/>
        </w:rPr>
      </w:pPr>
      <w:r w:rsidRPr="00E175AF">
        <w:rPr>
          <w:noProof/>
        </w:rPr>
        <w:t xml:space="preserve">În același timp, faptul că o parte semnificativă din bugetul alocat politicii de coeziune încă nu a fost contractată </w:t>
      </w:r>
      <w:r w:rsidRPr="00E175AF">
        <w:rPr>
          <w:b/>
          <w:noProof/>
        </w:rPr>
        <w:t>oferă ocazia de a utiliza flexibilitatea și paleta largă de opțiuni a politicii de coeziune pentru a reorienta programele către noile provocări imperioase</w:t>
      </w:r>
      <w:r w:rsidRPr="00E175AF">
        <w:rPr>
          <w:noProof/>
        </w:rPr>
        <w:t xml:space="preserve"> cu care se confruntă Uniunea Europeană, determinate de evoluția mediului global. În plus, se creează posibilitatea unor </w:t>
      </w:r>
      <w:r w:rsidRPr="00E175AF">
        <w:rPr>
          <w:b/>
          <w:noProof/>
        </w:rPr>
        <w:t>modificări specifice ale normelor politicii de coeziune</w:t>
      </w:r>
      <w:r w:rsidRPr="00E175AF">
        <w:rPr>
          <w:noProof/>
        </w:rPr>
        <w:t xml:space="preserve">, care vor ajuta autoritățile statelor membre să răspundă mai rapid nevoilor urgente de investiții. </w:t>
      </w:r>
    </w:p>
    <w:p w14:paraId="397D29CC" w14:textId="6142D2F6" w:rsidR="00010A74" w:rsidRPr="00E175AF" w:rsidRDefault="480B871C" w:rsidP="007D05FE">
      <w:pPr>
        <w:rPr>
          <w:rFonts w:cs="Times New Roman"/>
          <w:noProof/>
          <w:szCs w:val="24"/>
        </w:rPr>
      </w:pPr>
      <w:r w:rsidRPr="00E175AF">
        <w:rPr>
          <w:noProof/>
        </w:rPr>
        <w:t>Prin urmare, este necesar să se examineze toate posibilitățile de ajustare a accentului și de îmbunătățire a eficacității măsurilor, accelerând în același timp punerea în aplicare a programelor.</w:t>
      </w:r>
    </w:p>
    <w:p w14:paraId="7843D715" w14:textId="152D61FF" w:rsidR="5B062F1E" w:rsidRPr="00E175AF" w:rsidRDefault="68BFD6D4" w:rsidP="006C7479">
      <w:pPr>
        <w:pStyle w:val="Heading1"/>
        <w:rPr>
          <w:noProof/>
        </w:rPr>
      </w:pPr>
      <w:r w:rsidRPr="00E175AF">
        <w:rPr>
          <w:noProof/>
        </w:rPr>
        <w:t>Utilizarea evaluării intermediare pentru a răspunde provocărilor emergente</w:t>
      </w:r>
    </w:p>
    <w:p w14:paraId="1B9CEC92" w14:textId="6B537327" w:rsidR="7F3EA226" w:rsidRPr="00E175AF" w:rsidRDefault="5BCE66CB" w:rsidP="056BD30A">
      <w:pPr>
        <w:pStyle w:val="paragraph"/>
        <w:spacing w:before="0" w:beforeAutospacing="0" w:after="240" w:afterAutospacing="0"/>
        <w:rPr>
          <w:rStyle w:val="eop"/>
          <w:rFonts w:eastAsiaTheme="majorEastAsia"/>
          <w:noProof/>
          <w:color w:val="000000" w:themeColor="text1"/>
        </w:rPr>
      </w:pPr>
      <w:r w:rsidRPr="00E175AF">
        <w:rPr>
          <w:rStyle w:val="eop"/>
          <w:noProof/>
          <w:color w:val="000000" w:themeColor="text1"/>
        </w:rPr>
        <w:t>În ultimii ani, dinamica geopolitică a fost marcată de incertitudini profunde, care necesită o reevaluare fundamentală a autonomiei strategice, a rezilienței și a pregătirii UE. Aceste schimbări au loc în paralel cu tranziția verde, tehnologică și socială, care remodelează rapid lumea din jurul nostru. Provocările generate de aceste transformări simultane au fost analizate în amănunt în raportul Draghi privind „Viitorul competitivității europene”, publicat în septembrie 2024. Raportul subliniază necesitatea urgentă de a elimina decalajul în materie de inovare, de a consolida competitivitatea economică – folosind decarbonizarea drept oportunitate de creștere – și de a reduce dependențele externe prin diversificarea lanțurilor de aprovizionare și prin investiții în reziliența la schimbările climatice, în energia verde produsă pe plan intern și în sectoarele critice.</w:t>
      </w:r>
    </w:p>
    <w:p w14:paraId="4E946ACA" w14:textId="0768CD99" w:rsidR="00DA65A2" w:rsidRPr="00E175AF" w:rsidRDefault="4D804583" w:rsidP="056BD30A">
      <w:pPr>
        <w:pStyle w:val="paragraph"/>
        <w:spacing w:before="0" w:beforeAutospacing="0" w:after="240" w:afterAutospacing="0"/>
        <w:rPr>
          <w:rFonts w:eastAsiaTheme="majorEastAsia"/>
          <w:noProof/>
        </w:rPr>
      </w:pPr>
      <w:r w:rsidRPr="00E175AF">
        <w:rPr>
          <w:rStyle w:val="eop"/>
          <w:noProof/>
          <w:color w:val="000000" w:themeColor="text1"/>
        </w:rPr>
        <w:t>Ca răspuns, au fost deja lansate mai multe inițiative majore menite să consolideze reziliența economică și autonomia strategică a UE. Printre acestea se numără „REPowerEU”, care a fost răspunsul Comisiei la dificultățile socioeconomice și la perturbarea pieței mondiale a energiei cauzate de agresiunea Rusiei împotriva Ucrainei, și „platforma Tehnologii strategice pentru Europa” (STEP), care urmărește să consolideze poziția de lider tehnologic a Europei. Acestea vin în completarea intervențiilor aflate deja în curs prin intermediul programelor politicii de coeziune și al Mecanismului de redresare și reziliență (MRR), având rolul de a sprijini schimbările structurale din statele membre și din regiuni, precum și de a spori reziliența acestora. Statele membre</w:t>
      </w:r>
      <w:r w:rsidRPr="00E175AF">
        <w:rPr>
          <w:noProof/>
          <w:color w:val="000000" w:themeColor="text1"/>
        </w:rPr>
        <w:t xml:space="preserve"> ar putea beneficia de resurse suplimentare pentru a introduce capitole privind REPowerEU în planurile lor de redresare și reziliență (PNRR), cu scopul de a stimula reformele și investițiile care diversifică aprovizionarea cu energie a UE, accelerează tranziția verde și sprijină gospodăriile vulnerabile. Strategia privind o uniune a pregătirii, adoptată la 26 martie 2025, va contribui, de asemenea, la consolidarea rezilienței UE.</w:t>
      </w:r>
    </w:p>
    <w:p w14:paraId="6D3754AB" w14:textId="55776EB9" w:rsidR="00A82EB5" w:rsidRPr="00E175AF" w:rsidRDefault="00A82EB5" w:rsidP="00DA65A2">
      <w:pPr>
        <w:pStyle w:val="paragraph"/>
        <w:spacing w:before="0" w:beforeAutospacing="0" w:after="240" w:afterAutospacing="0"/>
        <w:rPr>
          <w:rStyle w:val="eop"/>
          <w:rFonts w:eastAsiaTheme="majorEastAsia"/>
          <w:noProof/>
          <w:color w:val="000000" w:themeColor="text1"/>
        </w:rPr>
      </w:pPr>
      <w:r w:rsidRPr="00E175AF">
        <w:rPr>
          <w:rStyle w:val="eop"/>
          <w:noProof/>
          <w:color w:val="000000" w:themeColor="text1"/>
        </w:rPr>
        <w:t xml:space="preserve">Ca principal instrument de investiții al UE în contextul cadrului financiar multianual (CFM), politica de coeziune joacă un rol esențial în sprijinirea acestor priorități. Ea facilitează investiții specifice care contribuie la coeziunea economică, socială și teritorială, abordând în același timp provocările emergente. </w:t>
      </w:r>
    </w:p>
    <w:p w14:paraId="658D168D" w14:textId="7B0B2D49" w:rsidR="00A82EB5" w:rsidRPr="00E175AF" w:rsidRDefault="6E2FAEA8" w:rsidP="007D05FE">
      <w:pPr>
        <w:pStyle w:val="paragraph"/>
        <w:spacing w:before="0" w:beforeAutospacing="0" w:after="240" w:afterAutospacing="0"/>
        <w:rPr>
          <w:rStyle w:val="eop"/>
          <w:rFonts w:eastAsiaTheme="majorEastAsia"/>
          <w:b/>
          <w:bCs/>
          <w:noProof/>
          <w:color w:val="000000" w:themeColor="text1"/>
        </w:rPr>
      </w:pPr>
      <w:r w:rsidRPr="00E175AF">
        <w:rPr>
          <w:rStyle w:val="eop"/>
          <w:b/>
          <w:noProof/>
          <w:color w:val="000000" w:themeColor="text1"/>
        </w:rPr>
        <w:t>Cu toate acestea, cadrul normativ care reglementează fondurile politicii de coeziune pentru perioada 2021-2027 a fost elaborat, negociat și adoptat în perioada 2019-2021, iar programele au fost adoptate înainte de seria de evenimente geopolitice și economice majore care au remodelat unele dintre prioritățile politice strategice ale UE.</w:t>
      </w:r>
    </w:p>
    <w:p w14:paraId="640BDFEB" w14:textId="326A5F2A" w:rsidR="00A82EB5" w:rsidRPr="00E175AF" w:rsidRDefault="6E2FAEA8" w:rsidP="007D05FE">
      <w:pPr>
        <w:pStyle w:val="paragraph"/>
        <w:spacing w:before="0" w:beforeAutospacing="0" w:after="240" w:afterAutospacing="0"/>
        <w:rPr>
          <w:rStyle w:val="eop"/>
          <w:rFonts w:eastAsiaTheme="majorEastAsia"/>
          <w:noProof/>
          <w:color w:val="000000" w:themeColor="text1"/>
        </w:rPr>
      </w:pPr>
      <w:r w:rsidRPr="00E175AF">
        <w:rPr>
          <w:rStyle w:val="eop"/>
          <w:noProof/>
          <w:color w:val="000000" w:themeColor="text1"/>
        </w:rPr>
        <w:t xml:space="preserve">În mod similar, acordurile de parteneriat și programele naționale și regionale din cadrul politicii de coeziune au fost elaborate și aprobate în același interval de timp, reflectând așadar prioritățile stabilite la momentul respectiv și fiind </w:t>
      </w:r>
      <w:r w:rsidRPr="00E175AF">
        <w:rPr>
          <w:rStyle w:val="eop"/>
          <w:b/>
          <w:noProof/>
          <w:color w:val="000000" w:themeColor="text1"/>
        </w:rPr>
        <w:t>bazate pe fundamente economice care s-au schimbat semnificativ</w:t>
      </w:r>
      <w:r w:rsidRPr="00E175AF">
        <w:rPr>
          <w:rStyle w:val="eop"/>
          <w:noProof/>
          <w:color w:val="000000" w:themeColor="text1"/>
        </w:rPr>
        <w:t xml:space="preserve"> ca urmare a șocurilor exogene neprevăzute, cum ar fi criza energetică și evoluția mediului comercial și de securitate mondial. </w:t>
      </w:r>
    </w:p>
    <w:p w14:paraId="7457834C" w14:textId="6E305AB4" w:rsidR="2E6D8AA0" w:rsidRPr="00E175AF" w:rsidRDefault="5C536678" w:rsidP="056BD30A">
      <w:pPr>
        <w:pStyle w:val="paragraph"/>
        <w:spacing w:before="0" w:beforeAutospacing="0" w:after="240" w:afterAutospacing="0"/>
        <w:rPr>
          <w:rStyle w:val="eop"/>
          <w:noProof/>
          <w:color w:val="000000" w:themeColor="text1"/>
        </w:rPr>
      </w:pPr>
      <w:r w:rsidRPr="00E175AF">
        <w:rPr>
          <w:rStyle w:val="eop"/>
          <w:noProof/>
          <w:color w:val="000000" w:themeColor="text1"/>
        </w:rPr>
        <w:t xml:space="preserve">În acest context și pe baza Orientărilor politice 2024-2029, </w:t>
      </w:r>
      <w:r w:rsidRPr="00E175AF">
        <w:rPr>
          <w:rStyle w:val="eop"/>
          <w:b/>
          <w:noProof/>
          <w:color w:val="000000" w:themeColor="text1"/>
        </w:rPr>
        <w:t>începând din decembrie 2024</w:t>
      </w:r>
      <w:r w:rsidRPr="00E175AF">
        <w:rPr>
          <w:rStyle w:val="eop"/>
          <w:noProof/>
          <w:color w:val="000000" w:themeColor="text1"/>
        </w:rPr>
        <w:t xml:space="preserve"> Comisia Europeană </w:t>
      </w:r>
      <w:r w:rsidRPr="00E175AF">
        <w:rPr>
          <w:rStyle w:val="eop"/>
          <w:b/>
          <w:noProof/>
          <w:color w:val="000000" w:themeColor="text1"/>
        </w:rPr>
        <w:t>a inițiat o consultare amplă cu statele membre, cu regiunile și cu autoritățile locale</w:t>
      </w:r>
      <w:r w:rsidRPr="00E175AF">
        <w:rPr>
          <w:rStyle w:val="eop"/>
          <w:noProof/>
          <w:color w:val="000000" w:themeColor="text1"/>
        </w:rPr>
        <w:t xml:space="preserve"> în vederea obținerii de informații cu privire la prioritățile lor politice și la modul în care ar putea fi adaptată politica de coeziune pentru a răspunde mai bine acestor nevoi. Au avut loc discuții atât în statele membre, cât și la Bruxelles cu reprezentanți ai guvernelor naționale, ai regiunilor, inclusiv ai regiunilor ultraperiferice, ai orașelor și ai zonelor neurbane, cum ar fi insulele. </w:t>
      </w:r>
      <w:r w:rsidRPr="00E175AF">
        <w:rPr>
          <w:noProof/>
          <w:color w:val="000000" w:themeColor="text1"/>
        </w:rPr>
        <w:t>În plus, Comisia a avut întrevederi cu Parlamentul European și cu Comitetul European al Regiunilor</w:t>
      </w:r>
      <w:r w:rsidR="00794C85" w:rsidRPr="00E175AF">
        <w:rPr>
          <w:rStyle w:val="FootnoteReference"/>
          <w:noProof/>
          <w:color w:val="000000" w:themeColor="text1"/>
        </w:rPr>
        <w:footnoteReference w:id="11"/>
      </w:r>
      <w:r w:rsidRPr="00E175AF">
        <w:rPr>
          <w:noProof/>
          <w:color w:val="000000" w:themeColor="text1"/>
        </w:rPr>
        <w:t>.</w:t>
      </w:r>
    </w:p>
    <w:p w14:paraId="3EC17A37" w14:textId="5E7A687F" w:rsidR="007226BE" w:rsidRPr="00E175AF" w:rsidRDefault="1A6083D5" w:rsidP="007D05FE">
      <w:pPr>
        <w:pStyle w:val="paragraph"/>
        <w:spacing w:before="0" w:beforeAutospacing="0" w:after="240" w:afterAutospacing="0"/>
        <w:rPr>
          <w:rStyle w:val="eop"/>
          <w:noProof/>
          <w:color w:val="000000" w:themeColor="text1"/>
        </w:rPr>
      </w:pPr>
      <w:r w:rsidRPr="00E175AF">
        <w:rPr>
          <w:rStyle w:val="eop"/>
          <w:b/>
          <w:noProof/>
          <w:color w:val="000000" w:themeColor="text1"/>
        </w:rPr>
        <w:t xml:space="preserve">În urma acestor consultări, s-a decis prin consens că evaluarea intermediară poate fi utilizată pentru (i) a integra deja noile priorități ale UE </w:t>
      </w:r>
      <w:r w:rsidRPr="00E175AF">
        <w:rPr>
          <w:rStyle w:val="eop"/>
          <w:b/>
          <w:noProof/>
          <w:color w:val="000000" w:themeColor="text1"/>
          <w:u w:val="single"/>
        </w:rPr>
        <w:t>în programele de coeziune pentru perioada 2021-2027</w:t>
      </w:r>
      <w:r w:rsidRPr="00E175AF">
        <w:rPr>
          <w:rStyle w:val="eop"/>
          <w:b/>
          <w:noProof/>
          <w:color w:val="000000" w:themeColor="text1"/>
        </w:rPr>
        <w:t xml:space="preserve"> și (ii) a accelera investițiile prin simplificare.</w:t>
      </w:r>
      <w:r w:rsidRPr="00E175AF">
        <w:rPr>
          <w:rStyle w:val="eop"/>
          <w:noProof/>
          <w:color w:val="000000" w:themeColor="text1"/>
        </w:rPr>
        <w:t xml:space="preserve"> </w:t>
      </w:r>
    </w:p>
    <w:p w14:paraId="77E98D53" w14:textId="7301AD50" w:rsidR="4B00D901" w:rsidRPr="00E175AF" w:rsidRDefault="1A6083D5" w:rsidP="007D05FE">
      <w:pPr>
        <w:pStyle w:val="paragraph"/>
        <w:spacing w:before="0" w:beforeAutospacing="0" w:after="240" w:afterAutospacing="0"/>
        <w:rPr>
          <w:rStyle w:val="eop"/>
          <w:noProof/>
          <w:color w:val="000000" w:themeColor="text1"/>
        </w:rPr>
      </w:pPr>
      <w:r w:rsidRPr="00E175AF">
        <w:rPr>
          <w:rStyle w:val="eop"/>
          <w:noProof/>
          <w:color w:val="000000" w:themeColor="text1"/>
        </w:rPr>
        <w:t xml:space="preserve">Pentru a îndeplini acest dublu obiectiv, </w:t>
      </w:r>
      <w:r w:rsidRPr="00E175AF">
        <w:rPr>
          <w:rStyle w:val="eop"/>
          <w:b/>
          <w:noProof/>
          <w:color w:val="000000" w:themeColor="text1"/>
        </w:rPr>
        <w:t>sunt necesare</w:t>
      </w:r>
      <w:r w:rsidRPr="00E175AF">
        <w:rPr>
          <w:noProof/>
        </w:rPr>
        <w:t xml:space="preserve"> </w:t>
      </w:r>
      <w:r w:rsidRPr="00E175AF">
        <w:rPr>
          <w:b/>
          <w:noProof/>
        </w:rPr>
        <w:t xml:space="preserve">modificări </w:t>
      </w:r>
      <w:r w:rsidRPr="00E175AF">
        <w:rPr>
          <w:rStyle w:val="eop"/>
          <w:b/>
          <w:noProof/>
          <w:color w:val="000000" w:themeColor="text1"/>
        </w:rPr>
        <w:t>specifice</w:t>
      </w:r>
      <w:r w:rsidRPr="00E175AF">
        <w:rPr>
          <w:rStyle w:val="eop"/>
          <w:noProof/>
          <w:color w:val="000000" w:themeColor="text1"/>
        </w:rPr>
        <w:t xml:space="preserve"> </w:t>
      </w:r>
      <w:r w:rsidRPr="00E175AF">
        <w:rPr>
          <w:noProof/>
        </w:rPr>
        <w:t>ale regulamentelor</w:t>
      </w:r>
      <w:r w:rsidRPr="00E175AF">
        <w:rPr>
          <w:rStyle w:val="eop"/>
          <w:noProof/>
          <w:color w:val="000000" w:themeColor="text1"/>
        </w:rPr>
        <w:t xml:space="preserve"> care reglementează fondurile politicii de coeziune menționate în propunerea legislativă care însoțește prezenta comunicare.</w:t>
      </w:r>
      <w:r w:rsidRPr="00E175AF">
        <w:rPr>
          <w:b/>
          <w:noProof/>
        </w:rPr>
        <w:t xml:space="preserve"> </w:t>
      </w:r>
      <w:r w:rsidRPr="00E175AF">
        <w:rPr>
          <w:noProof/>
        </w:rPr>
        <w:t xml:space="preserve">Aceste modificări și noile oportunități pe care le creează pentru ca actorii vizați de politica de coeziune să își alinieze programele la noile priorități sunt descrise în următoarele secțiuni ale prezentei comunicări. </w:t>
      </w:r>
      <w:r w:rsidRPr="00E175AF">
        <w:rPr>
          <w:b/>
          <w:noProof/>
        </w:rPr>
        <w:t xml:space="preserve">Aceste modificări pun </w:t>
      </w:r>
      <w:r w:rsidRPr="00E175AF">
        <w:rPr>
          <w:rStyle w:val="eop"/>
          <w:b/>
          <w:noProof/>
          <w:color w:val="000000" w:themeColor="text1"/>
        </w:rPr>
        <w:t>accentul</w:t>
      </w:r>
      <w:r w:rsidRPr="00E175AF">
        <w:rPr>
          <w:b/>
          <w:noProof/>
        </w:rPr>
        <w:t xml:space="preserve"> pe domeniile de politică evidențiate de mai multe părți interesate ca fiind cele mai presante</w:t>
      </w:r>
      <w:r w:rsidRPr="00E175AF">
        <w:rPr>
          <w:noProof/>
        </w:rPr>
        <w:t xml:space="preserve"> în cursul consultărilor menționate. </w:t>
      </w:r>
    </w:p>
    <w:p w14:paraId="2B284F05" w14:textId="0C212147" w:rsidR="00A82EB5" w:rsidRPr="00E175AF" w:rsidRDefault="2066698D" w:rsidP="00000E67">
      <w:pPr>
        <w:pStyle w:val="paragraph"/>
        <w:spacing w:before="0" w:beforeAutospacing="0" w:after="360" w:afterAutospacing="0"/>
        <w:rPr>
          <w:rStyle w:val="eop"/>
          <w:rFonts w:eastAsiaTheme="majorEastAsia"/>
          <w:noProof/>
          <w:color w:val="000000" w:themeColor="text1"/>
        </w:rPr>
      </w:pPr>
      <w:r w:rsidRPr="00E175AF">
        <w:rPr>
          <w:rStyle w:val="eop"/>
          <w:noProof/>
          <w:color w:val="000000" w:themeColor="text1"/>
        </w:rPr>
        <w:t xml:space="preserve">Pe lângă descrierea modificărilor legislative propuse, secțiunile de mai jos evidențiază și alte modalități prin care statele membre își pot maximiza impactul investițiilor realizate în cadrul politicii de coeziune în vederea realizării priorităților noastre comune. </w:t>
      </w:r>
    </w:p>
    <w:p w14:paraId="6D23FBD9" w14:textId="4ACA6706" w:rsidR="00CE272A" w:rsidRPr="00E175AF" w:rsidRDefault="377C8820" w:rsidP="00CE272A">
      <w:pPr>
        <w:pStyle w:val="Heading4"/>
        <w:rPr>
          <w:noProof/>
        </w:rPr>
      </w:pPr>
      <w:r w:rsidRPr="00E175AF">
        <w:rPr>
          <w:noProof/>
        </w:rPr>
        <w:t>Eliminarea decalajului în materie de inovare, consolidarea competitivității și decarbonizarea</w:t>
      </w:r>
    </w:p>
    <w:p w14:paraId="1881A49A" w14:textId="4D703C1D" w:rsidR="00CE272A" w:rsidRPr="00E175AF" w:rsidRDefault="00CE272A" w:rsidP="00CE272A">
      <w:pPr>
        <w:rPr>
          <w:rFonts w:cs="Times New Roman"/>
          <w:noProof/>
          <w:szCs w:val="24"/>
        </w:rPr>
      </w:pPr>
      <w:r w:rsidRPr="00E175AF">
        <w:rPr>
          <w:noProof/>
        </w:rPr>
        <w:t xml:space="preserve">Busola pentru competitivitate, adoptată recent de Comisie, stabilește direcția pentru următorii cinci ani în vederea relansării dinamismului economic în Europa. Astfel, discuția privind evaluarea intermediară a politicii de coeziune ar trebui fundamentată pe această busolă prin reorientarea programelor adoptate în 2022 pe baza priorităților normative negociate și convenite în perioada 2019-2021 cu privire la provocările imperioase ale prezentului, și anume eliminarea decalajului în materie de inovare, decarbonizarea economiei pentru a spori competitivitatea și a reduce dependențele și realizarea de investiții în noi sectoare de creștere, ținând seama de structura economică a regiunilor. </w:t>
      </w:r>
    </w:p>
    <w:p w14:paraId="409469A8" w14:textId="77777777" w:rsidR="00CE272A" w:rsidRPr="00E175AF" w:rsidRDefault="00CE272A" w:rsidP="00CE272A">
      <w:pPr>
        <w:rPr>
          <w:rFonts w:eastAsia="Times New Roman" w:cs="Times New Roman"/>
          <w:noProof/>
          <w:szCs w:val="24"/>
        </w:rPr>
      </w:pPr>
      <w:r w:rsidRPr="00E175AF">
        <w:rPr>
          <w:noProof/>
        </w:rPr>
        <w:t>Prin urmare, este oportun ca statele membre și regiunile să examineze ce se mai poate face pentru a elimina decalajul în materie de inovare și pentru a accelera pregătirea tehnologică, pătrunderea pe piețele internaționale și poziția competitivă a IMM-urilor.</w:t>
      </w:r>
    </w:p>
    <w:p w14:paraId="18A63756" w14:textId="77777777" w:rsidR="00CE272A" w:rsidRPr="00E175AF" w:rsidRDefault="00CE272A" w:rsidP="00CE272A">
      <w:pPr>
        <w:rPr>
          <w:rFonts w:cs="Times New Roman"/>
          <w:noProof/>
          <w:szCs w:val="24"/>
        </w:rPr>
      </w:pPr>
      <w:r w:rsidRPr="00E175AF">
        <w:rPr>
          <w:noProof/>
        </w:rPr>
        <w:t xml:space="preserve">Dinamica de la nivel mondial și tranzițiile industriale au afectat unele regiuni mai puternic decât altele. Regiunile care sunt prea dependente de o singură industrie, eventual de o industrie energointensivă, al cărei ecosistem de inovare este adaptat zonei și aflat într-un blocaj tehnologic, se confruntă cu provocări multiple în ceea ce privește tranziția către creștere economică și prosperitate. </w:t>
      </w:r>
    </w:p>
    <w:p w14:paraId="3BA5A7E6" w14:textId="77777777" w:rsidR="00CE272A" w:rsidRPr="00E175AF" w:rsidRDefault="00CE272A" w:rsidP="00CE272A">
      <w:pPr>
        <w:rPr>
          <w:rFonts w:eastAsia="Times New Roman" w:cs="Times New Roman"/>
          <w:noProof/>
          <w:szCs w:val="24"/>
        </w:rPr>
      </w:pPr>
      <w:r w:rsidRPr="00E175AF">
        <w:rPr>
          <w:noProof/>
        </w:rPr>
        <w:t xml:space="preserve">De exemplu, în numeroase regiuni este nevoie ca industria auto, cea a construcțiilor și industria prelucrătoare să se transforme prin implementarea de tehnologii cu emisii scăzute de dioxid de carbon, desfășurarea de procese mai circulare și digitalizarea proceselor pentru a rămâne competitive. </w:t>
      </w:r>
    </w:p>
    <w:p w14:paraId="5D26EB3C" w14:textId="77777777" w:rsidR="00CE272A" w:rsidRPr="00E175AF" w:rsidRDefault="00CE272A" w:rsidP="00CE272A">
      <w:pPr>
        <w:rPr>
          <w:noProof/>
          <w:szCs w:val="24"/>
        </w:rPr>
      </w:pPr>
      <w:r w:rsidRPr="00E175AF">
        <w:rPr>
          <w:noProof/>
          <w:lang w:val="en-GB" w:eastAsia="en-GB"/>
        </w:rPr>
        <w:drawing>
          <wp:inline distT="0" distB="0" distL="0" distR="0" wp14:anchorId="3C2B2086" wp14:editId="5D8B8C1F">
            <wp:extent cx="5730737" cy="2694666"/>
            <wp:effectExtent l="0" t="0" r="0" b="0"/>
            <wp:docPr id="1505419348" name="Picture 150541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730737" cy="2694666"/>
                    </a:xfrm>
                    <a:prstGeom prst="rect">
                      <a:avLst/>
                    </a:prstGeom>
                  </pic:spPr>
                </pic:pic>
              </a:graphicData>
            </a:graphic>
          </wp:inline>
        </w:drawing>
      </w:r>
    </w:p>
    <w:p w14:paraId="391B3DFB" w14:textId="77777777" w:rsidR="00CE272A" w:rsidRPr="00E175AF" w:rsidRDefault="00CE272A" w:rsidP="00CE272A">
      <w:pPr>
        <w:rPr>
          <w:rFonts w:cs="Times New Roman"/>
          <w:noProof/>
          <w:szCs w:val="24"/>
        </w:rPr>
      </w:pPr>
      <w:r w:rsidRPr="00E175AF">
        <w:rPr>
          <w:noProof/>
        </w:rPr>
        <w:t xml:space="preserve">În perioada 2021-2027, aproape 34 de miliarde EUR din fondurile de coeziune contribuie la dezvoltarea și consolidarea capacităților de cercetare și inovare, la adoptarea de tehnologii avansate și la obținerea de competențe specializate. </w:t>
      </w:r>
    </w:p>
    <w:p w14:paraId="65259036" w14:textId="77777777" w:rsidR="00CE272A" w:rsidRPr="00E175AF" w:rsidRDefault="00CE272A" w:rsidP="00CE272A">
      <w:pPr>
        <w:rPr>
          <w:rFonts w:eastAsia="Times New Roman" w:cs="Times New Roman"/>
          <w:noProof/>
          <w:szCs w:val="24"/>
        </w:rPr>
      </w:pPr>
      <w:r w:rsidRPr="00E175AF">
        <w:rPr>
          <w:noProof/>
        </w:rPr>
        <w:t>În mod similar, digitalizarea serviciilor publice și integrarea inteligenței artificiale (IA) în sectorul public și în cel privat sunt pârghii care sporesc competitivitatea. Politica de coeziune oferă deja un sprijin semnificativ pentru tranziția digitală prin proiecte în valoare de 31 de miliarde EUR precum cele privind internetul obiectelor, tehnica de calcul la margine (</w:t>
      </w:r>
      <w:r w:rsidRPr="00E175AF">
        <w:rPr>
          <w:i/>
          <w:iCs/>
          <w:noProof/>
        </w:rPr>
        <w:t>edge computing</w:t>
      </w:r>
      <w:r w:rsidRPr="00E175AF">
        <w:rPr>
          <w:noProof/>
        </w:rPr>
        <w:t xml:space="preserve">), inteligența artificială, robotica și realitatea augmentată sau e-guvernarea și e-sănătatea. </w:t>
      </w:r>
    </w:p>
    <w:p w14:paraId="6D1A5323" w14:textId="77777777" w:rsidR="00CE272A" w:rsidRPr="00E175AF" w:rsidRDefault="00CE272A" w:rsidP="00CE272A">
      <w:pPr>
        <w:rPr>
          <w:rFonts w:eastAsia="Times New Roman" w:cs="Times New Roman"/>
          <w:noProof/>
          <w:szCs w:val="24"/>
        </w:rPr>
      </w:pPr>
      <w:r w:rsidRPr="00E175AF">
        <w:rPr>
          <w:noProof/>
        </w:rPr>
        <w:t xml:space="preserve">În fine, accesul la surse sigure și sustenabile de materii prime critice și la tehnologii care contribuie la obiectivul zero emisii nete este esențial pentru competitivitatea tuturor industriilor din aval. La 25 martie 2025, Comisia a selectat prima listă de proiecte strategice propuse în baza Regulamentului privind materiile prime critice. Proiectele respective devin eligibile în cadrul STEP. </w:t>
      </w:r>
    </w:p>
    <w:p w14:paraId="25F458A8" w14:textId="77777777" w:rsidR="00CE272A" w:rsidRPr="00E175AF" w:rsidRDefault="00CE272A" w:rsidP="00CE272A">
      <w:pPr>
        <w:rPr>
          <w:rFonts w:cs="Times New Roman"/>
          <w:b/>
          <w:bCs/>
          <w:noProof/>
          <w:szCs w:val="24"/>
        </w:rPr>
      </w:pPr>
      <w:r w:rsidRPr="00E175AF">
        <w:rPr>
          <w:noProof/>
        </w:rPr>
        <w:t xml:space="preserve">Având în vedere faptul că provocările în materie de competitivitate afectează toate regiunile din UE, </w:t>
      </w:r>
      <w:r w:rsidRPr="00E175AF">
        <w:rPr>
          <w:b/>
          <w:noProof/>
        </w:rPr>
        <w:t>Comisia propune ca acordarea de sprijin prin FEDR/FC pentru proiectele din domeniul de aplicare al STEP să devină posibilă în toate regiunile</w:t>
      </w:r>
      <w:r w:rsidRPr="00E175AF">
        <w:rPr>
          <w:noProof/>
        </w:rPr>
        <w:t>, inclusiv în regiunile mai dezvoltate ale statelor membre ale Uniunii al căror PIB pe cap de locuitor este mai mare decât media UE-27. În plus, Comisia propune eliminarea plafonului stabilit la 20 % din alocarea FEDR în cazul reprogramării către STEP. Termenul de prezentare a modificărilor STEP se prelungește cu până la două luni de la intrarea în vigoare a modificărilor normative propuse împreună cu prezenta comunicare.</w:t>
      </w:r>
      <w:r w:rsidRPr="00E175AF">
        <w:rPr>
          <w:b/>
          <w:noProof/>
        </w:rPr>
        <w:t xml:space="preserve"> </w:t>
      </w:r>
    </w:p>
    <w:p w14:paraId="29F9F116" w14:textId="7456CBF7" w:rsidR="00CE272A" w:rsidRPr="00E175AF" w:rsidRDefault="6C065484" w:rsidP="4078B995">
      <w:pPr>
        <w:rPr>
          <w:rStyle w:val="eop"/>
          <w:rFonts w:eastAsiaTheme="majorEastAsia" w:cs="Times New Roman"/>
          <w:noProof/>
          <w:color w:val="000000" w:themeColor="text1"/>
        </w:rPr>
      </w:pPr>
      <w:r w:rsidRPr="00E175AF">
        <w:rPr>
          <w:rStyle w:val="eop"/>
          <w:noProof/>
          <w:color w:val="000000" w:themeColor="text1"/>
        </w:rPr>
        <w:t xml:space="preserve">Este important să fie recunoscut și consolidat </w:t>
      </w:r>
      <w:r w:rsidRPr="00E175AF">
        <w:rPr>
          <w:rStyle w:val="eop"/>
          <w:b/>
          <w:noProof/>
          <w:color w:val="000000" w:themeColor="text1"/>
        </w:rPr>
        <w:t>rolul întreprinderilor mari</w:t>
      </w:r>
      <w:r w:rsidRPr="00E175AF">
        <w:rPr>
          <w:rStyle w:val="eop"/>
          <w:noProof/>
          <w:color w:val="000000" w:themeColor="text1"/>
        </w:rPr>
        <w:t xml:space="preserve"> în dezvoltarea regională, întrucât acestea orientează cercetarea, inovarea, cunoștințele și transferul de tehnologie către alte întreprinderi din lanțul lor valoric. </w:t>
      </w:r>
      <w:r w:rsidRPr="00E175AF">
        <w:rPr>
          <w:noProof/>
        </w:rPr>
        <w:t xml:space="preserve">Politica de coeziune alocă deja 9 miliarde EUR întreprinderilor mari și pot fi observate progrese constante, peste un sfert din resursele planificate fiind alocate unor proiecte individuale de C&amp;I în întreprinderi mari. Până în prezent, pe teritoriul Europei au fost finanțate zece </w:t>
      </w:r>
      <w:r w:rsidRPr="00E175AF">
        <w:rPr>
          <w:rStyle w:val="eop"/>
          <w:noProof/>
          <w:color w:val="000000" w:themeColor="text1"/>
        </w:rPr>
        <w:t>proiecte importante de interes european comun</w:t>
      </w:r>
      <w:r w:rsidRPr="00E175AF">
        <w:rPr>
          <w:noProof/>
        </w:rPr>
        <w:t xml:space="preserve"> (PIIEC). Printre ele se numără, de exemplu, proiecte în domeniul hidrogenului în Estonia, Țările de Jos și Polonia sau proiecte în domeniul microelectronicii în Grecia, Polonia și Italia. Comisia ajută statele membre să identifice sprijinul necesar potențialelor proiecte PIIEC ale viitorului.</w:t>
      </w:r>
    </w:p>
    <w:p w14:paraId="74A29A7A" w14:textId="493CC781" w:rsidR="00CE272A" w:rsidRPr="00E175AF" w:rsidRDefault="6C065484" w:rsidP="4078B995">
      <w:pPr>
        <w:rPr>
          <w:rStyle w:val="eop"/>
          <w:rFonts w:eastAsiaTheme="majorEastAsia" w:cs="Times New Roman"/>
          <w:noProof/>
          <w:color w:val="000000" w:themeColor="text1"/>
        </w:rPr>
      </w:pPr>
      <w:r w:rsidRPr="00E175AF">
        <w:rPr>
          <w:rStyle w:val="eop"/>
          <w:noProof/>
          <w:color w:val="000000" w:themeColor="text1"/>
        </w:rPr>
        <w:t xml:space="preserve">Cu obiectivul de a maximiza impactul sprijinului UE pentru stimularea creșterii și a competitivității </w:t>
      </w:r>
      <w:r w:rsidRPr="00E175AF">
        <w:rPr>
          <w:noProof/>
          <w:color w:val="000000" w:themeColor="text1"/>
        </w:rPr>
        <w:t>și în măsura în care sunt respectate normele Uniunii privind ajutoarele de stat prevăzute la articolele 107 și 108 din TFUE și în orientările aplicabile</w:t>
      </w:r>
      <w:r w:rsidRPr="00E175AF">
        <w:rPr>
          <w:noProof/>
        </w:rPr>
        <w:t>,</w:t>
      </w:r>
      <w:r w:rsidRPr="00E175AF">
        <w:rPr>
          <w:b/>
          <w:noProof/>
          <w:color w:val="000000" w:themeColor="text1"/>
        </w:rPr>
        <w:t xml:space="preserve"> </w:t>
      </w:r>
      <w:r w:rsidRPr="00E175AF">
        <w:rPr>
          <w:rStyle w:val="eop"/>
          <w:b/>
          <w:noProof/>
          <w:color w:val="000000" w:themeColor="text1"/>
        </w:rPr>
        <w:t>Comisia propune extinderea domeniului de aplicare al sprijinului acordat prin FEDR pentru investiții productive în întreprinderi care nu sunt IMM-uri</w:t>
      </w:r>
      <w:r w:rsidRPr="00E175AF">
        <w:rPr>
          <w:rStyle w:val="eop"/>
          <w:noProof/>
          <w:color w:val="000000" w:themeColor="text1"/>
        </w:rPr>
        <w:t xml:space="preserve"> în cazurile în care resursele financiare sunt utilizate pentru (1) sprijinirea unor investiții care contribuie la obiectivele </w:t>
      </w:r>
      <w:r w:rsidRPr="00E175AF">
        <w:rPr>
          <w:rStyle w:val="eop"/>
          <w:b/>
          <w:noProof/>
          <w:color w:val="000000" w:themeColor="text1"/>
        </w:rPr>
        <w:t>STEP</w:t>
      </w:r>
      <w:r w:rsidRPr="00E175AF">
        <w:rPr>
          <w:rStyle w:val="eop"/>
          <w:noProof/>
          <w:color w:val="000000" w:themeColor="text1"/>
        </w:rPr>
        <w:t xml:space="preserve">, (2) consolidarea capacităților industriale de a contribui la capabilitățile de </w:t>
      </w:r>
      <w:r w:rsidRPr="00E175AF">
        <w:rPr>
          <w:rStyle w:val="eop"/>
          <w:b/>
          <w:noProof/>
          <w:color w:val="000000" w:themeColor="text1"/>
        </w:rPr>
        <w:t>apărare</w:t>
      </w:r>
      <w:r w:rsidRPr="00E175AF">
        <w:rPr>
          <w:rStyle w:val="eop"/>
          <w:noProof/>
          <w:color w:val="000000" w:themeColor="text1"/>
        </w:rPr>
        <w:t xml:space="preserve">, (3) contribuția la un </w:t>
      </w:r>
      <w:r w:rsidRPr="00E175AF">
        <w:rPr>
          <w:rStyle w:val="eop"/>
          <w:b/>
          <w:noProof/>
          <w:color w:val="000000" w:themeColor="text1"/>
        </w:rPr>
        <w:t>proiect european de apărare de interes comun</w:t>
      </w:r>
      <w:r w:rsidRPr="00E175AF">
        <w:rPr>
          <w:rStyle w:val="eop"/>
          <w:noProof/>
          <w:color w:val="000000" w:themeColor="text1"/>
        </w:rPr>
        <w:t xml:space="preserve"> sau (4) facilitarea </w:t>
      </w:r>
      <w:r w:rsidRPr="00E175AF">
        <w:rPr>
          <w:rStyle w:val="eop"/>
          <w:b/>
          <w:noProof/>
          <w:color w:val="000000" w:themeColor="text1"/>
        </w:rPr>
        <w:t>decarbonizării</w:t>
      </w:r>
      <w:r w:rsidRPr="00E175AF">
        <w:rPr>
          <w:rStyle w:val="eop"/>
          <w:noProof/>
          <w:color w:val="000000" w:themeColor="text1"/>
        </w:rPr>
        <w:t xml:space="preserve"> industriale, de exemplu în industriile energointensive sau în industria auto. </w:t>
      </w:r>
      <w:r w:rsidRPr="00E175AF">
        <w:rPr>
          <w:noProof/>
          <w:color w:val="000000" w:themeColor="text1"/>
        </w:rPr>
        <w:t xml:space="preserve">Pot fi sprijinite inclusiv investițiile în proiecte care participă direct la un PIIEC, astfel cum au fost aprobate de Comisie în temeiul articolului 107 alineatul (3) litera (b) din TFUE, în conformitate cu Comunicarea C(2021) 8481, ale unor întreprinderi care nu sunt IMM-uri. </w:t>
      </w:r>
      <w:r w:rsidRPr="00E175AF">
        <w:rPr>
          <w:rStyle w:val="eop"/>
          <w:noProof/>
          <w:color w:val="000000" w:themeColor="text1"/>
        </w:rPr>
        <w:t xml:space="preserve">Sprijinul pentru întreprinderi care nu sunt IMM-uri este facilitat și în cadrul Fondului pentru o tranziție justă, prin faptul că nu este necesară o analiză a decalajelor. </w:t>
      </w:r>
    </w:p>
    <w:p w14:paraId="1D0D3116" w14:textId="4568F947" w:rsidR="00CE272A" w:rsidRPr="00E175AF" w:rsidRDefault="2BED43F8">
      <w:pPr>
        <w:rPr>
          <w:rStyle w:val="eop"/>
          <w:rFonts w:eastAsiaTheme="majorEastAsia" w:cs="Times New Roman"/>
          <w:noProof/>
          <w:color w:val="000000" w:themeColor="text1"/>
        </w:rPr>
      </w:pPr>
      <w:r w:rsidRPr="00E175AF">
        <w:rPr>
          <w:noProof/>
          <w:color w:val="000000" w:themeColor="text1"/>
        </w:rPr>
        <w:t xml:space="preserve">Competitivitatea Europei se întemeiază pe cetățenii săi. Capitalul nostru uman este esențial pentru prosperitatea UE, pentru reziliența sa economică datorită căreia se obține o creștere a productivității și pentru promovarea coeziunii. Unul dintre obiectivele </w:t>
      </w:r>
      <w:r w:rsidRPr="00E175AF">
        <w:rPr>
          <w:b/>
          <w:noProof/>
          <w:color w:val="000000" w:themeColor="text1"/>
        </w:rPr>
        <w:t>uniunii competențelor</w:t>
      </w:r>
      <w:r w:rsidR="00CE272A" w:rsidRPr="00E175AF">
        <w:rPr>
          <w:rStyle w:val="FootnoteReference"/>
          <w:noProof/>
          <w:color w:val="000000" w:themeColor="text1"/>
        </w:rPr>
        <w:footnoteReference w:id="12"/>
      </w:r>
      <w:r w:rsidRPr="00E175AF">
        <w:rPr>
          <w:noProof/>
          <w:color w:val="000000" w:themeColor="text1"/>
        </w:rPr>
        <w:t xml:space="preserve"> este acela de a oferi oportunități de perfecționare și recalificare, printre altele prin crearea și implementarea unor </w:t>
      </w:r>
      <w:r w:rsidRPr="00E175AF">
        <w:rPr>
          <w:b/>
          <w:noProof/>
          <w:color w:val="000000" w:themeColor="text1"/>
        </w:rPr>
        <w:t>conturi personale de învățare pe tot parcursul vieții</w:t>
      </w:r>
      <w:r w:rsidRPr="00E175AF">
        <w:rPr>
          <w:noProof/>
          <w:color w:val="000000" w:themeColor="text1"/>
        </w:rPr>
        <w:t>. Comisia va elabora un proiect-pilot privind </w:t>
      </w:r>
      <w:r w:rsidRPr="00E175AF">
        <w:rPr>
          <w:b/>
          <w:noProof/>
          <w:color w:val="000000" w:themeColor="text1"/>
        </w:rPr>
        <w:t>Garanția de competențe</w:t>
      </w:r>
      <w:r w:rsidRPr="00E175AF">
        <w:rPr>
          <w:noProof/>
          <w:color w:val="000000" w:themeColor="text1"/>
        </w:rPr>
        <w:t xml:space="preserve">. Această schemă le va oferi lucrătorilor implicați în procesele de restructurare sau expuși riscului de șomaj posibilitatea de a-și dezvolta în continuare cariera într-o altă întreprindere sau într-un alt sector. În acest context și pentru a facilita ajustarea industrială legată de decarbonizarea proceselor de producție și a produselor, </w:t>
      </w:r>
      <w:bookmarkStart w:id="3" w:name="_Hlk194131212"/>
      <w:r w:rsidRPr="00E175AF">
        <w:rPr>
          <w:b/>
          <w:noProof/>
          <w:color w:val="000000" w:themeColor="text1"/>
        </w:rPr>
        <w:t>Fondul social european Plus (FSE+)</w:t>
      </w:r>
      <w:r w:rsidRPr="00E175AF">
        <w:rPr>
          <w:noProof/>
          <w:color w:val="000000" w:themeColor="text1"/>
        </w:rPr>
        <w:t xml:space="preserve">, dincolo de posibilitățile de sprijin deja existente, </w:t>
      </w:r>
      <w:r w:rsidRPr="00E175AF">
        <w:rPr>
          <w:b/>
          <w:noProof/>
          <w:color w:val="000000" w:themeColor="text1"/>
        </w:rPr>
        <w:t xml:space="preserve">este modificat printr-o propunere legislativă separată </w:t>
      </w:r>
      <w:bookmarkEnd w:id="3"/>
      <w:r w:rsidRPr="00E175AF">
        <w:rPr>
          <w:b/>
          <w:noProof/>
          <w:color w:val="000000" w:themeColor="text1"/>
        </w:rPr>
        <w:t>cu scopul de</w:t>
      </w:r>
      <w:r w:rsidRPr="00E175AF">
        <w:rPr>
          <w:noProof/>
          <w:color w:val="000000" w:themeColor="text1"/>
        </w:rPr>
        <w:t xml:space="preserve"> a facilita calificarea forței de muncă, menținerea locurilor de muncă și crearea de locuri de muncă pe parcursul acestui proces, oferindu-se flexibilități pentru punerea în aplicare.</w:t>
      </w:r>
    </w:p>
    <w:p w14:paraId="1E20C8B9" w14:textId="3E0E4280" w:rsidR="00CE272A" w:rsidRPr="00E175AF" w:rsidRDefault="00CE272A" w:rsidP="00CE272A">
      <w:pPr>
        <w:rPr>
          <w:rFonts w:cs="Times New Roman"/>
          <w:noProof/>
        </w:rPr>
      </w:pPr>
      <w:r w:rsidRPr="00E175AF">
        <w:rPr>
          <w:rStyle w:val="eop"/>
          <w:noProof/>
          <w:color w:val="000000" w:themeColor="text1"/>
        </w:rPr>
        <w:t xml:space="preserve">Pentru a consolida și mai mult </w:t>
      </w:r>
      <w:r w:rsidRPr="00E175AF">
        <w:rPr>
          <w:rStyle w:val="eop"/>
          <w:b/>
          <w:noProof/>
          <w:color w:val="000000" w:themeColor="text1"/>
        </w:rPr>
        <w:t>efectul de pârghie al InvestEU</w:t>
      </w:r>
      <w:r w:rsidRPr="00E175AF">
        <w:rPr>
          <w:rStyle w:val="eop"/>
          <w:noProof/>
          <w:color w:val="000000" w:themeColor="text1"/>
        </w:rPr>
        <w:t xml:space="preserve">, programul emblematic al UE de stimulare a investițiilor în industrii critice, și pentru a extinde posibilitățile de transfer prevăzute deja de legislație, </w:t>
      </w:r>
      <w:r w:rsidRPr="00E175AF">
        <w:rPr>
          <w:rStyle w:val="eop"/>
          <w:b/>
          <w:noProof/>
          <w:color w:val="000000" w:themeColor="text1"/>
        </w:rPr>
        <w:t>Comisia propune să se acorde posibilitatea transferului de resurse din FEDR și din Fondul de coeziune către compartimentele pentru statele membre ale InvestEU</w:t>
      </w:r>
      <w:r w:rsidRPr="00E175AF">
        <w:rPr>
          <w:rStyle w:val="eop"/>
          <w:noProof/>
          <w:color w:val="000000" w:themeColor="text1"/>
        </w:rPr>
        <w:t>, în vederea punerii în aplicare a unui nou instrument financiar InvestEU destinat realizării obiectivelor politicii de coeziune, astfel cum se prevede în propunerea de modificare a Regulamentului InvestEU</w:t>
      </w:r>
      <w:r w:rsidRPr="00E175AF">
        <w:rPr>
          <w:rStyle w:val="FootnoteReference"/>
          <w:rFonts w:eastAsiaTheme="majorEastAsia" w:cs="Times New Roman"/>
          <w:noProof/>
          <w:color w:val="000000" w:themeColor="text1"/>
        </w:rPr>
        <w:footnoteReference w:id="13"/>
      </w:r>
      <w:r w:rsidRPr="00E175AF">
        <w:rPr>
          <w:rStyle w:val="eop"/>
          <w:noProof/>
          <w:color w:val="000000" w:themeColor="text1"/>
        </w:rPr>
        <w:t xml:space="preserve">. </w:t>
      </w:r>
    </w:p>
    <w:p w14:paraId="76E8B694" w14:textId="05785244" w:rsidR="17FADACF" w:rsidRPr="00E175AF" w:rsidRDefault="17FADACF">
      <w:pPr>
        <w:rPr>
          <w:noProof/>
        </w:rPr>
      </w:pPr>
      <w:r w:rsidRPr="00E175AF">
        <w:rPr>
          <w:noProof/>
        </w:rPr>
        <w:t>În plus, proiectele care participă direct la un PIIEC aprobat pot suferi întârzieri atunci când statele membre aleg să finanțeze astfel de proiecte prin intermediul fondurilor de coeziune. Procedura de prezentare a cererilor de finanțare prin FEDR, în special organizarea cererilor de propuneri și primirea ofertelor, se derulează suplimentar procedurii de selecție pentru proiectele PIIEC (care presupune, la rândul ei, cereri de propuneri deschise), care este organizată la nivel național pentru selectarea beneficiarilor de ajutoare de stat în temeiul articolului 107 alineatul (3) litera (b) din TFUE. Se propune așadar ca statelor membre să li se permită, în conformitate cu normele privind ajutoarele de stat, să acorde sprijin din FEDR și FSE+ proiectelor care participă direct la un PIIEC aprobat de Comisie în temeiul articolului 107 alineatul (3) litera (b) din TFUE și al Comunicării C(2021) 8481.</w:t>
      </w:r>
    </w:p>
    <w:p w14:paraId="6AC12FBB" w14:textId="77777777" w:rsidR="00CE272A" w:rsidRPr="00E175AF" w:rsidRDefault="00CE272A" w:rsidP="00CE272A">
      <w:pPr>
        <w:rPr>
          <w:noProof/>
          <w:szCs w:val="24"/>
        </w:rPr>
      </w:pPr>
      <w:r w:rsidRPr="00E175AF">
        <w:rPr>
          <w:noProof/>
        </w:rPr>
        <w:t xml:space="preserve">Pe lângă noile posibilități aduse de modificările legislative, </w:t>
      </w:r>
      <w:r w:rsidRPr="00E175AF">
        <w:rPr>
          <w:b/>
          <w:noProof/>
        </w:rPr>
        <w:t>Comisia îndeamnă insistent statele membre și regiunile</w:t>
      </w:r>
      <w:r w:rsidRPr="00E175AF">
        <w:rPr>
          <w:noProof/>
        </w:rPr>
        <w:t xml:space="preserve"> ca, atunci când realizează reprogramarea cu ocazia evaluării intermediare:</w:t>
      </w:r>
    </w:p>
    <w:p w14:paraId="10510090" w14:textId="252AC0D3" w:rsidR="00CE272A" w:rsidRPr="00E175AF" w:rsidRDefault="00CE272A" w:rsidP="00000E67">
      <w:pPr>
        <w:pStyle w:val="ListParagraph"/>
        <w:numPr>
          <w:ilvl w:val="0"/>
          <w:numId w:val="28"/>
        </w:numPr>
        <w:spacing w:before="120" w:after="120"/>
        <w:contextualSpacing w:val="0"/>
        <w:rPr>
          <w:rFonts w:cs="Times New Roman"/>
          <w:noProof/>
          <w:szCs w:val="24"/>
        </w:rPr>
      </w:pPr>
      <w:r w:rsidRPr="00E175AF">
        <w:rPr>
          <w:b/>
          <w:noProof/>
        </w:rPr>
        <w:t>să majoreze sprijinul alocat pentru STEP</w:t>
      </w:r>
      <w:r w:rsidRPr="00E175AF">
        <w:rPr>
          <w:noProof/>
        </w:rPr>
        <w:t>, pe lângă fondurile de coeziune în cuantum de 6 miliarde EUR deja redirecționate către investiții în sectoarele și tehnologiile strategice ale Europei;</w:t>
      </w:r>
    </w:p>
    <w:p w14:paraId="2AF57438" w14:textId="45809C16" w:rsidR="00CE272A" w:rsidRPr="00E175AF" w:rsidRDefault="00CE272A" w:rsidP="00000E67">
      <w:pPr>
        <w:pStyle w:val="ListParagraph"/>
        <w:numPr>
          <w:ilvl w:val="0"/>
          <w:numId w:val="27"/>
        </w:numPr>
        <w:spacing w:before="120" w:after="120"/>
        <w:contextualSpacing w:val="0"/>
        <w:rPr>
          <w:rFonts w:cs="Times New Roman"/>
          <w:noProof/>
          <w:szCs w:val="24"/>
        </w:rPr>
      </w:pPr>
      <w:r w:rsidRPr="00E175AF">
        <w:rPr>
          <w:b/>
          <w:noProof/>
        </w:rPr>
        <w:t>să fie mai selective atunci când acordă ajutoare întreprinderilor</w:t>
      </w:r>
      <w:r w:rsidRPr="00E175AF">
        <w:rPr>
          <w:noProof/>
        </w:rPr>
        <w:t>. Atunci când distribuția finanțării IMM-urilor este prea dispersată, impactul ei se poate dilua. O mai mare selectivitate favorizează o mai bună sprijinire a modernizării și diversificării economiilor regionale, de exemplu prin corelarea sprijinului pentru IMM-uri în sectoarele industriale promițătoare cu investiții în C&amp;I, prin adoptarea tehnologiilor digitale, prin consolidarea clusterelor locale și a secțiunilor locale ale lanțurilor valorice ale UE care promovează procesele circulare sau printr-o mai bună utilizare a achizițiilor publice inovatoare;</w:t>
      </w:r>
    </w:p>
    <w:p w14:paraId="1372F83F" w14:textId="65BBBC9F" w:rsidR="00CE272A" w:rsidRPr="00E175AF" w:rsidRDefault="6C065484" w:rsidP="00000E67">
      <w:pPr>
        <w:pStyle w:val="ListParagraph"/>
        <w:numPr>
          <w:ilvl w:val="0"/>
          <w:numId w:val="27"/>
        </w:numPr>
        <w:spacing w:before="120" w:after="120"/>
        <w:contextualSpacing w:val="0"/>
        <w:rPr>
          <w:rFonts w:cs="Times New Roman"/>
          <w:noProof/>
        </w:rPr>
      </w:pPr>
      <w:r w:rsidRPr="00E175AF">
        <w:rPr>
          <w:b/>
          <w:noProof/>
        </w:rPr>
        <w:t>să pună accentul pe întreprinderile revoluționare și inovatoare</w:t>
      </w:r>
      <w:r w:rsidRPr="00E175AF">
        <w:rPr>
          <w:noProof/>
        </w:rPr>
        <w:t>, astfel încât să favorizeze difuzarea inovării, a capacităților avansate de producție decarbonizată, a tehnologiilor curate și a utilizării IA, ajutând întreprinderile care contribuie la sectoarele și lanțurile valorice strategice ale Europei, cum ar fi inteligența artificială, tehnologia semiconductorilor și tehnologiile cuantice, materialele avansate, decarbonizarea, biotehnologia, apărarea sau tehnologiile spațiale. În acest scop ar trebui utilizate pe deplin oportunitățile de transfer bugetar și ar trebui sprijinite mărcile de excelență și mărcile STEP acordate de Consiliul European pentru Inovare, care selectează start-upuri și IMM-uri cu potențial ridicat în domeniile respective;</w:t>
      </w:r>
    </w:p>
    <w:p w14:paraId="0D865975" w14:textId="7EF320F7" w:rsidR="07CC4D38" w:rsidRPr="00E175AF" w:rsidRDefault="4DD5B9FB" w:rsidP="00000E67">
      <w:pPr>
        <w:pStyle w:val="ListParagraph"/>
        <w:numPr>
          <w:ilvl w:val="0"/>
          <w:numId w:val="27"/>
        </w:numPr>
        <w:spacing w:before="120" w:after="120"/>
        <w:contextualSpacing w:val="0"/>
        <w:rPr>
          <w:rFonts w:cs="Times New Roman"/>
          <w:noProof/>
        </w:rPr>
      </w:pPr>
      <w:r w:rsidRPr="00E175AF">
        <w:rPr>
          <w:b/>
          <w:noProof/>
        </w:rPr>
        <w:t>să consolideze sprijinirea capacităților digitale</w:t>
      </w:r>
      <w:r w:rsidRPr="00E175AF">
        <w:rPr>
          <w:noProof/>
        </w:rPr>
        <w:t>, cum ar fi IA, tehnologia de tip cloud și fabricile de baterii pentru vehicule electrice, astfel încât întreprinderile să poată avea acces la infrastructurile de servicii de vârf necesare pentru inovare și competitivitate;</w:t>
      </w:r>
    </w:p>
    <w:p w14:paraId="68C3BA00" w14:textId="77777777" w:rsidR="00CE272A" w:rsidRPr="00E175AF" w:rsidRDefault="00CE272A" w:rsidP="00000E67">
      <w:pPr>
        <w:pStyle w:val="ListParagraph"/>
        <w:numPr>
          <w:ilvl w:val="0"/>
          <w:numId w:val="27"/>
        </w:numPr>
        <w:spacing w:before="120" w:after="120"/>
        <w:contextualSpacing w:val="0"/>
        <w:rPr>
          <w:rFonts w:cs="Times New Roman"/>
          <w:noProof/>
          <w:szCs w:val="24"/>
        </w:rPr>
      </w:pPr>
      <w:r w:rsidRPr="00E175AF">
        <w:rPr>
          <w:b/>
          <w:noProof/>
        </w:rPr>
        <w:t>să recunoască și să consolideze rolul întreprinderilor mari</w:t>
      </w:r>
      <w:r w:rsidRPr="00E175AF">
        <w:rPr>
          <w:noProof/>
        </w:rPr>
        <w:t xml:space="preserve"> în dezvoltarea regională, întrucât acestea orientează cercetarea, inovarea, cunoștințele și transferul de tehnologie către alte întreprinderi din lanțul lor valoric; </w:t>
      </w:r>
    </w:p>
    <w:p w14:paraId="6165ADBF" w14:textId="1F046D54" w:rsidR="00CE272A" w:rsidRPr="00E175AF" w:rsidRDefault="377C8820" w:rsidP="00000E67">
      <w:pPr>
        <w:pStyle w:val="ListParagraph"/>
        <w:numPr>
          <w:ilvl w:val="0"/>
          <w:numId w:val="28"/>
        </w:numPr>
        <w:spacing w:before="120" w:after="120"/>
        <w:contextualSpacing w:val="0"/>
        <w:rPr>
          <w:noProof/>
        </w:rPr>
      </w:pPr>
      <w:r w:rsidRPr="00E175AF">
        <w:rPr>
          <w:b/>
          <w:noProof/>
        </w:rPr>
        <w:t>să ofere finanțare proiectelor strategice selectate în cadrul altor instrumente ale UE</w:t>
      </w:r>
      <w:r w:rsidRPr="00E175AF">
        <w:rPr>
          <w:noProof/>
        </w:rPr>
        <w:t xml:space="preserve"> care nu dispun de fonduri suficiente pentru a le finanța pe toate, dar care pot fi preluate de programele politicii de coeziune atunci când sunt suficient de mature pentru a asigura punerea în aplicare în cadrul de timp al politicii și atunci când sunt benefice pentru strategia industriala a țării și/sau regiunii respective. Un exemplu în acest sens este cel al proiectelor selectate în cadrul Fondului pentru inovare, al proiectelor importante de interes european comun (PIIEC) sau al proiectelor strategice propuse în baza Regulamentului privind materiile prime critice, a actului legislativ privind medicamentele critice și a Regulamentului privind industria „zero net”. Statele membre și regiunile ar trebui să depună eforturi pentru a simplifica și a accelera procedurile de finanțare în temeiul normelor de coeziune pentru proiectele de acest tip care au parcurs deja proceduri stricte de evaluare;</w:t>
      </w:r>
    </w:p>
    <w:p w14:paraId="40C0C92E" w14:textId="77777777" w:rsidR="00CE272A" w:rsidRPr="00E175AF" w:rsidRDefault="00CE272A" w:rsidP="00000E67">
      <w:pPr>
        <w:pStyle w:val="ListParagraph"/>
        <w:numPr>
          <w:ilvl w:val="0"/>
          <w:numId w:val="28"/>
        </w:numPr>
        <w:spacing w:before="120" w:after="120"/>
        <w:contextualSpacing w:val="0"/>
        <w:rPr>
          <w:rFonts w:cs="Times New Roman"/>
          <w:noProof/>
          <w:szCs w:val="24"/>
        </w:rPr>
      </w:pPr>
      <w:r w:rsidRPr="00E175AF">
        <w:rPr>
          <w:noProof/>
        </w:rPr>
        <w:t xml:space="preserve">să sprijine extinderea IMM-urilor inovatoare în </w:t>
      </w:r>
      <w:r w:rsidRPr="00E175AF">
        <w:rPr>
          <w:b/>
          <w:noProof/>
        </w:rPr>
        <w:t>întreprinderi mici cu capitalizare medie</w:t>
      </w:r>
      <w:r w:rsidRPr="00E175AF">
        <w:rPr>
          <w:noProof/>
        </w:rPr>
        <w:t>;</w:t>
      </w:r>
    </w:p>
    <w:p w14:paraId="3841CD1B" w14:textId="49895368" w:rsidR="00CE272A" w:rsidRPr="00E175AF" w:rsidRDefault="377C8820" w:rsidP="00000E67">
      <w:pPr>
        <w:pStyle w:val="ListParagraph"/>
        <w:numPr>
          <w:ilvl w:val="0"/>
          <w:numId w:val="28"/>
        </w:numPr>
        <w:spacing w:before="120" w:after="120"/>
        <w:rPr>
          <w:rFonts w:cs="Times New Roman"/>
          <w:noProof/>
          <w:szCs w:val="24"/>
        </w:rPr>
      </w:pPr>
      <w:r w:rsidRPr="00E175AF">
        <w:rPr>
          <w:noProof/>
        </w:rPr>
        <w:t xml:space="preserve">să se asigure că investițiile finanțate din fondurile de coeziune </w:t>
      </w:r>
      <w:r w:rsidRPr="00E175AF">
        <w:rPr>
          <w:b/>
          <w:noProof/>
        </w:rPr>
        <w:t>sporesc reziliența la schimbările climatice</w:t>
      </w:r>
      <w:r w:rsidRPr="00E175AF">
        <w:rPr>
          <w:noProof/>
        </w:rPr>
        <w:t>, inclusiv în conformitate cu Strategia privind o uniune a pregătirii și cu conceptul de pregătire și securitate de la stadiul conceperii, care ar trebui integrat în toate politicile UE.</w:t>
      </w:r>
    </w:p>
    <w:p w14:paraId="507C123C" w14:textId="28ED1DDC" w:rsidR="6CCE2658" w:rsidRPr="00E175AF" w:rsidRDefault="548CF8E7" w:rsidP="00000E67">
      <w:pPr>
        <w:pStyle w:val="Heading4"/>
        <w:spacing w:before="360"/>
        <w:rPr>
          <w:noProof/>
        </w:rPr>
      </w:pPr>
      <w:r w:rsidRPr="00E175AF">
        <w:rPr>
          <w:noProof/>
        </w:rPr>
        <w:t xml:space="preserve">Apărare și securitate </w:t>
      </w:r>
    </w:p>
    <w:p w14:paraId="48A62523" w14:textId="75130B25" w:rsidR="00AB0CF4" w:rsidRPr="00E175AF" w:rsidRDefault="479A37F4" w:rsidP="056BD30A">
      <w:pPr>
        <w:rPr>
          <w:rFonts w:cs="Times New Roman"/>
          <w:noProof/>
        </w:rPr>
      </w:pPr>
      <w:r w:rsidRPr="00E175AF">
        <w:rPr>
          <w:noProof/>
        </w:rPr>
        <w:t>Noul mediu geopolitic reclamă punerea unui accent puternic pe reziliența economiilor noastre, pe pregătirea noastră și pe capabilitățile noastre de apărare, precum și pe reducerea dependențelor noastre. Uniunea Europeană trebuie să ia în prezent decizii cruciale privind creșterea sprijinului acordat pentru dezvoltarea capabilităților sale de apărare și pentru competitivitatea industriei de apărare a UE. În urma acestui efort, Uniunea va fi în măsură să abordeze urgența sprijinirii Ucrainei, asigurând în același timp securitatea continentului pe termen lung.</w:t>
      </w:r>
    </w:p>
    <w:p w14:paraId="39AECCBA" w14:textId="5C33C5E8" w:rsidR="00AB0CF4" w:rsidRPr="00E175AF" w:rsidRDefault="3D0EDE76" w:rsidP="007D05FE">
      <w:pPr>
        <w:rPr>
          <w:rFonts w:eastAsia="Times New Roman" w:cs="Times New Roman"/>
          <w:noProof/>
          <w:szCs w:val="24"/>
        </w:rPr>
      </w:pPr>
      <w:r w:rsidRPr="00E175AF">
        <w:rPr>
          <w:noProof/>
        </w:rPr>
        <w:t>Comisia a propus Consiliului European un răspuns imediat – planul „ReArm Europe”</w:t>
      </w:r>
      <w:r w:rsidR="00AB0CF4" w:rsidRPr="00E175AF">
        <w:rPr>
          <w:rFonts w:eastAsia="Times New Roman" w:cs="Times New Roman"/>
          <w:noProof/>
          <w:vertAlign w:val="superscript"/>
        </w:rPr>
        <w:footnoteReference w:id="14"/>
      </w:r>
      <w:r w:rsidRPr="00E175AF">
        <w:rPr>
          <w:noProof/>
        </w:rPr>
        <w:t xml:space="preserve"> – care ar putea ajunge la cel puțin 800 de miliarde EUR în următorii patru ani pentru investiții în domeniul apărării, în această sumă fiind cuprinse și cheltuielile finanțate prin alocarea SAFE în cuantum de 150 de miliarde EUR. Având la dispoziție toate aceste pârghii, bugetul Uniunii poate contribui și mai mult la acest efort colectiv. În acest sens, Comisia a anunțat că va prezenta propuneri menite să crească flexibilitatea instrumentelor existente ale UE, pentru a permite investiții mai mari în domeniul apărării. </w:t>
      </w:r>
    </w:p>
    <w:p w14:paraId="74D0E060" w14:textId="71AC8527" w:rsidR="6CCE2658" w:rsidRPr="00E175AF" w:rsidRDefault="2CB5D764" w:rsidP="056BD30A">
      <w:pPr>
        <w:rPr>
          <w:rFonts w:eastAsia="Times New Roman" w:cs="Times New Roman"/>
          <w:noProof/>
        </w:rPr>
      </w:pPr>
      <w:r w:rsidRPr="00E175AF">
        <w:rPr>
          <w:noProof/>
        </w:rPr>
        <w:t xml:space="preserve">Politica de coeziune </w:t>
      </w:r>
      <w:r w:rsidRPr="00E175AF">
        <w:rPr>
          <w:b/>
          <w:noProof/>
        </w:rPr>
        <w:t>finanțează deja investiții în domeniul securității și al apărării care contribuie la dezvoltarea regională</w:t>
      </w:r>
      <w:r w:rsidRPr="00E175AF">
        <w:rPr>
          <w:noProof/>
        </w:rPr>
        <w:t>. Aceste investiții sprijină tehnologiile și infrastructura cu dublă utilizare, cu scopul de a spori mobilitatea militară, precum și industria de apărare în sens larg, prin finanțarea inovării în domeniul tehnologiilor militare, a consolidării capacităților de producție și a infrastructurii lanțurilor de aprovizionare, precum și prin proiecte de remediere a blocajelor în aprovizionarea cu energie și proiecte privind infrastructura de aprovizionare cu energie</w:t>
      </w:r>
      <w:r w:rsidR="001C2239" w:rsidRPr="00E175AF">
        <w:rPr>
          <w:rStyle w:val="FootnoteReference"/>
          <w:rFonts w:cs="Times New Roman"/>
          <w:noProof/>
        </w:rPr>
        <w:footnoteReference w:id="15"/>
      </w:r>
      <w:r w:rsidRPr="00E175AF">
        <w:rPr>
          <w:noProof/>
        </w:rPr>
        <w:t xml:space="preserve">. Industriile de apărare creează adesea ecosisteme industriale și de cercetare și dezvoltare care aduc beneficii regiunilor și comunităților europene. Deosebit de relevantă este orientarea teritorială a politicii, menită să promoveze sinergiile regionale și corelarea cu punctele forte locale, răspunzând unui ecosistem european de apărare foarte eterogen. </w:t>
      </w:r>
    </w:p>
    <w:p w14:paraId="2A16062B" w14:textId="74518103" w:rsidR="6CCE2658" w:rsidRPr="00E175AF" w:rsidRDefault="6CCE2658" w:rsidP="007D05FE">
      <w:pPr>
        <w:rPr>
          <w:rFonts w:cs="Times New Roman"/>
          <w:noProof/>
          <w:szCs w:val="24"/>
        </w:rPr>
      </w:pPr>
    </w:p>
    <w:p w14:paraId="55605AD8" w14:textId="40F372FE" w:rsidR="00BF6FF4" w:rsidRPr="00E175AF" w:rsidRDefault="00BF6FF4" w:rsidP="007D05FE">
      <w:pPr>
        <w:jc w:val="center"/>
        <w:rPr>
          <w:rFonts w:cs="Times New Roman"/>
          <w:noProof/>
          <w:szCs w:val="24"/>
        </w:rPr>
      </w:pPr>
      <w:r w:rsidRPr="00E175AF">
        <w:rPr>
          <w:noProof/>
          <w:lang w:val="en-GB" w:eastAsia="en-GB"/>
        </w:rPr>
        <w:drawing>
          <wp:inline distT="0" distB="0" distL="0" distR="0" wp14:anchorId="568F499F" wp14:editId="043768B4">
            <wp:extent cx="3492372" cy="2977816"/>
            <wp:effectExtent l="0" t="0" r="0" b="0"/>
            <wp:docPr id="160143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04192" cy="2987894"/>
                    </a:xfrm>
                    <a:prstGeom prst="rect">
                      <a:avLst/>
                    </a:prstGeom>
                    <a:noFill/>
                  </pic:spPr>
                </pic:pic>
              </a:graphicData>
            </a:graphic>
          </wp:inline>
        </w:drawing>
      </w:r>
    </w:p>
    <w:p w14:paraId="4DD34BE8" w14:textId="1C6B4BD5" w:rsidR="007346D0" w:rsidRPr="00E175AF" w:rsidRDefault="00FB6CF1" w:rsidP="007D05FE">
      <w:pPr>
        <w:rPr>
          <w:rFonts w:eastAsia="Times New Roman" w:cs="Times New Roman"/>
          <w:noProof/>
        </w:rPr>
      </w:pPr>
      <w:r w:rsidRPr="00E175AF">
        <w:rPr>
          <w:noProof/>
        </w:rPr>
        <w:t xml:space="preserve">Autoritățile naționale, regionale și locale pot </w:t>
      </w:r>
      <w:r w:rsidRPr="00E175AF">
        <w:rPr>
          <w:b/>
          <w:noProof/>
        </w:rPr>
        <w:t>utiliza în mod voluntar</w:t>
      </w:r>
      <w:r w:rsidRPr="00E175AF">
        <w:rPr>
          <w:noProof/>
        </w:rPr>
        <w:t xml:space="preserve"> </w:t>
      </w:r>
      <w:bookmarkStart w:id="4" w:name="_Hlk194131877"/>
      <w:r w:rsidRPr="00E175AF">
        <w:rPr>
          <w:b/>
          <w:noProof/>
        </w:rPr>
        <w:t xml:space="preserve">evaluarea intermediară a politicii de coeziune </w:t>
      </w:r>
      <w:bookmarkEnd w:id="4"/>
      <w:r w:rsidRPr="00E175AF">
        <w:rPr>
          <w:b/>
          <w:noProof/>
        </w:rPr>
        <w:t>pentru a aloca fonduri din cadrul programelor lor actuale</w:t>
      </w:r>
      <w:r w:rsidRPr="00E175AF">
        <w:rPr>
          <w:noProof/>
        </w:rPr>
        <w:t xml:space="preserve"> către prioritățile emergente, inclusiv către consolidarea capabilităților de apărare. În conformitate cu concluziile Consiliului European din 6 martie 2025, pentru a oferi posibilități și stimulente suplimentare statelor membre care doresc să investească în capabilitățile lor de apărare în conformitate cu obiectivele politicii de coeziune, </w:t>
      </w:r>
      <w:r w:rsidRPr="00E175AF">
        <w:rPr>
          <w:b/>
          <w:noProof/>
        </w:rPr>
        <w:t>Comisia propune crearea a două noi obiective specifice</w:t>
      </w:r>
      <w:r w:rsidRPr="00E175AF">
        <w:rPr>
          <w:noProof/>
        </w:rPr>
        <w:t xml:space="preserve"> în cadrul domeniului de aplicare existent al sprijinului acordat prin Fondul european de dezvoltare regională (FEDR) și prin Fondul de coeziune. Aceste obiective specifice sunt de ajutor și pentru regiunile frontaliere estice. </w:t>
      </w:r>
    </w:p>
    <w:p w14:paraId="16F6B396" w14:textId="524F0E37" w:rsidR="007346D0" w:rsidRPr="00E175AF" w:rsidRDefault="5E1B0CBD" w:rsidP="056BD30A">
      <w:pPr>
        <w:pStyle w:val="ListParagraph"/>
        <w:numPr>
          <w:ilvl w:val="0"/>
          <w:numId w:val="35"/>
        </w:numPr>
        <w:rPr>
          <w:rFonts w:eastAsia="Times New Roman" w:cs="Times New Roman"/>
          <w:noProof/>
        </w:rPr>
      </w:pPr>
      <w:r w:rsidRPr="00E175AF">
        <w:rPr>
          <w:noProof/>
        </w:rPr>
        <w:t xml:space="preserve">Primul obiectiv nou le permite statelor membre să </w:t>
      </w:r>
      <w:r w:rsidRPr="00E175AF">
        <w:rPr>
          <w:b/>
          <w:noProof/>
        </w:rPr>
        <w:t>reprogrameze</w:t>
      </w:r>
      <w:r w:rsidRPr="00E175AF">
        <w:rPr>
          <w:noProof/>
        </w:rPr>
        <w:t xml:space="preserve"> voluntar, în cadrul obiectivului „Investiții pentru ocuparea forței de muncă și creștere economică” al programelor lor pentru perioada 2021-2027, </w:t>
      </w:r>
      <w:r w:rsidRPr="00E175AF">
        <w:rPr>
          <w:b/>
          <w:noProof/>
        </w:rPr>
        <w:t>sume destinate consolidării capacităților de producție în întreprinderile din sectorul apărării, fără restricții geografice sau legate de mărimea întreprinderii</w:t>
      </w:r>
      <w:r w:rsidRPr="00E175AF">
        <w:rPr>
          <w:noProof/>
        </w:rPr>
        <w:t xml:space="preserve">, asigurând în același timp respectarea deplină a normelor privind ajutoarele de stat, care rămân aplicabile. Vor fi astfel consolidate capacitățile generale de apărare și de pregătire ale Europei, în conformitate cu obiectivele generale ale politicii de coeziune privind reducerea disparităților economice, teritoriale și sociale pe tot cuprinsul UE. </w:t>
      </w:r>
    </w:p>
    <w:p w14:paraId="1D66ECE3" w14:textId="24BE8B77" w:rsidR="008550AA" w:rsidRPr="00E175AF" w:rsidRDefault="5E1B0CBD" w:rsidP="00E2A179">
      <w:pPr>
        <w:numPr>
          <w:ilvl w:val="0"/>
          <w:numId w:val="35"/>
        </w:numPr>
        <w:ind w:left="709" w:hanging="425"/>
        <w:rPr>
          <w:rFonts w:eastAsia="Times New Roman" w:cs="Times New Roman"/>
          <w:noProof/>
        </w:rPr>
      </w:pPr>
      <w:r w:rsidRPr="00E175AF">
        <w:rPr>
          <w:noProof/>
        </w:rPr>
        <w:t xml:space="preserve">Al doilea obiectiv specific nou legat de apărare contribuie la </w:t>
      </w:r>
      <w:r w:rsidRPr="00E175AF">
        <w:rPr>
          <w:b/>
          <w:noProof/>
        </w:rPr>
        <w:t>construirea unei infrastructuri reziliente de apărare sau cu dublă utilizare pentru a promova mobilitatea militară în Uniune</w:t>
      </w:r>
      <w:r w:rsidRPr="00E175AF">
        <w:rPr>
          <w:noProof/>
        </w:rPr>
        <w:t xml:space="preserve">. </w:t>
      </w:r>
    </w:p>
    <w:p w14:paraId="628E3A9F" w14:textId="0AFB6128" w:rsidR="16A535FB" w:rsidRPr="00E175AF" w:rsidRDefault="1B4C5D15" w:rsidP="00E2A179">
      <w:pPr>
        <w:rPr>
          <w:rFonts w:cs="Times New Roman"/>
          <w:noProof/>
        </w:rPr>
      </w:pPr>
      <w:r w:rsidRPr="00E175AF">
        <w:rPr>
          <w:noProof/>
        </w:rPr>
        <w:t xml:space="preserve">Având în vedere apelul Consiliului European de a accelera mobilizarea finanțării pentru investiții în apărarea Uniunii, </w:t>
      </w:r>
      <w:bookmarkStart w:id="5" w:name="_Hlk194132206"/>
      <w:r w:rsidRPr="00E175AF">
        <w:rPr>
          <w:b/>
          <w:noProof/>
        </w:rPr>
        <w:t>Comisia propune ca investițiile din cadrul acestei priorități care sunt sprijinite printr-o realocare să beneficieze de o prefinanțare de 30 % în 2026 și de o rată de cofinanțare din partea UE de 100 %</w:t>
      </w:r>
      <w:r w:rsidRPr="00E175AF">
        <w:rPr>
          <w:noProof/>
        </w:rPr>
        <w:t>.</w:t>
      </w:r>
      <w:bookmarkEnd w:id="5"/>
    </w:p>
    <w:p w14:paraId="699F656C" w14:textId="0255EE29" w:rsidR="000A7EA5" w:rsidRPr="00E175AF" w:rsidRDefault="74C4D323">
      <w:pPr>
        <w:rPr>
          <w:rFonts w:eastAsia="Times New Roman" w:cs="Times New Roman"/>
          <w:noProof/>
        </w:rPr>
      </w:pPr>
      <w:r w:rsidRPr="00E175AF">
        <w:rPr>
          <w:b/>
          <w:noProof/>
        </w:rPr>
        <w:t>Competențele potrivite sunt esențiale pentru o capacitate de apărare eficace.</w:t>
      </w:r>
      <w:r w:rsidRPr="00E175AF">
        <w:rPr>
          <w:noProof/>
        </w:rPr>
        <w:t xml:space="preserve"> Uniunea competențelor prezintă acțiuni menite să elimine lacunele în materie de competențe și lipsa de personal calificat din Europa; în mod special, Pactul pentru competențe a instituit un parteneriat la scară largă privind ecosistemul apărării</w:t>
      </w:r>
      <w:r w:rsidR="000A7EA5" w:rsidRPr="00E175AF">
        <w:rPr>
          <w:rStyle w:val="FootnoteReference"/>
          <w:rFonts w:cs="Times New Roman"/>
          <w:noProof/>
        </w:rPr>
        <w:footnoteReference w:id="16"/>
      </w:r>
      <w:r w:rsidRPr="00E175AF">
        <w:rPr>
          <w:noProof/>
        </w:rPr>
        <w:t xml:space="preserve">. Cu ajutorul previziunilor în materie de competențe, acesta sprijină anticiparea colectivă a lacunelor în materie de competențe cu care se va confrunta Europa, ținând seama de nevoile în materie de competențe ale industriei și de previziunile demografice privind competențele pentru următorii cinci până la zece ani. Scopul său este de a actualiza programele de perfecționare și recalificare pentru a le spori atractivitatea prin îmbunătățirea nivelului de implicare, de dezvoltare și de reținere a persoanelor calificate. În acest context, FSE+ va facilita, de asemenea, dezvoltarea competențelor în industria de apărare, oferind flexibilități suplimentare pentru punerea în aplicare, </w:t>
      </w:r>
      <w:bookmarkStart w:id="6" w:name="_Hlk194132290"/>
      <w:r w:rsidRPr="00E175AF">
        <w:rPr>
          <w:b/>
          <w:noProof/>
        </w:rPr>
        <w:t>odată cu adăugare unei a treia priorități noi la Regulamentul FSE+, astfel cum se prezintă într-o propunere legislativă separată</w:t>
      </w:r>
      <w:bookmarkEnd w:id="6"/>
      <w:r w:rsidRPr="00E175AF">
        <w:rPr>
          <w:noProof/>
        </w:rPr>
        <w:t xml:space="preserve">. FSE+ trebuie să mobilizeze toate instrumentele disponibile în acest sens, </w:t>
      </w:r>
      <w:bookmarkStart w:id="7" w:name="_Hlk194132336"/>
      <w:r w:rsidRPr="00E175AF">
        <w:rPr>
          <w:noProof/>
        </w:rPr>
        <w:t>inclusiv sprijinul acordat educației și formării profesionale (EFP) și învățării pe tot parcursul vieții</w:t>
      </w:r>
      <w:bookmarkEnd w:id="7"/>
      <w:r w:rsidRPr="00E175AF">
        <w:rPr>
          <w:noProof/>
        </w:rPr>
        <w:t>.</w:t>
      </w:r>
    </w:p>
    <w:p w14:paraId="4CCC9C8C" w14:textId="5B48FD8C" w:rsidR="00885CEE" w:rsidRPr="00E175AF" w:rsidRDefault="00EA3473" w:rsidP="00885CEE">
      <w:pPr>
        <w:spacing w:before="240" w:after="0"/>
        <w:rPr>
          <w:rFonts w:eastAsia="Times New Roman" w:cs="Times New Roman"/>
          <w:noProof/>
        </w:rPr>
      </w:pPr>
      <w:r w:rsidRPr="00E175AF">
        <w:rPr>
          <w:b/>
          <w:noProof/>
        </w:rPr>
        <w:t>În plus, Comisia va propune, într-o viitoare propunere legislativă, modificarea Regulamentului STEP și a legislației conexe care vizează mai multe programe ale UE, pentru a adăuga un al patrulea sector STEP, destinat apărării</w:t>
      </w:r>
      <w:r w:rsidRPr="00E175AF">
        <w:rPr>
          <w:noProof/>
        </w:rPr>
        <w:t>, care ar putea fi sprijinit prin instrumentele existente ale UE, în special prin programele Orizont Europa și Europa digitală.</w:t>
      </w:r>
    </w:p>
    <w:p w14:paraId="0CEC22D9" w14:textId="091C56CD" w:rsidR="009A7C89" w:rsidRPr="00E175AF" w:rsidRDefault="00EA3473" w:rsidP="00885CEE">
      <w:pPr>
        <w:spacing w:before="240" w:after="0"/>
        <w:rPr>
          <w:rFonts w:cs="Times New Roman"/>
          <w:noProof/>
        </w:rPr>
      </w:pPr>
      <w:r w:rsidRPr="00E175AF">
        <w:rPr>
          <w:noProof/>
        </w:rPr>
        <w:t xml:space="preserve">În fine, statele membre sunt, de asemenea, încurajate </w:t>
      </w:r>
      <w:r w:rsidRPr="00E175AF">
        <w:rPr>
          <w:b/>
          <w:noProof/>
        </w:rPr>
        <w:t>să utilizeze posibilitatea prevăzută în cadrul juridic actual de a transfera în mod voluntar resursele care le sunt alocate în cadrul gestiunii partajate către programe gestionate direct cu obiective în materie de apărare și de securitate</w:t>
      </w:r>
      <w:r w:rsidRPr="00E175AF">
        <w:rPr>
          <w:noProof/>
        </w:rPr>
        <w:t>. În acest context, transferurile către pachetul financiar pentru mobilitate militară al Mecanismului pentru interconectarea Europei (MIE) ar urma să asigure intervenții coordonate de-a lungul coridoarelor de mobilitate militară evidențiate în Cartea albă pentru apărare. Regulamentul MIE va fi modificat pentru a reflecta aceleași rate de prefinanțare și cofinanțare avantajoase.</w:t>
      </w:r>
    </w:p>
    <w:p w14:paraId="25FA702E" w14:textId="515BF4EE" w:rsidR="009A7C89" w:rsidRPr="00E175AF" w:rsidRDefault="009A7C89" w:rsidP="00E2A179">
      <w:pPr>
        <w:rPr>
          <w:rFonts w:cs="Times New Roman"/>
          <w:noProof/>
        </w:rPr>
      </w:pPr>
    </w:p>
    <w:p w14:paraId="095512AE" w14:textId="1577480A" w:rsidR="00E8098C" w:rsidRPr="00E175AF" w:rsidRDefault="00E8098C" w:rsidP="00055C98">
      <w:pPr>
        <w:pStyle w:val="Heading4"/>
        <w:rPr>
          <w:rStyle w:val="eop"/>
          <w:noProof/>
        </w:rPr>
      </w:pPr>
      <w:r w:rsidRPr="00E175AF">
        <w:rPr>
          <w:noProof/>
        </w:rPr>
        <w:t>Locuințe la prețuri accesibile</w:t>
      </w:r>
    </w:p>
    <w:p w14:paraId="45D8A8E2" w14:textId="53C75114" w:rsidR="00532032" w:rsidRPr="00E175AF" w:rsidRDefault="00532032" w:rsidP="00532032">
      <w:pPr>
        <w:rPr>
          <w:rFonts w:cs="Times New Roman"/>
          <w:noProof/>
          <w:szCs w:val="24"/>
        </w:rPr>
      </w:pPr>
      <w:r w:rsidRPr="00E175AF">
        <w:rPr>
          <w:b/>
          <w:noProof/>
        </w:rPr>
        <w:t>Locuința</w:t>
      </w:r>
      <w:r w:rsidRPr="00E175AF">
        <w:rPr>
          <w:noProof/>
        </w:rPr>
        <w:t xml:space="preserve"> nu este doar o necesitate de bază – este un drept fundamental. În Orientările sale politice pentru perioada 2024-2029, președinta von der Leyen a subliniat că „</w:t>
      </w:r>
      <w:r w:rsidRPr="00E175AF">
        <w:rPr>
          <w:i/>
          <w:noProof/>
        </w:rPr>
        <w:t>trebuie să abordăm urgent criza locuințelor cu care se confruntă milioane de familii și de tineri</w:t>
      </w:r>
      <w:r w:rsidRPr="00E175AF">
        <w:rPr>
          <w:noProof/>
        </w:rPr>
        <w:t>”, menționând că există un deficit important și care se accentuează de investiții în locuințe sociale și în locuințe la prețuri accesibile. Acest lucru este esențial pentru sprijinirea cetățenilor și pentru consolidarea societăților noastre și a modelului nostru social, promovând în același timp competitivitatea Europei și protejându-ne democrația.</w:t>
      </w:r>
    </w:p>
    <w:p w14:paraId="03D179DA" w14:textId="088A4655" w:rsidR="00E8098C" w:rsidRPr="00E175AF" w:rsidRDefault="3DBA5F7E" w:rsidP="4078B995">
      <w:pPr>
        <w:pStyle w:val="paragraph"/>
        <w:spacing w:before="0" w:beforeAutospacing="0" w:after="240" w:afterAutospacing="0"/>
        <w:rPr>
          <w:rStyle w:val="eop"/>
          <w:rFonts w:eastAsiaTheme="majorEastAsia"/>
          <w:noProof/>
          <w:color w:val="000000" w:themeColor="text1"/>
        </w:rPr>
      </w:pPr>
      <w:r w:rsidRPr="00E175AF">
        <w:rPr>
          <w:noProof/>
          <w:color w:val="000000" w:themeColor="text1"/>
        </w:rPr>
        <w:t>De la sfârșitul crizei financiare, cererea de locuințe a luat amploare, în timp ce oferta de locuințe noi și renovate nu a crescut într-un ritm similar. Acest lucru a dus la creșteri semnificative atât ale prețurilor locuințelor</w:t>
      </w:r>
      <w:r w:rsidRPr="00E175AF">
        <w:rPr>
          <w:noProof/>
        </w:rPr>
        <w:t xml:space="preserve">, cât și ale chiriilor </w:t>
      </w:r>
      <w:r w:rsidRPr="00E175AF">
        <w:rPr>
          <w:noProof/>
          <w:color w:val="000000" w:themeColor="text1"/>
        </w:rPr>
        <w:t>în general, dar într-un mod mai acut în unele regiuni și orașe.</w:t>
      </w:r>
      <w:r w:rsidRPr="00E175AF">
        <w:rPr>
          <w:noProof/>
        </w:rPr>
        <w:t xml:space="preserve"> În același timp, salariile nu au crescut </w:t>
      </w:r>
      <w:r w:rsidRPr="00E175AF">
        <w:rPr>
          <w:noProof/>
          <w:color w:val="000000" w:themeColor="text1"/>
        </w:rPr>
        <w:t>la fel de mult cât a crescut costul locuințelor</w:t>
      </w:r>
      <w:r w:rsidRPr="00E175AF">
        <w:rPr>
          <w:rStyle w:val="eop"/>
          <w:noProof/>
          <w:color w:val="000000" w:themeColor="text1"/>
        </w:rPr>
        <w:t>. Această evoluție inegală a creat un decalaj tot mai mare între disponibilitatea locuințelor la prețuri accesibile și nevoile populației</w:t>
      </w:r>
      <w:r w:rsidR="00F036F0" w:rsidRPr="00E175AF">
        <w:rPr>
          <w:rStyle w:val="FootnoteReference"/>
          <w:rFonts w:eastAsiaTheme="majorEastAsia"/>
          <w:noProof/>
          <w:color w:val="000000" w:themeColor="text1"/>
        </w:rPr>
        <w:footnoteReference w:id="17"/>
      </w:r>
      <w:r w:rsidRPr="00E175AF">
        <w:rPr>
          <w:rStyle w:val="eop"/>
          <w:noProof/>
          <w:color w:val="000000" w:themeColor="text1"/>
        </w:rPr>
        <w:t xml:space="preserve">. </w:t>
      </w:r>
    </w:p>
    <w:p w14:paraId="22B646EB" w14:textId="37672798" w:rsidR="00E8098C" w:rsidRPr="00E175AF" w:rsidRDefault="00E8098C" w:rsidP="007D05FE">
      <w:pPr>
        <w:pStyle w:val="paragraph"/>
        <w:spacing w:before="0" w:beforeAutospacing="0" w:after="240" w:afterAutospacing="0"/>
        <w:rPr>
          <w:rStyle w:val="eop"/>
          <w:rFonts w:eastAsiaTheme="majorEastAsia"/>
          <w:noProof/>
          <w:color w:val="000000" w:themeColor="text1"/>
        </w:rPr>
      </w:pPr>
      <w:r w:rsidRPr="00E175AF">
        <w:rPr>
          <w:rStyle w:val="eop"/>
          <w:noProof/>
          <w:color w:val="000000" w:themeColor="text1"/>
        </w:rPr>
        <w:t>Deși gravitatea problemei variază de la o țară la alta și de la o regiune la alta, impactul său este larg răspândit. Costurile mari ale locuințelor obligă multe gospodării să aloce pentru chirie sau ipotecă o parte disproporționată din veniturile lor, rămânând mai puțin pentru alte necesități, cum ar fi alimentele, asistența medicală și educația – cu riscul de a se confrunta cu sărăcia. În 2023, una din trei gospodării expuse riscului de sărăcie cheltuia pentru locuință cel puțin 40 % din venitul disponibil al gospodăriei. În plus, acțiunile concertate menite să creeze locuințe mai accesibile și mai sustenabile vor aduce beneficii inclusiv persoanelor care se confruntă cu situația gravă a sărăciei energetice. În 2023, 10,6 % dintre europeni nu au reușit să își încălzească locuințele în mod corespunzător. În același timp, oamenii au nevoie de locuințe reziliente la schimbările climatice.</w:t>
      </w:r>
    </w:p>
    <w:p w14:paraId="742F2EB5" w14:textId="44C2AEB1" w:rsidR="056BD30A" w:rsidRPr="00E175AF" w:rsidRDefault="5E562FF6" w:rsidP="056BD30A">
      <w:pPr>
        <w:pStyle w:val="paragraph"/>
        <w:rPr>
          <w:rStyle w:val="eop"/>
          <w:rFonts w:eastAsiaTheme="majorEastAsia"/>
          <w:noProof/>
          <w:color w:val="000000" w:themeColor="text1"/>
        </w:rPr>
      </w:pPr>
      <w:r w:rsidRPr="00E175AF">
        <w:rPr>
          <w:rStyle w:val="eop"/>
          <w:noProof/>
          <w:color w:val="000000" w:themeColor="text1"/>
        </w:rPr>
        <w:t>Insuficiența locuințelor la prețuri accesibile creează dificultăți severe pentru un număr tot mai mare de gospodării, dar se răsfrânge și asupra competitivității. Astfel, întreprinderile europene din unele zone încep să întâmpine probleme legate de atragerea lucrătorilor, deoarece costul locuințelor și al vieții în zonele respective este disproporționat de mare în comparație cu veniturile.</w:t>
      </w:r>
    </w:p>
    <w:p w14:paraId="4E87AC36" w14:textId="5F1B88A9" w:rsidR="00475EDC" w:rsidRPr="00E175AF" w:rsidRDefault="5E562FF6" w:rsidP="056BD30A">
      <w:pPr>
        <w:pStyle w:val="paragraph"/>
        <w:spacing w:before="0" w:beforeAutospacing="0" w:after="240" w:afterAutospacing="0"/>
        <w:rPr>
          <w:rStyle w:val="eop"/>
          <w:rFonts w:eastAsiaTheme="majorEastAsia"/>
          <w:noProof/>
          <w:color w:val="000000" w:themeColor="text1"/>
        </w:rPr>
      </w:pPr>
      <w:r w:rsidRPr="00E175AF">
        <w:rPr>
          <w:rStyle w:val="eop"/>
          <w:noProof/>
          <w:color w:val="000000" w:themeColor="text1"/>
        </w:rPr>
        <w:t>De asemenea, în anumite orașe prețurile mari creează presiune asupra serviciilor publice din cauza dificultăților de a atrage lucrători publici esențiali (profesori, asistenți medicali, polițiști etc.). Lipsa locuințelor la prețuri accesibile ar putea genera efecte sociale mai ample, cum ar fi împiedicarea cuplurilor tinere să se așeze la casa lor și să își întemeieze o familie sau riscul ca potențialii studenți care nu dispun de cazare la prețuri accesibile să nu poată alege parcursuri profesionale alternative. Pentru a ajuta statele membre să remedieze aceste probleme, orientările politice au propus o abordare coordonată, care urmează să fie stabilită într-un „</w:t>
      </w:r>
      <w:r w:rsidRPr="00E175AF">
        <w:rPr>
          <w:rStyle w:val="eop"/>
          <w:b/>
          <w:noProof/>
          <w:color w:val="000000" w:themeColor="text1"/>
        </w:rPr>
        <w:t>plan european privind locuințele la prețuri accesibile</w:t>
      </w:r>
      <w:r w:rsidRPr="00E175AF">
        <w:rPr>
          <w:rStyle w:val="eop"/>
          <w:noProof/>
          <w:color w:val="000000" w:themeColor="text1"/>
        </w:rPr>
        <w:t>”</w:t>
      </w:r>
      <w:r w:rsidRPr="00E175AF">
        <w:rPr>
          <w:rStyle w:val="eop"/>
          <w:noProof/>
        </w:rPr>
        <w:t>.</w:t>
      </w:r>
      <w:r w:rsidRPr="00E175AF">
        <w:rPr>
          <w:rStyle w:val="eop"/>
          <w:noProof/>
          <w:color w:val="000000" w:themeColor="text1"/>
        </w:rPr>
        <w:t xml:space="preserve"> În ianuarie 2025, Parlamentul European a înființat o Comisie specială pentru criza locuințelor din Uniunea Europeană, cu obiectivul de a examina cauzele profunde ale crizei locuințelor și de a prezenta recomandări de politică privind soluțiile care ar putea fi dezvoltate la nivelul UE. Aceste recomandări vor fi luate în considerare la prezentarea planului european privind locuințele la prețuri accesibile.</w:t>
      </w:r>
    </w:p>
    <w:p w14:paraId="4E2F9BEE" w14:textId="3B8A698E" w:rsidR="00E8098C" w:rsidRPr="00E175AF" w:rsidRDefault="00475EDC" w:rsidP="00475EDC">
      <w:pPr>
        <w:pStyle w:val="paragraph"/>
        <w:spacing w:before="0" w:beforeAutospacing="0" w:after="240" w:afterAutospacing="0"/>
        <w:rPr>
          <w:rFonts w:eastAsiaTheme="majorEastAsia"/>
          <w:noProof/>
          <w:color w:val="000000" w:themeColor="text1"/>
        </w:rPr>
      </w:pPr>
      <w:r w:rsidRPr="00E175AF">
        <w:rPr>
          <w:rStyle w:val="eop"/>
          <w:noProof/>
          <w:color w:val="000000" w:themeColor="text1"/>
        </w:rPr>
        <w:t xml:space="preserve">Ca parte a acestei inițiative cu caracter general, Comisia s-a angajat </w:t>
      </w:r>
      <w:r w:rsidRPr="00E175AF">
        <w:rPr>
          <w:b/>
          <w:noProof/>
        </w:rPr>
        <w:t>să le ofere statelor membre posibilitatea de a dubla investițiile planificate în cadrul politicii de coeziune pentru locuințele la prețuri accesibile</w:t>
      </w:r>
      <w:r w:rsidRPr="00E175AF">
        <w:rPr>
          <w:rStyle w:val="eop"/>
          <w:noProof/>
          <w:color w:val="000000" w:themeColor="text1"/>
        </w:rPr>
        <w:t xml:space="preserve">. </w:t>
      </w:r>
      <w:r w:rsidRPr="00E175AF">
        <w:rPr>
          <w:noProof/>
        </w:rPr>
        <w:t xml:space="preserve">Politica de coeziune contribuie deja la îmbunătățirea sectorului locuințelor din UE prin alocarea a 7,5 miliarde EUR în perioada de programare 2021-2027, destinate în special clădirilor eficiente din punct de vedere energetic și al utilizării resurselor și locuințelor sociale, iar peste jumătate din alocare este deja atribuită unor proiecte. Având în vedere amploarea și caracterul imperios al nevoilor, precum și gradul ridicat de utilizare a sprijinului de către statele membre până în prezent, </w:t>
      </w:r>
      <w:r w:rsidRPr="00E175AF">
        <w:rPr>
          <w:b/>
          <w:noProof/>
        </w:rPr>
        <w:t xml:space="preserve">efortul de dublare a sprijinului acordat pentru locuințe accesibile prin politica de coeziune trebuie să înceapă cu </w:t>
      </w:r>
      <w:r w:rsidRPr="00E175AF">
        <w:rPr>
          <w:b/>
          <w:bCs/>
          <w:noProof/>
        </w:rPr>
        <w:t>evaluarea intermediară</w:t>
      </w:r>
      <w:r w:rsidRPr="00E175AF">
        <w:rPr>
          <w:noProof/>
        </w:rPr>
        <w:t xml:space="preserve"> </w:t>
      </w:r>
    </w:p>
    <w:p w14:paraId="6221D928" w14:textId="315A5C11" w:rsidR="007D05FE" w:rsidRPr="00E175AF" w:rsidRDefault="73CBA794" w:rsidP="00475EDC">
      <w:pPr>
        <w:pStyle w:val="paragraph"/>
        <w:spacing w:before="0" w:beforeAutospacing="0" w:after="240" w:afterAutospacing="0"/>
        <w:rPr>
          <w:noProof/>
        </w:rPr>
      </w:pPr>
      <w:r w:rsidRPr="00E175AF">
        <w:rPr>
          <w:rStyle w:val="eop"/>
          <w:noProof/>
          <w:color w:val="000000" w:themeColor="text1"/>
        </w:rPr>
        <w:t xml:space="preserve">În consecință, </w:t>
      </w:r>
      <w:r w:rsidRPr="00E175AF">
        <w:rPr>
          <w:rStyle w:val="eop"/>
          <w:b/>
          <w:noProof/>
          <w:color w:val="000000" w:themeColor="text1"/>
        </w:rPr>
        <w:t xml:space="preserve">Comisia propune modificări legislative menite să contracareze deficitul tot mai mare de investiții prin </w:t>
      </w:r>
      <w:r w:rsidRPr="00E175AF">
        <w:rPr>
          <w:b/>
          <w:noProof/>
        </w:rPr>
        <w:t>extinderea posibilităților statelor membre de a reprograma, în cadrul programelor pentru perioada 2021-2027, sume destinate sprijinirii investițiilor care promovează accesul la locuințe accesibile ca preț</w:t>
      </w:r>
      <w:r w:rsidRPr="00E175AF">
        <w:rPr>
          <w:noProof/>
        </w:rPr>
        <w:t xml:space="preserve">. Investițiile din cadrul noului Bauhaus european ar trebui să valorifice cât mai mult posibil aceste noi posibilități. </w:t>
      </w:r>
    </w:p>
    <w:p w14:paraId="53980CDA" w14:textId="1EE213E4" w:rsidR="00E8098C" w:rsidRPr="00E175AF" w:rsidRDefault="2A990FD6" w:rsidP="007D05FE">
      <w:pPr>
        <w:pStyle w:val="paragraph"/>
        <w:spacing w:before="0" w:beforeAutospacing="0" w:after="240" w:afterAutospacing="0"/>
        <w:rPr>
          <w:rStyle w:val="eop"/>
          <w:rFonts w:eastAsiaTheme="majorEastAsia"/>
          <w:noProof/>
          <w:color w:val="000000" w:themeColor="text1"/>
        </w:rPr>
      </w:pPr>
      <w:r w:rsidRPr="00E175AF">
        <w:rPr>
          <w:noProof/>
        </w:rPr>
        <w:t xml:space="preserve">Obiectivele specifice suplimentare corespunzătoare locuințelor accesibile vor fi incluse în cadrul a trei obiective de politică, oferind astfel flexibilitate statelor membre și regiunilor în funcție de structurile lor de programare și de obiectul principal al intervențiilor în domeniul locuințelor. </w:t>
      </w:r>
    </w:p>
    <w:p w14:paraId="1AF6942C" w14:textId="24DD078B" w:rsidR="00CC4B4D" w:rsidRPr="00E175AF" w:rsidRDefault="71E780A5" w:rsidP="00E2A179">
      <w:pPr>
        <w:rPr>
          <w:rFonts w:cs="Times New Roman"/>
          <w:b/>
          <w:bCs/>
          <w:noProof/>
        </w:rPr>
      </w:pPr>
      <w:r w:rsidRPr="00E175AF">
        <w:rPr>
          <w:noProof/>
        </w:rPr>
        <w:t xml:space="preserve">Pentru a le oferi statelor membre o motivație adecvată de a majora finanțarea locuințelor la prețuri accesibile în cadrul alocărilor disponibile din fondurile de coeziune, </w:t>
      </w:r>
      <w:r w:rsidRPr="00E175AF">
        <w:rPr>
          <w:b/>
          <w:noProof/>
        </w:rPr>
        <w:t>Comisia propune ca investițiile realocate către acest domeniu prioritar să beneficieze de o prefinanțare de 30 % în 2026 și de o rată mai mare de cofinanțare din partea UE, și anume 100 %</w:t>
      </w:r>
      <w:r w:rsidRPr="00E175AF">
        <w:rPr>
          <w:noProof/>
        </w:rPr>
        <w:t xml:space="preserve">. </w:t>
      </w:r>
    </w:p>
    <w:p w14:paraId="05290732" w14:textId="37FE289E" w:rsidR="00C04CB6" w:rsidRPr="00E175AF" w:rsidRDefault="003D3839" w:rsidP="007D05FE">
      <w:pPr>
        <w:rPr>
          <w:rFonts w:cs="Times New Roman"/>
          <w:noProof/>
          <w:szCs w:val="24"/>
        </w:rPr>
      </w:pPr>
      <w:r w:rsidRPr="00E175AF">
        <w:rPr>
          <w:noProof/>
        </w:rPr>
        <w:t>Totodată, serviciile Comisiei au pregătit, împreună cu Banca Europeană de Investiții (BEI), un model de instrument financiar care combină finanțarea în cadrul politicii de coeziune cu resurse din partea BEI și a altor instituții financiare internaționale, precum și a băncilor comerciale și de promovare naționale, pentru a sprijini investițiile în locuințe accesibile. Acest model de instrument financiar poate spori substanțial impactul resurselor politicii de coeziune asupra ofertei de locuințe la prețuri accesibile prin mobilizarea finanțării private și concesionale, oferindu-le autorităților naționale și regionale un stimulent suplimentar pentru a contribui la obiectivul privind dublarea contribuției politicii de coeziune destinată locuințelor accesibile în perioada de programare 2021-2027. </w:t>
      </w:r>
    </w:p>
    <w:p w14:paraId="05F197ED" w14:textId="5E2202E3" w:rsidR="00C04CB6" w:rsidRPr="00E175AF" w:rsidRDefault="00287EF6" w:rsidP="007D05FE">
      <w:pPr>
        <w:rPr>
          <w:rFonts w:cs="Times New Roman"/>
          <w:noProof/>
          <w:szCs w:val="24"/>
        </w:rPr>
      </w:pPr>
      <w:r w:rsidRPr="00E175AF">
        <w:rPr>
          <w:noProof/>
        </w:rPr>
        <w:t xml:space="preserve">În rezumat, </w:t>
      </w:r>
      <w:r w:rsidRPr="00E175AF">
        <w:rPr>
          <w:b/>
          <w:noProof/>
        </w:rPr>
        <w:t>Comisia îndeamnă insistent statele membre și regiunile</w:t>
      </w:r>
      <w:r w:rsidRPr="00E175AF">
        <w:rPr>
          <w:noProof/>
        </w:rPr>
        <w:t xml:space="preserve"> ca, atunci când realizează reprogramarea cu ocazia evaluării intermediare:</w:t>
      </w:r>
    </w:p>
    <w:p w14:paraId="164227F2" w14:textId="14855AB0" w:rsidR="00C04CB6" w:rsidRPr="00E175AF" w:rsidRDefault="00BA642D" w:rsidP="00A83000">
      <w:pPr>
        <w:pStyle w:val="paragraph"/>
        <w:numPr>
          <w:ilvl w:val="0"/>
          <w:numId w:val="35"/>
        </w:numPr>
        <w:spacing w:before="120" w:beforeAutospacing="0" w:after="120" w:afterAutospacing="0"/>
        <w:rPr>
          <w:noProof/>
        </w:rPr>
      </w:pPr>
      <w:r w:rsidRPr="00E175AF">
        <w:rPr>
          <w:b/>
          <w:noProof/>
        </w:rPr>
        <w:t>să dubleze finanțarea alocată în cadrul programelor pentru locuințe la prețuri accesibile</w:t>
      </w:r>
      <w:r w:rsidRPr="00E175AF">
        <w:rPr>
          <w:noProof/>
        </w:rPr>
        <w:t xml:space="preserve"> în ciclul 2021-2027; </w:t>
      </w:r>
    </w:p>
    <w:p w14:paraId="04065C17" w14:textId="5AF4C530" w:rsidR="00AB0293" w:rsidRPr="00E175AF" w:rsidRDefault="00BA642D" w:rsidP="00A83000">
      <w:pPr>
        <w:pStyle w:val="paragraph"/>
        <w:numPr>
          <w:ilvl w:val="0"/>
          <w:numId w:val="35"/>
        </w:numPr>
        <w:spacing w:before="120" w:beforeAutospacing="0" w:after="120" w:afterAutospacing="0"/>
        <w:ind w:left="714" w:hanging="357"/>
        <w:rPr>
          <w:noProof/>
        </w:rPr>
      </w:pPr>
      <w:r w:rsidRPr="00E175AF">
        <w:rPr>
          <w:b/>
          <w:noProof/>
        </w:rPr>
        <w:t>să mobilizeze această finanțare prin instrumente financiare, inclusiv prin viitoarea platformă paneuropeană de investiții în locuințe sustenabile și la prețuri accesibile</w:t>
      </w:r>
      <w:r w:rsidRPr="00E175AF">
        <w:rPr>
          <w:noProof/>
        </w:rPr>
        <w:t xml:space="preserve">; </w:t>
      </w:r>
    </w:p>
    <w:p w14:paraId="09D9F61F" w14:textId="0705916F" w:rsidR="009A7C89" w:rsidRPr="00E175AF" w:rsidRDefault="00BA642D" w:rsidP="00A83000">
      <w:pPr>
        <w:pStyle w:val="ListParagraph"/>
        <w:numPr>
          <w:ilvl w:val="0"/>
          <w:numId w:val="35"/>
        </w:numPr>
        <w:spacing w:before="120" w:after="120"/>
        <w:ind w:left="714" w:hanging="357"/>
        <w:contextualSpacing w:val="0"/>
        <w:rPr>
          <w:rFonts w:cs="Times New Roman"/>
          <w:noProof/>
          <w:szCs w:val="24"/>
        </w:rPr>
      </w:pPr>
      <w:r w:rsidRPr="00E175AF">
        <w:rPr>
          <w:b/>
          <w:noProof/>
        </w:rPr>
        <w:t>să accelereze și să raționalizeze normele de autorizare și de planificare</w:t>
      </w:r>
      <w:r w:rsidRPr="00E175AF">
        <w:rPr>
          <w:noProof/>
        </w:rPr>
        <w:t xml:space="preserve"> de la nivel local și urban pentru a accelera implementarea și a asigura faptul că investițiile pot să producă rezultate într-un ritm rapid, ceea ce va conduce apoi la beneficii durabile pe termen lung, de exemplu pentru chiriașii cu venituri mici și pentru persoanele care cumpără pentru prima dată o locuință sau în ceea ce privește locurile de cazare pentru studenți; </w:t>
      </w:r>
    </w:p>
    <w:p w14:paraId="09E2ADA2" w14:textId="774622D8" w:rsidR="00095314" w:rsidRPr="00E175AF" w:rsidRDefault="00BA642D" w:rsidP="00A83000">
      <w:pPr>
        <w:pStyle w:val="ListParagraph"/>
        <w:numPr>
          <w:ilvl w:val="0"/>
          <w:numId w:val="35"/>
        </w:numPr>
        <w:spacing w:before="120" w:after="120"/>
        <w:ind w:left="714" w:hanging="357"/>
        <w:contextualSpacing w:val="0"/>
        <w:rPr>
          <w:rFonts w:cs="Times New Roman"/>
          <w:bCs/>
          <w:noProof/>
        </w:rPr>
      </w:pPr>
      <w:r w:rsidRPr="00E175AF">
        <w:rPr>
          <w:b/>
          <w:noProof/>
        </w:rPr>
        <w:t>să sprijine proiectele de locuințe care sunt în concordanță cu inițiativa „Noul Bauhaus european”</w:t>
      </w:r>
      <w:r w:rsidRPr="00E175AF">
        <w:rPr>
          <w:noProof/>
        </w:rPr>
        <w:t>.</w:t>
      </w:r>
    </w:p>
    <w:p w14:paraId="150E56E0" w14:textId="77777777" w:rsidR="00E8098C" w:rsidRPr="00E175AF" w:rsidRDefault="00E8098C" w:rsidP="00A83000">
      <w:pPr>
        <w:pStyle w:val="Heading4"/>
        <w:spacing w:before="360"/>
        <w:rPr>
          <w:rStyle w:val="eop"/>
          <w:rFonts w:ascii="Times New Roman" w:eastAsiaTheme="minorHAnsi" w:hAnsi="Times New Roman" w:cstheme="minorBidi"/>
          <w:i w:val="0"/>
          <w:iCs w:val="0"/>
          <w:noProof/>
          <w:color w:val="auto"/>
        </w:rPr>
      </w:pPr>
      <w:r w:rsidRPr="00E175AF">
        <w:rPr>
          <w:noProof/>
        </w:rPr>
        <w:t>Reziliența în domeniul apei</w:t>
      </w:r>
    </w:p>
    <w:p w14:paraId="3CB842EB" w14:textId="126ABE95" w:rsidR="009B321D" w:rsidRPr="00E175AF" w:rsidRDefault="00E8098C" w:rsidP="007D05FE">
      <w:pPr>
        <w:pStyle w:val="paragraph"/>
        <w:spacing w:before="0" w:beforeAutospacing="0" w:after="240" w:afterAutospacing="0"/>
        <w:rPr>
          <w:noProof/>
        </w:rPr>
      </w:pPr>
      <w:r w:rsidRPr="00E175AF">
        <w:rPr>
          <w:rStyle w:val="eop"/>
          <w:noProof/>
          <w:color w:val="000000" w:themeColor="text1"/>
        </w:rPr>
        <w:t>Apa este o resursă vitală pentru securitatea sistemului nostru alimentar, energetic și economic, însă atât la nivelul UE, cât și la nivel mondial resursele de apă sunt supuse unor presiuni tot mai mari ca urmare a poluării, a declinului biodiversității și a</w:t>
      </w:r>
      <w:r w:rsidRPr="00E175AF">
        <w:rPr>
          <w:noProof/>
        </w:rPr>
        <w:t xml:space="preserve"> schimbărilor climatice, care afectează deja resursele de apă. </w:t>
      </w:r>
    </w:p>
    <w:p w14:paraId="62277B82" w14:textId="7C3C7576" w:rsidR="00E8098C" w:rsidRPr="00E175AF" w:rsidRDefault="04668A59" w:rsidP="056BD30A">
      <w:pPr>
        <w:pStyle w:val="paragraph"/>
        <w:spacing w:before="0" w:beforeAutospacing="0" w:after="240" w:afterAutospacing="0"/>
        <w:rPr>
          <w:rStyle w:val="eop"/>
          <w:rFonts w:eastAsiaTheme="majorEastAsia"/>
          <w:noProof/>
          <w:color w:val="000000" w:themeColor="text1"/>
        </w:rPr>
      </w:pPr>
      <w:r w:rsidRPr="00E175AF">
        <w:rPr>
          <w:noProof/>
        </w:rPr>
        <w:t>Protejarea și refacerea ecosistemelor acvatice și marine sunt esențiale pentru a asigura apă de calitatea și în cantitatea necesare. Ecosistemele acvatice sănătoase, infrastructura verde, albastră și cea pentru apele gri, precum și sistemele de gestionare a apei sunt infrastructuri critice și extrem de importante inclusiv pentru competitivitatea, calitatea vieții, securitatea și capabilitățile noastre de apărare, la fel ca infrastructura energetică. Sistemele noastre de alimentare cu apă se confruntă cu riscuri ca urmare a inundațiilor și secetelor tot mai frecvente și mai severe, precum și ca urmare a atacurilor rău-intenționate, inclusiv a celor cibernetice. Lipsa unei infrastructuri eficiente și reziliența insuficientă în domeniul apei pot submina securitatea alimentară și producția de alimente în UE. Uniunea trebuie să protejeze aceste ecosisteme și infrastructuri prin extinderea investițiilor și trebuie să privească alimentarea cu apă și infrastructura aferentă prin prisma asigurării accesului la apă și a aprovizionării cu apă a cetățenilor și a societăților noastre în toate circumstanțele.</w:t>
      </w:r>
    </w:p>
    <w:p w14:paraId="3E26B2C1" w14:textId="0E4C22AF" w:rsidR="00E8098C" w:rsidRPr="00E175AF" w:rsidRDefault="69003387" w:rsidP="056BD30A">
      <w:pPr>
        <w:pStyle w:val="paragraph"/>
        <w:spacing w:before="0" w:beforeAutospacing="0" w:after="240" w:afterAutospacing="0"/>
        <w:rPr>
          <w:noProof/>
        </w:rPr>
      </w:pPr>
      <w:r w:rsidRPr="00E175AF">
        <w:rPr>
          <w:noProof/>
        </w:rPr>
        <w:t>UE a instituit un cadru juridic solid pentru gestionarea durabilă și sigură a apelor, dar este esențial să se realizeze progrese suplimentare în materie de punere în aplicare și există o nevoie urgentă de acțiuni mai hotărâte. Reziliența în domeniul apei necesită trecerea de la un mod reactiv de gestionare a crizelor la o gestionare proactivă, bazată pe riscuri, precum și creșterea nivelului de pregătire.</w:t>
      </w:r>
    </w:p>
    <w:p w14:paraId="16DF98E4" w14:textId="684E8CA3" w:rsidR="008D1AF0" w:rsidRPr="00E175AF" w:rsidRDefault="00E8098C" w:rsidP="007D05FE">
      <w:pPr>
        <w:pStyle w:val="paragraph"/>
        <w:spacing w:before="0" w:beforeAutospacing="0" w:after="240" w:afterAutospacing="0"/>
        <w:rPr>
          <w:noProof/>
        </w:rPr>
      </w:pPr>
      <w:r w:rsidRPr="00E175AF">
        <w:rPr>
          <w:noProof/>
        </w:rPr>
        <w:t xml:space="preserve">În perioada 2021-2027, sunt prevăzute investiții de aproape 13 miliarde EUR în servicii legate de utilizarea apei și în îmbunătățirea colectării și a epurării apelor uzate în cadrul programelor politicii de coeziune. Sunt însă necesare eforturi suplimentare din partea sectorului public și a celui privat pentru a asigura progrese suficiente. </w:t>
      </w:r>
    </w:p>
    <w:p w14:paraId="56E96683" w14:textId="22F0AAC2" w:rsidR="00E8098C" w:rsidRPr="00E175AF" w:rsidRDefault="67EF95D8" w:rsidP="007D05FE">
      <w:pPr>
        <w:pStyle w:val="paragraph"/>
        <w:spacing w:before="0" w:beforeAutospacing="0" w:after="240" w:afterAutospacing="0"/>
        <w:rPr>
          <w:noProof/>
        </w:rPr>
      </w:pPr>
      <w:r w:rsidRPr="00E175AF">
        <w:rPr>
          <w:noProof/>
        </w:rPr>
        <w:t xml:space="preserve">Prin urmare, pentru a sublinia în mod corespunzător importanța rezilienței în domeniul apei și orientarea investițiilor către acesta, </w:t>
      </w:r>
      <w:r w:rsidRPr="00E175AF">
        <w:rPr>
          <w:b/>
          <w:noProof/>
        </w:rPr>
        <w:t>Comisia propune includerea unui obiectiv specific legat de promovarea accesului sigur la apă, a gestionării durabile a apelor și a rezilienței în domeniul apei</w:t>
      </w:r>
      <w:r w:rsidRPr="00E175AF">
        <w:rPr>
          <w:noProof/>
        </w:rPr>
        <w:t xml:space="preserve">. </w:t>
      </w:r>
    </w:p>
    <w:p w14:paraId="297BAA70" w14:textId="17A462D3" w:rsidR="0072324F" w:rsidRPr="00E175AF" w:rsidRDefault="0072324F" w:rsidP="007D05FE">
      <w:pPr>
        <w:rPr>
          <w:rFonts w:cs="Times New Roman"/>
          <w:b/>
          <w:bCs/>
          <w:noProof/>
          <w:szCs w:val="24"/>
        </w:rPr>
      </w:pPr>
      <w:r w:rsidRPr="00E175AF">
        <w:rPr>
          <w:noProof/>
        </w:rPr>
        <w:t xml:space="preserve">Pentru a le oferi statelor membre o motivație adecvată de a majora finanțarea rezilienței în domeniul apei în cadrul alocărilor disponibile din fondurile de coeziune, </w:t>
      </w:r>
      <w:r w:rsidRPr="00E175AF">
        <w:rPr>
          <w:b/>
          <w:noProof/>
        </w:rPr>
        <w:t>Comisia propune ca prefinanțarea investițiilor din cadrul acestei priorități care sunt sprijinite printr-o realocare să fie majorată la 30 % în 2026, iar investițiile respective să beneficieze de o rată mai mare de cofinanțare din partea UE, și anume 100 %</w:t>
      </w:r>
      <w:r w:rsidRPr="00E175AF">
        <w:rPr>
          <w:noProof/>
        </w:rPr>
        <w:t xml:space="preserve">. </w:t>
      </w:r>
    </w:p>
    <w:p w14:paraId="47CA5C6D" w14:textId="2EDDCDC4" w:rsidR="00EF59D3" w:rsidRPr="00E175AF" w:rsidRDefault="00C04CB6" w:rsidP="007D05FE">
      <w:pPr>
        <w:rPr>
          <w:rFonts w:cs="Times New Roman"/>
          <w:noProof/>
          <w:szCs w:val="24"/>
        </w:rPr>
      </w:pPr>
      <w:r w:rsidRPr="00E175AF">
        <w:rPr>
          <w:noProof/>
        </w:rPr>
        <w:t xml:space="preserve">În plus, </w:t>
      </w:r>
      <w:r w:rsidRPr="00E175AF">
        <w:rPr>
          <w:b/>
          <w:noProof/>
        </w:rPr>
        <w:t>Comisia îndeamnă insistent statele membre și regiunile</w:t>
      </w:r>
      <w:r w:rsidRPr="00E175AF">
        <w:rPr>
          <w:noProof/>
        </w:rPr>
        <w:t xml:space="preserve"> ca, atunci când realizează reprogramarea cu ocazia evaluării intermediare:</w:t>
      </w:r>
    </w:p>
    <w:p w14:paraId="3E8CA4F9" w14:textId="2261D668" w:rsidR="005C37F2" w:rsidRPr="00E175AF" w:rsidRDefault="69003387" w:rsidP="056BD30A">
      <w:pPr>
        <w:pStyle w:val="paragraph"/>
        <w:numPr>
          <w:ilvl w:val="0"/>
          <w:numId w:val="35"/>
        </w:numPr>
        <w:spacing w:before="0" w:beforeAutospacing="0" w:after="240" w:afterAutospacing="0"/>
        <w:rPr>
          <w:noProof/>
        </w:rPr>
      </w:pPr>
      <w:r w:rsidRPr="00E175AF">
        <w:rPr>
          <w:b/>
          <w:noProof/>
        </w:rPr>
        <w:t>să construiască o societate rezilientă în domeniul apei</w:t>
      </w:r>
      <w:r w:rsidRPr="00E175AF">
        <w:rPr>
          <w:noProof/>
        </w:rPr>
        <w:t xml:space="preserve"> printr-o mai bună refacere a corpurilor de apă, prin implementarea unor soluții bazate pe natură care să scadă riscul de inundații și să amplifice capacitatea ecosistemelor de a stoca apa, prin îmbunătățirea controlului captărilor de apă și prin creșterea eficienței utilizării apei, prin digitalizarea sporită a infrastructurii de apă și a reutilizării apei, prin atenuarea efectelor secetei și deșertificării, precum și a riscurilor de securitate (cibernetică), prin reducerea poluării – </w:t>
      </w:r>
      <w:bookmarkStart w:id="8" w:name="_Hlk194136328"/>
      <w:r w:rsidRPr="00E175AF">
        <w:rPr>
          <w:noProof/>
        </w:rPr>
        <w:t xml:space="preserve">inclusiv prin asigurarea conformității cu </w:t>
      </w:r>
      <w:r w:rsidRPr="00E175AF">
        <w:rPr>
          <w:i/>
          <w:iCs/>
          <w:noProof/>
        </w:rPr>
        <w:t>acquis</w:t>
      </w:r>
      <w:r w:rsidRPr="00E175AF">
        <w:rPr>
          <w:noProof/>
        </w:rPr>
        <w:t>-ul UE în domeniul apei, cum ar fi Directiva privind epurarea apelor uzate urbane</w:t>
      </w:r>
      <w:bookmarkEnd w:id="8"/>
      <w:r w:rsidRPr="00E175AF">
        <w:rPr>
          <w:noProof/>
        </w:rPr>
        <w:t xml:space="preserve">. </w:t>
      </w:r>
    </w:p>
    <w:p w14:paraId="6F5FAF1E" w14:textId="03CA3390" w:rsidR="0F4E235C" w:rsidRPr="00E175AF" w:rsidRDefault="00BA2EEC" w:rsidP="00A24D10">
      <w:pPr>
        <w:pStyle w:val="Heading4"/>
        <w:spacing w:before="240"/>
        <w:rPr>
          <w:noProof/>
        </w:rPr>
      </w:pPr>
      <w:r w:rsidRPr="00E175AF">
        <w:rPr>
          <w:noProof/>
        </w:rPr>
        <w:t>Tranziția energetică</w:t>
      </w:r>
    </w:p>
    <w:p w14:paraId="1670F9D5" w14:textId="299BA367" w:rsidR="0F4E235C" w:rsidRPr="00E175AF" w:rsidRDefault="3853E4FA" w:rsidP="056BD30A">
      <w:pPr>
        <w:rPr>
          <w:rFonts w:cs="Times New Roman"/>
          <w:noProof/>
        </w:rPr>
      </w:pPr>
      <w:r w:rsidRPr="00E175AF">
        <w:rPr>
          <w:noProof/>
        </w:rPr>
        <w:t xml:space="preserve">Un alt domeniu în care investițiile politicii de coeziune contribuie la prioritățile UE este cel al politicilor climatice și al tranziției climatice, în care politica investește peste 110 miliarde EUR. </w:t>
      </w:r>
    </w:p>
    <w:p w14:paraId="17A836D1" w14:textId="77777777" w:rsidR="00566B1F" w:rsidRPr="00E175AF" w:rsidRDefault="234E2578" w:rsidP="056BD30A">
      <w:pPr>
        <w:rPr>
          <w:rFonts w:cs="Times New Roman"/>
          <w:noProof/>
        </w:rPr>
      </w:pPr>
      <w:r w:rsidRPr="00E175AF">
        <w:rPr>
          <w:noProof/>
        </w:rPr>
        <w:t>În cadrul Busolei pentru competitivitate, al Pactului pentru o industrie curată și al Planului de acțiune privind energia la prețuri accesibile, Comisia a prezentat o cale concretă prin care Europa să își recâștige competitivitatea și să își asigure o prosperitate durabilă, având drept vectori de creștere decarbonizarea și circularitatea.</w:t>
      </w:r>
    </w:p>
    <w:p w14:paraId="2D15876A" w14:textId="1A33D587" w:rsidR="0F4E235C" w:rsidRPr="00E175AF" w:rsidRDefault="4AD1F0CB" w:rsidP="056BD30A">
      <w:pPr>
        <w:rPr>
          <w:rFonts w:cs="Times New Roman"/>
          <w:noProof/>
        </w:rPr>
      </w:pPr>
      <w:r w:rsidRPr="00E175AF">
        <w:rPr>
          <w:noProof/>
        </w:rPr>
        <w:t>Fondurile de coeziune pot sprijini deja investițiile în obiectivele climatice, însă eforturile ar trebui accelerate și mai mult pentru a se asigura faptul că decarbonizarea devine un motor de creștere pentru industriile europene și pentru prosperitatea europenilor. Având în vedere nevoile semnificative de investiții ale tranziției curate, statele membre trebuie să investească în continuare în această tranziție, în conformitate cu obiectivele existente privind cheltuielile legate de climă.</w:t>
      </w:r>
    </w:p>
    <w:p w14:paraId="47BE73B5" w14:textId="67D925DA" w:rsidR="0F4E235C" w:rsidRPr="00E175AF" w:rsidRDefault="0F4E235C" w:rsidP="007D05FE">
      <w:pPr>
        <w:rPr>
          <w:rFonts w:cs="Times New Roman"/>
          <w:noProof/>
          <w:szCs w:val="24"/>
        </w:rPr>
      </w:pPr>
      <w:r w:rsidRPr="00E175AF">
        <w:rPr>
          <w:noProof/>
        </w:rPr>
        <w:t xml:space="preserve">Se acordă un sprijin considerabil proiectelor din domeniul eficienței energetice, al energiei din surse regenerabile, al infrastructurii de transport urban și al investițiilor feroviare care vor contribui în mod direct la </w:t>
      </w:r>
      <w:bookmarkStart w:id="9" w:name="_Hlk194136454"/>
      <w:r w:rsidRPr="00E175AF">
        <w:rPr>
          <w:noProof/>
        </w:rPr>
        <w:t>reducerea emisiilor în UE</w:t>
      </w:r>
      <w:bookmarkEnd w:id="9"/>
      <w:r w:rsidRPr="00E175AF">
        <w:rPr>
          <w:noProof/>
        </w:rPr>
        <w:t>. De exemplu, politica de coeziune investește în eficiența energetică 24 de miliarde EUR, din care o cotă considerabilă în sectorul locuințelor.</w:t>
      </w:r>
    </w:p>
    <w:p w14:paraId="246D0C7F" w14:textId="19BE1619" w:rsidR="0F4E235C" w:rsidRPr="00E175AF" w:rsidRDefault="0F4E235C" w:rsidP="007D05FE">
      <w:pPr>
        <w:rPr>
          <w:rFonts w:cs="Times New Roman"/>
          <w:noProof/>
          <w:szCs w:val="24"/>
        </w:rPr>
      </w:pPr>
      <w:r w:rsidRPr="00E175AF">
        <w:rPr>
          <w:noProof/>
        </w:rPr>
        <w:t xml:space="preserve">Investițiile în surse de energie curate și la prețuri accesibile și investițiile în utilizarea mai eficientă a energiei sunt esențiale pentru tranziția către o economie decarbonizată și pentru capacitatea Europei de a concura la nivel mondial, deoarece prețul energiei are o pondere mare în cadrul costurilor industriale. Programele pentru perioada 2021-2027 planifică deja investiții de peste 15 miliarde EUR. </w:t>
      </w:r>
    </w:p>
    <w:p w14:paraId="664DB701" w14:textId="39B55E32" w:rsidR="0F4E235C" w:rsidRPr="00E175AF" w:rsidRDefault="0F4E235C" w:rsidP="5CEDE21A">
      <w:pPr>
        <w:pStyle w:val="paragraph"/>
        <w:spacing w:before="0" w:beforeAutospacing="0" w:after="240" w:afterAutospacing="0"/>
        <w:rPr>
          <w:rStyle w:val="eop"/>
          <w:rFonts w:eastAsiaTheme="majorEastAsia"/>
          <w:noProof/>
        </w:rPr>
      </w:pPr>
      <w:r w:rsidRPr="00E175AF">
        <w:rPr>
          <w:rStyle w:val="eop"/>
          <w:noProof/>
          <w:color w:val="000000" w:themeColor="text1"/>
        </w:rPr>
        <w:t xml:space="preserve">În același spirit și pentru a accelera decarbonizarea industriei, care este necesară pentru atingerea obiectivelor climatice ale UE, </w:t>
      </w:r>
      <w:r w:rsidRPr="00E175AF">
        <w:rPr>
          <w:rStyle w:val="eop"/>
          <w:b/>
          <w:noProof/>
          <w:color w:val="000000" w:themeColor="text1"/>
        </w:rPr>
        <w:t>Comisia propune extinderea domeniului de aplicare al sprijinului din partea FEDR la proiectele de decarbonizare</w:t>
      </w:r>
      <w:r w:rsidRPr="00E175AF">
        <w:rPr>
          <w:rStyle w:val="eop"/>
          <w:noProof/>
          <w:color w:val="000000" w:themeColor="text1"/>
        </w:rPr>
        <w:t xml:space="preserve">. Acest lucru este deosebit de important pentru </w:t>
      </w:r>
      <w:r w:rsidRPr="00E175AF">
        <w:rPr>
          <w:rStyle w:val="eop"/>
          <w:b/>
          <w:noProof/>
          <w:color w:val="000000" w:themeColor="text1"/>
        </w:rPr>
        <w:t>proiectele selectate în cadrul Fondului pentru inovare instituit prin schema de comercializare a certificatelor de emisii</w:t>
      </w:r>
      <w:r w:rsidRPr="00E175AF">
        <w:rPr>
          <w:rStyle w:val="eop"/>
          <w:noProof/>
          <w:color w:val="000000" w:themeColor="text1"/>
        </w:rPr>
        <w:t xml:space="preserve"> (EU ETS) care au primit o „marcă de suveranitate”.</w:t>
      </w:r>
    </w:p>
    <w:p w14:paraId="5E19DEEF" w14:textId="1E862EA6" w:rsidR="00566B1F" w:rsidRPr="00E175AF" w:rsidRDefault="00455BC9" w:rsidP="004C3FC5">
      <w:pPr>
        <w:pStyle w:val="Considrant"/>
        <w:numPr>
          <w:ilvl w:val="0"/>
          <w:numId w:val="0"/>
        </w:numPr>
        <w:spacing w:before="0" w:after="240"/>
        <w:rPr>
          <w:rFonts w:eastAsia="Times New Roman"/>
          <w:noProof/>
        </w:rPr>
      </w:pPr>
      <w:r w:rsidRPr="00E175AF">
        <w:rPr>
          <w:noProof/>
        </w:rPr>
        <w:t xml:space="preserve">Pentru a sublinia în mod corespunzător importanța și orientarea investițiilor în consolidarea securității energetice, în accelerarea tranziției energetice și în stimularea mobilității curate, </w:t>
      </w:r>
      <w:r w:rsidRPr="00E175AF">
        <w:rPr>
          <w:b/>
          <w:noProof/>
        </w:rPr>
        <w:t>Comisia propune includerea unui obiectiv specific referitor la promovarea liniilor de interconexiune și a infrastructurii de transport aferente, precum și la instalarea infrastructurii de reîncărcare,</w:t>
      </w:r>
      <w:r w:rsidRPr="00E175AF">
        <w:rPr>
          <w:noProof/>
        </w:rPr>
        <w:t xml:space="preserve"> cu ajutorul resurselor FEDR și ale Fondului de coeziune.</w:t>
      </w:r>
    </w:p>
    <w:p w14:paraId="72AB519B" w14:textId="6E065607" w:rsidR="00566B1F" w:rsidRPr="00E175AF" w:rsidRDefault="00566B1F" w:rsidP="00566B1F">
      <w:pPr>
        <w:pStyle w:val="Considrant"/>
        <w:numPr>
          <w:ilvl w:val="0"/>
          <w:numId w:val="0"/>
        </w:numPr>
        <w:rPr>
          <w:rFonts w:eastAsia="Times New Roman"/>
          <w:b/>
          <w:bCs/>
          <w:noProof/>
        </w:rPr>
      </w:pPr>
      <w:r w:rsidRPr="00E175AF">
        <w:rPr>
          <w:b/>
          <w:noProof/>
        </w:rPr>
        <w:t xml:space="preserve">Comisia propune ca prefinanțarea investițiilor din cadrul acestei priorități care sunt sprijinite printr-o realocare să fie majorată la 30 % în 2026, iar investițiile respective să beneficieze de o rată mai mare de cofinanțare din partea UE, și anume 100 %. </w:t>
      </w:r>
    </w:p>
    <w:p w14:paraId="7B2F2705" w14:textId="1CB86894" w:rsidR="00092ED9" w:rsidRPr="00E175AF" w:rsidRDefault="00566B1F" w:rsidP="00566B1F">
      <w:pPr>
        <w:pStyle w:val="Considrant"/>
        <w:numPr>
          <w:ilvl w:val="0"/>
          <w:numId w:val="0"/>
        </w:numPr>
        <w:spacing w:before="0" w:after="240"/>
        <w:rPr>
          <w:rFonts w:eastAsia="Times New Roman"/>
          <w:noProof/>
        </w:rPr>
      </w:pPr>
      <w:r w:rsidRPr="00E175AF">
        <w:rPr>
          <w:noProof/>
        </w:rPr>
        <w:t>Acest efort de creștere a investițiilor le va permite sectoarelor energointensive să aibă acces la surse de energie mai stabile și mai diverse pe o piață internă a energiei mai puțin fragmentată, ceea ce le va consolida durabilitatea și competitivitatea. În plus, extinderea sprijinului FEDR pentru proiectele de decarbonizare le va permite industriilor energointensive să acorde prioritate inovațiilor cu impact ridicat aliniate la obiectivele climatice ale UE. În ceea ce privește infrastructura de reîncărcare, sprijinul va completa Mecanismul destinat infrastructurii pentru combustibili alternativi instituit în cadrul Mecanismului pentru interconectarea Europei.</w:t>
      </w:r>
    </w:p>
    <w:p w14:paraId="070D73C0" w14:textId="2A3A392D" w:rsidR="0F4E235C" w:rsidRPr="00E175AF" w:rsidRDefault="0F4E235C" w:rsidP="007D05FE">
      <w:pPr>
        <w:rPr>
          <w:rFonts w:cs="Times New Roman"/>
          <w:noProof/>
          <w:szCs w:val="24"/>
        </w:rPr>
      </w:pPr>
      <w:r w:rsidRPr="00E175AF">
        <w:rPr>
          <w:b/>
          <w:noProof/>
        </w:rPr>
        <w:t>Comisia îndeamnă insistent statele membre și regiunile</w:t>
      </w:r>
      <w:r w:rsidRPr="00E175AF">
        <w:rPr>
          <w:noProof/>
        </w:rPr>
        <w:t xml:space="preserve"> ca, atunci când realizează reprogramarea cu ocazia evaluării intermediare:</w:t>
      </w:r>
    </w:p>
    <w:p w14:paraId="58DAF7FE" w14:textId="2047EF23" w:rsidR="17C507F6" w:rsidRPr="00E175AF" w:rsidRDefault="3853E4FA" w:rsidP="00A83000">
      <w:pPr>
        <w:pStyle w:val="ListParagraph"/>
        <w:numPr>
          <w:ilvl w:val="0"/>
          <w:numId w:val="27"/>
        </w:numPr>
        <w:spacing w:before="120" w:after="120"/>
        <w:contextualSpacing w:val="0"/>
        <w:rPr>
          <w:rFonts w:ascii="Aptos" w:eastAsia="Aptos" w:hAnsi="Aptos" w:cs="Aptos"/>
          <w:noProof/>
        </w:rPr>
      </w:pPr>
      <w:r w:rsidRPr="00E175AF">
        <w:rPr>
          <w:b/>
          <w:noProof/>
        </w:rPr>
        <w:t>să intensifice sprijinul pentru tehnologiile curate și tranziția către o energie curată, pentru a accelera introducerea energiei curate și a producției curate</w:t>
      </w:r>
      <w:r w:rsidRPr="00E175AF">
        <w:rPr>
          <w:noProof/>
        </w:rPr>
        <w:t>. O componentă-cheie în acest sens constă în modernizarea rețelelor electrice, a liniilor de interconexiune și a instalațiilor de stocare a energiei pentru a asigura o uniune energetică reală, precum și în răspândirea punctelor de reîncărcare a vehiculelor electrice, care reprezintă o prioritate importantă în conformitate cu Planul de acțiune industrială pentru sectorul autovehiculelor. Politica de coeziune alocă tehnologiilor curate aproape 9 miliarde EUR în cadrul programelor din perioada 2021-2027, mai mult de o treime din această sumă fiind deja contractată pentru proiecte;</w:t>
      </w:r>
    </w:p>
    <w:p w14:paraId="089A2D72" w14:textId="6990BA2C" w:rsidR="0F4E235C" w:rsidRPr="00E175AF" w:rsidRDefault="0F4E235C" w:rsidP="00A83000">
      <w:pPr>
        <w:pStyle w:val="ListParagraph"/>
        <w:numPr>
          <w:ilvl w:val="0"/>
          <w:numId w:val="27"/>
        </w:numPr>
        <w:spacing w:before="120" w:after="120"/>
        <w:contextualSpacing w:val="0"/>
        <w:rPr>
          <w:rFonts w:cs="Times New Roman"/>
          <w:noProof/>
          <w:szCs w:val="24"/>
        </w:rPr>
      </w:pPr>
      <w:r w:rsidRPr="00E175AF">
        <w:rPr>
          <w:b/>
          <w:noProof/>
        </w:rPr>
        <w:t>să sprijine decarbonizarea</w:t>
      </w:r>
      <w:r w:rsidRPr="00E175AF">
        <w:rPr>
          <w:noProof/>
        </w:rPr>
        <w:t xml:space="preserve"> proceselor de producție și a produselor, </w:t>
      </w:r>
      <w:r w:rsidRPr="00E175AF">
        <w:rPr>
          <w:b/>
          <w:noProof/>
        </w:rPr>
        <w:t>în special pentru regiunile cu industrii energointensive</w:t>
      </w:r>
      <w:r w:rsidRPr="00E175AF">
        <w:rPr>
          <w:noProof/>
        </w:rPr>
        <w:t xml:space="preserve">, prin sprijinirea tranziției industriale cu ajutorul diferitelor instrumente de coeziune, inclusiv al Fondului pentru o tranziție justă. Acest lucru este valabil în special în sectoarele </w:t>
      </w:r>
      <w:bookmarkStart w:id="10" w:name="_Hlk194136671"/>
      <w:r w:rsidRPr="00E175AF">
        <w:rPr>
          <w:noProof/>
        </w:rPr>
        <w:t>vizate de EU ETS</w:t>
      </w:r>
      <w:bookmarkEnd w:id="10"/>
      <w:r w:rsidRPr="00E175AF">
        <w:rPr>
          <w:noProof/>
        </w:rPr>
        <w:t xml:space="preserve">, dar și în sectoare care trec prin transformări industriale semnificative, cum este cel al autovehiculelor; </w:t>
      </w:r>
    </w:p>
    <w:p w14:paraId="67667AFE" w14:textId="4E110DE6" w:rsidR="0F4E235C" w:rsidRPr="00E175AF" w:rsidRDefault="0F4E235C" w:rsidP="00A83000">
      <w:pPr>
        <w:pStyle w:val="ListParagraph"/>
        <w:numPr>
          <w:ilvl w:val="0"/>
          <w:numId w:val="27"/>
        </w:numPr>
        <w:spacing w:before="120" w:after="120"/>
        <w:contextualSpacing w:val="0"/>
        <w:rPr>
          <w:rFonts w:cs="Times New Roman"/>
          <w:noProof/>
          <w:szCs w:val="24"/>
        </w:rPr>
      </w:pPr>
      <w:r w:rsidRPr="00E175AF">
        <w:rPr>
          <w:b/>
          <w:noProof/>
        </w:rPr>
        <w:t>să consolideze investițiile în pregătirea pentru dezastre legate de climă</w:t>
      </w:r>
      <w:r w:rsidRPr="00E175AF">
        <w:rPr>
          <w:noProof/>
        </w:rPr>
        <w:t>, în adaptarea la acestea și în atenuarea acestora, inclusiv pe baza propunerii RESTORE și a principiului de a „reconstrui mai bine”;</w:t>
      </w:r>
    </w:p>
    <w:p w14:paraId="46DF2C4C" w14:textId="47F72829" w:rsidR="0F4E235C" w:rsidRPr="00E175AF" w:rsidRDefault="3853E4FA" w:rsidP="00A83000">
      <w:pPr>
        <w:pStyle w:val="ListParagraph"/>
        <w:numPr>
          <w:ilvl w:val="0"/>
          <w:numId w:val="27"/>
        </w:numPr>
        <w:spacing w:before="120" w:after="120"/>
        <w:contextualSpacing w:val="0"/>
        <w:rPr>
          <w:rFonts w:cs="Times New Roman"/>
          <w:noProof/>
        </w:rPr>
      </w:pPr>
      <w:r w:rsidRPr="00E175AF">
        <w:rPr>
          <w:b/>
          <w:noProof/>
        </w:rPr>
        <w:t>să contribuie la Pactul pentru o industrie curată</w:t>
      </w:r>
      <w:r w:rsidRPr="00E175AF">
        <w:rPr>
          <w:noProof/>
        </w:rPr>
        <w:t xml:space="preserve">, de exemplu promovând dezvoltarea piețelor-lider din UE, redirecționând resurse către diminuarea riscurilor și accelerând adoptarea producției de hidrogen în UE, precum și </w:t>
      </w:r>
      <w:r w:rsidRPr="00E175AF">
        <w:rPr>
          <w:b/>
          <w:noProof/>
        </w:rPr>
        <w:t>la Planul de acțiune privind energia la prețuri accesibile</w:t>
      </w:r>
      <w:r w:rsidRPr="00E175AF">
        <w:rPr>
          <w:noProof/>
        </w:rPr>
        <w:t>, oferind sprijin pentru realizarea de comunități energetice și pentru modernizarea rețelelor electrice și a liniilor de interconexiune din UE, sprijinind dezvoltarea construcțiilor modulare sau a măsurilor de eficientizare energetică a locuințelor, a întreprinderilor și a infrastructurii publice, deoarece scăderea cererii de energie contribuie în mod esențial la accesibilizarea prețului locuințelor și la competitivitatea industrială;</w:t>
      </w:r>
    </w:p>
    <w:p w14:paraId="054456BE" w14:textId="0AF83EBD" w:rsidR="00992DD1" w:rsidRPr="00E175AF" w:rsidRDefault="565CE119" w:rsidP="00A83000">
      <w:pPr>
        <w:pStyle w:val="ListParagraph"/>
        <w:numPr>
          <w:ilvl w:val="0"/>
          <w:numId w:val="27"/>
        </w:numPr>
        <w:spacing w:before="120" w:after="360"/>
        <w:contextualSpacing w:val="0"/>
        <w:rPr>
          <w:rFonts w:cs="Times New Roman"/>
          <w:noProof/>
        </w:rPr>
      </w:pPr>
      <w:r w:rsidRPr="00E175AF">
        <w:rPr>
          <w:b/>
          <w:noProof/>
        </w:rPr>
        <w:t>să consolideze sprijinului pentru acțiuni energetice colective și orientate către cetățeni</w:t>
      </w:r>
      <w:r w:rsidRPr="00E175AF">
        <w:rPr>
          <w:noProof/>
        </w:rPr>
        <w:t>, cum ar fi crearea de comunități energetice, prin creșterea capacităților administrative de a oferi consiliere tehnică și financiară.</w:t>
      </w:r>
    </w:p>
    <w:p w14:paraId="371DA947" w14:textId="77777777" w:rsidR="00583E1E" w:rsidRPr="00E175AF" w:rsidRDefault="00583E1E" w:rsidP="00583E1E">
      <w:pPr>
        <w:pStyle w:val="Heading4"/>
        <w:rPr>
          <w:noProof/>
        </w:rPr>
      </w:pPr>
      <w:r w:rsidRPr="00E175AF">
        <w:rPr>
          <w:noProof/>
        </w:rPr>
        <w:t>Regiunile frontaliere estice</w:t>
      </w:r>
    </w:p>
    <w:p w14:paraId="07F3D440" w14:textId="1FDC81A1" w:rsidR="00583E1E" w:rsidRPr="00E175AF" w:rsidRDefault="3CED169C" w:rsidP="056BD30A">
      <w:pPr>
        <w:rPr>
          <w:rFonts w:cs="Times New Roman"/>
          <w:noProof/>
        </w:rPr>
      </w:pPr>
      <w:r w:rsidRPr="00E175AF">
        <w:rPr>
          <w:b/>
          <w:noProof/>
        </w:rPr>
        <w:t>Regiunile frontaliere estice ale Uniunii Europene</w:t>
      </w:r>
      <w:r w:rsidRPr="00E175AF">
        <w:rPr>
          <w:noProof/>
        </w:rPr>
        <w:t xml:space="preserve"> – care se învecinează </w:t>
      </w:r>
      <w:r w:rsidRPr="00E175AF">
        <w:rPr>
          <w:b/>
          <w:noProof/>
        </w:rPr>
        <w:t>cu Rusia, cu Belarus și cu Ucraina</w:t>
      </w:r>
      <w:r w:rsidRPr="00E175AF">
        <w:rPr>
          <w:noProof/>
        </w:rPr>
        <w:t xml:space="preserve"> – se confruntă cu dubla provocare de a-și consolida securitatea și, în același timp, de a-și revitaliza economiile care au fost afectate ca o consecință directă sau indirectă a războiului de agresiune purtat de Rusia împotriva Ucrainei. </w:t>
      </w:r>
    </w:p>
    <w:p w14:paraId="30224B5B" w14:textId="7EE67284" w:rsidR="00583E1E" w:rsidRPr="00E175AF" w:rsidRDefault="3CED169C" w:rsidP="004276C5">
      <w:pPr>
        <w:rPr>
          <w:rFonts w:cs="Times New Roman"/>
          <w:noProof/>
        </w:rPr>
      </w:pPr>
      <w:r w:rsidRPr="00E175AF">
        <w:rPr>
          <w:noProof/>
        </w:rPr>
        <w:t xml:space="preserve">Odată cu evaluarea intermediară, resursele alocate programelor în cauză în baza politicii de coeziune pot fi realocate pentru a spori investițiile în apărare și competitivitatea economiei în general, cu scopul de a stimula redresarea acestora. </w:t>
      </w:r>
    </w:p>
    <w:p w14:paraId="2EB1AD10" w14:textId="77777777" w:rsidR="00583E1E" w:rsidRPr="00E175AF" w:rsidRDefault="00583E1E" w:rsidP="00583E1E">
      <w:pPr>
        <w:rPr>
          <w:noProof/>
        </w:rPr>
      </w:pPr>
      <w:r w:rsidRPr="00E175AF">
        <w:rPr>
          <w:noProof/>
        </w:rPr>
        <w:t xml:space="preserve">Pentru a consolida stimulentele necesare unei concentrări la începutul perioadei a investițiilor în aceste regiuni, </w:t>
      </w:r>
      <w:r w:rsidRPr="00E175AF">
        <w:rPr>
          <w:b/>
          <w:noProof/>
        </w:rPr>
        <w:t>Comisia propune ca programele destinate regiunilor de la frontierele estice ale Uniunii să beneficieze de</w:t>
      </w:r>
      <w:r w:rsidRPr="00E175AF">
        <w:rPr>
          <w:noProof/>
        </w:rPr>
        <w:t>:</w:t>
      </w:r>
    </w:p>
    <w:p w14:paraId="714911D5" w14:textId="67D706FB" w:rsidR="00583E1E" w:rsidRPr="00E175AF" w:rsidRDefault="00583E1E" w:rsidP="00583E1E">
      <w:pPr>
        <w:pStyle w:val="ListParagraph"/>
        <w:numPr>
          <w:ilvl w:val="0"/>
          <w:numId w:val="35"/>
        </w:numPr>
        <w:rPr>
          <w:rFonts w:cs="Times New Roman"/>
          <w:noProof/>
          <w:szCs w:val="24"/>
        </w:rPr>
      </w:pPr>
      <w:r w:rsidRPr="00E175AF">
        <w:rPr>
          <w:noProof/>
        </w:rPr>
        <w:t xml:space="preserve">o rată de cofinanțare de 100 %; </w:t>
      </w:r>
    </w:p>
    <w:p w14:paraId="1B3DFC1C" w14:textId="7DAD2EE2" w:rsidR="00583E1E" w:rsidRPr="00E175AF" w:rsidRDefault="00583E1E" w:rsidP="00583E1E">
      <w:pPr>
        <w:pStyle w:val="ListParagraph"/>
        <w:numPr>
          <w:ilvl w:val="0"/>
          <w:numId w:val="35"/>
        </w:numPr>
        <w:rPr>
          <w:rFonts w:cs="Times New Roman"/>
          <w:noProof/>
          <w:szCs w:val="24"/>
        </w:rPr>
      </w:pPr>
      <w:r w:rsidRPr="00E175AF">
        <w:rPr>
          <w:noProof/>
        </w:rPr>
        <w:t>o prefinanțare suplimentară de 9,5 % din alocarea totală a programului în 2026</w:t>
      </w:r>
    </w:p>
    <w:p w14:paraId="33FD8F05" w14:textId="77EC91FA" w:rsidR="00583E1E" w:rsidRPr="00E175AF" w:rsidRDefault="00583E1E" w:rsidP="00583E1E">
      <w:pPr>
        <w:pStyle w:val="ListParagraph"/>
        <w:numPr>
          <w:ilvl w:val="0"/>
          <w:numId w:val="35"/>
        </w:numPr>
        <w:rPr>
          <w:rFonts w:cs="Times New Roman"/>
          <w:noProof/>
          <w:szCs w:val="24"/>
        </w:rPr>
      </w:pPr>
      <w:r w:rsidRPr="00E175AF">
        <w:rPr>
          <w:noProof/>
        </w:rPr>
        <w:t>și o rată de prefinanțare de 30 % în 2026 pentru cuantumurile realocate către noile priorități ale evaluării intermediare (STEP, apărare, locuințe, reziliența în domeniul apei și tranziția energetică).</w:t>
      </w:r>
    </w:p>
    <w:p w14:paraId="21648C48" w14:textId="77777777" w:rsidR="00583E1E" w:rsidRPr="00E175AF" w:rsidRDefault="00583E1E" w:rsidP="00A83000">
      <w:pPr>
        <w:spacing w:after="360"/>
        <w:rPr>
          <w:rFonts w:cs="Times New Roman"/>
          <w:noProof/>
          <w:szCs w:val="24"/>
        </w:rPr>
      </w:pPr>
      <w:r w:rsidRPr="00E175AF">
        <w:rPr>
          <w:noProof/>
        </w:rPr>
        <w:t>Aceste stimulente se aplică numai în cazul în care realocarea către aceste noi priorități se ridică la cel puțin 15 % din alocarea totală a programului. Nu se aplică în cazul programelor naționale ale statelor membre care au atât programe naționale, cât și programe regionale.</w:t>
      </w:r>
    </w:p>
    <w:p w14:paraId="1AADDAC6" w14:textId="3ABF3339" w:rsidR="00B079EC" w:rsidRPr="00E175AF" w:rsidRDefault="144D7F4F" w:rsidP="00055C98">
      <w:pPr>
        <w:pStyle w:val="Heading4"/>
        <w:rPr>
          <w:noProof/>
        </w:rPr>
      </w:pPr>
      <w:r w:rsidRPr="00E175AF">
        <w:rPr>
          <w:noProof/>
        </w:rPr>
        <w:t>Promovarea prosperității și a dreptului de a rămâne în toate teritoriile, cu politici adaptate pentru fiecare loc</w:t>
      </w:r>
    </w:p>
    <w:p w14:paraId="0EB9BA00" w14:textId="041F39B4" w:rsidR="005E776C" w:rsidRPr="00E175AF" w:rsidRDefault="0C3160DD" w:rsidP="007D05FE">
      <w:pPr>
        <w:rPr>
          <w:rFonts w:eastAsia="Times New Roman" w:cs="Times New Roman"/>
          <w:noProof/>
          <w:szCs w:val="24"/>
        </w:rPr>
      </w:pPr>
      <w:r w:rsidRPr="00E175AF">
        <w:rPr>
          <w:noProof/>
        </w:rPr>
        <w:t xml:space="preserve">Mediul socioeconomic și geopolitic în continuă schimbare creează efecte foarte asimetrice asupra statelor membre și a regiunilor, în funcție de specializarea lor economică, de situația lor geografică și de structura lor demografică. </w:t>
      </w:r>
    </w:p>
    <w:p w14:paraId="4EB38463" w14:textId="5111D5AC" w:rsidR="00A1746E" w:rsidRPr="00E175AF" w:rsidRDefault="3811A104" w:rsidP="056BD30A">
      <w:pPr>
        <w:rPr>
          <w:rFonts w:cs="Times New Roman"/>
          <w:noProof/>
        </w:rPr>
      </w:pPr>
      <w:r w:rsidRPr="00E175AF">
        <w:rPr>
          <w:noProof/>
        </w:rPr>
        <w:t xml:space="preserve">Multe regiuni din Europa se confruntă cu provocări legate de </w:t>
      </w:r>
      <w:r w:rsidRPr="00E175AF">
        <w:rPr>
          <w:b/>
          <w:noProof/>
        </w:rPr>
        <w:t>stagnare sau de un declin al creșterii</w:t>
      </w:r>
      <w:r w:rsidRPr="00E175AF">
        <w:rPr>
          <w:noProof/>
        </w:rPr>
        <w:t xml:space="preserve"> și al prosperității, care afectează calitatea serviciilor locale și oportunitățile de care se bucură cetățenii. Comisia și statele membre ar trebui să depună eforturi pentru ca toți cetățenii să aibă în mod real </w:t>
      </w:r>
      <w:r w:rsidRPr="00E175AF">
        <w:rPr>
          <w:b/>
          <w:noProof/>
        </w:rPr>
        <w:t>dreptul de a rămâne</w:t>
      </w:r>
      <w:r w:rsidRPr="00E175AF">
        <w:rPr>
          <w:noProof/>
        </w:rPr>
        <w:t xml:space="preserve"> în locul pe care îl numesc „acasă”, asigurând disponibilitatea unor locuri de muncă de calitate și accesul la servicii publice de bază, cum ar fi educația și sănătatea. Acest lucru este deosebit de important în </w:t>
      </w:r>
      <w:r w:rsidRPr="00E175AF">
        <w:rPr>
          <w:b/>
          <w:noProof/>
        </w:rPr>
        <w:t>teritoriile neurbane</w:t>
      </w:r>
      <w:r w:rsidRPr="00E175AF">
        <w:rPr>
          <w:noProof/>
        </w:rPr>
        <w:t xml:space="preserve"> (zonele rurale, interioare și îndepărtate) și în zonele identificate ca aflându-se într-o capcană a dezvoltării talentelor</w:t>
      </w:r>
      <w:r w:rsidR="001F4EC2" w:rsidRPr="00E175AF">
        <w:rPr>
          <w:rStyle w:val="FootnoteReference"/>
          <w:rFonts w:cs="Times New Roman"/>
          <w:noProof/>
          <w:szCs w:val="24"/>
        </w:rPr>
        <w:footnoteReference w:id="18"/>
      </w:r>
      <w:r w:rsidRPr="00E175AF">
        <w:rPr>
          <w:noProof/>
        </w:rPr>
        <w:t>. În acest sens, o complementaritate mai puternică între programele politicii de coeziune și inițiativa LEADER din cadrul PAC, precum și derularea unor acțiuni de promovare a turismului durabil ar ajuta comunitățile locale să găsească soluții la nivel local, astfel cum s-a subliniat și în recenta viziune pentru agricultură și sectorul alimentar. Acțiunile ar urma să creeze facilități în sectoare diferite de cel al agriculturii și al pescuitului, având scopul de a promova alte oportunități economice și de afaceri și gestionând totodată fluxurile de migrație și contracarând depopularea.</w:t>
      </w:r>
    </w:p>
    <w:p w14:paraId="34402D18" w14:textId="632BA233" w:rsidR="00BE2C0D" w:rsidRPr="00E175AF" w:rsidRDefault="00725C3E" w:rsidP="007D05FE">
      <w:pPr>
        <w:rPr>
          <w:rFonts w:cs="Times New Roman"/>
          <w:noProof/>
          <w:szCs w:val="24"/>
        </w:rPr>
      </w:pPr>
      <w:r w:rsidRPr="00E175AF">
        <w:rPr>
          <w:b/>
          <w:noProof/>
        </w:rPr>
        <w:t>Zonele urbane</w:t>
      </w:r>
      <w:r w:rsidRPr="00E175AF">
        <w:rPr>
          <w:noProof/>
        </w:rPr>
        <w:t xml:space="preserve"> se confruntă cu propriile provocări legate de locuințele la prețuri accesibile, de integrarea socială, de congestionarea traficului și de poluare. Din suma totală alocată politicii de coeziune, 24 de miliarde EUR sunt investite în </w:t>
      </w:r>
      <w:r w:rsidRPr="00E175AF">
        <w:rPr>
          <w:b/>
          <w:noProof/>
        </w:rPr>
        <w:t>dezvoltarea urbană</w:t>
      </w:r>
      <w:r w:rsidRPr="00E175AF">
        <w:rPr>
          <w:noProof/>
        </w:rPr>
        <w:t xml:space="preserve">, orașele aflându-se în avangarda eforturilor de decarbonizare. Rolul orașelor și legăturile dintre zonele urbane și cele rurale ar trebui valorificate mai mult, pentru a se încuraja o dezvoltare regională echilibrată, iar </w:t>
      </w:r>
      <w:r w:rsidRPr="00E175AF">
        <w:rPr>
          <w:b/>
          <w:noProof/>
        </w:rPr>
        <w:t>Comisia va prezenta o agendă ambițioasă pentru orașe</w:t>
      </w:r>
      <w:r w:rsidRPr="00E175AF">
        <w:rPr>
          <w:noProof/>
        </w:rPr>
        <w:t xml:space="preserve"> în cursul acestui an.</w:t>
      </w:r>
    </w:p>
    <w:p w14:paraId="340FC757" w14:textId="73DCBED7" w:rsidR="047E7082" w:rsidRPr="00E175AF" w:rsidRDefault="00BE2C0D" w:rsidP="007D05FE">
      <w:pPr>
        <w:pStyle w:val="paragraph"/>
        <w:spacing w:before="0" w:beforeAutospacing="0" w:after="240" w:afterAutospacing="0"/>
        <w:rPr>
          <w:rFonts w:asciiTheme="minorHAnsi" w:eastAsiaTheme="majorEastAsia" w:hAnsiTheme="minorHAnsi" w:cstheme="minorBidi"/>
          <w:noProof/>
          <w:color w:val="000000" w:themeColor="text1"/>
          <w:kern w:val="2"/>
        </w:rPr>
      </w:pPr>
      <w:r w:rsidRPr="00E175AF">
        <w:rPr>
          <w:rStyle w:val="eop"/>
          <w:noProof/>
          <w:color w:val="000000" w:themeColor="text1"/>
        </w:rPr>
        <w:t xml:space="preserve">Recunoscând rolul important al orașelor în realizarea obiectivelor UE, în rezolvarea problemelor locale și în consolidarea legăturilor dintre zonele urbane și cele rurale pentru a încuraja o dezvoltare regională echilibrată, </w:t>
      </w:r>
      <w:r w:rsidRPr="00E175AF">
        <w:rPr>
          <w:b/>
          <w:noProof/>
        </w:rPr>
        <w:t>Comisia propune consolidarea Inițiativei europene privind dezvoltarea urbană prin introducerea posibilității de a transfera resurse din FEDR către această inițiativă</w:t>
      </w:r>
      <w:r w:rsidRPr="00E175AF">
        <w:rPr>
          <w:rStyle w:val="eop"/>
          <w:noProof/>
          <w:color w:val="000000" w:themeColor="text1"/>
        </w:rPr>
        <w:t xml:space="preserve">. Aceste sume ar urma să sprijine acțiuni în beneficiul statelor membre care inițiază transferul. </w:t>
      </w:r>
      <w:r w:rsidRPr="00E175AF">
        <w:rPr>
          <w:b/>
          <w:noProof/>
        </w:rPr>
        <w:t>De asemenea, Comisia propune instituirea unei mărci de excelență pentru Inițiativa europeană privind dezvoltarea urbană</w:t>
      </w:r>
      <w:r w:rsidRPr="00E175AF">
        <w:rPr>
          <w:rStyle w:val="eop"/>
          <w:noProof/>
          <w:color w:val="000000" w:themeColor="text1"/>
        </w:rPr>
        <w:t xml:space="preserve">, făcând astfel posibilă acordarea de sprijin prin programele politicii de coeziune pentru proiectele EUI care au fost selectate, dar nu au putut primi finanțare din cauza resurselor insuficiente. </w:t>
      </w:r>
      <w:r w:rsidRPr="00E175AF">
        <w:rPr>
          <w:noProof/>
        </w:rPr>
        <w:t xml:space="preserve">În plus, statele membre ar avea </w:t>
      </w:r>
      <w:r w:rsidRPr="00E175AF">
        <w:rPr>
          <w:b/>
          <w:noProof/>
        </w:rPr>
        <w:t>posibilitatea de a transfera resurse FEDR din programele lor</w:t>
      </w:r>
      <w:r w:rsidRPr="00E175AF">
        <w:rPr>
          <w:noProof/>
        </w:rPr>
        <w:t xml:space="preserve">, din cadrul </w:t>
      </w:r>
      <w:bookmarkStart w:id="11" w:name="_Hlk194137196"/>
      <w:r w:rsidRPr="00E175AF">
        <w:rPr>
          <w:noProof/>
        </w:rPr>
        <w:t>obiectivului „Investiții pentru ocuparea forței de muncă și creștere economică”</w:t>
      </w:r>
      <w:bookmarkEnd w:id="11"/>
      <w:r w:rsidRPr="00E175AF">
        <w:rPr>
          <w:noProof/>
        </w:rPr>
        <w:t xml:space="preserve">, </w:t>
      </w:r>
      <w:r w:rsidRPr="00E175AF">
        <w:rPr>
          <w:b/>
          <w:noProof/>
        </w:rPr>
        <w:t>către instrumentul de investiții interregionale pentru inovare</w:t>
      </w:r>
      <w:r w:rsidRPr="00E175AF">
        <w:rPr>
          <w:noProof/>
        </w:rPr>
        <w:t>, având astfel mai multă flexibilitate în utilizarea resurselor.</w:t>
      </w:r>
    </w:p>
    <w:p w14:paraId="100EA4F2" w14:textId="436DCEB8" w:rsidR="1B27E217" w:rsidRPr="00E175AF" w:rsidRDefault="1F23047E" w:rsidP="00E2A179">
      <w:pPr>
        <w:rPr>
          <w:rFonts w:cs="Times New Roman"/>
          <w:noProof/>
        </w:rPr>
      </w:pPr>
      <w:r w:rsidRPr="00E175AF">
        <w:rPr>
          <w:b/>
          <w:noProof/>
        </w:rPr>
        <w:t>Insulele și regiunile ultraperiferice</w:t>
      </w:r>
      <w:r w:rsidRPr="00E175AF">
        <w:rPr>
          <w:noProof/>
        </w:rPr>
        <w:t xml:space="preserve"> se confruntă cu provocări specifice legate de costurile mai mari ale materiilor prime și ale energiei, în special după începerea războiului din Ucraina, pe lângă constrângerile inerente care decurg din izolarea fizică și din distanța mare față de continent și care afectează piața forței de muncă, transporturile și mobilitatea, accesul la materii prime, precum și aprovizionarea cu energie. Această izolare geografică îngreunează puternic și tranziția curată a teritoriilor respective către o economie neutră din punct de vedere climatic. În plus, locurile de muncă sezoniere generate de turism maschează adesea lipsa unor oportunități atractive de angajare pentru populația locală. În fine, o serie de insule și regiuni ultraperiferice au suferit dezastre naturale extreme, care reclamă investiții semnificative nu numai în redresarea post-dezastru, ci și în adaptarea la schimbările climatice și reziliența la acestea. Pentru a sprijini insulele și regiunile ultraperiferice în soluționarea acestor probleme multidimensionale, Comisia va lansa o consultare privind elaborarea unei strategii pentru insule și actualizarea strategiei pentru regiunile ultraperiferice.</w:t>
      </w:r>
    </w:p>
    <w:p w14:paraId="0FC56247" w14:textId="047A2A43" w:rsidR="009B50AA" w:rsidRPr="00E175AF" w:rsidRDefault="795FB1D6" w:rsidP="007D05FE">
      <w:pPr>
        <w:rPr>
          <w:rFonts w:cs="Times New Roman"/>
          <w:noProof/>
          <w:szCs w:val="24"/>
        </w:rPr>
      </w:pPr>
      <w:r w:rsidRPr="00E175AF">
        <w:rPr>
          <w:noProof/>
        </w:rPr>
        <w:t xml:space="preserve">În consecință, </w:t>
      </w:r>
      <w:r w:rsidRPr="00E175AF">
        <w:rPr>
          <w:b/>
          <w:noProof/>
        </w:rPr>
        <w:t>Comisia îndeamnă insistent statele membre și regiunile</w:t>
      </w:r>
      <w:r w:rsidRPr="00E175AF">
        <w:rPr>
          <w:noProof/>
        </w:rPr>
        <w:t xml:space="preserve"> ca, atunci când realizează reprogramarea cu ocazia evaluării intermediare:</w:t>
      </w:r>
    </w:p>
    <w:p w14:paraId="5F8B36E6" w14:textId="78D1C1B1" w:rsidR="004B3F48" w:rsidRPr="00E175AF" w:rsidRDefault="00D96CBC" w:rsidP="00A83000">
      <w:pPr>
        <w:pStyle w:val="ListParagraph"/>
        <w:numPr>
          <w:ilvl w:val="0"/>
          <w:numId w:val="27"/>
        </w:numPr>
        <w:spacing w:before="120" w:after="120"/>
        <w:contextualSpacing w:val="0"/>
        <w:rPr>
          <w:rFonts w:cs="Times New Roman"/>
          <w:noProof/>
          <w:szCs w:val="24"/>
        </w:rPr>
      </w:pPr>
      <w:r w:rsidRPr="00E175AF">
        <w:rPr>
          <w:b/>
          <w:noProof/>
        </w:rPr>
        <w:t>să întărească rolul orașelor în realizarea a numeroase obiective ale UE</w:t>
      </w:r>
      <w:r w:rsidRPr="00E175AF">
        <w:rPr>
          <w:noProof/>
        </w:rPr>
        <w:t xml:space="preserve">, de exemplu </w:t>
      </w:r>
      <w:bookmarkStart w:id="12" w:name="_Hlk194137349"/>
      <w:r w:rsidRPr="00E175AF">
        <w:rPr>
          <w:noProof/>
        </w:rPr>
        <w:t>prin transferul de fonduri cu scopul de a consolida Inițiativa europeană privind dezvoltarea urbană</w:t>
      </w:r>
      <w:bookmarkEnd w:id="12"/>
      <w:r w:rsidRPr="00E175AF">
        <w:rPr>
          <w:noProof/>
        </w:rPr>
        <w:t xml:space="preserve"> sau prin alocarea de resurse suplimentare orașelor. În paralel, Comisia va căuta să încurajeze o dezbatere amplă, în contextul Agendei urbane, cu privire la modul în care orașele pot contribui la prioritățile UE; </w:t>
      </w:r>
    </w:p>
    <w:p w14:paraId="1245A92A" w14:textId="5D1C2945" w:rsidR="006107AD" w:rsidRPr="00E175AF" w:rsidRDefault="00F029F0" w:rsidP="00A83000">
      <w:pPr>
        <w:pStyle w:val="ListParagraph"/>
        <w:numPr>
          <w:ilvl w:val="0"/>
          <w:numId w:val="27"/>
        </w:numPr>
        <w:spacing w:before="120" w:after="120"/>
        <w:contextualSpacing w:val="0"/>
        <w:rPr>
          <w:rFonts w:cs="Times New Roman"/>
          <w:noProof/>
          <w:szCs w:val="24"/>
        </w:rPr>
      </w:pPr>
      <w:r w:rsidRPr="00E175AF">
        <w:rPr>
          <w:b/>
          <w:noProof/>
        </w:rPr>
        <w:t>să își materializeze angajamentele de a contribui la noul Bauhaus european</w:t>
      </w:r>
      <w:r w:rsidRPr="00E175AF">
        <w:rPr>
          <w:noProof/>
        </w:rPr>
        <w:t xml:space="preserve"> (NBE), care a fost realizat doar parțial până în prezent. Toate statele membre s-au angajat să contribuie la realizarea NBE prin programele pentru perioada 2021-2027, iar 18 state membre au integrat principiul NBE în criteriile de selecție și în cererile de proiecte. Valorile NBE însoțesc în mod firesc sprijinul pentru locuințe la prețuri accesibile și pentru dezvoltarea urbană durabilă, inclusiv în ceea ce privește reamenajarea centrelor orașelor, renovarea patrimoniului cultural și îmbunătățirea infrastructurii verzi.</w:t>
      </w:r>
    </w:p>
    <w:p w14:paraId="16AF245B" w14:textId="7F838295" w:rsidR="00A742F2" w:rsidRPr="00E175AF" w:rsidRDefault="77B6EDB4" w:rsidP="004B0113">
      <w:pPr>
        <w:pStyle w:val="Heading1"/>
        <w:spacing w:before="360"/>
        <w:rPr>
          <w:noProof/>
        </w:rPr>
      </w:pPr>
      <w:r w:rsidRPr="00E175AF">
        <w:rPr>
          <w:noProof/>
        </w:rPr>
        <w:t xml:space="preserve">Administrații mai puternice cu norme mai simple, mai flexibile și mai eficace </w:t>
      </w:r>
    </w:p>
    <w:p w14:paraId="591A3293" w14:textId="1F3D1BBD" w:rsidR="00A742F2" w:rsidRPr="00E175AF" w:rsidRDefault="2A6310D6" w:rsidP="056BD30A">
      <w:pPr>
        <w:rPr>
          <w:rFonts w:cs="Times New Roman"/>
          <w:noProof/>
        </w:rPr>
      </w:pPr>
      <w:r w:rsidRPr="00E175AF">
        <w:rPr>
          <w:noProof/>
        </w:rPr>
        <w:t>Pentru ca politica de coeziune să sprijine realizarea obiectivelor, aceasta trebuie să valorifice atât capacitatea administrației publice, cât și pe cea a sectorului privat de a pune în aplicare politicile și investițiile pe care le pot mobiliza fondurile politicii de coeziune. În acest scop sunt necesare acțiuni de consolidare a capacității administrative a actorilor implicați în implementarea politicilor în sens larg, nu doar în ceea ce privește implementarea politicii de coeziune; în același timp, reducerea sarcinii administrative prin simplificare poate accelera și facilita utilizarea fondurilor de coeziune.</w:t>
      </w:r>
    </w:p>
    <w:p w14:paraId="763E4817" w14:textId="0946C207" w:rsidR="00646F34" w:rsidRPr="00E175AF" w:rsidRDefault="2BBD499F" w:rsidP="004B0113">
      <w:pPr>
        <w:pStyle w:val="Heading4"/>
        <w:spacing w:before="360"/>
        <w:rPr>
          <w:noProof/>
        </w:rPr>
      </w:pPr>
      <w:r w:rsidRPr="00E175AF">
        <w:rPr>
          <w:noProof/>
        </w:rPr>
        <w:t>Reforme și capacitate administrativă</w:t>
      </w:r>
    </w:p>
    <w:p w14:paraId="7CBDEAB2" w14:textId="512C65B4" w:rsidR="00646F34" w:rsidRPr="00E175AF" w:rsidRDefault="00646F34" w:rsidP="007D05FE">
      <w:pPr>
        <w:rPr>
          <w:rFonts w:cs="Times New Roman"/>
          <w:noProof/>
          <w:szCs w:val="24"/>
        </w:rPr>
      </w:pPr>
      <w:r w:rsidRPr="00E175AF">
        <w:rPr>
          <w:noProof/>
        </w:rPr>
        <w:t>Experiența arată că una dintre condițiile prealabile pentru utilizarea eficientă și eficace a fondurilor UE este capacitatea administrațiilor publice de a gestiona aceste resurse. S-au realizat multe progrese în ceea ce privește consolidarea și modernizarea administrațiilor care gestionează fondurile, fie prin asistența tehnică a programelor de coeziune, a MRR și a altor inițiative ale Comisiei, fie prin programe specifice.</w:t>
      </w:r>
    </w:p>
    <w:p w14:paraId="579174BF" w14:textId="3FB289A9" w:rsidR="00646F34" w:rsidRPr="00E175AF" w:rsidRDefault="77402FFC" w:rsidP="5CEDE21A">
      <w:pPr>
        <w:rPr>
          <w:rFonts w:cs="Times New Roman"/>
          <w:noProof/>
        </w:rPr>
      </w:pPr>
      <w:r w:rsidRPr="00E175AF">
        <w:rPr>
          <w:noProof/>
        </w:rPr>
        <w:t>În prezent, în 15 state membre sunt în curs de aplicare sau finalizate foi de parcurs cu planuri de acțiune specifice pentru îmbunătățirea capacității administrative a întregului ecosistem al politicii de coeziune, în special de către administrațiile care au întâmpinat de-a lungul timpului dificultăți legate de capacitatea lor de a utiliza finanțarea UE. „Foile de parcurs pentru consolidarea capacității administrative” sunt documente strategice care includ o analiză a nevoilor și a provocărilor, măsurile de abordare a acestora și actorii responsabili, prin care se urmărește obținerea unei abordări mai strategice a utilizării resurselor pentru asistența tehnică și consolidarea capacităților. Evaluarea intermediară reprezintă o oportunitate de examinare a progreselor înregistrate în punerea în aplicare a acestor strategii, de asumare a unui angajament clar privind accelerarea acestui proces și de instituire a unor măsuri de însoțire adecvate prin intermediul asistenței tehnice, inclusiv prin intermediul instrumentului de sprijin tehnic.</w:t>
      </w:r>
    </w:p>
    <w:p w14:paraId="2C01B527" w14:textId="5F58E924" w:rsidR="00861163" w:rsidRPr="00E175AF" w:rsidRDefault="1070CC7C" w:rsidP="007D05FE">
      <w:pPr>
        <w:pStyle w:val="paragraph"/>
        <w:spacing w:before="0" w:beforeAutospacing="0" w:after="240" w:afterAutospacing="0"/>
        <w:rPr>
          <w:rStyle w:val="eop"/>
          <w:rFonts w:eastAsiaTheme="majorEastAsia"/>
          <w:noProof/>
          <w:color w:val="000000" w:themeColor="text1"/>
        </w:rPr>
      </w:pPr>
      <w:r w:rsidRPr="00E175AF">
        <w:rPr>
          <w:rStyle w:val="eop"/>
          <w:noProof/>
          <w:color w:val="000000" w:themeColor="text1"/>
        </w:rPr>
        <w:t xml:space="preserve">Pentru a ajuta administrațiile publice să își îmbunătățească atât capacitățile, cât și eficacitatea, </w:t>
      </w:r>
      <w:r w:rsidRPr="00E175AF">
        <w:rPr>
          <w:rStyle w:val="eop"/>
          <w:b/>
          <w:noProof/>
          <w:color w:val="000000" w:themeColor="text1"/>
        </w:rPr>
        <w:t>propunerea Comisiei clarifică faptul că vor fi eligibile și costurile legate de acțiunile pregătitoare pentru reforme, inclusiv pentru reformele de sine stătătoare</w:t>
      </w:r>
      <w:r w:rsidRPr="00E175AF">
        <w:rPr>
          <w:rStyle w:val="eop"/>
          <w:noProof/>
          <w:color w:val="000000" w:themeColor="text1"/>
        </w:rPr>
        <w:t xml:space="preserve"> (adică neînsoțite de investiții). </w:t>
      </w:r>
    </w:p>
    <w:p w14:paraId="40D36B5D" w14:textId="1917C1A3" w:rsidR="007346D0" w:rsidRPr="00E175AF" w:rsidRDefault="1B310E19" w:rsidP="004B0113">
      <w:pPr>
        <w:pStyle w:val="Heading4"/>
        <w:spacing w:before="360"/>
        <w:rPr>
          <w:noProof/>
        </w:rPr>
      </w:pPr>
      <w:r w:rsidRPr="00E175AF">
        <w:rPr>
          <w:noProof/>
        </w:rPr>
        <w:t>Accelerarea investițiilor prin simplificare și flexibilitate</w:t>
      </w:r>
    </w:p>
    <w:p w14:paraId="1FA561E8" w14:textId="62273A4B" w:rsidR="005F116D" w:rsidRPr="00E175AF" w:rsidRDefault="00687D1F" w:rsidP="007D05FE">
      <w:pPr>
        <w:rPr>
          <w:rFonts w:cs="Times New Roman"/>
          <w:noProof/>
          <w:szCs w:val="24"/>
        </w:rPr>
      </w:pPr>
      <w:r w:rsidRPr="00E175AF">
        <w:rPr>
          <w:noProof/>
        </w:rPr>
        <w:t xml:space="preserve">În același timp, Comisia este conștientă de faptul că, pentru a oferi un sprijin mai suplu și mai bine direcționat, sunt necesare eforturi suplimentare pentru a simplifica arhitectura de reglementare. </w:t>
      </w:r>
    </w:p>
    <w:p w14:paraId="165CFBBD" w14:textId="6D712846" w:rsidR="005F116D" w:rsidRPr="00E175AF" w:rsidRDefault="005F116D" w:rsidP="007D05FE">
      <w:pPr>
        <w:rPr>
          <w:rFonts w:cs="Times New Roman"/>
          <w:noProof/>
          <w:szCs w:val="24"/>
        </w:rPr>
      </w:pPr>
      <w:r w:rsidRPr="00E175AF">
        <w:rPr>
          <w:noProof/>
        </w:rPr>
        <w:t>Simplificarea și atenuarea sarcinii administrative pentru beneficiari și, cel mai important, pentru operatorii economici, cum ar fi IMM-urile, reprezintă priorități esențiale ale Comisiei. Astfel cum s-a anticipat în Busola pentru competitivitate, Comisia va depune un efort de simplificare fără precedent, inclusiv în cadrul politicii de coeziune.</w:t>
      </w:r>
    </w:p>
    <w:p w14:paraId="243230BE" w14:textId="33A5EB94" w:rsidR="0040706B" w:rsidRPr="00E175AF" w:rsidRDefault="5CBAE6D3" w:rsidP="007D05FE">
      <w:pPr>
        <w:rPr>
          <w:rFonts w:cs="Times New Roman"/>
          <w:noProof/>
          <w:szCs w:val="24"/>
        </w:rPr>
      </w:pPr>
      <w:r w:rsidRPr="00E175AF">
        <w:rPr>
          <w:noProof/>
        </w:rPr>
        <w:t xml:space="preserve">Împreună cu prezenta comunicare, </w:t>
      </w:r>
      <w:r w:rsidRPr="00E175AF">
        <w:rPr>
          <w:b/>
          <w:noProof/>
        </w:rPr>
        <w:t>Comisia prezintă</w:t>
      </w:r>
      <w:r w:rsidRPr="00E175AF">
        <w:rPr>
          <w:noProof/>
        </w:rPr>
        <w:t xml:space="preserve">, prin intermediul propunerii legislative, </w:t>
      </w:r>
      <w:r w:rsidRPr="00E175AF">
        <w:rPr>
          <w:b/>
          <w:noProof/>
        </w:rPr>
        <w:t>o serie de măsuri de simplificare și de flexibilitate</w:t>
      </w:r>
      <w:r w:rsidRPr="00E175AF">
        <w:rPr>
          <w:noProof/>
        </w:rPr>
        <w:t xml:space="preserve"> în următoarele domenii:</w:t>
      </w:r>
    </w:p>
    <w:p w14:paraId="54E7366A" w14:textId="2006ACF8" w:rsidR="00121B14" w:rsidRPr="00E175AF" w:rsidRDefault="00121B14" w:rsidP="004B0113">
      <w:pPr>
        <w:pStyle w:val="ListParagraph"/>
        <w:numPr>
          <w:ilvl w:val="0"/>
          <w:numId w:val="27"/>
        </w:numPr>
        <w:spacing w:before="120" w:after="120"/>
        <w:contextualSpacing w:val="0"/>
        <w:rPr>
          <w:rFonts w:cs="Times New Roman"/>
          <w:noProof/>
          <w:szCs w:val="24"/>
        </w:rPr>
      </w:pPr>
      <w:r w:rsidRPr="00E175AF">
        <w:rPr>
          <w:b/>
          <w:noProof/>
        </w:rPr>
        <w:t>asigurarea posibilității de a realoca fără probleme resursele către prioritățile UE</w:t>
      </w:r>
      <w:r w:rsidRPr="00E175AF">
        <w:rPr>
          <w:noProof/>
        </w:rPr>
        <w:t xml:space="preserve">, prin relaxarea normelor actuale, care impun ca o parte semnificativă a alocărilor să vizeze anumite domenii de interes. Comisia propune introducerea unei </w:t>
      </w:r>
      <w:r w:rsidRPr="00E175AF">
        <w:rPr>
          <w:b/>
          <w:noProof/>
        </w:rPr>
        <w:t>mai mari flexibilități la nivelul cerințelor privind concentrarea tematică în ceea ce privește alocările pentru noile priorități</w:t>
      </w:r>
      <w:r w:rsidR="00D321CF" w:rsidRPr="00E175AF">
        <w:rPr>
          <w:rStyle w:val="FootnoteReference"/>
          <w:rFonts w:cs="Times New Roman"/>
          <w:noProof/>
          <w:szCs w:val="24"/>
        </w:rPr>
        <w:footnoteReference w:id="19"/>
      </w:r>
      <w:r w:rsidRPr="00E175AF">
        <w:rPr>
          <w:noProof/>
        </w:rPr>
        <w:t>, precum și în ceea ce privește calcularea contribuțiilor la acțiunile climatice în cadrul FEDR și al Fondului de coeziune (respectând în același timp cerințele generale);</w:t>
      </w:r>
    </w:p>
    <w:p w14:paraId="46AA1C3A" w14:textId="4FDF4873" w:rsidR="00FE28EE" w:rsidRPr="00E175AF" w:rsidRDefault="75A9EB3A" w:rsidP="004B0113">
      <w:pPr>
        <w:pStyle w:val="paragraph"/>
        <w:numPr>
          <w:ilvl w:val="0"/>
          <w:numId w:val="27"/>
        </w:numPr>
        <w:spacing w:before="120" w:beforeAutospacing="0" w:after="120" w:afterAutospacing="0"/>
        <w:rPr>
          <w:rFonts w:eastAsiaTheme="majorEastAsia"/>
          <w:noProof/>
          <w:color w:val="000000" w:themeColor="text1"/>
        </w:rPr>
      </w:pPr>
      <w:r w:rsidRPr="00E175AF">
        <w:rPr>
          <w:noProof/>
        </w:rPr>
        <w:t xml:space="preserve">pentru asigurarea unui cadru de finalizare a investițiilor nou introduse și de solicitare și rambursare a plăților care este adecvat scopului și nu descurajează mai buna direcționare și modernizarea politicii, </w:t>
      </w:r>
      <w:r w:rsidRPr="00E175AF">
        <w:rPr>
          <w:b/>
          <w:noProof/>
        </w:rPr>
        <w:t>Comisia propune</w:t>
      </w:r>
      <w:r w:rsidRPr="00E175AF">
        <w:rPr>
          <w:noProof/>
        </w:rPr>
        <w:t xml:space="preserve"> </w:t>
      </w:r>
      <w:r w:rsidRPr="00E175AF">
        <w:rPr>
          <w:rStyle w:val="eop"/>
          <w:noProof/>
          <w:color w:val="000000" w:themeColor="text1"/>
        </w:rPr>
        <w:t xml:space="preserve">să se prevadă </w:t>
      </w:r>
      <w:r w:rsidRPr="00E175AF">
        <w:rPr>
          <w:rStyle w:val="eop"/>
          <w:b/>
          <w:noProof/>
          <w:color w:val="000000" w:themeColor="text1"/>
        </w:rPr>
        <w:t>o prefinanțare unică de 5 % pentru toate</w:t>
      </w:r>
      <w:r w:rsidRPr="00E175AF">
        <w:rPr>
          <w:rStyle w:val="eop"/>
          <w:noProof/>
          <w:color w:val="000000" w:themeColor="text1"/>
        </w:rPr>
        <w:t xml:space="preserve"> </w:t>
      </w:r>
      <w:r w:rsidRPr="00E175AF">
        <w:rPr>
          <w:b/>
          <w:noProof/>
        </w:rPr>
        <w:t>programele care realocă cel puțin 15 % din alocările programelor lor în cadrul evaluării intermediare pentru investiții legate de STEP, de apărare, de locuințe la prețuri accesibile, de reziliența în domeniul și de tranziția energetică; precum și amânarea cu un an a datei finale de eligibilitate a politicii de coeziune pentru aceste programe</w:t>
      </w:r>
      <w:r w:rsidR="5273DDF3" w:rsidRPr="00E175AF">
        <w:rPr>
          <w:noProof/>
          <w:vertAlign w:val="superscript"/>
        </w:rPr>
        <w:footnoteReference w:id="20"/>
      </w:r>
      <w:r w:rsidRPr="00E175AF">
        <w:rPr>
          <w:noProof/>
        </w:rPr>
        <w:t>;</w:t>
      </w:r>
    </w:p>
    <w:p w14:paraId="0E06E684" w14:textId="0709B2A4" w:rsidR="003F03B6" w:rsidRPr="00E175AF" w:rsidRDefault="5412FB25" w:rsidP="004B0113">
      <w:pPr>
        <w:pStyle w:val="paragraph"/>
        <w:numPr>
          <w:ilvl w:val="0"/>
          <w:numId w:val="27"/>
        </w:numPr>
        <w:spacing w:before="120" w:beforeAutospacing="0" w:after="120" w:afterAutospacing="0"/>
        <w:rPr>
          <w:rStyle w:val="eop"/>
          <w:rFonts w:eastAsiaTheme="majorEastAsia" w:cstheme="minorBidi"/>
          <w:noProof/>
          <w:color w:val="000000" w:themeColor="text1"/>
          <w:kern w:val="2"/>
          <w:szCs w:val="22"/>
        </w:rPr>
      </w:pPr>
      <w:r w:rsidRPr="00E175AF">
        <w:rPr>
          <w:noProof/>
          <w:color w:val="000000" w:themeColor="text1"/>
        </w:rPr>
        <w:t xml:space="preserve">pentru a înlesni punerea în aplicare a </w:t>
      </w:r>
      <w:r w:rsidRPr="00E175AF">
        <w:rPr>
          <w:b/>
          <w:noProof/>
        </w:rPr>
        <w:t>Fondului pentru o tranziție justă, sunt eliminate restricțiile privind modificarea și funcționarea programelor sale</w:t>
      </w:r>
      <w:r w:rsidRPr="00E175AF">
        <w:rPr>
          <w:noProof/>
        </w:rPr>
        <w:t xml:space="preserve">: </w:t>
      </w:r>
    </w:p>
    <w:p w14:paraId="34D37E4F" w14:textId="1CB44C5A" w:rsidR="003F03B6" w:rsidRPr="00E175AF" w:rsidRDefault="070E7CDD" w:rsidP="004B0113">
      <w:pPr>
        <w:pStyle w:val="paragraph"/>
        <w:numPr>
          <w:ilvl w:val="0"/>
          <w:numId w:val="44"/>
        </w:numPr>
        <w:spacing w:before="120" w:beforeAutospacing="0" w:after="120" w:afterAutospacing="0"/>
        <w:ind w:left="1080"/>
        <w:rPr>
          <w:rFonts w:eastAsiaTheme="majorEastAsia"/>
          <w:b/>
          <w:noProof/>
          <w:color w:val="000000" w:themeColor="text1"/>
        </w:rPr>
      </w:pPr>
      <w:r w:rsidRPr="00E175AF">
        <w:rPr>
          <w:rStyle w:val="eop"/>
          <w:b/>
          <w:noProof/>
          <w:color w:val="000000" w:themeColor="text1"/>
        </w:rPr>
        <w:t>mecanismul „mărcii de excelență”</w:t>
      </w:r>
      <w:r w:rsidRPr="00E175AF">
        <w:rPr>
          <w:rStyle w:val="eop"/>
          <w:noProof/>
          <w:color w:val="000000" w:themeColor="text1"/>
        </w:rPr>
        <w:t xml:space="preserve"> se va aplica și pentru FTJ, facilitând o </w:t>
      </w:r>
      <w:r w:rsidRPr="00E175AF">
        <w:rPr>
          <w:rStyle w:val="eop"/>
          <w:b/>
          <w:noProof/>
          <w:color w:val="000000" w:themeColor="text1"/>
        </w:rPr>
        <w:t>procedură simplificată de selecție</w:t>
      </w:r>
      <w:r w:rsidRPr="00E175AF">
        <w:rPr>
          <w:rStyle w:val="eop"/>
          <w:noProof/>
          <w:color w:val="000000" w:themeColor="text1"/>
        </w:rPr>
        <w:t xml:space="preserve"> a proiectelor selectate în cadrul altor instrumente ale UE, care nu dispun de o finanțare suficientă;</w:t>
      </w:r>
      <w:r w:rsidRPr="00E175AF">
        <w:rPr>
          <w:noProof/>
          <w:color w:val="000000" w:themeColor="text1"/>
        </w:rPr>
        <w:t xml:space="preserve"> </w:t>
      </w:r>
    </w:p>
    <w:p w14:paraId="1A13C163" w14:textId="61ED5D33" w:rsidR="0F664EE1" w:rsidRPr="00E175AF" w:rsidRDefault="7387985B" w:rsidP="004B0113">
      <w:pPr>
        <w:pStyle w:val="paragraph"/>
        <w:numPr>
          <w:ilvl w:val="0"/>
          <w:numId w:val="44"/>
        </w:numPr>
        <w:spacing w:before="120" w:beforeAutospacing="0" w:after="120" w:afterAutospacing="0"/>
        <w:ind w:left="1080"/>
        <w:rPr>
          <w:noProof/>
          <w:color w:val="000000" w:themeColor="text1"/>
        </w:rPr>
      </w:pPr>
      <w:r w:rsidRPr="00E175AF">
        <w:rPr>
          <w:b/>
          <w:noProof/>
          <w:color w:val="000000" w:themeColor="text1"/>
        </w:rPr>
        <w:t>Comisia se aliniază la posibilitățile de sprijinire a proiectelor prin intermediul Fondului pentru inovare</w:t>
      </w:r>
      <w:r w:rsidRPr="00E175AF">
        <w:rPr>
          <w:noProof/>
          <w:color w:val="000000" w:themeColor="text1"/>
        </w:rPr>
        <w:t xml:space="preserve">, permițând investiții legate de producția, prelucrarea, transportul, distribuția, depozitarea sau arderea combustibililor fosili, </w:t>
      </w:r>
      <w:r w:rsidRPr="00E175AF">
        <w:rPr>
          <w:b/>
          <w:noProof/>
          <w:color w:val="000000" w:themeColor="text1"/>
        </w:rPr>
        <w:t>cu condiția ca proiectelor respective să li se atribuie „marca de suveranitate”</w:t>
      </w:r>
      <w:r w:rsidRPr="00E175AF">
        <w:rPr>
          <w:noProof/>
          <w:color w:val="000000" w:themeColor="text1"/>
        </w:rPr>
        <w:t xml:space="preserve"> în cadrul Fondului pentru inovare;</w:t>
      </w:r>
    </w:p>
    <w:p w14:paraId="5E3CD409" w14:textId="2C263A37" w:rsidR="003F03B6" w:rsidRPr="00E175AF" w:rsidRDefault="2450AF00" w:rsidP="00211B6A">
      <w:pPr>
        <w:pStyle w:val="paragraph"/>
        <w:numPr>
          <w:ilvl w:val="0"/>
          <w:numId w:val="44"/>
        </w:numPr>
        <w:spacing w:before="0" w:beforeAutospacing="0" w:after="240" w:afterAutospacing="0"/>
        <w:ind w:left="1080"/>
        <w:rPr>
          <w:rFonts w:eastAsiaTheme="majorEastAsia"/>
          <w:noProof/>
          <w:color w:val="000000" w:themeColor="text1"/>
        </w:rPr>
      </w:pPr>
      <w:r w:rsidRPr="00E175AF">
        <w:rPr>
          <w:b/>
          <w:noProof/>
          <w:color w:val="000000" w:themeColor="text1"/>
        </w:rPr>
        <w:t>vor putea fi modificate țintele asociate indicatorilor</w:t>
      </w:r>
      <w:r w:rsidRPr="00E175AF">
        <w:rPr>
          <w:noProof/>
          <w:color w:val="000000" w:themeColor="text1"/>
        </w:rPr>
        <w:t xml:space="preserve"> din planurile pentru o tranziție justă pe parcursul întregii perioade de punere în aplicare, menținându-se în același timp angajamentul privind neutralitatea climatică și eliminarea treptată a combustibililor fosili. </w:t>
      </w:r>
    </w:p>
    <w:p w14:paraId="3641FE19" w14:textId="34222CB2" w:rsidR="095F9BB0" w:rsidRPr="00E175AF" w:rsidRDefault="5A9E9651" w:rsidP="007D05FE">
      <w:pPr>
        <w:pStyle w:val="paragraph"/>
        <w:spacing w:before="0" w:beforeAutospacing="0" w:after="240" w:afterAutospacing="0"/>
        <w:rPr>
          <w:noProof/>
        </w:rPr>
      </w:pPr>
      <w:r w:rsidRPr="00E175AF">
        <w:rPr>
          <w:noProof/>
        </w:rPr>
        <w:t xml:space="preserve">Pe lângă măsurile legislative de simplificare menționate mai sus, </w:t>
      </w:r>
      <w:r w:rsidRPr="00E175AF">
        <w:rPr>
          <w:b/>
          <w:noProof/>
        </w:rPr>
        <w:t>Comisia îndeamnă insistent statele membre și regiunile</w:t>
      </w:r>
      <w:r w:rsidRPr="00E175AF">
        <w:rPr>
          <w:noProof/>
        </w:rPr>
        <w:t xml:space="preserve"> ca, atunci când realizează reprogramarea cu ocazia evaluării intermediare:</w:t>
      </w:r>
    </w:p>
    <w:p w14:paraId="16285D5B" w14:textId="20DBD57C" w:rsidR="095F9BB0" w:rsidRPr="00E175AF" w:rsidRDefault="00A72870" w:rsidP="004B0113">
      <w:pPr>
        <w:pStyle w:val="paragraph"/>
        <w:numPr>
          <w:ilvl w:val="0"/>
          <w:numId w:val="27"/>
        </w:numPr>
        <w:spacing w:before="120" w:beforeAutospacing="0" w:after="120" w:afterAutospacing="0"/>
        <w:rPr>
          <w:noProof/>
        </w:rPr>
      </w:pPr>
      <w:r w:rsidRPr="00E175AF">
        <w:rPr>
          <w:b/>
          <w:noProof/>
        </w:rPr>
        <w:t>să faciliteze utilizarea de mecanisme bazate pe performanță</w:t>
      </w:r>
      <w:r w:rsidRPr="00E175AF">
        <w:rPr>
          <w:noProof/>
        </w:rPr>
        <w:t>, cum ar fi normele privind opțiunile simplificate în materie de costuri (OSC) și finanțarea nelegată de costuri (FNLC);</w:t>
      </w:r>
    </w:p>
    <w:p w14:paraId="0D069C18" w14:textId="2C99BA4F" w:rsidR="3BC6E7B6" w:rsidRPr="00E175AF" w:rsidRDefault="00A72870" w:rsidP="004B0113">
      <w:pPr>
        <w:pStyle w:val="paragraph"/>
        <w:numPr>
          <w:ilvl w:val="0"/>
          <w:numId w:val="27"/>
        </w:numPr>
        <w:spacing w:before="120" w:beforeAutospacing="0" w:after="120" w:afterAutospacing="0"/>
        <w:rPr>
          <w:rStyle w:val="eop"/>
          <w:rFonts w:eastAsiaTheme="majorEastAsia"/>
          <w:noProof/>
          <w:color w:val="000000" w:themeColor="text1"/>
        </w:rPr>
      </w:pPr>
      <w:r w:rsidRPr="00E175AF">
        <w:rPr>
          <w:b/>
          <w:noProof/>
        </w:rPr>
        <w:t>să identifice, până în iunie 2025, proiectele din cadrul MRR care riscă să nu fie finalizate până în august 2026 și care ar putea fi luate în considerare pentru finanțare din FEDR/FC</w:t>
      </w:r>
      <w:r w:rsidRPr="00E175AF">
        <w:rPr>
          <w:noProof/>
        </w:rPr>
        <w:t xml:space="preserve">. Astfel, eventualele modificări ale programelor FEDR/FC/FTJ în cadrul evaluării intermediare – care vor fi prezentate de îndată ce propunerea legislativă care însoțește prezenta comunicare va fi adoptată de colegiuitori – ar putea ține seama de proiectele respective. În cazul proiectelor care urmează să fie finanțate prin FEDR/FC/FTJ, </w:t>
      </w:r>
      <w:r w:rsidRPr="00E175AF">
        <w:rPr>
          <w:rStyle w:val="eop"/>
          <w:noProof/>
          <w:color w:val="000000" w:themeColor="text1"/>
        </w:rPr>
        <w:t>este necesar ca statele membre să solicite o modificare conexă a planurilor lor naționale de redresare și reziliență și să includă dispoziții care să garanteze că proiectele în cauză nu fac obiectul unei duble finanțări.</w:t>
      </w:r>
    </w:p>
    <w:p w14:paraId="46BCFA2B" w14:textId="5A5A5D02" w:rsidR="3E93B3D5" w:rsidRPr="00E175AF" w:rsidRDefault="0113DCC1" w:rsidP="00E2A179">
      <w:pPr>
        <w:rPr>
          <w:rFonts w:cs="Times New Roman"/>
          <w:noProof/>
        </w:rPr>
      </w:pPr>
      <w:r w:rsidRPr="00E175AF">
        <w:rPr>
          <w:noProof/>
        </w:rPr>
        <w:t xml:space="preserve">Atunci când pun în aplicare noile posibilități propuse în secțiunea 2 din prezenta comunicare în favoarea întreprinderilor, statele membre trebuie să garanteze respectarea </w:t>
      </w:r>
      <w:bookmarkStart w:id="13" w:name="_Int_mt3Om8QJ"/>
      <w:r w:rsidRPr="00E175AF">
        <w:rPr>
          <w:noProof/>
        </w:rPr>
        <w:t>normelor</w:t>
      </w:r>
      <w:bookmarkEnd w:id="13"/>
      <w:r w:rsidRPr="00E175AF">
        <w:rPr>
          <w:noProof/>
        </w:rPr>
        <w:t xml:space="preserve"> aplicabile ale Uniunii privind ajutoarele de stat și să se asigure că finanțarea este necesară pentru a răspunde nevoilor identificate și este limitată la minimul necesar. În acest context, Comisia a lansat o consultare publică privind domeniul de aplicare al cadrului privind ajutoarele de stat în contextul Pactului pentru o industrie curată, care ar urma să extindă posibilitățile de a sprijini IMM-urile și întreprinderile din </w:t>
      </w:r>
      <w:bookmarkStart w:id="14" w:name="_Int_7ekdhGgU"/>
      <w:r w:rsidRPr="00E175AF">
        <w:rPr>
          <w:noProof/>
        </w:rPr>
        <w:t>zonele</w:t>
      </w:r>
      <w:bookmarkEnd w:id="14"/>
      <w:r w:rsidRPr="00E175AF">
        <w:rPr>
          <w:noProof/>
        </w:rPr>
        <w:t xml:space="preserve"> asistate și, de asemenea, ar permite acordarea de ajutoare întreprinderilor mari din zonele neasistate, în anumite condiții.</w:t>
      </w:r>
    </w:p>
    <w:p w14:paraId="6FA66788" w14:textId="3431D6AE" w:rsidR="00EB6F8B" w:rsidRPr="00E175AF" w:rsidRDefault="00EB6F8B" w:rsidP="00E2A179">
      <w:pPr>
        <w:rPr>
          <w:rFonts w:cs="Times New Roman"/>
          <w:noProof/>
        </w:rPr>
      </w:pPr>
    </w:p>
    <w:p w14:paraId="5B424AFE" w14:textId="4519208A" w:rsidR="007346D0" w:rsidRPr="00E175AF" w:rsidRDefault="000C4A1B" w:rsidP="00055C98">
      <w:pPr>
        <w:pStyle w:val="Heading1"/>
        <w:rPr>
          <w:noProof/>
        </w:rPr>
      </w:pPr>
      <w:r w:rsidRPr="00E175AF">
        <w:rPr>
          <w:noProof/>
        </w:rPr>
        <w:t>Concluzii</w:t>
      </w:r>
    </w:p>
    <w:p w14:paraId="5BAF3AEB" w14:textId="1C2DC7C2" w:rsidR="00896980" w:rsidRPr="00E175AF" w:rsidRDefault="7F111A09" w:rsidP="55B432AB">
      <w:pPr>
        <w:rPr>
          <w:rFonts w:cs="Times New Roman"/>
          <w:noProof/>
        </w:rPr>
      </w:pPr>
      <w:r w:rsidRPr="00E175AF">
        <w:rPr>
          <w:b/>
          <w:noProof/>
        </w:rPr>
        <w:t>În următorul CFM, menținerea statu-quoului nu reprezintă o opțiune</w:t>
      </w:r>
      <w:r w:rsidRPr="00E175AF">
        <w:rPr>
          <w:noProof/>
        </w:rPr>
        <w:t>. Următorul buget pe termen lung va trebui să abordeze complexitățile, deficiențele și rigiditățile existente în prezent și să maximizeze impactul fiecărui euro cheltuit, axându-se pe prioritățile și obiectivele UE pentru care acțiunea la nivelul Uniunii este necesară în cea mai mare măsură.</w:t>
      </w:r>
    </w:p>
    <w:p w14:paraId="65DDE828" w14:textId="3BAC9BCB" w:rsidR="00834386" w:rsidRPr="00E175AF" w:rsidRDefault="4845748F" w:rsidP="55B432AB">
      <w:pPr>
        <w:rPr>
          <w:rFonts w:cs="Times New Roman"/>
          <w:b/>
          <w:bCs/>
          <w:noProof/>
        </w:rPr>
      </w:pPr>
      <w:r w:rsidRPr="00E175AF">
        <w:rPr>
          <w:b/>
          <w:noProof/>
        </w:rPr>
        <w:t>Cu toate acestea, CFM respectiv va începe să producă rezultate abia în 2028. Uniunea nu poate să aștepte.</w:t>
      </w:r>
      <w:r w:rsidRPr="00E175AF">
        <w:rPr>
          <w:noProof/>
        </w:rPr>
        <w:t xml:space="preserve"> Ea trebuie să acționeze acum și să valorifice la maximum ciclul de finanțare actual. Întrucât principalul instrument de investiții al Uniunii este politica de coeziune, rezultă că </w:t>
      </w:r>
      <w:r w:rsidRPr="00E175AF">
        <w:rPr>
          <w:b/>
          <w:noProof/>
        </w:rPr>
        <w:t>este esențial să nu se rateze ocazia de modernizare a politicii pe care o oferă evaluarea intermediară</w:t>
      </w:r>
      <w:r w:rsidRPr="00E175AF">
        <w:rPr>
          <w:noProof/>
        </w:rPr>
        <w:t>, astfel încât politica respectivă să abordeze atât prioritățile existente, cât și pe cele noi, iar punerea ei în aplicare să ia avânt pentru a produce un impact mai puternic cât mai curând posibil.</w:t>
      </w:r>
    </w:p>
    <w:p w14:paraId="31F85095" w14:textId="03AAA9A9" w:rsidR="432BC6D1" w:rsidRPr="00E175AF" w:rsidRDefault="432BC6D1" w:rsidP="55B432AB">
      <w:pPr>
        <w:rPr>
          <w:rStyle w:val="eop"/>
          <w:rFonts w:eastAsia="Times New Roman" w:cs="Times New Roman"/>
          <w:b/>
          <w:bCs/>
          <w:noProof/>
          <w:color w:val="000000" w:themeColor="text1"/>
        </w:rPr>
      </w:pPr>
      <w:r w:rsidRPr="00E175AF">
        <w:rPr>
          <w:rStyle w:val="eop"/>
          <w:b/>
          <w:noProof/>
          <w:color w:val="000000" w:themeColor="text1"/>
        </w:rPr>
        <w:t>Prezenta comunicare invită statele membre să își adapteze programele existente astfel încât să maximizeze contribuția investițiilor din cadrul politicii de coeziune la prioritățile politice ale Uniunii.</w:t>
      </w:r>
    </w:p>
    <w:p w14:paraId="39F07E3B" w14:textId="577D27D6" w:rsidR="133D9C0D" w:rsidRPr="00E175AF" w:rsidRDefault="133D9C0D" w:rsidP="55B432AB">
      <w:pPr>
        <w:rPr>
          <w:rFonts w:cs="Times New Roman"/>
          <w:noProof/>
        </w:rPr>
      </w:pPr>
      <w:r w:rsidRPr="00E175AF">
        <w:rPr>
          <w:b/>
          <w:noProof/>
        </w:rPr>
        <w:t>Cea mai mare parte a investițiilor sprijinite de politica de coeziune rămâne aliniată la noile priorități ale UE</w:t>
      </w:r>
      <w:r w:rsidRPr="00E175AF">
        <w:rPr>
          <w:noProof/>
        </w:rPr>
        <w:t xml:space="preserve">, fie că este vorba de necesitatea de a elimina decalajul în materie de inovare și de a consolida competitivitatea, de a spori sprijinul pentru decarbonizare și pentru o economie circulară sau de a finanța infrastructuri esențiale și tehnologii care contribuie la obiectivul zero emisii nete. </w:t>
      </w:r>
      <w:r w:rsidRPr="00E175AF">
        <w:rPr>
          <w:b/>
          <w:noProof/>
        </w:rPr>
        <w:t>Dar se pot face chiar mai multe, astfel cum se explică în prezenta comunicare</w:t>
      </w:r>
      <w:r w:rsidRPr="00E175AF">
        <w:rPr>
          <w:noProof/>
        </w:rPr>
        <w:t xml:space="preserve">. </w:t>
      </w:r>
    </w:p>
    <w:p w14:paraId="62EB0A09" w14:textId="68D19D9C" w:rsidR="133D9C0D" w:rsidRPr="00E175AF" w:rsidRDefault="2B6510C2" w:rsidP="55B432AB">
      <w:pPr>
        <w:rPr>
          <w:rFonts w:cs="Times New Roman"/>
          <w:noProof/>
        </w:rPr>
      </w:pPr>
      <w:r w:rsidRPr="00E175AF">
        <w:rPr>
          <w:noProof/>
        </w:rPr>
        <w:t xml:space="preserve">În domeniul competitivității și inovării, al dublei tranziții verzi și digitale, al securității și autonomiei strategice – din care face parte și apărarea – sau în ceea ce privește furnizarea de politici mai bine adaptate, inclusiv de servicii publice esențiale către locuri mai îndepărtate, politica poate fi mai selectivă, mai bine direcționată, cu o valoare adăugată europeană mai mare. </w:t>
      </w:r>
    </w:p>
    <w:p w14:paraId="218D1564" w14:textId="59A6F6FB" w:rsidR="1CF01EDB" w:rsidRPr="00E175AF" w:rsidRDefault="1CF01EDB" w:rsidP="007D05FE">
      <w:pPr>
        <w:rPr>
          <w:rFonts w:eastAsia="Times New Roman" w:cs="Times New Roman"/>
          <w:noProof/>
          <w:szCs w:val="24"/>
        </w:rPr>
      </w:pPr>
      <w:r w:rsidRPr="00E175AF">
        <w:rPr>
          <w:noProof/>
        </w:rPr>
        <w:t xml:space="preserve">De asemenea, este </w:t>
      </w:r>
      <w:r w:rsidRPr="00E175AF">
        <w:rPr>
          <w:b/>
          <w:noProof/>
        </w:rPr>
        <w:t>esențial să se consolideze în continuare principiile coeziunii pentru a obține un impact mai mare și o eficacitate sporită, prin norme simple și flexibile, urmând o abordare bazată pe realitatea fiecărei zone și aplicând politici adaptate</w:t>
      </w:r>
      <w:r w:rsidRPr="00E175AF">
        <w:rPr>
          <w:noProof/>
        </w:rPr>
        <w:t xml:space="preserve">. În acest demers, este esențial să se pună în aplicare </w:t>
      </w:r>
      <w:r w:rsidRPr="00E175AF">
        <w:rPr>
          <w:b/>
          <w:noProof/>
        </w:rPr>
        <w:t>principiul parteneriatului</w:t>
      </w:r>
      <w:r w:rsidRPr="00E175AF">
        <w:rPr>
          <w:noProof/>
        </w:rPr>
        <w:t xml:space="preserve"> cu autoritățile naționale, regionale și locale, regiunile și orașele având un rol important în acest sens. </w:t>
      </w:r>
    </w:p>
    <w:p w14:paraId="7EDCB11E" w14:textId="22E66682" w:rsidR="00371F80" w:rsidRPr="00E175AF" w:rsidRDefault="3E3EF8FB" w:rsidP="007D05FE">
      <w:pPr>
        <w:shd w:val="clear" w:color="auto" w:fill="FFFFFF" w:themeFill="background1"/>
        <w:rPr>
          <w:rFonts w:cs="Times New Roman"/>
          <w:b/>
          <w:noProof/>
          <w:szCs w:val="24"/>
        </w:rPr>
      </w:pPr>
      <w:r w:rsidRPr="00E175AF">
        <w:rPr>
          <w:b/>
          <w:noProof/>
        </w:rPr>
        <w:t>Comunicarea este însoțită de o propunere legislativă</w:t>
      </w:r>
      <w:r w:rsidRPr="00E175AF">
        <w:rPr>
          <w:noProof/>
        </w:rPr>
        <w:t xml:space="preserve"> care ar urma să facă deja posibilă modernizarea politicii de coeziune pentru programele actuale. Pentru a avea cel mai mare impact asupra eficacității și relevanței politicii de coeziune, având în vedere circumstanțele geopolitice actuale, </w:t>
      </w:r>
      <w:r w:rsidRPr="00E175AF">
        <w:rPr>
          <w:b/>
          <w:noProof/>
        </w:rPr>
        <w:t>este necesar ca propunerile legislative să fie adoptate cât mai curând posibil de colegiuitori</w:t>
      </w:r>
      <w:r w:rsidRPr="00E175AF">
        <w:rPr>
          <w:noProof/>
        </w:rPr>
        <w:t xml:space="preserve">. </w:t>
      </w:r>
    </w:p>
    <w:p w14:paraId="7481131F" w14:textId="4B185D26" w:rsidR="00C424CA" w:rsidRPr="00E175AF" w:rsidRDefault="59662186" w:rsidP="056BD30A">
      <w:pPr>
        <w:rPr>
          <w:rFonts w:cs="Times New Roman"/>
          <w:noProof/>
        </w:rPr>
      </w:pPr>
      <w:r w:rsidRPr="00E175AF">
        <w:rPr>
          <w:b/>
          <w:noProof/>
        </w:rPr>
        <w:t>Comisia invită statele membre, regiunile și autoritățile de management, precum și Parlamentul European și Comitetul European al Regiunilor să se implice în mod constructiv în această discuție, iar statele membre și Parlamentul European să accelereze activitatea legislativă</w:t>
      </w:r>
      <w:r w:rsidRPr="00E175AF">
        <w:rPr>
          <w:noProof/>
        </w:rPr>
        <w:t xml:space="preserve"> pentru a se asigura că principiul coeziunii și politica de coeziune continuă să rămână în centrul proiectului european.</w:t>
      </w:r>
    </w:p>
    <w:p w14:paraId="11C8332C" w14:textId="1EC601C8" w:rsidR="00CF247E" w:rsidRPr="00E175AF" w:rsidRDefault="64C7AFF7" w:rsidP="00E2A179">
      <w:pPr>
        <w:rPr>
          <w:rFonts w:cs="Times New Roman"/>
          <w:noProof/>
        </w:rPr>
      </w:pPr>
      <w:r w:rsidRPr="00E175AF">
        <w:rPr>
          <w:noProof/>
        </w:rPr>
        <w:t xml:space="preserve">Comisia va lua în considerare prezentarea, până în vară, a unor orientări privind </w:t>
      </w:r>
      <w:r w:rsidRPr="00E175AF">
        <w:rPr>
          <w:b/>
          <w:noProof/>
        </w:rPr>
        <w:t>domeniul de aplicare pentru simplificarea raportării către Comisie și privind interpretarea dispozițiilor existente</w:t>
      </w:r>
      <w:r w:rsidRPr="00E175AF">
        <w:rPr>
          <w:noProof/>
        </w:rPr>
        <w:t>, cu scopul de a reduce incertitudinea care ar putea descuraja investițiile sprijinite de fondurile de coeziune.</w:t>
      </w:r>
    </w:p>
    <w:p w14:paraId="1CD03B66" w14:textId="307A9D81" w:rsidR="00B27C34" w:rsidRPr="00E175AF" w:rsidRDefault="79110C0C" w:rsidP="00E2A179">
      <w:pPr>
        <w:rPr>
          <w:rFonts w:cs="Times New Roman"/>
          <w:noProof/>
        </w:rPr>
      </w:pPr>
      <w:r w:rsidRPr="00E175AF">
        <w:rPr>
          <w:b/>
          <w:noProof/>
        </w:rPr>
        <w:t xml:space="preserve">Statele membre și regiunile sunt invitate insistent să își prezinte modificările programelor </w:t>
      </w:r>
      <w:r w:rsidRPr="00E175AF">
        <w:rPr>
          <w:b/>
          <w:noProof/>
          <w:u w:val="single"/>
        </w:rPr>
        <w:t>în termen de două luni de la intrarea în vigoare a legislației revizuite</w:t>
      </w:r>
      <w:r w:rsidRPr="00E175AF">
        <w:rPr>
          <w:noProof/>
        </w:rPr>
        <w:t xml:space="preserve">. Comisia este pregătită să sprijine autoritățile naționale și regionale în ceea ce privește pregătirea modificărilor programului. Comisia va evalua modificările propuse și va colabora îndeaproape cu autoritățile pentru a se asigura că programele revizuite sunt adoptate în termen de două luni de la prezentarea modificărilor de către autoritățile naționale sau regionale. </w:t>
      </w:r>
      <w:r w:rsidRPr="00E175AF">
        <w:rPr>
          <w:b/>
          <w:noProof/>
        </w:rPr>
        <w:t>Obiectivul este de a încheia procesul de reprogramare din cadrul evaluării intermediare cât mai curând posibil, și în orice caz până la sfârșitul anului 2025</w:t>
      </w:r>
      <w:r w:rsidRPr="00E175AF">
        <w:rPr>
          <w:noProof/>
        </w:rPr>
        <w:t>, astfel încât statele membre, regiunile și autoritățile locale să poată începe derularea programelor ajustate începând din 2026 și în a doua jumătate a actualului ciclu CFM</w:t>
      </w:r>
      <w:r w:rsidR="0044394C" w:rsidRPr="00E175AF">
        <w:rPr>
          <w:rStyle w:val="FootnoteReference"/>
          <w:rFonts w:cs="Times New Roman"/>
          <w:noProof/>
        </w:rPr>
        <w:footnoteReference w:id="21"/>
      </w:r>
      <w:r w:rsidRPr="00E175AF">
        <w:rPr>
          <w:noProof/>
        </w:rPr>
        <w:t>.</w:t>
      </w:r>
    </w:p>
    <w:p w14:paraId="64EEE49B" w14:textId="45B90E59" w:rsidR="007346D0" w:rsidRPr="00E175AF" w:rsidRDefault="007346D0" w:rsidP="007D05FE">
      <w:pPr>
        <w:shd w:val="clear" w:color="auto" w:fill="FFFFFF" w:themeFill="background1"/>
        <w:rPr>
          <w:rFonts w:cs="Times New Roman"/>
          <w:noProof/>
          <w:szCs w:val="24"/>
        </w:rPr>
      </w:pPr>
      <w:r w:rsidRPr="00E175AF">
        <w:rPr>
          <w:noProof/>
        </w:rPr>
        <w:t xml:space="preserve">În plus, </w:t>
      </w:r>
      <w:r w:rsidRPr="00E175AF">
        <w:rPr>
          <w:b/>
          <w:noProof/>
        </w:rPr>
        <w:t>Comisia încurajează statele membre să introducă o monitorizare comună a investițiilor-cheie</w:t>
      </w:r>
      <w:r w:rsidRPr="00E175AF">
        <w:rPr>
          <w:noProof/>
        </w:rPr>
        <w:t xml:space="preserve"> sprijinite de fondurile de coeziune la nivel național și regional, în strânsă coordonare cu Comisia. Monitorizarea ar urma să pună accentul pe domenii de interes importante, astfel încât să direcționeze mai bine și să accelereze punerea în aplicare și să asigure o realizare cât mai promptă. Acest demers ar trebui să nu fie complicat și va fi însoțit de o simplificare a transmiterii datelor și a raportării de către statele membre Comisiei, printr-o interconectare mai amplă a sistemelor de raportare financiară naționale și ale UE.</w:t>
      </w:r>
    </w:p>
    <w:p w14:paraId="61A09DF4" w14:textId="620762BD" w:rsidR="0065783E" w:rsidRPr="00E175AF" w:rsidRDefault="46DB2651" w:rsidP="00E2A179">
      <w:pPr>
        <w:rPr>
          <w:rFonts w:cs="Times New Roman"/>
          <w:noProof/>
        </w:rPr>
      </w:pPr>
      <w:r w:rsidRPr="00E175AF">
        <w:rPr>
          <w:noProof/>
        </w:rPr>
        <w:t xml:space="preserve">De asemenea, până în iulie 2025 Comisia va convoca un </w:t>
      </w:r>
      <w:r w:rsidRPr="00E175AF">
        <w:rPr>
          <w:b/>
          <w:noProof/>
        </w:rPr>
        <w:t>dialog privind punerea în aplicare</w:t>
      </w:r>
      <w:r w:rsidR="00D36C6F" w:rsidRPr="00E175AF">
        <w:rPr>
          <w:rStyle w:val="FootnoteReference"/>
          <w:noProof/>
        </w:rPr>
        <w:footnoteReference w:id="22"/>
      </w:r>
      <w:r w:rsidRPr="00E175AF">
        <w:rPr>
          <w:noProof/>
        </w:rPr>
        <w:t xml:space="preserve"> cu părțile interesate, dedicat în mod specific politicii de coeziune. Acest dialog, care este un nou instrument, va contribui la evaluarea progreselor înregistrate în ceea ce privește implementarea politicii de coeziune prin recunoașterea realizărilor, identificarea celor mai bune practici și recunoașterea obstacolelor din cadrul normelor existente și al punerii lor în aplicare. În plus, dialogul va urmări obținerea de recomandări specifice pentru îmbunătățirea și simplificarea proceselor de punere în aplicare, asigurând o mai bună aliniere la obiectivele UE. </w:t>
      </w:r>
    </w:p>
    <w:p w14:paraId="6B431804" w14:textId="4152C8E8" w:rsidR="00407137" w:rsidRPr="00E175AF" w:rsidRDefault="00407137" w:rsidP="007D05FE">
      <w:pPr>
        <w:rPr>
          <w:rFonts w:cs="Times New Roman"/>
          <w:b/>
          <w:bCs/>
          <w:noProof/>
          <w:szCs w:val="24"/>
        </w:rPr>
      </w:pPr>
    </w:p>
    <w:p w14:paraId="5F57546D" w14:textId="3A45B60E" w:rsidR="006051E3" w:rsidRPr="00E175AF" w:rsidRDefault="45E8D50A" w:rsidP="056BD30A">
      <w:pPr>
        <w:rPr>
          <w:rFonts w:cs="Times New Roman"/>
          <w:noProof/>
        </w:rPr>
      </w:pPr>
      <w:r w:rsidRPr="00E175AF">
        <w:rPr>
          <w:b/>
          <w:noProof/>
        </w:rPr>
        <w:t>Astfel cum s-a subliniat în „Calea către următorul cadru financiar multianual”</w:t>
      </w:r>
      <w:r w:rsidR="006051E3" w:rsidRPr="00E175AF">
        <w:rPr>
          <w:rStyle w:val="FootnoteReference"/>
          <w:rFonts w:cs="Times New Roman"/>
          <w:b/>
          <w:bCs/>
          <w:noProof/>
        </w:rPr>
        <w:footnoteReference w:id="23"/>
      </w:r>
      <w:r w:rsidRPr="00E175AF">
        <w:rPr>
          <w:b/>
          <w:noProof/>
        </w:rPr>
        <w:t>, elaborarea următorului buget pe termen lung al UE necesită o analiză comună a provocărilor subiacente și o cooperare strânsă, în vederea pregătirii propunerii Comisiei.</w:t>
      </w:r>
      <w:r w:rsidRPr="00E175AF">
        <w:rPr>
          <w:noProof/>
        </w:rPr>
        <w:t xml:space="preserve"> Un buget al UE puternic și eficace este în interesul tuturor. Prin urmare, propunerea privind următorul cadru financiar se va baza pe o amplă consultare, cu contribuții la nivel politic, instituțional și la nivelul părților interesate, alături de implicarea activă a cetățenilor și de luarea în considerare a eventualei aderări la UE.</w:t>
      </w:r>
    </w:p>
    <w:p w14:paraId="344EB456" w14:textId="51977E19" w:rsidR="006051E3" w:rsidRPr="00E175AF" w:rsidRDefault="32954A1D" w:rsidP="056BD30A">
      <w:pPr>
        <w:rPr>
          <w:rFonts w:cs="Times New Roman"/>
          <w:noProof/>
        </w:rPr>
      </w:pPr>
      <w:r w:rsidRPr="00E175AF">
        <w:rPr>
          <w:b/>
          <w:noProof/>
        </w:rPr>
        <w:t>Dialogul continuu și structurat cu reprezentanții statelor membre, la diferite niveluri, în întreaga Europă va fi esențial pentru a stabili „ce” să finanțăm și „cum” să ne finanțăm viitorul comun</w:t>
      </w:r>
      <w:r w:rsidRPr="00E175AF">
        <w:rPr>
          <w:noProof/>
        </w:rPr>
        <w:t>. În acest context, Comisia se va angaja la diferite niveluri într-un proces favorabil incluziunii, ca parte a pregătirii următorului cadru financiar multianual.</w:t>
      </w:r>
    </w:p>
    <w:p w14:paraId="4A691FCF" w14:textId="77777777" w:rsidR="006051E3" w:rsidRPr="00E175AF" w:rsidRDefault="006051E3" w:rsidP="007D05FE">
      <w:pPr>
        <w:rPr>
          <w:rFonts w:cs="Times New Roman"/>
          <w:noProof/>
          <w:szCs w:val="24"/>
        </w:rPr>
      </w:pPr>
      <w:r w:rsidRPr="00E175AF">
        <w:rPr>
          <w:noProof/>
        </w:rPr>
        <w:t xml:space="preserve">Următorul cadru financiar multianual </w:t>
      </w:r>
      <w:r w:rsidRPr="00E175AF">
        <w:rPr>
          <w:b/>
          <w:noProof/>
        </w:rPr>
        <w:t>trebuie să pună bazele unei Uniuni mai puternice și orientate spre viitor</w:t>
      </w:r>
      <w:r w:rsidRPr="00E175AF">
        <w:rPr>
          <w:noProof/>
        </w:rPr>
        <w:t>.</w:t>
      </w:r>
    </w:p>
    <w:p w14:paraId="3E882817" w14:textId="77777777" w:rsidR="006051E3" w:rsidRPr="00E175AF" w:rsidRDefault="006051E3" w:rsidP="007D05FE">
      <w:pPr>
        <w:rPr>
          <w:rFonts w:cs="Times New Roman"/>
          <w:b/>
          <w:bCs/>
          <w:noProof/>
          <w:szCs w:val="24"/>
        </w:rPr>
      </w:pPr>
    </w:p>
    <w:p w14:paraId="08CB8625" w14:textId="77777777" w:rsidR="00282444" w:rsidRPr="00E175AF" w:rsidRDefault="00282444" w:rsidP="007D05FE">
      <w:pPr>
        <w:rPr>
          <w:rFonts w:cs="Times New Roman"/>
          <w:b/>
          <w:bCs/>
          <w:noProof/>
          <w:szCs w:val="24"/>
        </w:rPr>
      </w:pPr>
    </w:p>
    <w:sectPr w:rsidR="00282444" w:rsidRPr="00E175AF" w:rsidSect="00B97F0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525E0" w14:textId="77777777" w:rsidR="00FB69AB" w:rsidRDefault="00FB69AB" w:rsidP="003D1330">
      <w:pPr>
        <w:spacing w:after="0"/>
      </w:pPr>
      <w:r>
        <w:separator/>
      </w:r>
    </w:p>
  </w:endnote>
  <w:endnote w:type="continuationSeparator" w:id="0">
    <w:p w14:paraId="11133BDC" w14:textId="77777777" w:rsidR="00FB69AB" w:rsidRDefault="00FB69AB" w:rsidP="003D1330">
      <w:pPr>
        <w:spacing w:after="0"/>
      </w:pPr>
      <w:r>
        <w:continuationSeparator/>
      </w:r>
    </w:p>
  </w:endnote>
  <w:endnote w:type="continuationNotice" w:id="1">
    <w:p w14:paraId="60397E2F" w14:textId="77777777" w:rsidR="00FB69AB" w:rsidRDefault="00FB69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E22B3" w14:textId="40CF679B" w:rsidR="001544B0" w:rsidRPr="001544B0" w:rsidRDefault="001544B0" w:rsidP="001544B0">
    <w:pPr>
      <w:pStyle w:val="FooterCoverPage"/>
      <w:rPr>
        <w:rFonts w:ascii="Arial" w:hAnsi="Arial" w:cs="Arial"/>
        <w:b/>
        <w:sz w:val="48"/>
      </w:rPr>
    </w:pPr>
    <w:r w:rsidRPr="001544B0">
      <w:rPr>
        <w:rFonts w:ascii="Arial" w:hAnsi="Arial" w:cs="Arial"/>
        <w:b/>
        <w:sz w:val="48"/>
      </w:rPr>
      <w:t>RO</w:t>
    </w:r>
    <w:r w:rsidRPr="001544B0">
      <w:rPr>
        <w:rFonts w:ascii="Arial" w:hAnsi="Arial" w:cs="Arial"/>
        <w:b/>
        <w:sz w:val="48"/>
      </w:rPr>
      <w:tab/>
    </w:r>
    <w:r w:rsidRPr="001544B0">
      <w:rPr>
        <w:rFonts w:ascii="Arial" w:hAnsi="Arial" w:cs="Arial"/>
        <w:b/>
        <w:sz w:val="48"/>
      </w:rPr>
      <w:tab/>
    </w:r>
    <w:r w:rsidRPr="001544B0">
      <w:tab/>
    </w:r>
    <w:r w:rsidRPr="001544B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AA39E" w14:textId="7EA60388" w:rsidR="001544B0" w:rsidRPr="001544B0" w:rsidRDefault="001544B0" w:rsidP="001544B0">
    <w:pPr>
      <w:pStyle w:val="FooterCoverPage"/>
      <w:rPr>
        <w:rFonts w:ascii="Arial" w:hAnsi="Arial" w:cs="Arial"/>
        <w:b/>
        <w:sz w:val="48"/>
      </w:rPr>
    </w:pPr>
    <w:r w:rsidRPr="001544B0">
      <w:rPr>
        <w:rFonts w:ascii="Arial" w:hAnsi="Arial" w:cs="Arial"/>
        <w:b/>
        <w:sz w:val="48"/>
      </w:rPr>
      <w:t>RO</w:t>
    </w:r>
    <w:r w:rsidRPr="001544B0">
      <w:rPr>
        <w:rFonts w:ascii="Arial" w:hAnsi="Arial" w:cs="Arial"/>
        <w:b/>
        <w:sz w:val="48"/>
      </w:rPr>
      <w:tab/>
    </w:r>
    <w:r w:rsidRPr="001544B0">
      <w:rPr>
        <w:rFonts w:ascii="Arial" w:hAnsi="Arial" w:cs="Arial"/>
        <w:b/>
        <w:sz w:val="48"/>
      </w:rPr>
      <w:tab/>
    </w:r>
    <w:r w:rsidRPr="001544B0">
      <w:tab/>
    </w:r>
    <w:r w:rsidRPr="001544B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4192C" w14:textId="77777777" w:rsidR="001544B0" w:rsidRPr="001544B0" w:rsidRDefault="001544B0" w:rsidP="001544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5580B" w14:textId="77777777" w:rsidR="002B0A6E" w:rsidRPr="00B16ABD" w:rsidRDefault="002B0A6E" w:rsidP="00B16ABD">
    <w:pPr>
      <w:pStyle w:val="FooterCoverPage"/>
      <w:rPr>
        <w:rFonts w:ascii="Arial" w:hAnsi="Arial" w:cs="Arial"/>
        <w:b/>
        <w:sz w:val="48"/>
      </w:rPr>
    </w:pPr>
    <w:r>
      <w:rPr>
        <w:rFonts w:ascii="Arial" w:hAnsi="Arial"/>
        <w:b/>
        <w:sz w:val="48"/>
      </w:rPr>
      <w:t>RO</w:t>
    </w:r>
    <w:r>
      <w:rPr>
        <w:rFonts w:ascii="Arial" w:hAnsi="Arial"/>
        <w:b/>
        <w:sz w:val="48"/>
      </w:rPr>
      <w:tab/>
    </w:r>
    <w:r>
      <w:rPr>
        <w:rFonts w:ascii="Arial" w:hAnsi="Arial"/>
        <w:b/>
        <w:sz w:val="48"/>
      </w:rP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08784"/>
      <w:docPartObj>
        <w:docPartGallery w:val="Page Numbers (Bottom of Page)"/>
        <w:docPartUnique/>
      </w:docPartObj>
    </w:sdtPr>
    <w:sdtEndPr>
      <w:rPr>
        <w:noProof/>
      </w:rPr>
    </w:sdtEndPr>
    <w:sdtContent>
      <w:p w14:paraId="40C84536" w14:textId="3EC6341A" w:rsidR="00C61657" w:rsidRDefault="00C61657" w:rsidP="009A521E">
        <w:pPr>
          <w:pStyle w:val="Footer"/>
          <w:jc w:val="center"/>
        </w:pPr>
        <w:r>
          <w:fldChar w:fldCharType="begin"/>
        </w:r>
        <w:r>
          <w:instrText xml:space="preserve"> PAGE   \* MERGEFORMAT </w:instrText>
        </w:r>
        <w:r>
          <w:fldChar w:fldCharType="separate"/>
        </w:r>
        <w:r w:rsidR="001544B0">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3E0B0" w14:textId="77777777" w:rsidR="002B0A6E" w:rsidRPr="00B16ABD" w:rsidRDefault="002B0A6E" w:rsidP="00B16ABD">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AAB8F" w14:textId="77777777" w:rsidR="00FB69AB" w:rsidRDefault="00FB69AB" w:rsidP="003D1330">
      <w:pPr>
        <w:spacing w:after="0"/>
      </w:pPr>
      <w:r>
        <w:separator/>
      </w:r>
    </w:p>
  </w:footnote>
  <w:footnote w:type="continuationSeparator" w:id="0">
    <w:p w14:paraId="6696E194" w14:textId="77777777" w:rsidR="00FB69AB" w:rsidRDefault="00FB69AB" w:rsidP="003D1330">
      <w:pPr>
        <w:spacing w:after="0"/>
      </w:pPr>
      <w:r>
        <w:continuationSeparator/>
      </w:r>
    </w:p>
  </w:footnote>
  <w:footnote w:type="continuationNotice" w:id="1">
    <w:p w14:paraId="7AFC6EA6" w14:textId="77777777" w:rsidR="00FB69AB" w:rsidRDefault="00FB69AB">
      <w:pPr>
        <w:spacing w:after="0"/>
      </w:pPr>
    </w:p>
  </w:footnote>
  <w:footnote w:id="2">
    <w:p w14:paraId="3740A150" w14:textId="5123D1D9" w:rsidR="00B41377" w:rsidRPr="00306419" w:rsidRDefault="00B41377" w:rsidP="00174C75">
      <w:pPr>
        <w:pStyle w:val="FootnoteText"/>
        <w:ind w:left="0" w:firstLine="0"/>
        <w:rPr>
          <w:sz w:val="20"/>
        </w:rPr>
      </w:pPr>
      <w:r>
        <w:rPr>
          <w:rStyle w:val="FootnoteReference"/>
          <w:sz w:val="20"/>
        </w:rPr>
        <w:footnoteRef/>
      </w:r>
      <w:r>
        <w:rPr>
          <w:sz w:val="20"/>
        </w:rPr>
        <w:t xml:space="preserve"> </w:t>
      </w:r>
      <w:r>
        <w:rPr>
          <w:sz w:val="20"/>
        </w:rPr>
        <w:tab/>
        <w:t>Articolul 3 din TUE și articolul 174 din TFUE.</w:t>
      </w:r>
    </w:p>
  </w:footnote>
  <w:footnote w:id="3">
    <w:p w14:paraId="2A121D01" w14:textId="7DC5C3AB" w:rsidR="0082063E" w:rsidRPr="00306419" w:rsidRDefault="0082063E" w:rsidP="00000E67">
      <w:pPr>
        <w:pStyle w:val="FootnoteText"/>
        <w:ind w:left="0" w:firstLine="0"/>
        <w:rPr>
          <w:rStyle w:val="eop"/>
          <w:rFonts w:eastAsiaTheme="majorEastAsia"/>
          <w:color w:val="000000" w:themeColor="text1"/>
          <w:sz w:val="20"/>
        </w:rPr>
      </w:pPr>
      <w:r>
        <w:rPr>
          <w:sz w:val="20"/>
          <w:vertAlign w:val="superscript"/>
        </w:rPr>
        <w:footnoteRef/>
      </w:r>
      <w:r>
        <w:rPr>
          <w:sz w:val="20"/>
          <w:vertAlign w:val="superscript"/>
        </w:rPr>
        <w:t xml:space="preserve"> </w:t>
      </w:r>
      <w:r>
        <w:rPr>
          <w:sz w:val="20"/>
          <w:vertAlign w:val="superscript"/>
        </w:rPr>
        <w:tab/>
      </w:r>
      <w:r>
        <w:rPr>
          <w:sz w:val="20"/>
        </w:rPr>
        <w:t>Regulamentele (UE) 2021/1056, (UE) 2021/1058 și, adoptat separat, (UE) 2021/1057.</w:t>
      </w:r>
    </w:p>
  </w:footnote>
  <w:footnote w:id="4">
    <w:p w14:paraId="5D217FC4" w14:textId="1D316CA1" w:rsidR="5B6A61A3" w:rsidRPr="00306419" w:rsidRDefault="5B6A61A3" w:rsidP="00000E67">
      <w:pPr>
        <w:pStyle w:val="FootnoteText"/>
        <w:ind w:left="240" w:hanging="240"/>
        <w:rPr>
          <w:sz w:val="20"/>
        </w:rPr>
      </w:pPr>
      <w:r>
        <w:rPr>
          <w:sz w:val="20"/>
          <w:vertAlign w:val="superscript"/>
        </w:rPr>
        <w:footnoteRef/>
      </w:r>
      <w:r>
        <w:rPr>
          <w:sz w:val="20"/>
        </w:rPr>
        <w:t xml:space="preserve"> </w:t>
      </w:r>
      <w:r>
        <w:rPr>
          <w:sz w:val="20"/>
        </w:rPr>
        <w:tab/>
        <w:t xml:space="preserve">În decembrie 2024, cota plăților intermediare nete s-a ridicat la 4,2 % din pachetul financiar total pentru perioada 2021-2027, fiind ușor mai mare decât cota plăților din iunie 2017 (3,6 %), momentul echivalent din punctul de vedere al timpului scurs de la adoptarea reglementărilor privind politica de coeziune. </w:t>
      </w:r>
    </w:p>
  </w:footnote>
  <w:footnote w:id="5">
    <w:p w14:paraId="62B6D713" w14:textId="193613E6" w:rsidR="00E2A179" w:rsidRDefault="00E2A179" w:rsidP="00000E67">
      <w:pPr>
        <w:pStyle w:val="FootnoteText"/>
        <w:ind w:left="240" w:hanging="240"/>
        <w:rPr>
          <w:szCs w:val="24"/>
        </w:rPr>
      </w:pPr>
      <w:r>
        <w:rPr>
          <w:vertAlign w:val="superscript"/>
        </w:rPr>
        <w:footnoteRef/>
      </w:r>
      <w:r>
        <w:t xml:space="preserve"> </w:t>
      </w:r>
      <w:r>
        <w:tab/>
      </w:r>
      <w:r>
        <w:rPr>
          <w:sz w:val="20"/>
        </w:rPr>
        <w:t>În ciclul CFM 2014-2020, autoritățile de management au avut timp să depună cereri în termen de 3 ani de la încheierea ciclului (adică până în 2023), în timp ce în ciclul 2021-2027 cererile pot fi depuse în termen de 2 ani de la încheierea ciclului (adică până în 2029).</w:t>
      </w:r>
    </w:p>
  </w:footnote>
  <w:footnote w:id="6">
    <w:p w14:paraId="128C02EE" w14:textId="47E39230" w:rsidR="00CF0B5E" w:rsidRPr="00306419" w:rsidRDefault="00CF0B5E" w:rsidP="00000E67">
      <w:pPr>
        <w:pStyle w:val="FootnoteText"/>
        <w:ind w:left="240" w:hanging="240"/>
        <w:rPr>
          <w:sz w:val="20"/>
        </w:rPr>
      </w:pPr>
      <w:r>
        <w:rPr>
          <w:rStyle w:val="FootnoteReference"/>
          <w:sz w:val="20"/>
        </w:rPr>
        <w:footnoteRef/>
      </w:r>
      <w:r>
        <w:rPr>
          <w:sz w:val="20"/>
        </w:rPr>
        <w:t xml:space="preserve"> </w:t>
      </w:r>
      <w:r>
        <w:rPr>
          <w:sz w:val="20"/>
        </w:rPr>
        <w:tab/>
        <w:t>Prin Inițiativa pentru investiții ca reacție la coronavirus, Inițiativa plus pentru investiții în răspunsul la coronavirus și REACT-EU.</w:t>
      </w:r>
    </w:p>
  </w:footnote>
  <w:footnote w:id="7">
    <w:p w14:paraId="4315B91B" w14:textId="5C9ED52C" w:rsidR="00CF0B5E" w:rsidRPr="00306419" w:rsidRDefault="00CF0B5E" w:rsidP="00000E67">
      <w:pPr>
        <w:pStyle w:val="FootnoteText"/>
        <w:ind w:left="240" w:hanging="240"/>
        <w:rPr>
          <w:sz w:val="20"/>
        </w:rPr>
      </w:pPr>
      <w:r>
        <w:rPr>
          <w:rStyle w:val="FootnoteReference"/>
          <w:sz w:val="20"/>
        </w:rPr>
        <w:footnoteRef/>
      </w:r>
      <w:r>
        <w:rPr>
          <w:sz w:val="20"/>
        </w:rPr>
        <w:t xml:space="preserve"> </w:t>
      </w:r>
      <w:r>
        <w:rPr>
          <w:sz w:val="20"/>
        </w:rPr>
        <w:tab/>
        <w:t>Regulamentul (UE) 2022/562 al Parlamentului European și al Consiliului din 6 aprilie 2022 de modificare a Regulamentelor (UE) nr. 1303/2013 și (UE) nr. 223/2014 în ceea ce privește Acțiunea de coeziune pentru refugiații din Europa (CARE) (JO L 109, 8.4.2022, p. 1).</w:t>
      </w:r>
    </w:p>
  </w:footnote>
  <w:footnote w:id="8">
    <w:p w14:paraId="37C3106B" w14:textId="3E70F25D" w:rsidR="00CF0B5E" w:rsidRPr="00306419" w:rsidRDefault="00CF0B5E" w:rsidP="00000E67">
      <w:pPr>
        <w:pStyle w:val="FootnoteText"/>
        <w:ind w:left="240" w:hanging="240"/>
        <w:rPr>
          <w:sz w:val="20"/>
        </w:rPr>
      </w:pPr>
      <w:r>
        <w:rPr>
          <w:rStyle w:val="FootnoteReference"/>
          <w:sz w:val="20"/>
        </w:rPr>
        <w:footnoteRef/>
      </w:r>
      <w:r>
        <w:rPr>
          <w:sz w:val="20"/>
        </w:rPr>
        <w:t xml:space="preserve"> </w:t>
      </w:r>
      <w:r>
        <w:rPr>
          <w:sz w:val="20"/>
        </w:rPr>
        <w:tab/>
        <w:t>Regulamentul (UE) 2022/2039 al Parlamentului European și al Consiliului din 19 octombrie 2022 de modificare a Regulamentelor (UE) nr. 1303/2013 și (UE) 2021/1060 în ceea ce privește o flexibilitate suplimentară FAST (Asistență flexibilă pentru teritorii) – CARE pentru a aborda consecințele agresiunii militare a Federației Ruse (JO L 275, 25.10.2022, p. 23).</w:t>
      </w:r>
    </w:p>
  </w:footnote>
  <w:footnote w:id="9">
    <w:p w14:paraId="066DDCC4" w14:textId="10A1FE95" w:rsidR="00CF0B5E" w:rsidRPr="00306419" w:rsidRDefault="00CF0B5E" w:rsidP="00000E67">
      <w:pPr>
        <w:pStyle w:val="FootnoteText"/>
        <w:ind w:left="240" w:hanging="240"/>
        <w:rPr>
          <w:sz w:val="20"/>
        </w:rPr>
      </w:pPr>
      <w:r>
        <w:rPr>
          <w:rStyle w:val="FootnoteReference"/>
          <w:sz w:val="20"/>
        </w:rPr>
        <w:footnoteRef/>
      </w:r>
      <w:r>
        <w:rPr>
          <w:sz w:val="20"/>
        </w:rPr>
        <w:t xml:space="preserve"> </w:t>
      </w:r>
      <w:r>
        <w:rPr>
          <w:sz w:val="20"/>
        </w:rPr>
        <w:tab/>
        <w:t>Măsurile de sprijinire a energiei la prețuri accesibile în cadrul politicii de coeziune, ca parte a REPowerEU. Regulamentul (UE) 2023/435 al Parlamentului European și al Consiliului din 27 februarie 2023 de modificare a Regulamentului (UE) 2021/241 în ceea ce privește capitolele privind REPowerEU din planurile de redresare și reziliență și de modificare a Regulamentelor (UE) nr. 1303/2013, (UE) 2021/1060 și (UE) 2021/1755 și a Directivei 2003/87/CE (JO L 63, 28.2.2023, p. 1).</w:t>
      </w:r>
    </w:p>
  </w:footnote>
  <w:footnote w:id="10">
    <w:p w14:paraId="3FBAEF52" w14:textId="3F1615CB" w:rsidR="00CF0B5E" w:rsidRPr="00B73CAF" w:rsidRDefault="00CF0B5E" w:rsidP="00B73CAF">
      <w:pPr>
        <w:pStyle w:val="FootnoteText"/>
        <w:ind w:left="240" w:hanging="240"/>
        <w:rPr>
          <w:sz w:val="20"/>
        </w:rPr>
      </w:pPr>
      <w:r>
        <w:rPr>
          <w:rStyle w:val="FootnoteReference"/>
        </w:rPr>
        <w:footnoteRef/>
      </w:r>
      <w:r>
        <w:t xml:space="preserve"> </w:t>
      </w:r>
      <w:r>
        <w:tab/>
        <w:t>Regulamentul (UE) 2024/3236 al Parlamentului European și al Consiliului din 19 decembrie 2024 de modificare a Regulamentelor (UE) 2021/1057 și (UE) 2021/1058 în ceea ce privește Sprijinul regional de urgență pentru reconstrucție (RESTORE)</w:t>
      </w:r>
      <w:r>
        <w:rPr>
          <w:sz w:val="20"/>
        </w:rPr>
        <w:t>.</w:t>
      </w:r>
    </w:p>
  </w:footnote>
  <w:footnote w:id="11">
    <w:p w14:paraId="6F9FE535" w14:textId="6C566E56" w:rsidR="00794C85" w:rsidRPr="00306419" w:rsidRDefault="00794C85" w:rsidP="00000E67">
      <w:pPr>
        <w:pStyle w:val="FootnoteText"/>
        <w:ind w:left="240" w:hanging="240"/>
        <w:rPr>
          <w:sz w:val="20"/>
        </w:rPr>
      </w:pPr>
      <w:r>
        <w:rPr>
          <w:rStyle w:val="FootnoteReference"/>
          <w:sz w:val="20"/>
        </w:rPr>
        <w:footnoteRef/>
      </w:r>
      <w:r>
        <w:rPr>
          <w:sz w:val="20"/>
        </w:rPr>
        <w:t xml:space="preserve"> </w:t>
      </w:r>
      <w:r>
        <w:rPr>
          <w:sz w:val="20"/>
        </w:rPr>
        <w:tab/>
      </w:r>
      <w:r>
        <w:rPr>
          <w:rStyle w:val="eop"/>
          <w:color w:val="000000" w:themeColor="text1"/>
          <w:sz w:val="20"/>
        </w:rPr>
        <w:t>Ca mențiune specială,</w:t>
      </w:r>
      <w:r>
        <w:rPr>
          <w:sz w:val="20"/>
        </w:rPr>
        <w:t xml:space="preserve"> la 27 ianuarie 2025 vicepreședintele executiv Fitto s-a angajat într-un schimb de opinii cu Comisia pentru dezvoltare regională a Parlamentului European (REGI) pe tema viitorului politicii de coeziune, iar la 20 februarie 2025 a participat la sesiunea plenară a Comitetului Regiunilor.</w:t>
      </w:r>
    </w:p>
  </w:footnote>
  <w:footnote w:id="12">
    <w:p w14:paraId="4D8B5A20" w14:textId="6DDBEFCB" w:rsidR="00CE272A" w:rsidRPr="00306419" w:rsidRDefault="00CE272A" w:rsidP="00174C75">
      <w:pPr>
        <w:pStyle w:val="FootnoteText"/>
        <w:ind w:left="0" w:firstLine="0"/>
        <w:rPr>
          <w:sz w:val="20"/>
        </w:rPr>
      </w:pPr>
      <w:r>
        <w:rPr>
          <w:rStyle w:val="FootnoteReference"/>
          <w:sz w:val="20"/>
        </w:rPr>
        <w:footnoteRef/>
      </w:r>
      <w:r>
        <w:rPr>
          <w:sz w:val="20"/>
        </w:rPr>
        <w:t xml:space="preserve"> </w:t>
      </w:r>
      <w:r>
        <w:rPr>
          <w:sz w:val="20"/>
        </w:rPr>
        <w:tab/>
        <w:t>COM(2025) 90 final.</w:t>
      </w:r>
    </w:p>
  </w:footnote>
  <w:footnote w:id="13">
    <w:p w14:paraId="760D67CC" w14:textId="45765A86" w:rsidR="00CE272A" w:rsidRPr="00306419" w:rsidRDefault="00CE272A" w:rsidP="00174C75">
      <w:pPr>
        <w:pStyle w:val="FootnoteText"/>
        <w:ind w:left="0" w:firstLine="0"/>
        <w:rPr>
          <w:sz w:val="20"/>
        </w:rPr>
      </w:pPr>
      <w:r>
        <w:rPr>
          <w:rStyle w:val="FootnoteReference"/>
          <w:sz w:val="20"/>
        </w:rPr>
        <w:footnoteRef/>
      </w:r>
      <w:r>
        <w:rPr>
          <w:sz w:val="20"/>
        </w:rPr>
        <w:t xml:space="preserve"> </w:t>
      </w:r>
      <w:r>
        <w:rPr>
          <w:sz w:val="20"/>
        </w:rPr>
        <w:tab/>
      </w:r>
      <w:r>
        <w:rPr>
          <w:rStyle w:val="eop"/>
          <w:color w:val="000000" w:themeColor="text1"/>
          <w:sz w:val="20"/>
        </w:rPr>
        <w:t>COM(2025) 82 final.</w:t>
      </w:r>
    </w:p>
  </w:footnote>
  <w:footnote w:id="14">
    <w:p w14:paraId="26282D40" w14:textId="5C1AC475" w:rsidR="68187547" w:rsidRPr="00306419" w:rsidRDefault="68187547" w:rsidP="00000E67">
      <w:pPr>
        <w:pStyle w:val="FootnoteText"/>
        <w:ind w:left="0" w:firstLine="0"/>
        <w:rPr>
          <w:sz w:val="20"/>
        </w:rPr>
      </w:pPr>
      <w:r>
        <w:rPr>
          <w:sz w:val="20"/>
          <w:vertAlign w:val="superscript"/>
        </w:rPr>
        <w:footnoteRef/>
      </w:r>
      <w:r>
        <w:rPr>
          <w:sz w:val="20"/>
        </w:rPr>
        <w:t xml:space="preserve"> </w:t>
      </w:r>
      <w:r>
        <w:rPr>
          <w:sz w:val="20"/>
        </w:rPr>
        <w:tab/>
        <w:t xml:space="preserve">Cartea albă privind viitorul apărării europene 2030, JOIN(2025) 120 final. </w:t>
      </w:r>
    </w:p>
  </w:footnote>
  <w:footnote w:id="15">
    <w:p w14:paraId="027D0E1A" w14:textId="5910E6C2" w:rsidR="001C2239" w:rsidRPr="00A81AD6" w:rsidRDefault="001C2239" w:rsidP="00A81AD6">
      <w:pPr>
        <w:pStyle w:val="FootnoteText"/>
        <w:ind w:left="240" w:hanging="240"/>
        <w:rPr>
          <w:sz w:val="20"/>
        </w:rPr>
      </w:pPr>
      <w:r>
        <w:rPr>
          <w:rStyle w:val="FootnoteReference"/>
          <w:sz w:val="20"/>
        </w:rPr>
        <w:footnoteRef/>
      </w:r>
      <w:r>
        <w:rPr>
          <w:sz w:val="20"/>
        </w:rPr>
        <w:t xml:space="preserve"> Fondurile de coeziune contribuie și la securitatea internă a UE, printr-o gamă largă de investiții, promovând astfel o abordare cuprinzătoare și integrată a securității și a pregătirii.</w:t>
      </w:r>
    </w:p>
  </w:footnote>
  <w:footnote w:id="16">
    <w:p w14:paraId="2302BDF9" w14:textId="11C6BB34" w:rsidR="000A7EA5" w:rsidRPr="00306419" w:rsidRDefault="000A7EA5" w:rsidP="00174C75">
      <w:pPr>
        <w:pStyle w:val="FootnoteText"/>
        <w:ind w:left="0" w:firstLine="0"/>
        <w:rPr>
          <w:sz w:val="20"/>
        </w:rPr>
      </w:pPr>
      <w:r>
        <w:rPr>
          <w:rStyle w:val="FootnoteReference"/>
          <w:sz w:val="20"/>
        </w:rPr>
        <w:footnoteRef/>
      </w:r>
      <w:r>
        <w:rPr>
          <w:sz w:val="20"/>
        </w:rPr>
        <w:t xml:space="preserve"> </w:t>
      </w:r>
      <w:r>
        <w:rPr>
          <w:sz w:val="20"/>
        </w:rPr>
        <w:tab/>
        <w:t>https://pact-for-skills.ec.europa.eu/about/industrial-ecosystems-and-partnerships/aerospace-and-defence_en</w:t>
      </w:r>
    </w:p>
  </w:footnote>
  <w:footnote w:id="17">
    <w:p w14:paraId="400EDE98" w14:textId="177BD167" w:rsidR="00F036F0" w:rsidRPr="00F036F0" w:rsidRDefault="00F036F0" w:rsidP="00174C75">
      <w:pPr>
        <w:pStyle w:val="FootnoteText"/>
        <w:ind w:left="0" w:firstLine="0"/>
      </w:pPr>
      <w:r>
        <w:rPr>
          <w:rStyle w:val="FootnoteReference"/>
          <w:sz w:val="20"/>
        </w:rPr>
        <w:footnoteRef/>
      </w:r>
      <w:r>
        <w:rPr>
          <w:sz w:val="14"/>
        </w:rPr>
        <w:t xml:space="preserve"> </w:t>
      </w:r>
      <w:r>
        <w:tab/>
      </w:r>
      <w:hyperlink r:id="rId1" w:history="1">
        <w:r>
          <w:rPr>
            <w:rStyle w:val="Hyperlink"/>
          </w:rPr>
          <w:t>https://unece.org/sites/default/files/2025-02/ECE-HBP-225_Housing%20Affordability_E_web.pdf</w:t>
        </w:r>
      </w:hyperlink>
      <w:r>
        <w:t>.</w:t>
      </w:r>
    </w:p>
  </w:footnote>
  <w:footnote w:id="18">
    <w:p w14:paraId="7FEC0122" w14:textId="5B03FB04" w:rsidR="001F4EC2" w:rsidRPr="00A31491" w:rsidRDefault="001F4EC2" w:rsidP="00A31491">
      <w:pPr>
        <w:pStyle w:val="FootnoteText"/>
        <w:ind w:left="240" w:hanging="240"/>
        <w:rPr>
          <w:sz w:val="20"/>
        </w:rPr>
      </w:pPr>
      <w:r>
        <w:rPr>
          <w:rStyle w:val="FootnoteReference"/>
          <w:sz w:val="20"/>
        </w:rPr>
        <w:footnoteRef/>
      </w:r>
      <w:r>
        <w:rPr>
          <w:sz w:val="20"/>
        </w:rPr>
        <w:t xml:space="preserve"> </w:t>
      </w:r>
      <w:r>
        <w:rPr>
          <w:sz w:val="20"/>
        </w:rPr>
        <w:tab/>
        <w:t>Astfel cum au fost identificate în Comunicarea privind valorificarea talentelor în regiunile Europei https://ec.europa.eu/regional_policy/information-sources/publications/communications/2023/harnessing-talent-in-europe-s-regions_en.</w:t>
      </w:r>
    </w:p>
  </w:footnote>
  <w:footnote w:id="19">
    <w:p w14:paraId="18A46DF6" w14:textId="153B4BF9" w:rsidR="00D321CF" w:rsidRPr="00A31491" w:rsidRDefault="00D321CF" w:rsidP="00A31491">
      <w:pPr>
        <w:pStyle w:val="FootnoteText"/>
        <w:ind w:left="240" w:hanging="240"/>
        <w:rPr>
          <w:sz w:val="20"/>
        </w:rPr>
      </w:pPr>
      <w:r>
        <w:rPr>
          <w:rStyle w:val="FootnoteReference"/>
          <w:sz w:val="20"/>
        </w:rPr>
        <w:footnoteRef/>
      </w:r>
      <w:r>
        <w:t xml:space="preserve"> Având în vedere investițiile semnificative necesare pentru atingerea obiectivelor în materie de decarbonizare și de competitivitate, statele membre trebuie să investească în continuare în proiecte care să contribuie în mod direct la tranziția climatică și energetică, în conformitate cu cerințele de la articolul 6 din Regulamentul (UE) 2021/1060, care vor continua să se aplice pentru a menține nivelul investițiilor legate de climă.</w:t>
      </w:r>
    </w:p>
  </w:footnote>
  <w:footnote w:id="20">
    <w:p w14:paraId="6B84910B" w14:textId="77A2CCBE" w:rsidR="043C7E8B" w:rsidRPr="00306419" w:rsidRDefault="043C7E8B" w:rsidP="004B0113">
      <w:pPr>
        <w:pStyle w:val="FootnoteText"/>
        <w:ind w:left="240" w:hanging="240"/>
        <w:rPr>
          <w:sz w:val="20"/>
        </w:rPr>
      </w:pPr>
      <w:r>
        <w:rPr>
          <w:sz w:val="20"/>
          <w:vertAlign w:val="superscript"/>
        </w:rPr>
        <w:footnoteRef/>
      </w:r>
      <w:r>
        <w:rPr>
          <w:sz w:val="20"/>
        </w:rPr>
        <w:t xml:space="preserve"> </w:t>
      </w:r>
      <w:r>
        <w:rPr>
          <w:sz w:val="20"/>
        </w:rPr>
        <w:tab/>
        <w:t>În cazul regiunilor frontaliere estice, stimulentele indicate în secțiunea specifică a prezentei comunicări continuă să se aplice și nu se cumulează cu cele indicate la prezentul paragraf.</w:t>
      </w:r>
    </w:p>
  </w:footnote>
  <w:footnote w:id="21">
    <w:p w14:paraId="6E6FC219" w14:textId="5AF156A5" w:rsidR="0044394C" w:rsidRPr="00306419" w:rsidRDefault="0044394C" w:rsidP="004B0113">
      <w:pPr>
        <w:pStyle w:val="FootnoteText"/>
        <w:ind w:left="240" w:hanging="240"/>
        <w:rPr>
          <w:sz w:val="20"/>
        </w:rPr>
      </w:pPr>
      <w:r>
        <w:rPr>
          <w:rStyle w:val="FootnoteReference"/>
          <w:sz w:val="20"/>
        </w:rPr>
        <w:footnoteRef/>
      </w:r>
      <w:r>
        <w:rPr>
          <w:sz w:val="20"/>
        </w:rPr>
        <w:t xml:space="preserve"> </w:t>
      </w:r>
      <w:r>
        <w:rPr>
          <w:sz w:val="20"/>
        </w:rPr>
        <w:tab/>
        <w:t>Autoritatea de management va putea depune o cerere pentru întreaga prefinanțare suplimentară care decurge din aplicarea noii legislații de îndată ce Comisia va adopta programul modificat prin care sumele sunt realocate către noile priorități. Cuantumul prefinanțării solicitate în 2025 va fi calculat în raport cu țintele N+3 pentru 2025.</w:t>
      </w:r>
    </w:p>
  </w:footnote>
  <w:footnote w:id="22">
    <w:p w14:paraId="091B6101" w14:textId="1146BCEA" w:rsidR="00D36C6F" w:rsidRPr="00306419" w:rsidRDefault="00D36C6F" w:rsidP="004B0113">
      <w:pPr>
        <w:pStyle w:val="FootnoteText"/>
        <w:ind w:left="240" w:hanging="240"/>
        <w:rPr>
          <w:sz w:val="20"/>
        </w:rPr>
      </w:pPr>
      <w:r>
        <w:rPr>
          <w:rStyle w:val="FootnoteReference"/>
          <w:sz w:val="20"/>
        </w:rPr>
        <w:footnoteRef/>
      </w:r>
      <w:r>
        <w:rPr>
          <w:sz w:val="20"/>
        </w:rPr>
        <w:t xml:space="preserve"> </w:t>
      </w:r>
      <w:r>
        <w:rPr>
          <w:sz w:val="20"/>
        </w:rPr>
        <w:tab/>
        <w:t xml:space="preserve">Definită în documentul intitulat „O Europă mai simplă și mai rapidă: comunicare privind punerea în aplicare și simplificarea” – COM(2025) 47 final, </w:t>
      </w:r>
      <w:hyperlink r:id="rId2" w:history="1">
        <w:r>
          <w:rPr>
            <w:rStyle w:val="Hyperlink"/>
            <w:sz w:val="20"/>
          </w:rPr>
          <w:t>https://eur-lex.europa.eu/legal-content/RO/TXT/?uri=celex:52025DC0047</w:t>
        </w:r>
      </w:hyperlink>
      <w:r>
        <w:t>.</w:t>
      </w:r>
    </w:p>
  </w:footnote>
  <w:footnote w:id="23">
    <w:p w14:paraId="3DF61680" w14:textId="106C1A6E" w:rsidR="006051E3" w:rsidRPr="00306419" w:rsidRDefault="006051E3" w:rsidP="004B0113">
      <w:pPr>
        <w:pStyle w:val="FootnoteText"/>
        <w:ind w:left="240" w:hanging="240"/>
        <w:rPr>
          <w:sz w:val="20"/>
        </w:rPr>
      </w:pPr>
      <w:r>
        <w:rPr>
          <w:rStyle w:val="FootnoteReference"/>
          <w:sz w:val="20"/>
        </w:rPr>
        <w:footnoteRef/>
      </w:r>
      <w:r>
        <w:rPr>
          <w:sz w:val="20"/>
        </w:rPr>
        <w:t xml:space="preserve"> </w:t>
      </w:r>
      <w:r>
        <w:rPr>
          <w:sz w:val="20"/>
        </w:rPr>
        <w:tab/>
        <w:t xml:space="preserve">Comunicarea Comisiei către Parlamentul European, Consiliul European, Consiliu, Comitetul Economic și Social European și Comitetul Regiunilor – </w:t>
      </w:r>
      <w:r>
        <w:rPr>
          <w:i/>
          <w:sz w:val="20"/>
        </w:rPr>
        <w:t>Calea către următorul cadru financiar multianual</w:t>
      </w:r>
      <w:r>
        <w:rPr>
          <w:sz w:val="20"/>
        </w:rPr>
        <w:t xml:space="preserve"> – COM(2025) 46 final, 11.2.2025.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8B577" w14:textId="77777777" w:rsidR="001544B0" w:rsidRPr="001544B0" w:rsidRDefault="001544B0" w:rsidP="001544B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F418C" w14:textId="77777777" w:rsidR="001544B0" w:rsidRPr="001544B0" w:rsidRDefault="001544B0" w:rsidP="001544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EFCDD" w14:textId="77777777" w:rsidR="001544B0" w:rsidRPr="001544B0" w:rsidRDefault="001544B0" w:rsidP="001544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F26" w14:textId="77777777" w:rsidR="002B0A6E" w:rsidRPr="00B16ABD" w:rsidRDefault="002B0A6E" w:rsidP="00B16ABD">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6AD0A" w14:textId="77777777" w:rsidR="00C61657" w:rsidRDefault="00C616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25B81" w14:textId="77777777" w:rsidR="002B0A6E" w:rsidRPr="00B16ABD" w:rsidRDefault="002B0A6E" w:rsidP="00B16ABD">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384A"/>
    <w:multiLevelType w:val="hybridMultilevel"/>
    <w:tmpl w:val="498261EC"/>
    <w:lvl w:ilvl="0" w:tplc="B0A679B4">
      <w:start w:val="1"/>
      <w:numFmt w:val="bullet"/>
      <w:lvlText w:val=""/>
      <w:lvlJc w:val="left"/>
      <w:pPr>
        <w:ind w:left="720" w:hanging="360"/>
      </w:pPr>
      <w:rPr>
        <w:rFonts w:ascii="Symbol" w:hAnsi="Symbol" w:hint="default"/>
      </w:rPr>
    </w:lvl>
    <w:lvl w:ilvl="1" w:tplc="65001AB8" w:tentative="1">
      <w:start w:val="1"/>
      <w:numFmt w:val="bullet"/>
      <w:lvlText w:val="o"/>
      <w:lvlJc w:val="left"/>
      <w:pPr>
        <w:ind w:left="1440" w:hanging="360"/>
      </w:pPr>
      <w:rPr>
        <w:rFonts w:ascii="Courier New" w:hAnsi="Courier New" w:hint="default"/>
      </w:rPr>
    </w:lvl>
    <w:lvl w:ilvl="2" w:tplc="50AEA3F0" w:tentative="1">
      <w:start w:val="1"/>
      <w:numFmt w:val="bullet"/>
      <w:lvlText w:val=""/>
      <w:lvlJc w:val="left"/>
      <w:pPr>
        <w:ind w:left="2160" w:hanging="360"/>
      </w:pPr>
      <w:rPr>
        <w:rFonts w:ascii="Wingdings" w:hAnsi="Wingdings" w:hint="default"/>
      </w:rPr>
    </w:lvl>
    <w:lvl w:ilvl="3" w:tplc="CB18CE7A" w:tentative="1">
      <w:start w:val="1"/>
      <w:numFmt w:val="bullet"/>
      <w:lvlText w:val=""/>
      <w:lvlJc w:val="left"/>
      <w:pPr>
        <w:ind w:left="2880" w:hanging="360"/>
      </w:pPr>
      <w:rPr>
        <w:rFonts w:ascii="Symbol" w:hAnsi="Symbol" w:hint="default"/>
      </w:rPr>
    </w:lvl>
    <w:lvl w:ilvl="4" w:tplc="D3D65AF6" w:tentative="1">
      <w:start w:val="1"/>
      <w:numFmt w:val="bullet"/>
      <w:lvlText w:val="o"/>
      <w:lvlJc w:val="left"/>
      <w:pPr>
        <w:ind w:left="3600" w:hanging="360"/>
      </w:pPr>
      <w:rPr>
        <w:rFonts w:ascii="Courier New" w:hAnsi="Courier New" w:hint="default"/>
      </w:rPr>
    </w:lvl>
    <w:lvl w:ilvl="5" w:tplc="EF82ED44" w:tentative="1">
      <w:start w:val="1"/>
      <w:numFmt w:val="bullet"/>
      <w:lvlText w:val=""/>
      <w:lvlJc w:val="left"/>
      <w:pPr>
        <w:ind w:left="4320" w:hanging="360"/>
      </w:pPr>
      <w:rPr>
        <w:rFonts w:ascii="Wingdings" w:hAnsi="Wingdings" w:hint="default"/>
      </w:rPr>
    </w:lvl>
    <w:lvl w:ilvl="6" w:tplc="D012FDFE" w:tentative="1">
      <w:start w:val="1"/>
      <w:numFmt w:val="bullet"/>
      <w:lvlText w:val=""/>
      <w:lvlJc w:val="left"/>
      <w:pPr>
        <w:ind w:left="5040" w:hanging="360"/>
      </w:pPr>
      <w:rPr>
        <w:rFonts w:ascii="Symbol" w:hAnsi="Symbol" w:hint="default"/>
      </w:rPr>
    </w:lvl>
    <w:lvl w:ilvl="7" w:tplc="B4A81B90" w:tentative="1">
      <w:start w:val="1"/>
      <w:numFmt w:val="bullet"/>
      <w:lvlText w:val="o"/>
      <w:lvlJc w:val="left"/>
      <w:pPr>
        <w:ind w:left="5760" w:hanging="360"/>
      </w:pPr>
      <w:rPr>
        <w:rFonts w:ascii="Courier New" w:hAnsi="Courier New" w:hint="default"/>
      </w:rPr>
    </w:lvl>
    <w:lvl w:ilvl="8" w:tplc="B4F483E0" w:tentative="1">
      <w:start w:val="1"/>
      <w:numFmt w:val="bullet"/>
      <w:lvlText w:val=""/>
      <w:lvlJc w:val="left"/>
      <w:pPr>
        <w:ind w:left="6480" w:hanging="360"/>
      </w:pPr>
      <w:rPr>
        <w:rFonts w:ascii="Wingdings" w:hAnsi="Wingdings" w:hint="default"/>
      </w:rPr>
    </w:lvl>
  </w:abstractNum>
  <w:abstractNum w:abstractNumId="1" w15:restartNumberingAfterBreak="0">
    <w:nsid w:val="0FED1E31"/>
    <w:multiLevelType w:val="hybridMultilevel"/>
    <w:tmpl w:val="FFFFFFFF"/>
    <w:lvl w:ilvl="0" w:tplc="EC26F6D2">
      <w:start w:val="1"/>
      <w:numFmt w:val="bullet"/>
      <w:lvlText w:val=""/>
      <w:lvlJc w:val="left"/>
      <w:pPr>
        <w:ind w:left="720" w:hanging="360"/>
      </w:pPr>
      <w:rPr>
        <w:rFonts w:ascii="Symbol" w:hAnsi="Symbol" w:hint="default"/>
      </w:rPr>
    </w:lvl>
    <w:lvl w:ilvl="1" w:tplc="8A707084">
      <w:start w:val="1"/>
      <w:numFmt w:val="bullet"/>
      <w:lvlText w:val="-"/>
      <w:lvlJc w:val="left"/>
      <w:pPr>
        <w:ind w:left="1440" w:hanging="360"/>
      </w:pPr>
      <w:rPr>
        <w:rFonts w:ascii="Symbol" w:hAnsi="Symbol" w:hint="default"/>
      </w:rPr>
    </w:lvl>
    <w:lvl w:ilvl="2" w:tplc="167AB48A">
      <w:start w:val="1"/>
      <w:numFmt w:val="bullet"/>
      <w:lvlText w:val=""/>
      <w:lvlJc w:val="left"/>
      <w:pPr>
        <w:ind w:left="2160" w:hanging="360"/>
      </w:pPr>
      <w:rPr>
        <w:rFonts w:ascii="Wingdings" w:hAnsi="Wingdings" w:hint="default"/>
      </w:rPr>
    </w:lvl>
    <w:lvl w:ilvl="3" w:tplc="C0D40DA2">
      <w:start w:val="1"/>
      <w:numFmt w:val="bullet"/>
      <w:lvlText w:val=""/>
      <w:lvlJc w:val="left"/>
      <w:pPr>
        <w:ind w:left="2880" w:hanging="360"/>
      </w:pPr>
      <w:rPr>
        <w:rFonts w:ascii="Symbol" w:hAnsi="Symbol" w:hint="default"/>
      </w:rPr>
    </w:lvl>
    <w:lvl w:ilvl="4" w:tplc="7C5E96DE">
      <w:start w:val="1"/>
      <w:numFmt w:val="bullet"/>
      <w:lvlText w:val="o"/>
      <w:lvlJc w:val="left"/>
      <w:pPr>
        <w:ind w:left="3600" w:hanging="360"/>
      </w:pPr>
      <w:rPr>
        <w:rFonts w:ascii="Courier New" w:hAnsi="Courier New" w:hint="default"/>
      </w:rPr>
    </w:lvl>
    <w:lvl w:ilvl="5" w:tplc="53881BF6">
      <w:start w:val="1"/>
      <w:numFmt w:val="bullet"/>
      <w:lvlText w:val=""/>
      <w:lvlJc w:val="left"/>
      <w:pPr>
        <w:ind w:left="4320" w:hanging="360"/>
      </w:pPr>
      <w:rPr>
        <w:rFonts w:ascii="Wingdings" w:hAnsi="Wingdings" w:hint="default"/>
      </w:rPr>
    </w:lvl>
    <w:lvl w:ilvl="6" w:tplc="0E32F266">
      <w:start w:val="1"/>
      <w:numFmt w:val="bullet"/>
      <w:lvlText w:val=""/>
      <w:lvlJc w:val="left"/>
      <w:pPr>
        <w:ind w:left="5040" w:hanging="360"/>
      </w:pPr>
      <w:rPr>
        <w:rFonts w:ascii="Symbol" w:hAnsi="Symbol" w:hint="default"/>
      </w:rPr>
    </w:lvl>
    <w:lvl w:ilvl="7" w:tplc="C4626FD4">
      <w:start w:val="1"/>
      <w:numFmt w:val="bullet"/>
      <w:lvlText w:val="o"/>
      <w:lvlJc w:val="left"/>
      <w:pPr>
        <w:ind w:left="5760" w:hanging="360"/>
      </w:pPr>
      <w:rPr>
        <w:rFonts w:ascii="Courier New" w:hAnsi="Courier New" w:hint="default"/>
      </w:rPr>
    </w:lvl>
    <w:lvl w:ilvl="8" w:tplc="8F9A9E44">
      <w:start w:val="1"/>
      <w:numFmt w:val="bullet"/>
      <w:lvlText w:val=""/>
      <w:lvlJc w:val="left"/>
      <w:pPr>
        <w:ind w:left="6480" w:hanging="360"/>
      </w:pPr>
      <w:rPr>
        <w:rFonts w:ascii="Wingdings" w:hAnsi="Wingdings" w:hint="default"/>
      </w:rPr>
    </w:lvl>
  </w:abstractNum>
  <w:abstractNum w:abstractNumId="2" w15:restartNumberingAfterBreak="0">
    <w:nsid w:val="100548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09212C3"/>
    <w:multiLevelType w:val="hybridMultilevel"/>
    <w:tmpl w:val="AAE21C54"/>
    <w:lvl w:ilvl="0" w:tplc="40625C82">
      <w:start w:val="1"/>
      <w:numFmt w:val="bullet"/>
      <w:lvlText w:val="-"/>
      <w:lvlJc w:val="left"/>
      <w:pPr>
        <w:ind w:left="720" w:hanging="360"/>
      </w:pPr>
      <w:rPr>
        <w:rFonts w:ascii="Aptos" w:hAnsi="Aptos" w:hint="default"/>
      </w:rPr>
    </w:lvl>
    <w:lvl w:ilvl="1" w:tplc="7E248D82">
      <w:start w:val="1"/>
      <w:numFmt w:val="bullet"/>
      <w:lvlText w:val="o"/>
      <w:lvlJc w:val="left"/>
      <w:pPr>
        <w:ind w:left="1440" w:hanging="360"/>
      </w:pPr>
      <w:rPr>
        <w:rFonts w:ascii="Courier New" w:hAnsi="Courier New" w:hint="default"/>
      </w:rPr>
    </w:lvl>
    <w:lvl w:ilvl="2" w:tplc="208AC520">
      <w:start w:val="1"/>
      <w:numFmt w:val="bullet"/>
      <w:lvlText w:val=""/>
      <w:lvlJc w:val="left"/>
      <w:pPr>
        <w:ind w:left="2160" w:hanging="360"/>
      </w:pPr>
      <w:rPr>
        <w:rFonts w:ascii="Wingdings" w:hAnsi="Wingdings" w:hint="default"/>
      </w:rPr>
    </w:lvl>
    <w:lvl w:ilvl="3" w:tplc="D3AACC9A">
      <w:start w:val="1"/>
      <w:numFmt w:val="bullet"/>
      <w:lvlText w:val=""/>
      <w:lvlJc w:val="left"/>
      <w:pPr>
        <w:ind w:left="2880" w:hanging="360"/>
      </w:pPr>
      <w:rPr>
        <w:rFonts w:ascii="Symbol" w:hAnsi="Symbol" w:hint="default"/>
      </w:rPr>
    </w:lvl>
    <w:lvl w:ilvl="4" w:tplc="E2046432">
      <w:start w:val="1"/>
      <w:numFmt w:val="bullet"/>
      <w:lvlText w:val="o"/>
      <w:lvlJc w:val="left"/>
      <w:pPr>
        <w:ind w:left="3600" w:hanging="360"/>
      </w:pPr>
      <w:rPr>
        <w:rFonts w:ascii="Courier New" w:hAnsi="Courier New" w:hint="default"/>
      </w:rPr>
    </w:lvl>
    <w:lvl w:ilvl="5" w:tplc="39002BB8">
      <w:start w:val="1"/>
      <w:numFmt w:val="bullet"/>
      <w:lvlText w:val=""/>
      <w:lvlJc w:val="left"/>
      <w:pPr>
        <w:ind w:left="4320" w:hanging="360"/>
      </w:pPr>
      <w:rPr>
        <w:rFonts w:ascii="Wingdings" w:hAnsi="Wingdings" w:hint="default"/>
      </w:rPr>
    </w:lvl>
    <w:lvl w:ilvl="6" w:tplc="AD0419D8">
      <w:start w:val="1"/>
      <w:numFmt w:val="bullet"/>
      <w:lvlText w:val=""/>
      <w:lvlJc w:val="left"/>
      <w:pPr>
        <w:ind w:left="5040" w:hanging="360"/>
      </w:pPr>
      <w:rPr>
        <w:rFonts w:ascii="Symbol" w:hAnsi="Symbol" w:hint="default"/>
      </w:rPr>
    </w:lvl>
    <w:lvl w:ilvl="7" w:tplc="E626E670">
      <w:start w:val="1"/>
      <w:numFmt w:val="bullet"/>
      <w:lvlText w:val="o"/>
      <w:lvlJc w:val="left"/>
      <w:pPr>
        <w:ind w:left="5760" w:hanging="360"/>
      </w:pPr>
      <w:rPr>
        <w:rFonts w:ascii="Courier New" w:hAnsi="Courier New" w:hint="default"/>
      </w:rPr>
    </w:lvl>
    <w:lvl w:ilvl="8" w:tplc="1040ED7C">
      <w:start w:val="1"/>
      <w:numFmt w:val="bullet"/>
      <w:lvlText w:val=""/>
      <w:lvlJc w:val="left"/>
      <w:pPr>
        <w:ind w:left="6480" w:hanging="360"/>
      </w:pPr>
      <w:rPr>
        <w:rFonts w:ascii="Wingdings" w:hAnsi="Wingdings" w:hint="default"/>
      </w:rPr>
    </w:lvl>
  </w:abstractNum>
  <w:abstractNum w:abstractNumId="4" w15:restartNumberingAfterBreak="0">
    <w:nsid w:val="1135631A"/>
    <w:multiLevelType w:val="hybridMultilevel"/>
    <w:tmpl w:val="407C284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0B7201"/>
    <w:multiLevelType w:val="multilevel"/>
    <w:tmpl w:val="DA5E0B0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772F78"/>
    <w:multiLevelType w:val="hybridMultilevel"/>
    <w:tmpl w:val="894C910A"/>
    <w:lvl w:ilvl="0" w:tplc="791209F2">
      <w:start w:val="1"/>
      <w:numFmt w:val="bullet"/>
      <w:lvlText w:val=""/>
      <w:lvlJc w:val="left"/>
      <w:pPr>
        <w:ind w:left="720" w:hanging="360"/>
      </w:pPr>
      <w:rPr>
        <w:rFonts w:ascii="Symbol" w:hAnsi="Symbol" w:hint="default"/>
      </w:rPr>
    </w:lvl>
    <w:lvl w:ilvl="1" w:tplc="C98A533A">
      <w:start w:val="1"/>
      <w:numFmt w:val="bullet"/>
      <w:lvlText w:val="o"/>
      <w:lvlJc w:val="left"/>
      <w:pPr>
        <w:ind w:left="1440" w:hanging="360"/>
      </w:pPr>
      <w:rPr>
        <w:rFonts w:ascii="Courier New" w:hAnsi="Courier New" w:hint="default"/>
      </w:rPr>
    </w:lvl>
    <w:lvl w:ilvl="2" w:tplc="3958630A" w:tentative="1">
      <w:start w:val="1"/>
      <w:numFmt w:val="bullet"/>
      <w:lvlText w:val=""/>
      <w:lvlJc w:val="left"/>
      <w:pPr>
        <w:ind w:left="2160" w:hanging="360"/>
      </w:pPr>
      <w:rPr>
        <w:rFonts w:ascii="Wingdings" w:hAnsi="Wingdings" w:hint="default"/>
      </w:rPr>
    </w:lvl>
    <w:lvl w:ilvl="3" w:tplc="047A10BC" w:tentative="1">
      <w:start w:val="1"/>
      <w:numFmt w:val="bullet"/>
      <w:lvlText w:val=""/>
      <w:lvlJc w:val="left"/>
      <w:pPr>
        <w:ind w:left="2880" w:hanging="360"/>
      </w:pPr>
      <w:rPr>
        <w:rFonts w:ascii="Symbol" w:hAnsi="Symbol" w:hint="default"/>
      </w:rPr>
    </w:lvl>
    <w:lvl w:ilvl="4" w:tplc="8138DF3A" w:tentative="1">
      <w:start w:val="1"/>
      <w:numFmt w:val="bullet"/>
      <w:lvlText w:val="o"/>
      <w:lvlJc w:val="left"/>
      <w:pPr>
        <w:ind w:left="3600" w:hanging="360"/>
      </w:pPr>
      <w:rPr>
        <w:rFonts w:ascii="Courier New" w:hAnsi="Courier New" w:hint="default"/>
      </w:rPr>
    </w:lvl>
    <w:lvl w:ilvl="5" w:tplc="4E00BCE0" w:tentative="1">
      <w:start w:val="1"/>
      <w:numFmt w:val="bullet"/>
      <w:lvlText w:val=""/>
      <w:lvlJc w:val="left"/>
      <w:pPr>
        <w:ind w:left="4320" w:hanging="360"/>
      </w:pPr>
      <w:rPr>
        <w:rFonts w:ascii="Wingdings" w:hAnsi="Wingdings" w:hint="default"/>
      </w:rPr>
    </w:lvl>
    <w:lvl w:ilvl="6" w:tplc="8FF08D8C" w:tentative="1">
      <w:start w:val="1"/>
      <w:numFmt w:val="bullet"/>
      <w:lvlText w:val=""/>
      <w:lvlJc w:val="left"/>
      <w:pPr>
        <w:ind w:left="5040" w:hanging="360"/>
      </w:pPr>
      <w:rPr>
        <w:rFonts w:ascii="Symbol" w:hAnsi="Symbol" w:hint="default"/>
      </w:rPr>
    </w:lvl>
    <w:lvl w:ilvl="7" w:tplc="B2BA40A8" w:tentative="1">
      <w:start w:val="1"/>
      <w:numFmt w:val="bullet"/>
      <w:lvlText w:val="o"/>
      <w:lvlJc w:val="left"/>
      <w:pPr>
        <w:ind w:left="5760" w:hanging="360"/>
      </w:pPr>
      <w:rPr>
        <w:rFonts w:ascii="Courier New" w:hAnsi="Courier New" w:hint="default"/>
      </w:rPr>
    </w:lvl>
    <w:lvl w:ilvl="8" w:tplc="FC90E994" w:tentative="1">
      <w:start w:val="1"/>
      <w:numFmt w:val="bullet"/>
      <w:lvlText w:val=""/>
      <w:lvlJc w:val="left"/>
      <w:pPr>
        <w:ind w:left="6480" w:hanging="360"/>
      </w:pPr>
      <w:rPr>
        <w:rFonts w:ascii="Wingdings" w:hAnsi="Wingdings" w:hint="default"/>
      </w:rPr>
    </w:lvl>
  </w:abstractNum>
  <w:abstractNum w:abstractNumId="7" w15:restartNumberingAfterBreak="0">
    <w:nsid w:val="16352C5F"/>
    <w:multiLevelType w:val="hybridMultilevel"/>
    <w:tmpl w:val="90DA9732"/>
    <w:lvl w:ilvl="0" w:tplc="41D86558">
      <w:start w:val="1"/>
      <w:numFmt w:val="bullet"/>
      <w:lvlText w:val=""/>
      <w:lvlJc w:val="left"/>
      <w:pPr>
        <w:ind w:left="720" w:hanging="360"/>
      </w:pPr>
      <w:rPr>
        <w:rFonts w:ascii="Symbol" w:hAnsi="Symbol" w:hint="default"/>
      </w:rPr>
    </w:lvl>
    <w:lvl w:ilvl="1" w:tplc="6DAA6EC0">
      <w:start w:val="1"/>
      <w:numFmt w:val="bullet"/>
      <w:lvlText w:val="o"/>
      <w:lvlJc w:val="left"/>
      <w:pPr>
        <w:ind w:left="1440" w:hanging="360"/>
      </w:pPr>
      <w:rPr>
        <w:rFonts w:ascii="Courier New" w:hAnsi="Courier New" w:hint="default"/>
      </w:rPr>
    </w:lvl>
    <w:lvl w:ilvl="2" w:tplc="14A2E78C" w:tentative="1">
      <w:start w:val="1"/>
      <w:numFmt w:val="bullet"/>
      <w:lvlText w:val=""/>
      <w:lvlJc w:val="left"/>
      <w:pPr>
        <w:ind w:left="2160" w:hanging="360"/>
      </w:pPr>
      <w:rPr>
        <w:rFonts w:ascii="Wingdings" w:hAnsi="Wingdings" w:hint="default"/>
      </w:rPr>
    </w:lvl>
    <w:lvl w:ilvl="3" w:tplc="67CA3272" w:tentative="1">
      <w:start w:val="1"/>
      <w:numFmt w:val="bullet"/>
      <w:lvlText w:val=""/>
      <w:lvlJc w:val="left"/>
      <w:pPr>
        <w:ind w:left="2880" w:hanging="360"/>
      </w:pPr>
      <w:rPr>
        <w:rFonts w:ascii="Symbol" w:hAnsi="Symbol" w:hint="default"/>
      </w:rPr>
    </w:lvl>
    <w:lvl w:ilvl="4" w:tplc="9D5664AA" w:tentative="1">
      <w:start w:val="1"/>
      <w:numFmt w:val="bullet"/>
      <w:lvlText w:val="o"/>
      <w:lvlJc w:val="left"/>
      <w:pPr>
        <w:ind w:left="3600" w:hanging="360"/>
      </w:pPr>
      <w:rPr>
        <w:rFonts w:ascii="Courier New" w:hAnsi="Courier New" w:hint="default"/>
      </w:rPr>
    </w:lvl>
    <w:lvl w:ilvl="5" w:tplc="6B40FDE0" w:tentative="1">
      <w:start w:val="1"/>
      <w:numFmt w:val="bullet"/>
      <w:lvlText w:val=""/>
      <w:lvlJc w:val="left"/>
      <w:pPr>
        <w:ind w:left="4320" w:hanging="360"/>
      </w:pPr>
      <w:rPr>
        <w:rFonts w:ascii="Wingdings" w:hAnsi="Wingdings" w:hint="default"/>
      </w:rPr>
    </w:lvl>
    <w:lvl w:ilvl="6" w:tplc="16A66534" w:tentative="1">
      <w:start w:val="1"/>
      <w:numFmt w:val="bullet"/>
      <w:lvlText w:val=""/>
      <w:lvlJc w:val="left"/>
      <w:pPr>
        <w:ind w:left="5040" w:hanging="360"/>
      </w:pPr>
      <w:rPr>
        <w:rFonts w:ascii="Symbol" w:hAnsi="Symbol" w:hint="default"/>
      </w:rPr>
    </w:lvl>
    <w:lvl w:ilvl="7" w:tplc="19DEDEF4" w:tentative="1">
      <w:start w:val="1"/>
      <w:numFmt w:val="bullet"/>
      <w:lvlText w:val="o"/>
      <w:lvlJc w:val="left"/>
      <w:pPr>
        <w:ind w:left="5760" w:hanging="360"/>
      </w:pPr>
      <w:rPr>
        <w:rFonts w:ascii="Courier New" w:hAnsi="Courier New" w:hint="default"/>
      </w:rPr>
    </w:lvl>
    <w:lvl w:ilvl="8" w:tplc="E932C666" w:tentative="1">
      <w:start w:val="1"/>
      <w:numFmt w:val="bullet"/>
      <w:lvlText w:val=""/>
      <w:lvlJc w:val="left"/>
      <w:pPr>
        <w:ind w:left="6480" w:hanging="360"/>
      </w:pPr>
      <w:rPr>
        <w:rFonts w:ascii="Wingdings" w:hAnsi="Wingdings" w:hint="default"/>
      </w:rPr>
    </w:lvl>
  </w:abstractNum>
  <w:abstractNum w:abstractNumId="8" w15:restartNumberingAfterBreak="0">
    <w:nsid w:val="16BD179C"/>
    <w:multiLevelType w:val="hybridMultilevel"/>
    <w:tmpl w:val="ECB2F16C"/>
    <w:lvl w:ilvl="0" w:tplc="E1A4F646">
      <w:start w:val="1"/>
      <w:numFmt w:val="lowerRoman"/>
      <w:lvlText w:val="%1)"/>
      <w:lvlJc w:val="left"/>
      <w:pPr>
        <w:ind w:left="720" w:hanging="360"/>
      </w:pPr>
    </w:lvl>
    <w:lvl w:ilvl="1" w:tplc="91B2BEC8">
      <w:start w:val="1"/>
      <w:numFmt w:val="bullet"/>
      <w:lvlText w:val="o"/>
      <w:lvlJc w:val="left"/>
      <w:pPr>
        <w:ind w:left="1440" w:hanging="360"/>
      </w:pPr>
      <w:rPr>
        <w:rFonts w:ascii="Courier New" w:hAnsi="Courier New" w:hint="default"/>
      </w:rPr>
    </w:lvl>
    <w:lvl w:ilvl="2" w:tplc="89527858" w:tentative="1">
      <w:start w:val="1"/>
      <w:numFmt w:val="bullet"/>
      <w:lvlText w:val=""/>
      <w:lvlJc w:val="left"/>
      <w:pPr>
        <w:ind w:left="2160" w:hanging="360"/>
      </w:pPr>
      <w:rPr>
        <w:rFonts w:ascii="Wingdings" w:hAnsi="Wingdings" w:hint="default"/>
      </w:rPr>
    </w:lvl>
    <w:lvl w:ilvl="3" w:tplc="43A8D83A" w:tentative="1">
      <w:start w:val="1"/>
      <w:numFmt w:val="bullet"/>
      <w:lvlText w:val=""/>
      <w:lvlJc w:val="left"/>
      <w:pPr>
        <w:ind w:left="2880" w:hanging="360"/>
      </w:pPr>
      <w:rPr>
        <w:rFonts w:ascii="Symbol" w:hAnsi="Symbol" w:hint="default"/>
      </w:rPr>
    </w:lvl>
    <w:lvl w:ilvl="4" w:tplc="A1F49654" w:tentative="1">
      <w:start w:val="1"/>
      <w:numFmt w:val="bullet"/>
      <w:lvlText w:val="o"/>
      <w:lvlJc w:val="left"/>
      <w:pPr>
        <w:ind w:left="3600" w:hanging="360"/>
      </w:pPr>
      <w:rPr>
        <w:rFonts w:ascii="Courier New" w:hAnsi="Courier New" w:hint="default"/>
      </w:rPr>
    </w:lvl>
    <w:lvl w:ilvl="5" w:tplc="9CE6BABA" w:tentative="1">
      <w:start w:val="1"/>
      <w:numFmt w:val="bullet"/>
      <w:lvlText w:val=""/>
      <w:lvlJc w:val="left"/>
      <w:pPr>
        <w:ind w:left="4320" w:hanging="360"/>
      </w:pPr>
      <w:rPr>
        <w:rFonts w:ascii="Wingdings" w:hAnsi="Wingdings" w:hint="default"/>
      </w:rPr>
    </w:lvl>
    <w:lvl w:ilvl="6" w:tplc="EA86B5A8" w:tentative="1">
      <w:start w:val="1"/>
      <w:numFmt w:val="bullet"/>
      <w:lvlText w:val=""/>
      <w:lvlJc w:val="left"/>
      <w:pPr>
        <w:ind w:left="5040" w:hanging="360"/>
      </w:pPr>
      <w:rPr>
        <w:rFonts w:ascii="Symbol" w:hAnsi="Symbol" w:hint="default"/>
      </w:rPr>
    </w:lvl>
    <w:lvl w:ilvl="7" w:tplc="86D64CA8" w:tentative="1">
      <w:start w:val="1"/>
      <w:numFmt w:val="bullet"/>
      <w:lvlText w:val="o"/>
      <w:lvlJc w:val="left"/>
      <w:pPr>
        <w:ind w:left="5760" w:hanging="360"/>
      </w:pPr>
      <w:rPr>
        <w:rFonts w:ascii="Courier New" w:hAnsi="Courier New" w:hint="default"/>
      </w:rPr>
    </w:lvl>
    <w:lvl w:ilvl="8" w:tplc="2084AF76" w:tentative="1">
      <w:start w:val="1"/>
      <w:numFmt w:val="bullet"/>
      <w:lvlText w:val=""/>
      <w:lvlJc w:val="left"/>
      <w:pPr>
        <w:ind w:left="6480" w:hanging="360"/>
      </w:pPr>
      <w:rPr>
        <w:rFonts w:ascii="Wingdings" w:hAnsi="Wingdings" w:hint="default"/>
      </w:rPr>
    </w:lvl>
  </w:abstractNum>
  <w:abstractNum w:abstractNumId="9" w15:restartNumberingAfterBreak="0">
    <w:nsid w:val="18D5B240"/>
    <w:multiLevelType w:val="hybridMultilevel"/>
    <w:tmpl w:val="947A96C6"/>
    <w:lvl w:ilvl="0" w:tplc="A2BC9F6C">
      <w:start w:val="1"/>
      <w:numFmt w:val="lowerRoman"/>
      <w:lvlText w:val="ii)"/>
      <w:lvlJc w:val="right"/>
      <w:pPr>
        <w:ind w:left="720" w:hanging="360"/>
      </w:pPr>
    </w:lvl>
    <w:lvl w:ilvl="1" w:tplc="85546CA8">
      <w:start w:val="1"/>
      <w:numFmt w:val="lowerLetter"/>
      <w:lvlText w:val="%2."/>
      <w:lvlJc w:val="left"/>
      <w:pPr>
        <w:ind w:left="1440" w:hanging="360"/>
      </w:pPr>
    </w:lvl>
    <w:lvl w:ilvl="2" w:tplc="C0B2FFD4">
      <w:start w:val="1"/>
      <w:numFmt w:val="lowerRoman"/>
      <w:lvlText w:val="%3."/>
      <w:lvlJc w:val="right"/>
      <w:pPr>
        <w:ind w:left="2160" w:hanging="180"/>
      </w:pPr>
    </w:lvl>
    <w:lvl w:ilvl="3" w:tplc="129A1BDE">
      <w:start w:val="1"/>
      <w:numFmt w:val="decimal"/>
      <w:lvlText w:val="%4."/>
      <w:lvlJc w:val="left"/>
      <w:pPr>
        <w:ind w:left="2880" w:hanging="360"/>
      </w:pPr>
    </w:lvl>
    <w:lvl w:ilvl="4" w:tplc="98F6ABD2">
      <w:start w:val="1"/>
      <w:numFmt w:val="lowerLetter"/>
      <w:lvlText w:val="%5."/>
      <w:lvlJc w:val="left"/>
      <w:pPr>
        <w:ind w:left="3600" w:hanging="360"/>
      </w:pPr>
    </w:lvl>
    <w:lvl w:ilvl="5" w:tplc="0362456E">
      <w:start w:val="1"/>
      <w:numFmt w:val="lowerRoman"/>
      <w:lvlText w:val="%6."/>
      <w:lvlJc w:val="right"/>
      <w:pPr>
        <w:ind w:left="4320" w:hanging="180"/>
      </w:pPr>
    </w:lvl>
    <w:lvl w:ilvl="6" w:tplc="E946C8C0">
      <w:start w:val="1"/>
      <w:numFmt w:val="decimal"/>
      <w:lvlText w:val="%7."/>
      <w:lvlJc w:val="left"/>
      <w:pPr>
        <w:ind w:left="5040" w:hanging="360"/>
      </w:pPr>
    </w:lvl>
    <w:lvl w:ilvl="7" w:tplc="ED822156">
      <w:start w:val="1"/>
      <w:numFmt w:val="lowerLetter"/>
      <w:lvlText w:val="%8."/>
      <w:lvlJc w:val="left"/>
      <w:pPr>
        <w:ind w:left="5760" w:hanging="360"/>
      </w:pPr>
    </w:lvl>
    <w:lvl w:ilvl="8" w:tplc="3A88D0FA">
      <w:start w:val="1"/>
      <w:numFmt w:val="lowerRoman"/>
      <w:lvlText w:val="%9."/>
      <w:lvlJc w:val="right"/>
      <w:pPr>
        <w:ind w:left="6480" w:hanging="180"/>
      </w:pPr>
    </w:lvl>
  </w:abstractNum>
  <w:abstractNum w:abstractNumId="10" w15:restartNumberingAfterBreak="0">
    <w:nsid w:val="1E2F183F"/>
    <w:multiLevelType w:val="hybridMultilevel"/>
    <w:tmpl w:val="A4B2D2E6"/>
    <w:lvl w:ilvl="0" w:tplc="4950E630">
      <w:start w:val="1"/>
      <w:numFmt w:val="decimal"/>
      <w:pStyle w:val="Heading1"/>
      <w:lvlText w:val="%1."/>
      <w:lvlJc w:val="left"/>
      <w:pPr>
        <w:ind w:left="720" w:hanging="360"/>
      </w:pPr>
      <w:rPr>
        <w:rFonts w:ascii="Times New Roman Bold" w:hAnsi="Times New Roman Bold" w:hint="default"/>
        <w:b/>
        <w:i w:val="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1CF360"/>
    <w:multiLevelType w:val="hybridMultilevel"/>
    <w:tmpl w:val="4C0CE6F2"/>
    <w:lvl w:ilvl="0" w:tplc="51AE1028">
      <w:start w:val="1"/>
      <w:numFmt w:val="bullet"/>
      <w:lvlText w:val=""/>
      <w:lvlJc w:val="left"/>
      <w:pPr>
        <w:ind w:left="360" w:hanging="360"/>
      </w:pPr>
      <w:rPr>
        <w:rFonts w:ascii="Symbol" w:hAnsi="Symbol" w:hint="default"/>
      </w:rPr>
    </w:lvl>
    <w:lvl w:ilvl="1" w:tplc="4294992E">
      <w:start w:val="1"/>
      <w:numFmt w:val="bullet"/>
      <w:lvlText w:val="o"/>
      <w:lvlJc w:val="left"/>
      <w:pPr>
        <w:ind w:left="1440" w:hanging="360"/>
      </w:pPr>
      <w:rPr>
        <w:rFonts w:ascii="Courier New" w:hAnsi="Courier New" w:hint="default"/>
      </w:rPr>
    </w:lvl>
    <w:lvl w:ilvl="2" w:tplc="FB80FF48">
      <w:start w:val="1"/>
      <w:numFmt w:val="bullet"/>
      <w:lvlText w:val=""/>
      <w:lvlJc w:val="left"/>
      <w:pPr>
        <w:ind w:left="2160" w:hanging="360"/>
      </w:pPr>
      <w:rPr>
        <w:rFonts w:ascii="Wingdings" w:hAnsi="Wingdings" w:hint="default"/>
      </w:rPr>
    </w:lvl>
    <w:lvl w:ilvl="3" w:tplc="1FC2ABB8">
      <w:start w:val="1"/>
      <w:numFmt w:val="bullet"/>
      <w:lvlText w:val=""/>
      <w:lvlJc w:val="left"/>
      <w:pPr>
        <w:ind w:left="2880" w:hanging="360"/>
      </w:pPr>
      <w:rPr>
        <w:rFonts w:ascii="Symbol" w:hAnsi="Symbol" w:hint="default"/>
      </w:rPr>
    </w:lvl>
    <w:lvl w:ilvl="4" w:tplc="2F32DB9C">
      <w:start w:val="1"/>
      <w:numFmt w:val="bullet"/>
      <w:lvlText w:val="o"/>
      <w:lvlJc w:val="left"/>
      <w:pPr>
        <w:ind w:left="3600" w:hanging="360"/>
      </w:pPr>
      <w:rPr>
        <w:rFonts w:ascii="Courier New" w:hAnsi="Courier New" w:hint="default"/>
      </w:rPr>
    </w:lvl>
    <w:lvl w:ilvl="5" w:tplc="A8681B68">
      <w:start w:val="1"/>
      <w:numFmt w:val="bullet"/>
      <w:lvlText w:val=""/>
      <w:lvlJc w:val="left"/>
      <w:pPr>
        <w:ind w:left="4320" w:hanging="360"/>
      </w:pPr>
      <w:rPr>
        <w:rFonts w:ascii="Wingdings" w:hAnsi="Wingdings" w:hint="default"/>
      </w:rPr>
    </w:lvl>
    <w:lvl w:ilvl="6" w:tplc="E87223CE">
      <w:start w:val="1"/>
      <w:numFmt w:val="bullet"/>
      <w:lvlText w:val=""/>
      <w:lvlJc w:val="left"/>
      <w:pPr>
        <w:ind w:left="5040" w:hanging="360"/>
      </w:pPr>
      <w:rPr>
        <w:rFonts w:ascii="Symbol" w:hAnsi="Symbol" w:hint="default"/>
      </w:rPr>
    </w:lvl>
    <w:lvl w:ilvl="7" w:tplc="0A1E5B5C">
      <w:start w:val="1"/>
      <w:numFmt w:val="bullet"/>
      <w:lvlText w:val="o"/>
      <w:lvlJc w:val="left"/>
      <w:pPr>
        <w:ind w:left="5760" w:hanging="360"/>
      </w:pPr>
      <w:rPr>
        <w:rFonts w:ascii="Courier New" w:hAnsi="Courier New" w:hint="default"/>
      </w:rPr>
    </w:lvl>
    <w:lvl w:ilvl="8" w:tplc="6074C7FA">
      <w:start w:val="1"/>
      <w:numFmt w:val="bullet"/>
      <w:lvlText w:val=""/>
      <w:lvlJc w:val="left"/>
      <w:pPr>
        <w:ind w:left="6480" w:hanging="360"/>
      </w:pPr>
      <w:rPr>
        <w:rFonts w:ascii="Wingdings" w:hAnsi="Wingdings" w:hint="default"/>
      </w:rPr>
    </w:lvl>
  </w:abstractNum>
  <w:abstractNum w:abstractNumId="12" w15:restartNumberingAfterBreak="0">
    <w:nsid w:val="1FA5F8FC"/>
    <w:multiLevelType w:val="hybridMultilevel"/>
    <w:tmpl w:val="FFFFFFFF"/>
    <w:lvl w:ilvl="0" w:tplc="088EA1E2">
      <w:start w:val="1"/>
      <w:numFmt w:val="bullet"/>
      <w:lvlText w:val="·"/>
      <w:lvlJc w:val="left"/>
      <w:pPr>
        <w:ind w:left="720" w:hanging="360"/>
      </w:pPr>
      <w:rPr>
        <w:rFonts w:ascii="Symbol" w:hAnsi="Symbol" w:hint="default"/>
      </w:rPr>
    </w:lvl>
    <w:lvl w:ilvl="1" w:tplc="0CF68552">
      <w:start w:val="1"/>
      <w:numFmt w:val="bullet"/>
      <w:lvlText w:val="o"/>
      <w:lvlJc w:val="left"/>
      <w:pPr>
        <w:ind w:left="1440" w:hanging="360"/>
      </w:pPr>
      <w:rPr>
        <w:rFonts w:ascii="Courier New" w:hAnsi="Courier New" w:hint="default"/>
      </w:rPr>
    </w:lvl>
    <w:lvl w:ilvl="2" w:tplc="444EB9B4">
      <w:start w:val="1"/>
      <w:numFmt w:val="bullet"/>
      <w:lvlText w:val=""/>
      <w:lvlJc w:val="left"/>
      <w:pPr>
        <w:ind w:left="2160" w:hanging="360"/>
      </w:pPr>
      <w:rPr>
        <w:rFonts w:ascii="Wingdings" w:hAnsi="Wingdings" w:hint="default"/>
      </w:rPr>
    </w:lvl>
    <w:lvl w:ilvl="3" w:tplc="D0528342">
      <w:start w:val="1"/>
      <w:numFmt w:val="bullet"/>
      <w:lvlText w:val=""/>
      <w:lvlJc w:val="left"/>
      <w:pPr>
        <w:ind w:left="2880" w:hanging="360"/>
      </w:pPr>
      <w:rPr>
        <w:rFonts w:ascii="Symbol" w:hAnsi="Symbol" w:hint="default"/>
      </w:rPr>
    </w:lvl>
    <w:lvl w:ilvl="4" w:tplc="0D8AB12E">
      <w:start w:val="1"/>
      <w:numFmt w:val="bullet"/>
      <w:lvlText w:val="o"/>
      <w:lvlJc w:val="left"/>
      <w:pPr>
        <w:ind w:left="3600" w:hanging="360"/>
      </w:pPr>
      <w:rPr>
        <w:rFonts w:ascii="Courier New" w:hAnsi="Courier New" w:hint="default"/>
      </w:rPr>
    </w:lvl>
    <w:lvl w:ilvl="5" w:tplc="BED808F6">
      <w:start w:val="1"/>
      <w:numFmt w:val="bullet"/>
      <w:lvlText w:val=""/>
      <w:lvlJc w:val="left"/>
      <w:pPr>
        <w:ind w:left="4320" w:hanging="360"/>
      </w:pPr>
      <w:rPr>
        <w:rFonts w:ascii="Wingdings" w:hAnsi="Wingdings" w:hint="default"/>
      </w:rPr>
    </w:lvl>
    <w:lvl w:ilvl="6" w:tplc="1B70FA44">
      <w:start w:val="1"/>
      <w:numFmt w:val="bullet"/>
      <w:lvlText w:val=""/>
      <w:lvlJc w:val="left"/>
      <w:pPr>
        <w:ind w:left="5040" w:hanging="360"/>
      </w:pPr>
      <w:rPr>
        <w:rFonts w:ascii="Symbol" w:hAnsi="Symbol" w:hint="default"/>
      </w:rPr>
    </w:lvl>
    <w:lvl w:ilvl="7" w:tplc="A9268600">
      <w:start w:val="1"/>
      <w:numFmt w:val="bullet"/>
      <w:lvlText w:val="o"/>
      <w:lvlJc w:val="left"/>
      <w:pPr>
        <w:ind w:left="5760" w:hanging="360"/>
      </w:pPr>
      <w:rPr>
        <w:rFonts w:ascii="Courier New" w:hAnsi="Courier New" w:hint="default"/>
      </w:rPr>
    </w:lvl>
    <w:lvl w:ilvl="8" w:tplc="2870D3A2">
      <w:start w:val="1"/>
      <w:numFmt w:val="bullet"/>
      <w:lvlText w:val=""/>
      <w:lvlJc w:val="left"/>
      <w:pPr>
        <w:ind w:left="6480" w:hanging="360"/>
      </w:pPr>
      <w:rPr>
        <w:rFonts w:ascii="Wingdings" w:hAnsi="Wingdings" w:hint="default"/>
      </w:rPr>
    </w:lvl>
  </w:abstractNum>
  <w:abstractNum w:abstractNumId="13" w15:restartNumberingAfterBreak="0">
    <w:nsid w:val="23F05D95"/>
    <w:multiLevelType w:val="hybridMultilevel"/>
    <w:tmpl w:val="E92CBC74"/>
    <w:lvl w:ilvl="0" w:tplc="1F4603F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1AF202"/>
    <w:multiLevelType w:val="hybridMultilevel"/>
    <w:tmpl w:val="79622954"/>
    <w:lvl w:ilvl="0" w:tplc="F70AD156">
      <w:start w:val="1"/>
      <w:numFmt w:val="bullet"/>
      <w:lvlText w:val="·"/>
      <w:lvlJc w:val="left"/>
      <w:pPr>
        <w:ind w:left="720" w:hanging="360"/>
      </w:pPr>
      <w:rPr>
        <w:rFonts w:ascii="Symbol" w:hAnsi="Symbol" w:hint="default"/>
      </w:rPr>
    </w:lvl>
    <w:lvl w:ilvl="1" w:tplc="52B4136C">
      <w:start w:val="1"/>
      <w:numFmt w:val="bullet"/>
      <w:lvlText w:val="o"/>
      <w:lvlJc w:val="left"/>
      <w:pPr>
        <w:ind w:left="1440" w:hanging="360"/>
      </w:pPr>
      <w:rPr>
        <w:rFonts w:ascii="Courier New" w:hAnsi="Courier New" w:hint="default"/>
      </w:rPr>
    </w:lvl>
    <w:lvl w:ilvl="2" w:tplc="7E4CAF24">
      <w:start w:val="1"/>
      <w:numFmt w:val="bullet"/>
      <w:lvlText w:val=""/>
      <w:lvlJc w:val="left"/>
      <w:pPr>
        <w:ind w:left="2160" w:hanging="360"/>
      </w:pPr>
      <w:rPr>
        <w:rFonts w:ascii="Wingdings" w:hAnsi="Wingdings" w:hint="default"/>
      </w:rPr>
    </w:lvl>
    <w:lvl w:ilvl="3" w:tplc="94AABFA6">
      <w:start w:val="1"/>
      <w:numFmt w:val="bullet"/>
      <w:lvlText w:val=""/>
      <w:lvlJc w:val="left"/>
      <w:pPr>
        <w:ind w:left="2880" w:hanging="360"/>
      </w:pPr>
      <w:rPr>
        <w:rFonts w:ascii="Symbol" w:hAnsi="Symbol" w:hint="default"/>
      </w:rPr>
    </w:lvl>
    <w:lvl w:ilvl="4" w:tplc="DD3CD22A">
      <w:start w:val="1"/>
      <w:numFmt w:val="bullet"/>
      <w:lvlText w:val="o"/>
      <w:lvlJc w:val="left"/>
      <w:pPr>
        <w:ind w:left="3600" w:hanging="360"/>
      </w:pPr>
      <w:rPr>
        <w:rFonts w:ascii="Courier New" w:hAnsi="Courier New" w:hint="default"/>
      </w:rPr>
    </w:lvl>
    <w:lvl w:ilvl="5" w:tplc="4BFA188A">
      <w:start w:val="1"/>
      <w:numFmt w:val="bullet"/>
      <w:lvlText w:val=""/>
      <w:lvlJc w:val="left"/>
      <w:pPr>
        <w:ind w:left="4320" w:hanging="360"/>
      </w:pPr>
      <w:rPr>
        <w:rFonts w:ascii="Wingdings" w:hAnsi="Wingdings" w:hint="default"/>
      </w:rPr>
    </w:lvl>
    <w:lvl w:ilvl="6" w:tplc="ECA40D72">
      <w:start w:val="1"/>
      <w:numFmt w:val="bullet"/>
      <w:lvlText w:val=""/>
      <w:lvlJc w:val="left"/>
      <w:pPr>
        <w:ind w:left="5040" w:hanging="360"/>
      </w:pPr>
      <w:rPr>
        <w:rFonts w:ascii="Symbol" w:hAnsi="Symbol" w:hint="default"/>
      </w:rPr>
    </w:lvl>
    <w:lvl w:ilvl="7" w:tplc="46DE1A82">
      <w:start w:val="1"/>
      <w:numFmt w:val="bullet"/>
      <w:lvlText w:val="o"/>
      <w:lvlJc w:val="left"/>
      <w:pPr>
        <w:ind w:left="5760" w:hanging="360"/>
      </w:pPr>
      <w:rPr>
        <w:rFonts w:ascii="Courier New" w:hAnsi="Courier New" w:hint="default"/>
      </w:rPr>
    </w:lvl>
    <w:lvl w:ilvl="8" w:tplc="5286796C">
      <w:start w:val="1"/>
      <w:numFmt w:val="bullet"/>
      <w:lvlText w:val=""/>
      <w:lvlJc w:val="left"/>
      <w:pPr>
        <w:ind w:left="6480" w:hanging="360"/>
      </w:pPr>
      <w:rPr>
        <w:rFonts w:ascii="Wingdings" w:hAnsi="Wingdings" w:hint="default"/>
      </w:rPr>
    </w:lvl>
  </w:abstractNum>
  <w:abstractNum w:abstractNumId="15" w15:restartNumberingAfterBreak="0">
    <w:nsid w:val="27DED160"/>
    <w:multiLevelType w:val="hybridMultilevel"/>
    <w:tmpl w:val="F48886D4"/>
    <w:lvl w:ilvl="0" w:tplc="EF646BFA">
      <w:start w:val="1"/>
      <w:numFmt w:val="bullet"/>
      <w:lvlText w:val=""/>
      <w:lvlJc w:val="left"/>
      <w:pPr>
        <w:ind w:left="720" w:hanging="360"/>
      </w:pPr>
      <w:rPr>
        <w:rFonts w:ascii="Symbol" w:hAnsi="Symbol" w:hint="default"/>
      </w:rPr>
    </w:lvl>
    <w:lvl w:ilvl="1" w:tplc="B098604E">
      <w:start w:val="1"/>
      <w:numFmt w:val="bullet"/>
      <w:lvlText w:val="o"/>
      <w:lvlJc w:val="left"/>
      <w:pPr>
        <w:ind w:left="1440" w:hanging="360"/>
      </w:pPr>
      <w:rPr>
        <w:rFonts w:ascii="Courier New" w:hAnsi="Courier New" w:hint="default"/>
      </w:rPr>
    </w:lvl>
    <w:lvl w:ilvl="2" w:tplc="22D0055E">
      <w:start w:val="1"/>
      <w:numFmt w:val="bullet"/>
      <w:lvlText w:val=""/>
      <w:lvlJc w:val="left"/>
      <w:pPr>
        <w:ind w:left="2160" w:hanging="360"/>
      </w:pPr>
      <w:rPr>
        <w:rFonts w:ascii="Wingdings" w:hAnsi="Wingdings" w:hint="default"/>
      </w:rPr>
    </w:lvl>
    <w:lvl w:ilvl="3" w:tplc="4662A228">
      <w:start w:val="1"/>
      <w:numFmt w:val="bullet"/>
      <w:lvlText w:val=""/>
      <w:lvlJc w:val="left"/>
      <w:pPr>
        <w:ind w:left="2880" w:hanging="360"/>
      </w:pPr>
      <w:rPr>
        <w:rFonts w:ascii="Symbol" w:hAnsi="Symbol" w:hint="default"/>
      </w:rPr>
    </w:lvl>
    <w:lvl w:ilvl="4" w:tplc="5A04B640">
      <w:start w:val="1"/>
      <w:numFmt w:val="bullet"/>
      <w:lvlText w:val="o"/>
      <w:lvlJc w:val="left"/>
      <w:pPr>
        <w:ind w:left="3600" w:hanging="360"/>
      </w:pPr>
      <w:rPr>
        <w:rFonts w:ascii="Courier New" w:hAnsi="Courier New" w:hint="default"/>
      </w:rPr>
    </w:lvl>
    <w:lvl w:ilvl="5" w:tplc="4562302C">
      <w:start w:val="1"/>
      <w:numFmt w:val="bullet"/>
      <w:lvlText w:val=""/>
      <w:lvlJc w:val="left"/>
      <w:pPr>
        <w:ind w:left="4320" w:hanging="360"/>
      </w:pPr>
      <w:rPr>
        <w:rFonts w:ascii="Wingdings" w:hAnsi="Wingdings" w:hint="default"/>
      </w:rPr>
    </w:lvl>
    <w:lvl w:ilvl="6" w:tplc="6A327F10">
      <w:start w:val="1"/>
      <w:numFmt w:val="bullet"/>
      <w:lvlText w:val=""/>
      <w:lvlJc w:val="left"/>
      <w:pPr>
        <w:ind w:left="5040" w:hanging="360"/>
      </w:pPr>
      <w:rPr>
        <w:rFonts w:ascii="Symbol" w:hAnsi="Symbol" w:hint="default"/>
      </w:rPr>
    </w:lvl>
    <w:lvl w:ilvl="7" w:tplc="28D4C89C">
      <w:start w:val="1"/>
      <w:numFmt w:val="bullet"/>
      <w:lvlText w:val="o"/>
      <w:lvlJc w:val="left"/>
      <w:pPr>
        <w:ind w:left="5760" w:hanging="360"/>
      </w:pPr>
      <w:rPr>
        <w:rFonts w:ascii="Courier New" w:hAnsi="Courier New" w:hint="default"/>
      </w:rPr>
    </w:lvl>
    <w:lvl w:ilvl="8" w:tplc="8072FDEC">
      <w:start w:val="1"/>
      <w:numFmt w:val="bullet"/>
      <w:lvlText w:val=""/>
      <w:lvlJc w:val="left"/>
      <w:pPr>
        <w:ind w:left="6480" w:hanging="360"/>
      </w:pPr>
      <w:rPr>
        <w:rFonts w:ascii="Wingdings" w:hAnsi="Wingdings" w:hint="default"/>
      </w:rPr>
    </w:lvl>
  </w:abstractNum>
  <w:abstractNum w:abstractNumId="16" w15:restartNumberingAfterBreak="0">
    <w:nsid w:val="28B278AE"/>
    <w:multiLevelType w:val="multilevel"/>
    <w:tmpl w:val="EF3464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BBA3A6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BF8E1DC"/>
    <w:multiLevelType w:val="hybridMultilevel"/>
    <w:tmpl w:val="FFFFFFFF"/>
    <w:lvl w:ilvl="0" w:tplc="43101F60">
      <w:start w:val="1"/>
      <w:numFmt w:val="bullet"/>
      <w:lvlText w:val=""/>
      <w:lvlJc w:val="left"/>
      <w:pPr>
        <w:ind w:left="720" w:hanging="360"/>
      </w:pPr>
      <w:rPr>
        <w:rFonts w:ascii="Symbol" w:hAnsi="Symbol" w:hint="default"/>
      </w:rPr>
    </w:lvl>
    <w:lvl w:ilvl="1" w:tplc="072EDF78">
      <w:start w:val="1"/>
      <w:numFmt w:val="bullet"/>
      <w:lvlText w:val="o"/>
      <w:lvlJc w:val="left"/>
      <w:pPr>
        <w:ind w:left="1440" w:hanging="360"/>
      </w:pPr>
      <w:rPr>
        <w:rFonts w:ascii="Courier New" w:hAnsi="Courier New" w:hint="default"/>
      </w:rPr>
    </w:lvl>
    <w:lvl w:ilvl="2" w:tplc="7C8EBB9E">
      <w:start w:val="1"/>
      <w:numFmt w:val="bullet"/>
      <w:lvlText w:val=""/>
      <w:lvlJc w:val="left"/>
      <w:pPr>
        <w:ind w:left="2160" w:hanging="360"/>
      </w:pPr>
      <w:rPr>
        <w:rFonts w:ascii="Wingdings" w:hAnsi="Wingdings" w:hint="default"/>
      </w:rPr>
    </w:lvl>
    <w:lvl w:ilvl="3" w:tplc="1856E120">
      <w:start w:val="1"/>
      <w:numFmt w:val="bullet"/>
      <w:lvlText w:val=""/>
      <w:lvlJc w:val="left"/>
      <w:pPr>
        <w:ind w:left="2880" w:hanging="360"/>
      </w:pPr>
      <w:rPr>
        <w:rFonts w:ascii="Symbol" w:hAnsi="Symbol" w:hint="default"/>
      </w:rPr>
    </w:lvl>
    <w:lvl w:ilvl="4" w:tplc="1B9A5394">
      <w:start w:val="1"/>
      <w:numFmt w:val="bullet"/>
      <w:lvlText w:val="o"/>
      <w:lvlJc w:val="left"/>
      <w:pPr>
        <w:ind w:left="3600" w:hanging="360"/>
      </w:pPr>
      <w:rPr>
        <w:rFonts w:ascii="Courier New" w:hAnsi="Courier New" w:hint="default"/>
      </w:rPr>
    </w:lvl>
    <w:lvl w:ilvl="5" w:tplc="DA8E08EE">
      <w:start w:val="1"/>
      <w:numFmt w:val="bullet"/>
      <w:lvlText w:val=""/>
      <w:lvlJc w:val="left"/>
      <w:pPr>
        <w:ind w:left="4320" w:hanging="360"/>
      </w:pPr>
      <w:rPr>
        <w:rFonts w:ascii="Wingdings" w:hAnsi="Wingdings" w:hint="default"/>
      </w:rPr>
    </w:lvl>
    <w:lvl w:ilvl="6" w:tplc="F4E6DD5E">
      <w:start w:val="1"/>
      <w:numFmt w:val="bullet"/>
      <w:lvlText w:val=""/>
      <w:lvlJc w:val="left"/>
      <w:pPr>
        <w:ind w:left="5040" w:hanging="360"/>
      </w:pPr>
      <w:rPr>
        <w:rFonts w:ascii="Symbol" w:hAnsi="Symbol" w:hint="default"/>
      </w:rPr>
    </w:lvl>
    <w:lvl w:ilvl="7" w:tplc="F10A8B84">
      <w:start w:val="1"/>
      <w:numFmt w:val="bullet"/>
      <w:lvlText w:val="o"/>
      <w:lvlJc w:val="left"/>
      <w:pPr>
        <w:ind w:left="5760" w:hanging="360"/>
      </w:pPr>
      <w:rPr>
        <w:rFonts w:ascii="Courier New" w:hAnsi="Courier New" w:hint="default"/>
      </w:rPr>
    </w:lvl>
    <w:lvl w:ilvl="8" w:tplc="B71E77B2">
      <w:start w:val="1"/>
      <w:numFmt w:val="bullet"/>
      <w:lvlText w:val=""/>
      <w:lvlJc w:val="left"/>
      <w:pPr>
        <w:ind w:left="6480" w:hanging="360"/>
      </w:pPr>
      <w:rPr>
        <w:rFonts w:ascii="Wingdings" w:hAnsi="Wingdings" w:hint="default"/>
      </w:rPr>
    </w:lvl>
  </w:abstractNum>
  <w:abstractNum w:abstractNumId="19" w15:restartNumberingAfterBreak="0">
    <w:nsid w:val="2F7E2EA9"/>
    <w:multiLevelType w:val="hybridMultilevel"/>
    <w:tmpl w:val="75E428F2"/>
    <w:lvl w:ilvl="0" w:tplc="597E9AB6">
      <w:start w:val="1"/>
      <w:numFmt w:val="lowerLetter"/>
      <w:lvlText w:val="b)"/>
      <w:lvlJc w:val="left"/>
      <w:pPr>
        <w:ind w:left="720" w:hanging="360"/>
      </w:pPr>
    </w:lvl>
    <w:lvl w:ilvl="1" w:tplc="E04C76E8">
      <w:start w:val="1"/>
      <w:numFmt w:val="lowerLetter"/>
      <w:lvlText w:val="%2."/>
      <w:lvlJc w:val="left"/>
      <w:pPr>
        <w:ind w:left="1440" w:hanging="360"/>
      </w:pPr>
    </w:lvl>
    <w:lvl w:ilvl="2" w:tplc="46B041EE">
      <w:start w:val="1"/>
      <w:numFmt w:val="lowerRoman"/>
      <w:lvlText w:val="%3."/>
      <w:lvlJc w:val="right"/>
      <w:pPr>
        <w:ind w:left="2160" w:hanging="180"/>
      </w:pPr>
    </w:lvl>
    <w:lvl w:ilvl="3" w:tplc="D538560C">
      <w:start w:val="1"/>
      <w:numFmt w:val="decimal"/>
      <w:lvlText w:val="%4."/>
      <w:lvlJc w:val="left"/>
      <w:pPr>
        <w:ind w:left="2880" w:hanging="360"/>
      </w:pPr>
    </w:lvl>
    <w:lvl w:ilvl="4" w:tplc="860E6144">
      <w:start w:val="1"/>
      <w:numFmt w:val="lowerLetter"/>
      <w:lvlText w:val="%5."/>
      <w:lvlJc w:val="left"/>
      <w:pPr>
        <w:ind w:left="3600" w:hanging="360"/>
      </w:pPr>
    </w:lvl>
    <w:lvl w:ilvl="5" w:tplc="EC50573E">
      <w:start w:val="1"/>
      <w:numFmt w:val="lowerRoman"/>
      <w:lvlText w:val="%6."/>
      <w:lvlJc w:val="right"/>
      <w:pPr>
        <w:ind w:left="4320" w:hanging="180"/>
      </w:pPr>
    </w:lvl>
    <w:lvl w:ilvl="6" w:tplc="59B01B94">
      <w:start w:val="1"/>
      <w:numFmt w:val="decimal"/>
      <w:lvlText w:val="%7."/>
      <w:lvlJc w:val="left"/>
      <w:pPr>
        <w:ind w:left="5040" w:hanging="360"/>
      </w:pPr>
    </w:lvl>
    <w:lvl w:ilvl="7" w:tplc="434A049C">
      <w:start w:val="1"/>
      <w:numFmt w:val="lowerLetter"/>
      <w:lvlText w:val="%8."/>
      <w:lvlJc w:val="left"/>
      <w:pPr>
        <w:ind w:left="5760" w:hanging="360"/>
      </w:pPr>
    </w:lvl>
    <w:lvl w:ilvl="8" w:tplc="160E7D0E">
      <w:start w:val="1"/>
      <w:numFmt w:val="lowerRoman"/>
      <w:lvlText w:val="%9."/>
      <w:lvlJc w:val="right"/>
      <w:pPr>
        <w:ind w:left="6480" w:hanging="180"/>
      </w:pPr>
    </w:lvl>
  </w:abstractNum>
  <w:abstractNum w:abstractNumId="20" w15:restartNumberingAfterBreak="0">
    <w:nsid w:val="339F24C2"/>
    <w:multiLevelType w:val="hybridMultilevel"/>
    <w:tmpl w:val="49F221E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4710738"/>
    <w:multiLevelType w:val="hybridMultilevel"/>
    <w:tmpl w:val="43D22474"/>
    <w:lvl w:ilvl="0" w:tplc="43D22D70">
      <w:start w:val="1"/>
      <w:numFmt w:val="bullet"/>
      <w:lvlText w:val=""/>
      <w:lvlJc w:val="left"/>
      <w:pPr>
        <w:ind w:left="720" w:hanging="360"/>
      </w:pPr>
      <w:rPr>
        <w:rFonts w:ascii="Symbol" w:hAnsi="Symbol" w:hint="default"/>
      </w:rPr>
    </w:lvl>
    <w:lvl w:ilvl="1" w:tplc="A10A9D36" w:tentative="1">
      <w:start w:val="1"/>
      <w:numFmt w:val="bullet"/>
      <w:lvlText w:val="o"/>
      <w:lvlJc w:val="left"/>
      <w:pPr>
        <w:ind w:left="1440" w:hanging="360"/>
      </w:pPr>
      <w:rPr>
        <w:rFonts w:ascii="Courier New" w:hAnsi="Courier New" w:hint="default"/>
      </w:rPr>
    </w:lvl>
    <w:lvl w:ilvl="2" w:tplc="B9546F44" w:tentative="1">
      <w:start w:val="1"/>
      <w:numFmt w:val="bullet"/>
      <w:lvlText w:val=""/>
      <w:lvlJc w:val="left"/>
      <w:pPr>
        <w:ind w:left="2160" w:hanging="360"/>
      </w:pPr>
      <w:rPr>
        <w:rFonts w:ascii="Wingdings" w:hAnsi="Wingdings" w:hint="default"/>
      </w:rPr>
    </w:lvl>
    <w:lvl w:ilvl="3" w:tplc="23EEAB38" w:tentative="1">
      <w:start w:val="1"/>
      <w:numFmt w:val="bullet"/>
      <w:lvlText w:val=""/>
      <w:lvlJc w:val="left"/>
      <w:pPr>
        <w:ind w:left="2880" w:hanging="360"/>
      </w:pPr>
      <w:rPr>
        <w:rFonts w:ascii="Symbol" w:hAnsi="Symbol" w:hint="default"/>
      </w:rPr>
    </w:lvl>
    <w:lvl w:ilvl="4" w:tplc="F2FEBD74" w:tentative="1">
      <w:start w:val="1"/>
      <w:numFmt w:val="bullet"/>
      <w:lvlText w:val="o"/>
      <w:lvlJc w:val="left"/>
      <w:pPr>
        <w:ind w:left="3600" w:hanging="360"/>
      </w:pPr>
      <w:rPr>
        <w:rFonts w:ascii="Courier New" w:hAnsi="Courier New" w:hint="default"/>
      </w:rPr>
    </w:lvl>
    <w:lvl w:ilvl="5" w:tplc="8E8CFE9A" w:tentative="1">
      <w:start w:val="1"/>
      <w:numFmt w:val="bullet"/>
      <w:lvlText w:val=""/>
      <w:lvlJc w:val="left"/>
      <w:pPr>
        <w:ind w:left="4320" w:hanging="360"/>
      </w:pPr>
      <w:rPr>
        <w:rFonts w:ascii="Wingdings" w:hAnsi="Wingdings" w:hint="default"/>
      </w:rPr>
    </w:lvl>
    <w:lvl w:ilvl="6" w:tplc="0DAAABDA" w:tentative="1">
      <w:start w:val="1"/>
      <w:numFmt w:val="bullet"/>
      <w:lvlText w:val=""/>
      <w:lvlJc w:val="left"/>
      <w:pPr>
        <w:ind w:left="5040" w:hanging="360"/>
      </w:pPr>
      <w:rPr>
        <w:rFonts w:ascii="Symbol" w:hAnsi="Symbol" w:hint="default"/>
      </w:rPr>
    </w:lvl>
    <w:lvl w:ilvl="7" w:tplc="794E1382" w:tentative="1">
      <w:start w:val="1"/>
      <w:numFmt w:val="bullet"/>
      <w:lvlText w:val="o"/>
      <w:lvlJc w:val="left"/>
      <w:pPr>
        <w:ind w:left="5760" w:hanging="360"/>
      </w:pPr>
      <w:rPr>
        <w:rFonts w:ascii="Courier New" w:hAnsi="Courier New" w:hint="default"/>
      </w:rPr>
    </w:lvl>
    <w:lvl w:ilvl="8" w:tplc="AE301C52" w:tentative="1">
      <w:start w:val="1"/>
      <w:numFmt w:val="bullet"/>
      <w:lvlText w:val=""/>
      <w:lvlJc w:val="left"/>
      <w:pPr>
        <w:ind w:left="6480" w:hanging="360"/>
      </w:pPr>
      <w:rPr>
        <w:rFonts w:ascii="Wingdings" w:hAnsi="Wingdings" w:hint="default"/>
      </w:rPr>
    </w:lvl>
  </w:abstractNum>
  <w:abstractNum w:abstractNumId="22" w15:restartNumberingAfterBreak="0">
    <w:nsid w:val="36C81A41"/>
    <w:multiLevelType w:val="hybridMultilevel"/>
    <w:tmpl w:val="583207A2"/>
    <w:lvl w:ilvl="0" w:tplc="48E85CCC">
      <w:start w:val="1"/>
      <w:numFmt w:val="bullet"/>
      <w:lvlText w:val="·"/>
      <w:lvlJc w:val="left"/>
      <w:pPr>
        <w:ind w:left="720" w:hanging="360"/>
      </w:pPr>
      <w:rPr>
        <w:rFonts w:ascii="Symbol" w:hAnsi="Symbol" w:hint="default"/>
      </w:rPr>
    </w:lvl>
    <w:lvl w:ilvl="1" w:tplc="640EFAFC">
      <w:start w:val="1"/>
      <w:numFmt w:val="bullet"/>
      <w:lvlText w:val="o"/>
      <w:lvlJc w:val="left"/>
      <w:pPr>
        <w:ind w:left="1440" w:hanging="360"/>
      </w:pPr>
      <w:rPr>
        <w:rFonts w:ascii="Courier New" w:hAnsi="Courier New" w:hint="default"/>
      </w:rPr>
    </w:lvl>
    <w:lvl w:ilvl="2" w:tplc="49A6CEA6">
      <w:start w:val="1"/>
      <w:numFmt w:val="bullet"/>
      <w:lvlText w:val=""/>
      <w:lvlJc w:val="left"/>
      <w:pPr>
        <w:ind w:left="2160" w:hanging="360"/>
      </w:pPr>
      <w:rPr>
        <w:rFonts w:ascii="Wingdings" w:hAnsi="Wingdings" w:hint="default"/>
      </w:rPr>
    </w:lvl>
    <w:lvl w:ilvl="3" w:tplc="54941ECE">
      <w:start w:val="1"/>
      <w:numFmt w:val="bullet"/>
      <w:lvlText w:val=""/>
      <w:lvlJc w:val="left"/>
      <w:pPr>
        <w:ind w:left="2880" w:hanging="360"/>
      </w:pPr>
      <w:rPr>
        <w:rFonts w:ascii="Symbol" w:hAnsi="Symbol" w:hint="default"/>
      </w:rPr>
    </w:lvl>
    <w:lvl w:ilvl="4" w:tplc="3AA426EA">
      <w:start w:val="1"/>
      <w:numFmt w:val="bullet"/>
      <w:lvlText w:val="o"/>
      <w:lvlJc w:val="left"/>
      <w:pPr>
        <w:ind w:left="3600" w:hanging="360"/>
      </w:pPr>
      <w:rPr>
        <w:rFonts w:ascii="Courier New" w:hAnsi="Courier New" w:hint="default"/>
      </w:rPr>
    </w:lvl>
    <w:lvl w:ilvl="5" w:tplc="50EA8B78">
      <w:start w:val="1"/>
      <w:numFmt w:val="bullet"/>
      <w:lvlText w:val=""/>
      <w:lvlJc w:val="left"/>
      <w:pPr>
        <w:ind w:left="4320" w:hanging="360"/>
      </w:pPr>
      <w:rPr>
        <w:rFonts w:ascii="Wingdings" w:hAnsi="Wingdings" w:hint="default"/>
      </w:rPr>
    </w:lvl>
    <w:lvl w:ilvl="6" w:tplc="15A47BAA">
      <w:start w:val="1"/>
      <w:numFmt w:val="bullet"/>
      <w:lvlText w:val=""/>
      <w:lvlJc w:val="left"/>
      <w:pPr>
        <w:ind w:left="5040" w:hanging="360"/>
      </w:pPr>
      <w:rPr>
        <w:rFonts w:ascii="Symbol" w:hAnsi="Symbol" w:hint="default"/>
      </w:rPr>
    </w:lvl>
    <w:lvl w:ilvl="7" w:tplc="99F26C98">
      <w:start w:val="1"/>
      <w:numFmt w:val="bullet"/>
      <w:lvlText w:val="o"/>
      <w:lvlJc w:val="left"/>
      <w:pPr>
        <w:ind w:left="5760" w:hanging="360"/>
      </w:pPr>
      <w:rPr>
        <w:rFonts w:ascii="Courier New" w:hAnsi="Courier New" w:hint="default"/>
      </w:rPr>
    </w:lvl>
    <w:lvl w:ilvl="8" w:tplc="6D802170">
      <w:start w:val="1"/>
      <w:numFmt w:val="bullet"/>
      <w:lvlText w:val=""/>
      <w:lvlJc w:val="left"/>
      <w:pPr>
        <w:ind w:left="6480" w:hanging="360"/>
      </w:pPr>
      <w:rPr>
        <w:rFonts w:ascii="Wingdings" w:hAnsi="Wingdings" w:hint="default"/>
      </w:rPr>
    </w:lvl>
  </w:abstractNum>
  <w:abstractNum w:abstractNumId="23" w15:restartNumberingAfterBreak="0">
    <w:nsid w:val="39F3CCF8"/>
    <w:multiLevelType w:val="hybridMultilevel"/>
    <w:tmpl w:val="48123388"/>
    <w:lvl w:ilvl="0" w:tplc="52085BF2">
      <w:start w:val="1"/>
      <w:numFmt w:val="bullet"/>
      <w:lvlText w:val=""/>
      <w:lvlJc w:val="left"/>
      <w:pPr>
        <w:ind w:left="720" w:hanging="360"/>
      </w:pPr>
      <w:rPr>
        <w:rFonts w:ascii="Symbol" w:hAnsi="Symbol" w:hint="default"/>
      </w:rPr>
    </w:lvl>
    <w:lvl w:ilvl="1" w:tplc="E91EC25E">
      <w:start w:val="1"/>
      <w:numFmt w:val="bullet"/>
      <w:lvlText w:val="o"/>
      <w:lvlJc w:val="left"/>
      <w:pPr>
        <w:ind w:left="1440" w:hanging="360"/>
      </w:pPr>
      <w:rPr>
        <w:rFonts w:ascii="Courier New" w:hAnsi="Courier New" w:hint="default"/>
      </w:rPr>
    </w:lvl>
    <w:lvl w:ilvl="2" w:tplc="168C3768">
      <w:start w:val="1"/>
      <w:numFmt w:val="bullet"/>
      <w:lvlText w:val=""/>
      <w:lvlJc w:val="left"/>
      <w:pPr>
        <w:ind w:left="2160" w:hanging="360"/>
      </w:pPr>
      <w:rPr>
        <w:rFonts w:ascii="Wingdings" w:hAnsi="Wingdings" w:hint="default"/>
      </w:rPr>
    </w:lvl>
    <w:lvl w:ilvl="3" w:tplc="F8347ED2">
      <w:start w:val="1"/>
      <w:numFmt w:val="bullet"/>
      <w:lvlText w:val=""/>
      <w:lvlJc w:val="left"/>
      <w:pPr>
        <w:ind w:left="2880" w:hanging="360"/>
      </w:pPr>
      <w:rPr>
        <w:rFonts w:ascii="Symbol" w:hAnsi="Symbol" w:hint="default"/>
      </w:rPr>
    </w:lvl>
    <w:lvl w:ilvl="4" w:tplc="B6A6777A">
      <w:start w:val="1"/>
      <w:numFmt w:val="bullet"/>
      <w:lvlText w:val="o"/>
      <w:lvlJc w:val="left"/>
      <w:pPr>
        <w:ind w:left="3600" w:hanging="360"/>
      </w:pPr>
      <w:rPr>
        <w:rFonts w:ascii="Courier New" w:hAnsi="Courier New" w:hint="default"/>
      </w:rPr>
    </w:lvl>
    <w:lvl w:ilvl="5" w:tplc="27B820F8">
      <w:start w:val="1"/>
      <w:numFmt w:val="bullet"/>
      <w:lvlText w:val=""/>
      <w:lvlJc w:val="left"/>
      <w:pPr>
        <w:ind w:left="4320" w:hanging="360"/>
      </w:pPr>
      <w:rPr>
        <w:rFonts w:ascii="Wingdings" w:hAnsi="Wingdings" w:hint="default"/>
      </w:rPr>
    </w:lvl>
    <w:lvl w:ilvl="6" w:tplc="133C264A">
      <w:start w:val="1"/>
      <w:numFmt w:val="bullet"/>
      <w:lvlText w:val=""/>
      <w:lvlJc w:val="left"/>
      <w:pPr>
        <w:ind w:left="5040" w:hanging="360"/>
      </w:pPr>
      <w:rPr>
        <w:rFonts w:ascii="Symbol" w:hAnsi="Symbol" w:hint="default"/>
      </w:rPr>
    </w:lvl>
    <w:lvl w:ilvl="7" w:tplc="6FD48DA4">
      <w:start w:val="1"/>
      <w:numFmt w:val="bullet"/>
      <w:lvlText w:val="o"/>
      <w:lvlJc w:val="left"/>
      <w:pPr>
        <w:ind w:left="5760" w:hanging="360"/>
      </w:pPr>
      <w:rPr>
        <w:rFonts w:ascii="Courier New" w:hAnsi="Courier New" w:hint="default"/>
      </w:rPr>
    </w:lvl>
    <w:lvl w:ilvl="8" w:tplc="329AB4A0">
      <w:start w:val="1"/>
      <w:numFmt w:val="bullet"/>
      <w:lvlText w:val=""/>
      <w:lvlJc w:val="left"/>
      <w:pPr>
        <w:ind w:left="6480" w:hanging="360"/>
      </w:pPr>
      <w:rPr>
        <w:rFonts w:ascii="Wingdings" w:hAnsi="Wingdings" w:hint="default"/>
      </w:rPr>
    </w:lvl>
  </w:abstractNum>
  <w:abstractNum w:abstractNumId="24" w15:restartNumberingAfterBreak="0">
    <w:nsid w:val="3A7B9B1F"/>
    <w:multiLevelType w:val="hybridMultilevel"/>
    <w:tmpl w:val="57E2FDC6"/>
    <w:lvl w:ilvl="0" w:tplc="3710EB1E">
      <w:start w:val="1"/>
      <w:numFmt w:val="bullet"/>
      <w:lvlText w:val=""/>
      <w:lvlJc w:val="left"/>
      <w:pPr>
        <w:ind w:left="720" w:hanging="360"/>
      </w:pPr>
      <w:rPr>
        <w:rFonts w:ascii="Symbol" w:hAnsi="Symbol" w:hint="default"/>
      </w:rPr>
    </w:lvl>
    <w:lvl w:ilvl="1" w:tplc="89669FC8">
      <w:start w:val="1"/>
      <w:numFmt w:val="bullet"/>
      <w:lvlText w:val="o"/>
      <w:lvlJc w:val="left"/>
      <w:pPr>
        <w:ind w:left="1440" w:hanging="360"/>
      </w:pPr>
      <w:rPr>
        <w:rFonts w:ascii="Courier New" w:hAnsi="Courier New" w:hint="default"/>
      </w:rPr>
    </w:lvl>
    <w:lvl w:ilvl="2" w:tplc="234A2C4C">
      <w:start w:val="1"/>
      <w:numFmt w:val="bullet"/>
      <w:lvlText w:val=""/>
      <w:lvlJc w:val="left"/>
      <w:pPr>
        <w:ind w:left="2160" w:hanging="360"/>
      </w:pPr>
      <w:rPr>
        <w:rFonts w:ascii="Wingdings" w:hAnsi="Wingdings" w:hint="default"/>
      </w:rPr>
    </w:lvl>
    <w:lvl w:ilvl="3" w:tplc="E402A0E8">
      <w:start w:val="1"/>
      <w:numFmt w:val="bullet"/>
      <w:lvlText w:val=""/>
      <w:lvlJc w:val="left"/>
      <w:pPr>
        <w:ind w:left="2880" w:hanging="360"/>
      </w:pPr>
      <w:rPr>
        <w:rFonts w:ascii="Symbol" w:hAnsi="Symbol" w:hint="default"/>
      </w:rPr>
    </w:lvl>
    <w:lvl w:ilvl="4" w:tplc="5F24789C">
      <w:start w:val="1"/>
      <w:numFmt w:val="bullet"/>
      <w:lvlText w:val="o"/>
      <w:lvlJc w:val="left"/>
      <w:pPr>
        <w:ind w:left="3600" w:hanging="360"/>
      </w:pPr>
      <w:rPr>
        <w:rFonts w:ascii="Courier New" w:hAnsi="Courier New" w:hint="default"/>
      </w:rPr>
    </w:lvl>
    <w:lvl w:ilvl="5" w:tplc="5C5250F4">
      <w:start w:val="1"/>
      <w:numFmt w:val="bullet"/>
      <w:lvlText w:val=""/>
      <w:lvlJc w:val="left"/>
      <w:pPr>
        <w:ind w:left="4320" w:hanging="360"/>
      </w:pPr>
      <w:rPr>
        <w:rFonts w:ascii="Wingdings" w:hAnsi="Wingdings" w:hint="default"/>
      </w:rPr>
    </w:lvl>
    <w:lvl w:ilvl="6" w:tplc="264692AA">
      <w:start w:val="1"/>
      <w:numFmt w:val="bullet"/>
      <w:lvlText w:val=""/>
      <w:lvlJc w:val="left"/>
      <w:pPr>
        <w:ind w:left="5040" w:hanging="360"/>
      </w:pPr>
      <w:rPr>
        <w:rFonts w:ascii="Symbol" w:hAnsi="Symbol" w:hint="default"/>
      </w:rPr>
    </w:lvl>
    <w:lvl w:ilvl="7" w:tplc="E782F0F4">
      <w:start w:val="1"/>
      <w:numFmt w:val="bullet"/>
      <w:lvlText w:val="o"/>
      <w:lvlJc w:val="left"/>
      <w:pPr>
        <w:ind w:left="5760" w:hanging="360"/>
      </w:pPr>
      <w:rPr>
        <w:rFonts w:ascii="Courier New" w:hAnsi="Courier New" w:hint="default"/>
      </w:rPr>
    </w:lvl>
    <w:lvl w:ilvl="8" w:tplc="67660E64">
      <w:start w:val="1"/>
      <w:numFmt w:val="bullet"/>
      <w:lvlText w:val=""/>
      <w:lvlJc w:val="left"/>
      <w:pPr>
        <w:ind w:left="6480" w:hanging="360"/>
      </w:pPr>
      <w:rPr>
        <w:rFonts w:ascii="Wingdings" w:hAnsi="Wingdings" w:hint="default"/>
      </w:rPr>
    </w:lvl>
  </w:abstractNum>
  <w:abstractNum w:abstractNumId="25" w15:restartNumberingAfterBreak="0">
    <w:nsid w:val="3C2C214B"/>
    <w:multiLevelType w:val="multilevel"/>
    <w:tmpl w:val="E1481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59777E"/>
    <w:multiLevelType w:val="hybridMultilevel"/>
    <w:tmpl w:val="F78AEB28"/>
    <w:lvl w:ilvl="0" w:tplc="18090001">
      <w:start w:val="1"/>
      <w:numFmt w:val="bullet"/>
      <w:lvlText w:val=""/>
      <w:lvlJc w:val="left"/>
      <w:pPr>
        <w:ind w:left="720" w:hanging="360"/>
      </w:pPr>
      <w:rPr>
        <w:rFonts w:ascii="Symbol" w:hAnsi="Symbol" w:hint="default"/>
      </w:rPr>
    </w:lvl>
    <w:lvl w:ilvl="1" w:tplc="94888D08">
      <w:start w:val="1"/>
      <w:numFmt w:val="bullet"/>
      <w:lvlText w:val="o"/>
      <w:lvlJc w:val="left"/>
      <w:pPr>
        <w:ind w:left="1440" w:hanging="360"/>
      </w:pPr>
      <w:rPr>
        <w:rFonts w:ascii="Courier New" w:hAnsi="Courier New" w:hint="default"/>
      </w:rPr>
    </w:lvl>
    <w:lvl w:ilvl="2" w:tplc="1460264C" w:tentative="1">
      <w:start w:val="1"/>
      <w:numFmt w:val="bullet"/>
      <w:lvlText w:val=""/>
      <w:lvlJc w:val="left"/>
      <w:pPr>
        <w:ind w:left="2160" w:hanging="360"/>
      </w:pPr>
      <w:rPr>
        <w:rFonts w:ascii="Wingdings" w:hAnsi="Wingdings" w:hint="default"/>
      </w:rPr>
    </w:lvl>
    <w:lvl w:ilvl="3" w:tplc="A0B4CB5C" w:tentative="1">
      <w:start w:val="1"/>
      <w:numFmt w:val="bullet"/>
      <w:lvlText w:val=""/>
      <w:lvlJc w:val="left"/>
      <w:pPr>
        <w:ind w:left="2880" w:hanging="360"/>
      </w:pPr>
      <w:rPr>
        <w:rFonts w:ascii="Symbol" w:hAnsi="Symbol" w:hint="default"/>
      </w:rPr>
    </w:lvl>
    <w:lvl w:ilvl="4" w:tplc="1044663C" w:tentative="1">
      <w:start w:val="1"/>
      <w:numFmt w:val="bullet"/>
      <w:lvlText w:val="o"/>
      <w:lvlJc w:val="left"/>
      <w:pPr>
        <w:ind w:left="3600" w:hanging="360"/>
      </w:pPr>
      <w:rPr>
        <w:rFonts w:ascii="Courier New" w:hAnsi="Courier New" w:hint="default"/>
      </w:rPr>
    </w:lvl>
    <w:lvl w:ilvl="5" w:tplc="6E88F464" w:tentative="1">
      <w:start w:val="1"/>
      <w:numFmt w:val="bullet"/>
      <w:lvlText w:val=""/>
      <w:lvlJc w:val="left"/>
      <w:pPr>
        <w:ind w:left="4320" w:hanging="360"/>
      </w:pPr>
      <w:rPr>
        <w:rFonts w:ascii="Wingdings" w:hAnsi="Wingdings" w:hint="default"/>
      </w:rPr>
    </w:lvl>
    <w:lvl w:ilvl="6" w:tplc="4E441F5C" w:tentative="1">
      <w:start w:val="1"/>
      <w:numFmt w:val="bullet"/>
      <w:lvlText w:val=""/>
      <w:lvlJc w:val="left"/>
      <w:pPr>
        <w:ind w:left="5040" w:hanging="360"/>
      </w:pPr>
      <w:rPr>
        <w:rFonts w:ascii="Symbol" w:hAnsi="Symbol" w:hint="default"/>
      </w:rPr>
    </w:lvl>
    <w:lvl w:ilvl="7" w:tplc="8DA44ECA" w:tentative="1">
      <w:start w:val="1"/>
      <w:numFmt w:val="bullet"/>
      <w:lvlText w:val="o"/>
      <w:lvlJc w:val="left"/>
      <w:pPr>
        <w:ind w:left="5760" w:hanging="360"/>
      </w:pPr>
      <w:rPr>
        <w:rFonts w:ascii="Courier New" w:hAnsi="Courier New" w:hint="default"/>
      </w:rPr>
    </w:lvl>
    <w:lvl w:ilvl="8" w:tplc="FE080C2A" w:tentative="1">
      <w:start w:val="1"/>
      <w:numFmt w:val="bullet"/>
      <w:lvlText w:val=""/>
      <w:lvlJc w:val="left"/>
      <w:pPr>
        <w:ind w:left="6480" w:hanging="360"/>
      </w:pPr>
      <w:rPr>
        <w:rFonts w:ascii="Wingdings" w:hAnsi="Wingdings" w:hint="default"/>
      </w:rPr>
    </w:lvl>
  </w:abstractNum>
  <w:abstractNum w:abstractNumId="27" w15:restartNumberingAfterBreak="0">
    <w:nsid w:val="476C34AD"/>
    <w:multiLevelType w:val="multilevel"/>
    <w:tmpl w:val="3B3CF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CE5B0D"/>
    <w:multiLevelType w:val="hybridMultilevel"/>
    <w:tmpl w:val="75C6BFE4"/>
    <w:lvl w:ilvl="0" w:tplc="D0D06422">
      <w:start w:val="1"/>
      <w:numFmt w:val="bullet"/>
      <w:lvlText w:val=""/>
      <w:lvlJc w:val="left"/>
      <w:pPr>
        <w:ind w:left="720" w:hanging="360"/>
      </w:pPr>
      <w:rPr>
        <w:rFonts w:ascii="Symbol" w:hAnsi="Symbol" w:hint="default"/>
      </w:rPr>
    </w:lvl>
    <w:lvl w:ilvl="1" w:tplc="037E6A10" w:tentative="1">
      <w:start w:val="1"/>
      <w:numFmt w:val="bullet"/>
      <w:lvlText w:val="o"/>
      <w:lvlJc w:val="left"/>
      <w:pPr>
        <w:ind w:left="1440" w:hanging="360"/>
      </w:pPr>
      <w:rPr>
        <w:rFonts w:ascii="Courier New" w:hAnsi="Courier New" w:hint="default"/>
      </w:rPr>
    </w:lvl>
    <w:lvl w:ilvl="2" w:tplc="3FF0634A" w:tentative="1">
      <w:start w:val="1"/>
      <w:numFmt w:val="bullet"/>
      <w:lvlText w:val=""/>
      <w:lvlJc w:val="left"/>
      <w:pPr>
        <w:ind w:left="2160" w:hanging="360"/>
      </w:pPr>
      <w:rPr>
        <w:rFonts w:ascii="Wingdings" w:hAnsi="Wingdings" w:hint="default"/>
      </w:rPr>
    </w:lvl>
    <w:lvl w:ilvl="3" w:tplc="7400BE7A" w:tentative="1">
      <w:start w:val="1"/>
      <w:numFmt w:val="bullet"/>
      <w:lvlText w:val=""/>
      <w:lvlJc w:val="left"/>
      <w:pPr>
        <w:ind w:left="2880" w:hanging="360"/>
      </w:pPr>
      <w:rPr>
        <w:rFonts w:ascii="Symbol" w:hAnsi="Symbol" w:hint="default"/>
      </w:rPr>
    </w:lvl>
    <w:lvl w:ilvl="4" w:tplc="BEECF694" w:tentative="1">
      <w:start w:val="1"/>
      <w:numFmt w:val="bullet"/>
      <w:lvlText w:val="o"/>
      <w:lvlJc w:val="left"/>
      <w:pPr>
        <w:ind w:left="3600" w:hanging="360"/>
      </w:pPr>
      <w:rPr>
        <w:rFonts w:ascii="Courier New" w:hAnsi="Courier New" w:hint="default"/>
      </w:rPr>
    </w:lvl>
    <w:lvl w:ilvl="5" w:tplc="2D28E688" w:tentative="1">
      <w:start w:val="1"/>
      <w:numFmt w:val="bullet"/>
      <w:lvlText w:val=""/>
      <w:lvlJc w:val="left"/>
      <w:pPr>
        <w:ind w:left="4320" w:hanging="360"/>
      </w:pPr>
      <w:rPr>
        <w:rFonts w:ascii="Wingdings" w:hAnsi="Wingdings" w:hint="default"/>
      </w:rPr>
    </w:lvl>
    <w:lvl w:ilvl="6" w:tplc="9078D688" w:tentative="1">
      <w:start w:val="1"/>
      <w:numFmt w:val="bullet"/>
      <w:lvlText w:val=""/>
      <w:lvlJc w:val="left"/>
      <w:pPr>
        <w:ind w:left="5040" w:hanging="360"/>
      </w:pPr>
      <w:rPr>
        <w:rFonts w:ascii="Symbol" w:hAnsi="Symbol" w:hint="default"/>
      </w:rPr>
    </w:lvl>
    <w:lvl w:ilvl="7" w:tplc="DA12915C" w:tentative="1">
      <w:start w:val="1"/>
      <w:numFmt w:val="bullet"/>
      <w:lvlText w:val="o"/>
      <w:lvlJc w:val="left"/>
      <w:pPr>
        <w:ind w:left="5760" w:hanging="360"/>
      </w:pPr>
      <w:rPr>
        <w:rFonts w:ascii="Courier New" w:hAnsi="Courier New" w:hint="default"/>
      </w:rPr>
    </w:lvl>
    <w:lvl w:ilvl="8" w:tplc="165417F6" w:tentative="1">
      <w:start w:val="1"/>
      <w:numFmt w:val="bullet"/>
      <w:lvlText w:val=""/>
      <w:lvlJc w:val="left"/>
      <w:pPr>
        <w:ind w:left="6480" w:hanging="360"/>
      </w:pPr>
      <w:rPr>
        <w:rFonts w:ascii="Wingdings" w:hAnsi="Wingdings" w:hint="default"/>
      </w:rPr>
    </w:lvl>
  </w:abstractNum>
  <w:abstractNum w:abstractNumId="29" w15:restartNumberingAfterBreak="0">
    <w:nsid w:val="4BE5544C"/>
    <w:multiLevelType w:val="hybridMultilevel"/>
    <w:tmpl w:val="8078EB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13F2936"/>
    <w:multiLevelType w:val="multilevel"/>
    <w:tmpl w:val="5892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22514A"/>
    <w:multiLevelType w:val="multilevel"/>
    <w:tmpl w:val="9A06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82254B"/>
    <w:multiLevelType w:val="hybridMultilevel"/>
    <w:tmpl w:val="CA3C0262"/>
    <w:lvl w:ilvl="0" w:tplc="5ED0D628">
      <w:start w:val="1"/>
      <w:numFmt w:val="bullet"/>
      <w:lvlText w:val=""/>
      <w:lvlJc w:val="left"/>
      <w:pPr>
        <w:ind w:left="720" w:hanging="360"/>
      </w:pPr>
      <w:rPr>
        <w:rFonts w:ascii="Symbol" w:hAnsi="Symbol" w:hint="default"/>
      </w:rPr>
    </w:lvl>
    <w:lvl w:ilvl="1" w:tplc="6CD6C9F2" w:tentative="1">
      <w:start w:val="1"/>
      <w:numFmt w:val="bullet"/>
      <w:lvlText w:val="o"/>
      <w:lvlJc w:val="left"/>
      <w:pPr>
        <w:ind w:left="1440" w:hanging="360"/>
      </w:pPr>
      <w:rPr>
        <w:rFonts w:ascii="Courier New" w:hAnsi="Courier New" w:hint="default"/>
      </w:rPr>
    </w:lvl>
    <w:lvl w:ilvl="2" w:tplc="E03C1F82" w:tentative="1">
      <w:start w:val="1"/>
      <w:numFmt w:val="bullet"/>
      <w:lvlText w:val=""/>
      <w:lvlJc w:val="left"/>
      <w:pPr>
        <w:ind w:left="2160" w:hanging="360"/>
      </w:pPr>
      <w:rPr>
        <w:rFonts w:ascii="Wingdings" w:hAnsi="Wingdings" w:hint="default"/>
      </w:rPr>
    </w:lvl>
    <w:lvl w:ilvl="3" w:tplc="1F683D82" w:tentative="1">
      <w:start w:val="1"/>
      <w:numFmt w:val="bullet"/>
      <w:lvlText w:val=""/>
      <w:lvlJc w:val="left"/>
      <w:pPr>
        <w:ind w:left="2880" w:hanging="360"/>
      </w:pPr>
      <w:rPr>
        <w:rFonts w:ascii="Symbol" w:hAnsi="Symbol" w:hint="default"/>
      </w:rPr>
    </w:lvl>
    <w:lvl w:ilvl="4" w:tplc="FAFC52E8" w:tentative="1">
      <w:start w:val="1"/>
      <w:numFmt w:val="bullet"/>
      <w:lvlText w:val="o"/>
      <w:lvlJc w:val="left"/>
      <w:pPr>
        <w:ind w:left="3600" w:hanging="360"/>
      </w:pPr>
      <w:rPr>
        <w:rFonts w:ascii="Courier New" w:hAnsi="Courier New" w:hint="default"/>
      </w:rPr>
    </w:lvl>
    <w:lvl w:ilvl="5" w:tplc="F6FCD97E" w:tentative="1">
      <w:start w:val="1"/>
      <w:numFmt w:val="bullet"/>
      <w:lvlText w:val=""/>
      <w:lvlJc w:val="left"/>
      <w:pPr>
        <w:ind w:left="4320" w:hanging="360"/>
      </w:pPr>
      <w:rPr>
        <w:rFonts w:ascii="Wingdings" w:hAnsi="Wingdings" w:hint="default"/>
      </w:rPr>
    </w:lvl>
    <w:lvl w:ilvl="6" w:tplc="33780DB6" w:tentative="1">
      <w:start w:val="1"/>
      <w:numFmt w:val="bullet"/>
      <w:lvlText w:val=""/>
      <w:lvlJc w:val="left"/>
      <w:pPr>
        <w:ind w:left="5040" w:hanging="360"/>
      </w:pPr>
      <w:rPr>
        <w:rFonts w:ascii="Symbol" w:hAnsi="Symbol" w:hint="default"/>
      </w:rPr>
    </w:lvl>
    <w:lvl w:ilvl="7" w:tplc="63C861EE" w:tentative="1">
      <w:start w:val="1"/>
      <w:numFmt w:val="bullet"/>
      <w:lvlText w:val="o"/>
      <w:lvlJc w:val="left"/>
      <w:pPr>
        <w:ind w:left="5760" w:hanging="360"/>
      </w:pPr>
      <w:rPr>
        <w:rFonts w:ascii="Courier New" w:hAnsi="Courier New" w:hint="default"/>
      </w:rPr>
    </w:lvl>
    <w:lvl w:ilvl="8" w:tplc="40403126" w:tentative="1">
      <w:start w:val="1"/>
      <w:numFmt w:val="bullet"/>
      <w:lvlText w:val=""/>
      <w:lvlJc w:val="left"/>
      <w:pPr>
        <w:ind w:left="6480" w:hanging="360"/>
      </w:pPr>
      <w:rPr>
        <w:rFonts w:ascii="Wingdings" w:hAnsi="Wingdings" w:hint="default"/>
      </w:rPr>
    </w:lvl>
  </w:abstractNum>
  <w:abstractNum w:abstractNumId="33" w15:restartNumberingAfterBreak="0">
    <w:nsid w:val="5E6F56B0"/>
    <w:multiLevelType w:val="hybridMultilevel"/>
    <w:tmpl w:val="FFFFFFFF"/>
    <w:lvl w:ilvl="0" w:tplc="28301476">
      <w:start w:val="1"/>
      <w:numFmt w:val="bullet"/>
      <w:lvlText w:val="-"/>
      <w:lvlJc w:val="left"/>
      <w:pPr>
        <w:ind w:left="720" w:hanging="360"/>
      </w:pPr>
      <w:rPr>
        <w:rFonts w:ascii="Aptos" w:hAnsi="Aptos" w:hint="default"/>
      </w:rPr>
    </w:lvl>
    <w:lvl w:ilvl="1" w:tplc="6ED099DA">
      <w:start w:val="1"/>
      <w:numFmt w:val="bullet"/>
      <w:lvlText w:val="o"/>
      <w:lvlJc w:val="left"/>
      <w:pPr>
        <w:ind w:left="1440" w:hanging="360"/>
      </w:pPr>
      <w:rPr>
        <w:rFonts w:ascii="Courier New" w:hAnsi="Courier New" w:hint="default"/>
      </w:rPr>
    </w:lvl>
    <w:lvl w:ilvl="2" w:tplc="ADF8A0FE">
      <w:start w:val="1"/>
      <w:numFmt w:val="bullet"/>
      <w:lvlText w:val=""/>
      <w:lvlJc w:val="left"/>
      <w:pPr>
        <w:ind w:left="2160" w:hanging="360"/>
      </w:pPr>
      <w:rPr>
        <w:rFonts w:ascii="Wingdings" w:hAnsi="Wingdings" w:hint="default"/>
      </w:rPr>
    </w:lvl>
    <w:lvl w:ilvl="3" w:tplc="DFFA30B0">
      <w:start w:val="1"/>
      <w:numFmt w:val="bullet"/>
      <w:lvlText w:val=""/>
      <w:lvlJc w:val="left"/>
      <w:pPr>
        <w:ind w:left="2880" w:hanging="360"/>
      </w:pPr>
      <w:rPr>
        <w:rFonts w:ascii="Symbol" w:hAnsi="Symbol" w:hint="default"/>
      </w:rPr>
    </w:lvl>
    <w:lvl w:ilvl="4" w:tplc="5A5AB082">
      <w:start w:val="1"/>
      <w:numFmt w:val="bullet"/>
      <w:lvlText w:val="o"/>
      <w:lvlJc w:val="left"/>
      <w:pPr>
        <w:ind w:left="3600" w:hanging="360"/>
      </w:pPr>
      <w:rPr>
        <w:rFonts w:ascii="Courier New" w:hAnsi="Courier New" w:hint="default"/>
      </w:rPr>
    </w:lvl>
    <w:lvl w:ilvl="5" w:tplc="EB9AF1A4">
      <w:start w:val="1"/>
      <w:numFmt w:val="bullet"/>
      <w:lvlText w:val=""/>
      <w:lvlJc w:val="left"/>
      <w:pPr>
        <w:ind w:left="4320" w:hanging="360"/>
      </w:pPr>
      <w:rPr>
        <w:rFonts w:ascii="Wingdings" w:hAnsi="Wingdings" w:hint="default"/>
      </w:rPr>
    </w:lvl>
    <w:lvl w:ilvl="6" w:tplc="D8803272">
      <w:start w:val="1"/>
      <w:numFmt w:val="bullet"/>
      <w:lvlText w:val=""/>
      <w:lvlJc w:val="left"/>
      <w:pPr>
        <w:ind w:left="5040" w:hanging="360"/>
      </w:pPr>
      <w:rPr>
        <w:rFonts w:ascii="Symbol" w:hAnsi="Symbol" w:hint="default"/>
      </w:rPr>
    </w:lvl>
    <w:lvl w:ilvl="7" w:tplc="8DE6262E">
      <w:start w:val="1"/>
      <w:numFmt w:val="bullet"/>
      <w:lvlText w:val="o"/>
      <w:lvlJc w:val="left"/>
      <w:pPr>
        <w:ind w:left="5760" w:hanging="360"/>
      </w:pPr>
      <w:rPr>
        <w:rFonts w:ascii="Courier New" w:hAnsi="Courier New" w:hint="default"/>
      </w:rPr>
    </w:lvl>
    <w:lvl w:ilvl="8" w:tplc="2A369EF6">
      <w:start w:val="1"/>
      <w:numFmt w:val="bullet"/>
      <w:lvlText w:val=""/>
      <w:lvlJc w:val="left"/>
      <w:pPr>
        <w:ind w:left="6480" w:hanging="360"/>
      </w:pPr>
      <w:rPr>
        <w:rFonts w:ascii="Wingdings" w:hAnsi="Wingdings" w:hint="default"/>
      </w:rPr>
    </w:lvl>
  </w:abstractNum>
  <w:abstractNum w:abstractNumId="34" w15:restartNumberingAfterBreak="0">
    <w:nsid w:val="639F0FFA"/>
    <w:multiLevelType w:val="hybridMultilevel"/>
    <w:tmpl w:val="8078EB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3A55F5F"/>
    <w:multiLevelType w:val="hybridMultilevel"/>
    <w:tmpl w:val="FFFFFFFF"/>
    <w:lvl w:ilvl="0" w:tplc="FFD06378">
      <w:start w:val="1"/>
      <w:numFmt w:val="bullet"/>
      <w:lvlText w:val="·"/>
      <w:lvlJc w:val="left"/>
      <w:pPr>
        <w:ind w:left="720" w:hanging="360"/>
      </w:pPr>
      <w:rPr>
        <w:rFonts w:ascii="Symbol" w:hAnsi="Symbol" w:hint="default"/>
      </w:rPr>
    </w:lvl>
    <w:lvl w:ilvl="1" w:tplc="7466FFBE">
      <w:start w:val="1"/>
      <w:numFmt w:val="bullet"/>
      <w:lvlText w:val="o"/>
      <w:lvlJc w:val="left"/>
      <w:pPr>
        <w:ind w:left="1440" w:hanging="360"/>
      </w:pPr>
      <w:rPr>
        <w:rFonts w:ascii="Courier New" w:hAnsi="Courier New" w:hint="default"/>
      </w:rPr>
    </w:lvl>
    <w:lvl w:ilvl="2" w:tplc="BC685748">
      <w:start w:val="1"/>
      <w:numFmt w:val="bullet"/>
      <w:lvlText w:val=""/>
      <w:lvlJc w:val="left"/>
      <w:pPr>
        <w:ind w:left="2160" w:hanging="360"/>
      </w:pPr>
      <w:rPr>
        <w:rFonts w:ascii="Wingdings" w:hAnsi="Wingdings" w:hint="default"/>
      </w:rPr>
    </w:lvl>
    <w:lvl w:ilvl="3" w:tplc="FAE48060">
      <w:start w:val="1"/>
      <w:numFmt w:val="bullet"/>
      <w:lvlText w:val=""/>
      <w:lvlJc w:val="left"/>
      <w:pPr>
        <w:ind w:left="2880" w:hanging="360"/>
      </w:pPr>
      <w:rPr>
        <w:rFonts w:ascii="Symbol" w:hAnsi="Symbol" w:hint="default"/>
      </w:rPr>
    </w:lvl>
    <w:lvl w:ilvl="4" w:tplc="46021BAE">
      <w:start w:val="1"/>
      <w:numFmt w:val="bullet"/>
      <w:lvlText w:val="o"/>
      <w:lvlJc w:val="left"/>
      <w:pPr>
        <w:ind w:left="3600" w:hanging="360"/>
      </w:pPr>
      <w:rPr>
        <w:rFonts w:ascii="Courier New" w:hAnsi="Courier New" w:hint="default"/>
      </w:rPr>
    </w:lvl>
    <w:lvl w:ilvl="5" w:tplc="2C66C428">
      <w:start w:val="1"/>
      <w:numFmt w:val="bullet"/>
      <w:lvlText w:val=""/>
      <w:lvlJc w:val="left"/>
      <w:pPr>
        <w:ind w:left="4320" w:hanging="360"/>
      </w:pPr>
      <w:rPr>
        <w:rFonts w:ascii="Wingdings" w:hAnsi="Wingdings" w:hint="default"/>
      </w:rPr>
    </w:lvl>
    <w:lvl w:ilvl="6" w:tplc="D6D8A3C2">
      <w:start w:val="1"/>
      <w:numFmt w:val="bullet"/>
      <w:lvlText w:val=""/>
      <w:lvlJc w:val="left"/>
      <w:pPr>
        <w:ind w:left="5040" w:hanging="360"/>
      </w:pPr>
      <w:rPr>
        <w:rFonts w:ascii="Symbol" w:hAnsi="Symbol" w:hint="default"/>
      </w:rPr>
    </w:lvl>
    <w:lvl w:ilvl="7" w:tplc="C632E3EC">
      <w:start w:val="1"/>
      <w:numFmt w:val="bullet"/>
      <w:lvlText w:val="o"/>
      <w:lvlJc w:val="left"/>
      <w:pPr>
        <w:ind w:left="5760" w:hanging="360"/>
      </w:pPr>
      <w:rPr>
        <w:rFonts w:ascii="Courier New" w:hAnsi="Courier New" w:hint="default"/>
      </w:rPr>
    </w:lvl>
    <w:lvl w:ilvl="8" w:tplc="737CE7FE">
      <w:start w:val="1"/>
      <w:numFmt w:val="bullet"/>
      <w:lvlText w:val=""/>
      <w:lvlJc w:val="left"/>
      <w:pPr>
        <w:ind w:left="6480" w:hanging="360"/>
      </w:pPr>
      <w:rPr>
        <w:rFonts w:ascii="Wingdings" w:hAnsi="Wingdings" w:hint="default"/>
      </w:rPr>
    </w:lvl>
  </w:abstractNum>
  <w:abstractNum w:abstractNumId="36" w15:restartNumberingAfterBreak="0">
    <w:nsid w:val="64166A26"/>
    <w:multiLevelType w:val="hybridMultilevel"/>
    <w:tmpl w:val="AADE77A4"/>
    <w:lvl w:ilvl="0" w:tplc="1F4603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51F1B2B"/>
    <w:multiLevelType w:val="hybridMultilevel"/>
    <w:tmpl w:val="DE2AAA30"/>
    <w:lvl w:ilvl="0" w:tplc="8ADA41CA">
      <w:numFmt w:val="bullet"/>
      <w:lvlText w:val="-"/>
      <w:lvlJc w:val="left"/>
      <w:pPr>
        <w:ind w:left="1800" w:hanging="360"/>
      </w:pPr>
      <w:rPr>
        <w:rFonts w:ascii="Aptos" w:hAnsi="Aptos" w:hint="default"/>
      </w:rPr>
    </w:lvl>
    <w:lvl w:ilvl="1" w:tplc="493E4B02">
      <w:start w:val="1"/>
      <w:numFmt w:val="bullet"/>
      <w:lvlText w:val="o"/>
      <w:lvlJc w:val="left"/>
      <w:pPr>
        <w:ind w:left="2520" w:hanging="360"/>
      </w:pPr>
      <w:rPr>
        <w:rFonts w:ascii="Courier New" w:hAnsi="Courier New" w:hint="default"/>
      </w:rPr>
    </w:lvl>
    <w:lvl w:ilvl="2" w:tplc="0434BC5A">
      <w:start w:val="1"/>
      <w:numFmt w:val="bullet"/>
      <w:lvlText w:val=""/>
      <w:lvlJc w:val="left"/>
      <w:pPr>
        <w:ind w:left="3240" w:hanging="360"/>
      </w:pPr>
      <w:rPr>
        <w:rFonts w:ascii="Wingdings" w:hAnsi="Wingdings" w:hint="default"/>
      </w:rPr>
    </w:lvl>
    <w:lvl w:ilvl="3" w:tplc="6E22908E">
      <w:start w:val="1"/>
      <w:numFmt w:val="bullet"/>
      <w:lvlText w:val=""/>
      <w:lvlJc w:val="left"/>
      <w:pPr>
        <w:ind w:left="3960" w:hanging="360"/>
      </w:pPr>
      <w:rPr>
        <w:rFonts w:ascii="Symbol" w:hAnsi="Symbol" w:hint="default"/>
      </w:rPr>
    </w:lvl>
    <w:lvl w:ilvl="4" w:tplc="20A81C24">
      <w:start w:val="1"/>
      <w:numFmt w:val="bullet"/>
      <w:lvlText w:val="o"/>
      <w:lvlJc w:val="left"/>
      <w:pPr>
        <w:ind w:left="4680" w:hanging="360"/>
      </w:pPr>
      <w:rPr>
        <w:rFonts w:ascii="Courier New" w:hAnsi="Courier New" w:hint="default"/>
      </w:rPr>
    </w:lvl>
    <w:lvl w:ilvl="5" w:tplc="1BF2992E">
      <w:start w:val="1"/>
      <w:numFmt w:val="bullet"/>
      <w:lvlText w:val=""/>
      <w:lvlJc w:val="left"/>
      <w:pPr>
        <w:ind w:left="5400" w:hanging="360"/>
      </w:pPr>
      <w:rPr>
        <w:rFonts w:ascii="Wingdings" w:hAnsi="Wingdings" w:hint="default"/>
      </w:rPr>
    </w:lvl>
    <w:lvl w:ilvl="6" w:tplc="E08CE3B2">
      <w:start w:val="1"/>
      <w:numFmt w:val="bullet"/>
      <w:lvlText w:val=""/>
      <w:lvlJc w:val="left"/>
      <w:pPr>
        <w:ind w:left="6120" w:hanging="360"/>
      </w:pPr>
      <w:rPr>
        <w:rFonts w:ascii="Symbol" w:hAnsi="Symbol" w:hint="default"/>
      </w:rPr>
    </w:lvl>
    <w:lvl w:ilvl="7" w:tplc="D5E08ABA">
      <w:start w:val="1"/>
      <w:numFmt w:val="bullet"/>
      <w:lvlText w:val="o"/>
      <w:lvlJc w:val="left"/>
      <w:pPr>
        <w:ind w:left="6840" w:hanging="360"/>
      </w:pPr>
      <w:rPr>
        <w:rFonts w:ascii="Courier New" w:hAnsi="Courier New" w:hint="default"/>
      </w:rPr>
    </w:lvl>
    <w:lvl w:ilvl="8" w:tplc="AA142AF4">
      <w:start w:val="1"/>
      <w:numFmt w:val="bullet"/>
      <w:lvlText w:val=""/>
      <w:lvlJc w:val="left"/>
      <w:pPr>
        <w:ind w:left="7560" w:hanging="360"/>
      </w:pPr>
      <w:rPr>
        <w:rFonts w:ascii="Wingdings" w:hAnsi="Wingdings" w:hint="default"/>
      </w:rPr>
    </w:lvl>
  </w:abstractNum>
  <w:abstractNum w:abstractNumId="38" w15:restartNumberingAfterBreak="0">
    <w:nsid w:val="70012E14"/>
    <w:multiLevelType w:val="multilevel"/>
    <w:tmpl w:val="23AA91D0"/>
    <w:lvl w:ilvl="0">
      <w:start w:val="1"/>
      <w:numFmt w:val="lowerRoman"/>
      <w:lvlText w:val="%1."/>
      <w:lvlJc w:val="righ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hint="default"/>
      </w:rPr>
    </w:lvl>
    <w:lvl w:ilvl="3">
      <w:start w:val="1"/>
      <w:numFmt w:val="bullet"/>
      <w:lvlText w:val=""/>
      <w:lvlJc w:val="left"/>
      <w:pPr>
        <w:tabs>
          <w:tab w:val="num" w:pos="2835"/>
        </w:tabs>
        <w:ind w:left="2835" w:hanging="709"/>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76B7260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82D3408"/>
    <w:multiLevelType w:val="hybridMultilevel"/>
    <w:tmpl w:val="901AAC10"/>
    <w:lvl w:ilvl="0" w:tplc="1DDAADBA">
      <w:start w:val="1"/>
      <w:numFmt w:val="bullet"/>
      <w:lvlText w:val=""/>
      <w:lvlJc w:val="left"/>
      <w:pPr>
        <w:ind w:left="720" w:hanging="360"/>
      </w:pPr>
      <w:rPr>
        <w:rFonts w:ascii="Symbol" w:hAnsi="Symbol" w:hint="default"/>
      </w:rPr>
    </w:lvl>
    <w:lvl w:ilvl="1" w:tplc="5204E178" w:tentative="1">
      <w:start w:val="1"/>
      <w:numFmt w:val="bullet"/>
      <w:lvlText w:val="o"/>
      <w:lvlJc w:val="left"/>
      <w:pPr>
        <w:ind w:left="1440" w:hanging="360"/>
      </w:pPr>
      <w:rPr>
        <w:rFonts w:ascii="Courier New" w:hAnsi="Courier New" w:hint="default"/>
      </w:rPr>
    </w:lvl>
    <w:lvl w:ilvl="2" w:tplc="3A8A1C32" w:tentative="1">
      <w:start w:val="1"/>
      <w:numFmt w:val="bullet"/>
      <w:lvlText w:val=""/>
      <w:lvlJc w:val="left"/>
      <w:pPr>
        <w:ind w:left="2160" w:hanging="360"/>
      </w:pPr>
      <w:rPr>
        <w:rFonts w:ascii="Wingdings" w:hAnsi="Wingdings" w:hint="default"/>
      </w:rPr>
    </w:lvl>
    <w:lvl w:ilvl="3" w:tplc="F704FCD6" w:tentative="1">
      <w:start w:val="1"/>
      <w:numFmt w:val="bullet"/>
      <w:lvlText w:val=""/>
      <w:lvlJc w:val="left"/>
      <w:pPr>
        <w:ind w:left="2880" w:hanging="360"/>
      </w:pPr>
      <w:rPr>
        <w:rFonts w:ascii="Symbol" w:hAnsi="Symbol" w:hint="default"/>
      </w:rPr>
    </w:lvl>
    <w:lvl w:ilvl="4" w:tplc="4C2EF3EC" w:tentative="1">
      <w:start w:val="1"/>
      <w:numFmt w:val="bullet"/>
      <w:lvlText w:val="o"/>
      <w:lvlJc w:val="left"/>
      <w:pPr>
        <w:ind w:left="3600" w:hanging="360"/>
      </w:pPr>
      <w:rPr>
        <w:rFonts w:ascii="Courier New" w:hAnsi="Courier New" w:hint="default"/>
      </w:rPr>
    </w:lvl>
    <w:lvl w:ilvl="5" w:tplc="26366334" w:tentative="1">
      <w:start w:val="1"/>
      <w:numFmt w:val="bullet"/>
      <w:lvlText w:val=""/>
      <w:lvlJc w:val="left"/>
      <w:pPr>
        <w:ind w:left="4320" w:hanging="360"/>
      </w:pPr>
      <w:rPr>
        <w:rFonts w:ascii="Wingdings" w:hAnsi="Wingdings" w:hint="default"/>
      </w:rPr>
    </w:lvl>
    <w:lvl w:ilvl="6" w:tplc="42F052FE" w:tentative="1">
      <w:start w:val="1"/>
      <w:numFmt w:val="bullet"/>
      <w:lvlText w:val=""/>
      <w:lvlJc w:val="left"/>
      <w:pPr>
        <w:ind w:left="5040" w:hanging="360"/>
      </w:pPr>
      <w:rPr>
        <w:rFonts w:ascii="Symbol" w:hAnsi="Symbol" w:hint="default"/>
      </w:rPr>
    </w:lvl>
    <w:lvl w:ilvl="7" w:tplc="72B06E00" w:tentative="1">
      <w:start w:val="1"/>
      <w:numFmt w:val="bullet"/>
      <w:lvlText w:val="o"/>
      <w:lvlJc w:val="left"/>
      <w:pPr>
        <w:ind w:left="5760" w:hanging="360"/>
      </w:pPr>
      <w:rPr>
        <w:rFonts w:ascii="Courier New" w:hAnsi="Courier New" w:hint="default"/>
      </w:rPr>
    </w:lvl>
    <w:lvl w:ilvl="8" w:tplc="7FA6A0EA" w:tentative="1">
      <w:start w:val="1"/>
      <w:numFmt w:val="bullet"/>
      <w:lvlText w:val=""/>
      <w:lvlJc w:val="left"/>
      <w:pPr>
        <w:ind w:left="6480" w:hanging="360"/>
      </w:pPr>
      <w:rPr>
        <w:rFonts w:ascii="Wingdings" w:hAnsi="Wingdings" w:hint="default"/>
      </w:rPr>
    </w:lvl>
  </w:abstractNum>
  <w:abstractNum w:abstractNumId="41" w15:restartNumberingAfterBreak="0">
    <w:nsid w:val="7892550A"/>
    <w:multiLevelType w:val="hybridMultilevel"/>
    <w:tmpl w:val="3A3C617A"/>
    <w:lvl w:ilvl="0" w:tplc="1809001B">
      <w:start w:val="1"/>
      <w:numFmt w:val="lowerRoman"/>
      <w:lvlText w:val="%1."/>
      <w:lvlJc w:val="righ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42" w15:restartNumberingAfterBreak="0">
    <w:nsid w:val="7AFB3B5D"/>
    <w:multiLevelType w:val="hybridMultilevel"/>
    <w:tmpl w:val="1C682632"/>
    <w:lvl w:ilvl="0" w:tplc="D9A8A872">
      <w:start w:val="1"/>
      <w:numFmt w:val="bullet"/>
      <w:lvlText w:val="o"/>
      <w:lvlJc w:val="left"/>
      <w:pPr>
        <w:ind w:left="720" w:hanging="360"/>
      </w:pPr>
      <w:rPr>
        <w:rFonts w:ascii="Courier New" w:hAnsi="Courier New" w:hint="default"/>
      </w:rPr>
    </w:lvl>
    <w:lvl w:ilvl="1" w:tplc="B05E9B72">
      <w:start w:val="1"/>
      <w:numFmt w:val="bullet"/>
      <w:lvlText w:val="o"/>
      <w:lvlJc w:val="left"/>
      <w:pPr>
        <w:ind w:left="1440" w:hanging="360"/>
      </w:pPr>
      <w:rPr>
        <w:rFonts w:ascii="Courier New" w:hAnsi="Courier New" w:hint="default"/>
      </w:rPr>
    </w:lvl>
    <w:lvl w:ilvl="2" w:tplc="0EE4B970" w:tentative="1">
      <w:start w:val="1"/>
      <w:numFmt w:val="bullet"/>
      <w:lvlText w:val=""/>
      <w:lvlJc w:val="left"/>
      <w:pPr>
        <w:ind w:left="2160" w:hanging="360"/>
      </w:pPr>
      <w:rPr>
        <w:rFonts w:ascii="Wingdings" w:hAnsi="Wingdings" w:hint="default"/>
      </w:rPr>
    </w:lvl>
    <w:lvl w:ilvl="3" w:tplc="7BEE0018" w:tentative="1">
      <w:start w:val="1"/>
      <w:numFmt w:val="bullet"/>
      <w:lvlText w:val=""/>
      <w:lvlJc w:val="left"/>
      <w:pPr>
        <w:ind w:left="2880" w:hanging="360"/>
      </w:pPr>
      <w:rPr>
        <w:rFonts w:ascii="Symbol" w:hAnsi="Symbol" w:hint="default"/>
      </w:rPr>
    </w:lvl>
    <w:lvl w:ilvl="4" w:tplc="E146EA34" w:tentative="1">
      <w:start w:val="1"/>
      <w:numFmt w:val="bullet"/>
      <w:lvlText w:val="o"/>
      <w:lvlJc w:val="left"/>
      <w:pPr>
        <w:ind w:left="3600" w:hanging="360"/>
      </w:pPr>
      <w:rPr>
        <w:rFonts w:ascii="Courier New" w:hAnsi="Courier New" w:hint="default"/>
      </w:rPr>
    </w:lvl>
    <w:lvl w:ilvl="5" w:tplc="8EFAA22A" w:tentative="1">
      <w:start w:val="1"/>
      <w:numFmt w:val="bullet"/>
      <w:lvlText w:val=""/>
      <w:lvlJc w:val="left"/>
      <w:pPr>
        <w:ind w:left="4320" w:hanging="360"/>
      </w:pPr>
      <w:rPr>
        <w:rFonts w:ascii="Wingdings" w:hAnsi="Wingdings" w:hint="default"/>
      </w:rPr>
    </w:lvl>
    <w:lvl w:ilvl="6" w:tplc="D5105E0C" w:tentative="1">
      <w:start w:val="1"/>
      <w:numFmt w:val="bullet"/>
      <w:lvlText w:val=""/>
      <w:lvlJc w:val="left"/>
      <w:pPr>
        <w:ind w:left="5040" w:hanging="360"/>
      </w:pPr>
      <w:rPr>
        <w:rFonts w:ascii="Symbol" w:hAnsi="Symbol" w:hint="default"/>
      </w:rPr>
    </w:lvl>
    <w:lvl w:ilvl="7" w:tplc="4EA47C0E" w:tentative="1">
      <w:start w:val="1"/>
      <w:numFmt w:val="bullet"/>
      <w:lvlText w:val="o"/>
      <w:lvlJc w:val="left"/>
      <w:pPr>
        <w:ind w:left="5760" w:hanging="360"/>
      </w:pPr>
      <w:rPr>
        <w:rFonts w:ascii="Courier New" w:hAnsi="Courier New" w:hint="default"/>
      </w:rPr>
    </w:lvl>
    <w:lvl w:ilvl="8" w:tplc="A5A668C4" w:tentative="1">
      <w:start w:val="1"/>
      <w:numFmt w:val="bullet"/>
      <w:lvlText w:val=""/>
      <w:lvlJc w:val="left"/>
      <w:pPr>
        <w:ind w:left="6480" w:hanging="360"/>
      </w:pPr>
      <w:rPr>
        <w:rFonts w:ascii="Wingdings" w:hAnsi="Wingdings" w:hint="default"/>
      </w:rPr>
    </w:lvl>
  </w:abstractNum>
  <w:abstractNum w:abstractNumId="43" w15:restartNumberingAfterBreak="0">
    <w:nsid w:val="7BB6368B"/>
    <w:multiLevelType w:val="hybridMultilevel"/>
    <w:tmpl w:val="67024BFC"/>
    <w:lvl w:ilvl="0" w:tplc="10EC9110">
      <w:start w:val="1"/>
      <w:numFmt w:val="bullet"/>
      <w:lvlText w:val="o"/>
      <w:lvlJc w:val="left"/>
      <w:pPr>
        <w:ind w:left="720" w:hanging="360"/>
      </w:pPr>
      <w:rPr>
        <w:rFonts w:ascii="Courier New" w:hAnsi="Courier New" w:hint="default"/>
      </w:rPr>
    </w:lvl>
    <w:lvl w:ilvl="1" w:tplc="AB6E2632" w:tentative="1">
      <w:start w:val="1"/>
      <w:numFmt w:val="bullet"/>
      <w:lvlText w:val="o"/>
      <w:lvlJc w:val="left"/>
      <w:pPr>
        <w:ind w:left="1440" w:hanging="360"/>
      </w:pPr>
      <w:rPr>
        <w:rFonts w:ascii="Courier New" w:hAnsi="Courier New" w:hint="default"/>
      </w:rPr>
    </w:lvl>
    <w:lvl w:ilvl="2" w:tplc="D0A6EDA4" w:tentative="1">
      <w:start w:val="1"/>
      <w:numFmt w:val="bullet"/>
      <w:lvlText w:val=""/>
      <w:lvlJc w:val="left"/>
      <w:pPr>
        <w:ind w:left="2160" w:hanging="360"/>
      </w:pPr>
      <w:rPr>
        <w:rFonts w:ascii="Wingdings" w:hAnsi="Wingdings" w:hint="default"/>
      </w:rPr>
    </w:lvl>
    <w:lvl w:ilvl="3" w:tplc="2D6E228A" w:tentative="1">
      <w:start w:val="1"/>
      <w:numFmt w:val="bullet"/>
      <w:lvlText w:val=""/>
      <w:lvlJc w:val="left"/>
      <w:pPr>
        <w:ind w:left="2880" w:hanging="360"/>
      </w:pPr>
      <w:rPr>
        <w:rFonts w:ascii="Symbol" w:hAnsi="Symbol" w:hint="default"/>
      </w:rPr>
    </w:lvl>
    <w:lvl w:ilvl="4" w:tplc="5BEE2F26" w:tentative="1">
      <w:start w:val="1"/>
      <w:numFmt w:val="bullet"/>
      <w:lvlText w:val="o"/>
      <w:lvlJc w:val="left"/>
      <w:pPr>
        <w:ind w:left="3600" w:hanging="360"/>
      </w:pPr>
      <w:rPr>
        <w:rFonts w:ascii="Courier New" w:hAnsi="Courier New" w:hint="default"/>
      </w:rPr>
    </w:lvl>
    <w:lvl w:ilvl="5" w:tplc="38382110" w:tentative="1">
      <w:start w:val="1"/>
      <w:numFmt w:val="bullet"/>
      <w:lvlText w:val=""/>
      <w:lvlJc w:val="left"/>
      <w:pPr>
        <w:ind w:left="4320" w:hanging="360"/>
      </w:pPr>
      <w:rPr>
        <w:rFonts w:ascii="Wingdings" w:hAnsi="Wingdings" w:hint="default"/>
      </w:rPr>
    </w:lvl>
    <w:lvl w:ilvl="6" w:tplc="D86C371A" w:tentative="1">
      <w:start w:val="1"/>
      <w:numFmt w:val="bullet"/>
      <w:lvlText w:val=""/>
      <w:lvlJc w:val="left"/>
      <w:pPr>
        <w:ind w:left="5040" w:hanging="360"/>
      </w:pPr>
      <w:rPr>
        <w:rFonts w:ascii="Symbol" w:hAnsi="Symbol" w:hint="default"/>
      </w:rPr>
    </w:lvl>
    <w:lvl w:ilvl="7" w:tplc="44C6C6E6" w:tentative="1">
      <w:start w:val="1"/>
      <w:numFmt w:val="bullet"/>
      <w:lvlText w:val="o"/>
      <w:lvlJc w:val="left"/>
      <w:pPr>
        <w:ind w:left="5760" w:hanging="360"/>
      </w:pPr>
      <w:rPr>
        <w:rFonts w:ascii="Courier New" w:hAnsi="Courier New" w:hint="default"/>
      </w:rPr>
    </w:lvl>
    <w:lvl w:ilvl="8" w:tplc="EC24D01E" w:tentative="1">
      <w:start w:val="1"/>
      <w:numFmt w:val="bullet"/>
      <w:lvlText w:val=""/>
      <w:lvlJc w:val="left"/>
      <w:pPr>
        <w:ind w:left="6480" w:hanging="360"/>
      </w:pPr>
      <w:rPr>
        <w:rFonts w:ascii="Wingdings" w:hAnsi="Wingdings" w:hint="default"/>
      </w:rPr>
    </w:lvl>
  </w:abstractNum>
  <w:abstractNum w:abstractNumId="44" w15:restartNumberingAfterBreak="0">
    <w:nsid w:val="7BF9B79C"/>
    <w:multiLevelType w:val="hybridMultilevel"/>
    <w:tmpl w:val="FFFFFFFF"/>
    <w:lvl w:ilvl="0" w:tplc="A64074C4">
      <w:start w:val="1"/>
      <w:numFmt w:val="bullet"/>
      <w:lvlText w:val=""/>
      <w:lvlJc w:val="left"/>
      <w:pPr>
        <w:ind w:left="720" w:hanging="360"/>
      </w:pPr>
      <w:rPr>
        <w:rFonts w:ascii="Wingdings" w:hAnsi="Wingdings" w:hint="default"/>
      </w:rPr>
    </w:lvl>
    <w:lvl w:ilvl="1" w:tplc="FC806096">
      <w:start w:val="1"/>
      <w:numFmt w:val="bullet"/>
      <w:lvlText w:val="o"/>
      <w:lvlJc w:val="left"/>
      <w:pPr>
        <w:ind w:left="1440" w:hanging="360"/>
      </w:pPr>
      <w:rPr>
        <w:rFonts w:ascii="Courier New" w:hAnsi="Courier New" w:hint="default"/>
      </w:rPr>
    </w:lvl>
    <w:lvl w:ilvl="2" w:tplc="F4EED636">
      <w:start w:val="1"/>
      <w:numFmt w:val="bullet"/>
      <w:lvlText w:val=""/>
      <w:lvlJc w:val="left"/>
      <w:pPr>
        <w:ind w:left="2160" w:hanging="360"/>
      </w:pPr>
      <w:rPr>
        <w:rFonts w:ascii="Wingdings" w:hAnsi="Wingdings" w:hint="default"/>
      </w:rPr>
    </w:lvl>
    <w:lvl w:ilvl="3" w:tplc="97341380">
      <w:start w:val="1"/>
      <w:numFmt w:val="bullet"/>
      <w:lvlText w:val=""/>
      <w:lvlJc w:val="left"/>
      <w:pPr>
        <w:ind w:left="2880" w:hanging="360"/>
      </w:pPr>
      <w:rPr>
        <w:rFonts w:ascii="Symbol" w:hAnsi="Symbol" w:hint="default"/>
      </w:rPr>
    </w:lvl>
    <w:lvl w:ilvl="4" w:tplc="94061CA6">
      <w:start w:val="1"/>
      <w:numFmt w:val="bullet"/>
      <w:lvlText w:val="o"/>
      <w:lvlJc w:val="left"/>
      <w:pPr>
        <w:ind w:left="3600" w:hanging="360"/>
      </w:pPr>
      <w:rPr>
        <w:rFonts w:ascii="Courier New" w:hAnsi="Courier New" w:hint="default"/>
      </w:rPr>
    </w:lvl>
    <w:lvl w:ilvl="5" w:tplc="87B23D6C">
      <w:start w:val="1"/>
      <w:numFmt w:val="bullet"/>
      <w:lvlText w:val=""/>
      <w:lvlJc w:val="left"/>
      <w:pPr>
        <w:ind w:left="4320" w:hanging="360"/>
      </w:pPr>
      <w:rPr>
        <w:rFonts w:ascii="Wingdings" w:hAnsi="Wingdings" w:hint="default"/>
      </w:rPr>
    </w:lvl>
    <w:lvl w:ilvl="6" w:tplc="A8AEB2E2">
      <w:start w:val="1"/>
      <w:numFmt w:val="bullet"/>
      <w:lvlText w:val=""/>
      <w:lvlJc w:val="left"/>
      <w:pPr>
        <w:ind w:left="5040" w:hanging="360"/>
      </w:pPr>
      <w:rPr>
        <w:rFonts w:ascii="Symbol" w:hAnsi="Symbol" w:hint="default"/>
      </w:rPr>
    </w:lvl>
    <w:lvl w:ilvl="7" w:tplc="3042A448">
      <w:start w:val="1"/>
      <w:numFmt w:val="bullet"/>
      <w:lvlText w:val="o"/>
      <w:lvlJc w:val="left"/>
      <w:pPr>
        <w:ind w:left="5760" w:hanging="360"/>
      </w:pPr>
      <w:rPr>
        <w:rFonts w:ascii="Courier New" w:hAnsi="Courier New" w:hint="default"/>
      </w:rPr>
    </w:lvl>
    <w:lvl w:ilvl="8" w:tplc="E81402C6">
      <w:start w:val="1"/>
      <w:numFmt w:val="bullet"/>
      <w:lvlText w:val=""/>
      <w:lvlJc w:val="left"/>
      <w:pPr>
        <w:ind w:left="6480" w:hanging="360"/>
      </w:pPr>
      <w:rPr>
        <w:rFonts w:ascii="Wingdings" w:hAnsi="Wingdings" w:hint="default"/>
      </w:rPr>
    </w:lvl>
  </w:abstractNum>
  <w:abstractNum w:abstractNumId="45" w15:restartNumberingAfterBreak="0">
    <w:nsid w:val="7C522A66"/>
    <w:multiLevelType w:val="hybridMultilevel"/>
    <w:tmpl w:val="1C1A7E58"/>
    <w:lvl w:ilvl="0" w:tplc="1586FE1A">
      <w:numFmt w:val="bullet"/>
      <w:lvlText w:val="-"/>
      <w:lvlJc w:val="left"/>
      <w:pPr>
        <w:ind w:left="720" w:hanging="360"/>
      </w:pPr>
      <w:rPr>
        <w:rFonts w:ascii="Calibri" w:hAnsi="Calibri" w:hint="default"/>
      </w:rPr>
    </w:lvl>
    <w:lvl w:ilvl="1" w:tplc="F29ABB80" w:tentative="1">
      <w:start w:val="1"/>
      <w:numFmt w:val="bullet"/>
      <w:lvlText w:val="o"/>
      <w:lvlJc w:val="left"/>
      <w:pPr>
        <w:ind w:left="1440" w:hanging="360"/>
      </w:pPr>
      <w:rPr>
        <w:rFonts w:ascii="Courier New" w:hAnsi="Courier New" w:hint="default"/>
      </w:rPr>
    </w:lvl>
    <w:lvl w:ilvl="2" w:tplc="A1280314" w:tentative="1">
      <w:start w:val="1"/>
      <w:numFmt w:val="bullet"/>
      <w:lvlText w:val=""/>
      <w:lvlJc w:val="left"/>
      <w:pPr>
        <w:ind w:left="2160" w:hanging="360"/>
      </w:pPr>
      <w:rPr>
        <w:rFonts w:ascii="Wingdings" w:hAnsi="Wingdings" w:hint="default"/>
      </w:rPr>
    </w:lvl>
    <w:lvl w:ilvl="3" w:tplc="8BAA9390" w:tentative="1">
      <w:start w:val="1"/>
      <w:numFmt w:val="bullet"/>
      <w:lvlText w:val=""/>
      <w:lvlJc w:val="left"/>
      <w:pPr>
        <w:ind w:left="2880" w:hanging="360"/>
      </w:pPr>
      <w:rPr>
        <w:rFonts w:ascii="Symbol" w:hAnsi="Symbol" w:hint="default"/>
      </w:rPr>
    </w:lvl>
    <w:lvl w:ilvl="4" w:tplc="848691E4" w:tentative="1">
      <w:start w:val="1"/>
      <w:numFmt w:val="bullet"/>
      <w:lvlText w:val="o"/>
      <w:lvlJc w:val="left"/>
      <w:pPr>
        <w:ind w:left="3600" w:hanging="360"/>
      </w:pPr>
      <w:rPr>
        <w:rFonts w:ascii="Courier New" w:hAnsi="Courier New" w:hint="default"/>
      </w:rPr>
    </w:lvl>
    <w:lvl w:ilvl="5" w:tplc="591C1FBC" w:tentative="1">
      <w:start w:val="1"/>
      <w:numFmt w:val="bullet"/>
      <w:lvlText w:val=""/>
      <w:lvlJc w:val="left"/>
      <w:pPr>
        <w:ind w:left="4320" w:hanging="360"/>
      </w:pPr>
      <w:rPr>
        <w:rFonts w:ascii="Wingdings" w:hAnsi="Wingdings" w:hint="default"/>
      </w:rPr>
    </w:lvl>
    <w:lvl w:ilvl="6" w:tplc="BA1A2E48" w:tentative="1">
      <w:start w:val="1"/>
      <w:numFmt w:val="bullet"/>
      <w:lvlText w:val=""/>
      <w:lvlJc w:val="left"/>
      <w:pPr>
        <w:ind w:left="5040" w:hanging="360"/>
      </w:pPr>
      <w:rPr>
        <w:rFonts w:ascii="Symbol" w:hAnsi="Symbol" w:hint="default"/>
      </w:rPr>
    </w:lvl>
    <w:lvl w:ilvl="7" w:tplc="EC482B3E" w:tentative="1">
      <w:start w:val="1"/>
      <w:numFmt w:val="bullet"/>
      <w:lvlText w:val="o"/>
      <w:lvlJc w:val="left"/>
      <w:pPr>
        <w:ind w:left="5760" w:hanging="360"/>
      </w:pPr>
      <w:rPr>
        <w:rFonts w:ascii="Courier New" w:hAnsi="Courier New" w:hint="default"/>
      </w:rPr>
    </w:lvl>
    <w:lvl w:ilvl="8" w:tplc="44B8CCAA" w:tentative="1">
      <w:start w:val="1"/>
      <w:numFmt w:val="bullet"/>
      <w:lvlText w:val=""/>
      <w:lvlJc w:val="left"/>
      <w:pPr>
        <w:ind w:left="6480" w:hanging="360"/>
      </w:pPr>
      <w:rPr>
        <w:rFonts w:ascii="Wingdings" w:hAnsi="Wingdings" w:hint="default"/>
      </w:rPr>
    </w:lvl>
  </w:abstractNum>
  <w:abstractNum w:abstractNumId="46" w15:restartNumberingAfterBreak="0">
    <w:nsid w:val="7C661E1B"/>
    <w:multiLevelType w:val="hybridMultilevel"/>
    <w:tmpl w:val="FFFFFFFF"/>
    <w:lvl w:ilvl="0" w:tplc="5C9074C2">
      <w:start w:val="1"/>
      <w:numFmt w:val="bullet"/>
      <w:lvlText w:val=""/>
      <w:lvlJc w:val="left"/>
      <w:pPr>
        <w:ind w:left="720" w:hanging="360"/>
      </w:pPr>
      <w:rPr>
        <w:rFonts w:ascii="Symbol" w:hAnsi="Symbol" w:hint="default"/>
      </w:rPr>
    </w:lvl>
    <w:lvl w:ilvl="1" w:tplc="CDE45EBA">
      <w:start w:val="1"/>
      <w:numFmt w:val="bullet"/>
      <w:lvlText w:val="o"/>
      <w:lvlJc w:val="left"/>
      <w:pPr>
        <w:ind w:left="1440" w:hanging="360"/>
      </w:pPr>
      <w:rPr>
        <w:rFonts w:ascii="Courier New" w:hAnsi="Courier New" w:hint="default"/>
      </w:rPr>
    </w:lvl>
    <w:lvl w:ilvl="2" w:tplc="889AF826">
      <w:start w:val="1"/>
      <w:numFmt w:val="bullet"/>
      <w:lvlText w:val=""/>
      <w:lvlJc w:val="left"/>
      <w:pPr>
        <w:ind w:left="2160" w:hanging="360"/>
      </w:pPr>
      <w:rPr>
        <w:rFonts w:ascii="Wingdings" w:hAnsi="Wingdings" w:hint="default"/>
      </w:rPr>
    </w:lvl>
    <w:lvl w:ilvl="3" w:tplc="627A7B56">
      <w:start w:val="1"/>
      <w:numFmt w:val="bullet"/>
      <w:lvlText w:val=""/>
      <w:lvlJc w:val="left"/>
      <w:pPr>
        <w:ind w:left="2880" w:hanging="360"/>
      </w:pPr>
      <w:rPr>
        <w:rFonts w:ascii="Symbol" w:hAnsi="Symbol" w:hint="default"/>
      </w:rPr>
    </w:lvl>
    <w:lvl w:ilvl="4" w:tplc="3232FD54">
      <w:start w:val="1"/>
      <w:numFmt w:val="bullet"/>
      <w:lvlText w:val="o"/>
      <w:lvlJc w:val="left"/>
      <w:pPr>
        <w:ind w:left="3600" w:hanging="360"/>
      </w:pPr>
      <w:rPr>
        <w:rFonts w:ascii="Courier New" w:hAnsi="Courier New" w:hint="default"/>
      </w:rPr>
    </w:lvl>
    <w:lvl w:ilvl="5" w:tplc="0486C11C">
      <w:start w:val="1"/>
      <w:numFmt w:val="bullet"/>
      <w:lvlText w:val=""/>
      <w:lvlJc w:val="left"/>
      <w:pPr>
        <w:ind w:left="4320" w:hanging="360"/>
      </w:pPr>
      <w:rPr>
        <w:rFonts w:ascii="Wingdings" w:hAnsi="Wingdings" w:hint="default"/>
      </w:rPr>
    </w:lvl>
    <w:lvl w:ilvl="6" w:tplc="EF58A2F0">
      <w:start w:val="1"/>
      <w:numFmt w:val="bullet"/>
      <w:lvlText w:val=""/>
      <w:lvlJc w:val="left"/>
      <w:pPr>
        <w:ind w:left="5040" w:hanging="360"/>
      </w:pPr>
      <w:rPr>
        <w:rFonts w:ascii="Symbol" w:hAnsi="Symbol" w:hint="default"/>
      </w:rPr>
    </w:lvl>
    <w:lvl w:ilvl="7" w:tplc="82A0A3D2">
      <w:start w:val="1"/>
      <w:numFmt w:val="bullet"/>
      <w:lvlText w:val="o"/>
      <w:lvlJc w:val="left"/>
      <w:pPr>
        <w:ind w:left="5760" w:hanging="360"/>
      </w:pPr>
      <w:rPr>
        <w:rFonts w:ascii="Courier New" w:hAnsi="Courier New" w:hint="default"/>
      </w:rPr>
    </w:lvl>
    <w:lvl w:ilvl="8" w:tplc="34586A9E">
      <w:start w:val="1"/>
      <w:numFmt w:val="bullet"/>
      <w:lvlText w:val=""/>
      <w:lvlJc w:val="left"/>
      <w:pPr>
        <w:ind w:left="6480" w:hanging="360"/>
      </w:pPr>
      <w:rPr>
        <w:rFonts w:ascii="Wingdings" w:hAnsi="Wingdings" w:hint="default"/>
      </w:r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3"/>
  </w:num>
  <w:num w:numId="3">
    <w:abstractNumId w:val="23"/>
  </w:num>
  <w:num w:numId="4">
    <w:abstractNumId w:val="14"/>
  </w:num>
  <w:num w:numId="5">
    <w:abstractNumId w:val="9"/>
  </w:num>
  <w:num w:numId="6">
    <w:abstractNumId w:val="22"/>
  </w:num>
  <w:num w:numId="7">
    <w:abstractNumId w:val="19"/>
  </w:num>
  <w:num w:numId="8">
    <w:abstractNumId w:val="6"/>
  </w:num>
  <w:num w:numId="9">
    <w:abstractNumId w:val="27"/>
  </w:num>
  <w:num w:numId="10">
    <w:abstractNumId w:val="7"/>
  </w:num>
  <w:num w:numId="11">
    <w:abstractNumId w:val="21"/>
  </w:num>
  <w:num w:numId="12">
    <w:abstractNumId w:val="42"/>
  </w:num>
  <w:num w:numId="13">
    <w:abstractNumId w:val="0"/>
  </w:num>
  <w:num w:numId="14">
    <w:abstractNumId w:val="5"/>
  </w:num>
  <w:num w:numId="15">
    <w:abstractNumId w:val="25"/>
  </w:num>
  <w:num w:numId="16">
    <w:abstractNumId w:val="36"/>
  </w:num>
  <w:num w:numId="17">
    <w:abstractNumId w:val="13"/>
  </w:num>
  <w:num w:numId="18">
    <w:abstractNumId w:val="4"/>
  </w:num>
  <w:num w:numId="19">
    <w:abstractNumId w:val="8"/>
  </w:num>
  <w:num w:numId="20">
    <w:abstractNumId w:val="38"/>
  </w:num>
  <w:num w:numId="21">
    <w:abstractNumId w:val="41"/>
  </w:num>
  <w:num w:numId="22">
    <w:abstractNumId w:val="29"/>
  </w:num>
  <w:num w:numId="23">
    <w:abstractNumId w:val="43"/>
  </w:num>
  <w:num w:numId="24">
    <w:abstractNumId w:val="34"/>
  </w:num>
  <w:num w:numId="25">
    <w:abstractNumId w:val="20"/>
  </w:num>
  <w:num w:numId="26">
    <w:abstractNumId w:val="28"/>
  </w:num>
  <w:num w:numId="27">
    <w:abstractNumId w:val="26"/>
  </w:num>
  <w:num w:numId="28">
    <w:abstractNumId w:val="32"/>
  </w:num>
  <w:num w:numId="29">
    <w:abstractNumId w:val="26"/>
  </w:num>
  <w:num w:numId="30">
    <w:abstractNumId w:val="37"/>
  </w:num>
  <w:num w:numId="31">
    <w:abstractNumId w:val="31"/>
  </w:num>
  <w:num w:numId="32">
    <w:abstractNumId w:val="30"/>
  </w:num>
  <w:num w:numId="33">
    <w:abstractNumId w:val="1"/>
  </w:num>
  <w:num w:numId="34">
    <w:abstractNumId w:val="40"/>
  </w:num>
  <w:num w:numId="35">
    <w:abstractNumId w:val="45"/>
  </w:num>
  <w:num w:numId="36">
    <w:abstractNumId w:val="39"/>
  </w:num>
  <w:num w:numId="37">
    <w:abstractNumId w:val="17"/>
  </w:num>
  <w:num w:numId="38">
    <w:abstractNumId w:val="2"/>
  </w:num>
  <w:num w:numId="39">
    <w:abstractNumId w:val="18"/>
  </w:num>
  <w:num w:numId="40">
    <w:abstractNumId w:val="11"/>
  </w:num>
  <w:num w:numId="41">
    <w:abstractNumId w:val="33"/>
  </w:num>
  <w:num w:numId="42">
    <w:abstractNumId w:val="46"/>
  </w:num>
  <w:num w:numId="43">
    <w:abstractNumId w:val="12"/>
  </w:num>
  <w:num w:numId="44">
    <w:abstractNumId w:val="44"/>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10"/>
  </w:num>
  <w:num w:numId="48">
    <w:abstractNumId w:val="35"/>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2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A0243ADD-5EB7-4376-81F5-039A5A7D6DFB"/>
    <w:docVar w:name="LW_COVERPAGE_TYPE" w:val="1"/>
    <w:docVar w:name="LW_CROSSREFERENCE" w:val="&lt;UNUSED&gt;"/>
    <w:docVar w:name="LW_DocType" w:val="NORMAL"/>
    <w:docVar w:name="LW_EMISSION" w:val="1.4.2025"/>
    <w:docVar w:name="LW_EMISSION_ISODATE" w:val="2025-04-01"/>
    <w:docVar w:name="LW_EMISSION_LOCATION" w:val="STR"/>
    <w:docVar w:name="LW_EMISSION_PREFIX" w:val="Strasbourg,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mbria CE,Bold&gt;O politic\u259? de coeziune modernizat\u259?:&lt;/FMT&gt;_x000d__x000b_evaluarea intermediar\u259?_x000d__x000d__x000b__x000d__x000b_"/>
    <w:docVar w:name="LW_TYPE.DOC.CP" w:val="COMUNICARE A COMISIEI C\u258?TRE PARLAMENTUL EUROPEAN \u536?I CONSILIU"/>
    <w:docVar w:name="LW_TYPE.DOC.CP.USERTEXT" w:val="&lt;EMPTY&gt;"/>
    <w:docVar w:name="LwApiVersions" w:val="LW4CoDe 1.24.5.0; LW 9.0, Build 20240221"/>
  </w:docVars>
  <w:rsids>
    <w:rsidRoot w:val="00C2009E"/>
    <w:rsid w:val="00000287"/>
    <w:rsid w:val="000003EA"/>
    <w:rsid w:val="00000544"/>
    <w:rsid w:val="000006B2"/>
    <w:rsid w:val="00000C83"/>
    <w:rsid w:val="00000E67"/>
    <w:rsid w:val="00000F06"/>
    <w:rsid w:val="00001649"/>
    <w:rsid w:val="00001A1E"/>
    <w:rsid w:val="0000205D"/>
    <w:rsid w:val="000020EB"/>
    <w:rsid w:val="00002137"/>
    <w:rsid w:val="00002C5E"/>
    <w:rsid w:val="00002D0C"/>
    <w:rsid w:val="00003571"/>
    <w:rsid w:val="00003BD3"/>
    <w:rsid w:val="0000479F"/>
    <w:rsid w:val="00004A88"/>
    <w:rsid w:val="00004C49"/>
    <w:rsid w:val="00004F6C"/>
    <w:rsid w:val="0000581D"/>
    <w:rsid w:val="00006350"/>
    <w:rsid w:val="0000699E"/>
    <w:rsid w:val="00007378"/>
    <w:rsid w:val="0000789F"/>
    <w:rsid w:val="00007D11"/>
    <w:rsid w:val="00010130"/>
    <w:rsid w:val="00010165"/>
    <w:rsid w:val="0001031E"/>
    <w:rsid w:val="00010528"/>
    <w:rsid w:val="00010A74"/>
    <w:rsid w:val="000113F1"/>
    <w:rsid w:val="00011538"/>
    <w:rsid w:val="000116F5"/>
    <w:rsid w:val="00011830"/>
    <w:rsid w:val="00011EF9"/>
    <w:rsid w:val="000127DE"/>
    <w:rsid w:val="00012B9A"/>
    <w:rsid w:val="00012BCE"/>
    <w:rsid w:val="00012EF5"/>
    <w:rsid w:val="00014536"/>
    <w:rsid w:val="000146C7"/>
    <w:rsid w:val="000151F1"/>
    <w:rsid w:val="0001520C"/>
    <w:rsid w:val="000152DD"/>
    <w:rsid w:val="00015380"/>
    <w:rsid w:val="00015F10"/>
    <w:rsid w:val="00016084"/>
    <w:rsid w:val="000163D9"/>
    <w:rsid w:val="00016C4A"/>
    <w:rsid w:val="00017231"/>
    <w:rsid w:val="00017E39"/>
    <w:rsid w:val="000204C5"/>
    <w:rsid w:val="0002052F"/>
    <w:rsid w:val="000205D0"/>
    <w:rsid w:val="000206C8"/>
    <w:rsid w:val="0002095B"/>
    <w:rsid w:val="00020CAF"/>
    <w:rsid w:val="00021119"/>
    <w:rsid w:val="00021994"/>
    <w:rsid w:val="00021F9E"/>
    <w:rsid w:val="0002253D"/>
    <w:rsid w:val="000232C6"/>
    <w:rsid w:val="0002351F"/>
    <w:rsid w:val="00023A6C"/>
    <w:rsid w:val="00023AB3"/>
    <w:rsid w:val="000241E5"/>
    <w:rsid w:val="0002451F"/>
    <w:rsid w:val="0002507E"/>
    <w:rsid w:val="00025319"/>
    <w:rsid w:val="00025515"/>
    <w:rsid w:val="00025B28"/>
    <w:rsid w:val="00026030"/>
    <w:rsid w:val="00026055"/>
    <w:rsid w:val="0002606F"/>
    <w:rsid w:val="00026209"/>
    <w:rsid w:val="00026675"/>
    <w:rsid w:val="00026C32"/>
    <w:rsid w:val="00030024"/>
    <w:rsid w:val="00030B05"/>
    <w:rsid w:val="00030B39"/>
    <w:rsid w:val="00030B59"/>
    <w:rsid w:val="00030D19"/>
    <w:rsid w:val="0003249F"/>
    <w:rsid w:val="000329A1"/>
    <w:rsid w:val="00032AF3"/>
    <w:rsid w:val="00032B3A"/>
    <w:rsid w:val="00032D62"/>
    <w:rsid w:val="00032FE4"/>
    <w:rsid w:val="0003321F"/>
    <w:rsid w:val="000334EF"/>
    <w:rsid w:val="00033907"/>
    <w:rsid w:val="00033D4A"/>
    <w:rsid w:val="000342D0"/>
    <w:rsid w:val="00034772"/>
    <w:rsid w:val="00034AB5"/>
    <w:rsid w:val="00035537"/>
    <w:rsid w:val="000358D4"/>
    <w:rsid w:val="00036210"/>
    <w:rsid w:val="0003629F"/>
    <w:rsid w:val="000369FF"/>
    <w:rsid w:val="00036BB4"/>
    <w:rsid w:val="00036EAE"/>
    <w:rsid w:val="00037027"/>
    <w:rsid w:val="00037537"/>
    <w:rsid w:val="000376C4"/>
    <w:rsid w:val="0003785F"/>
    <w:rsid w:val="00037B63"/>
    <w:rsid w:val="00040296"/>
    <w:rsid w:val="00040B5D"/>
    <w:rsid w:val="00041222"/>
    <w:rsid w:val="00041C68"/>
    <w:rsid w:val="00041DD4"/>
    <w:rsid w:val="000432CD"/>
    <w:rsid w:val="00044032"/>
    <w:rsid w:val="000447B3"/>
    <w:rsid w:val="00044B7B"/>
    <w:rsid w:val="00044D09"/>
    <w:rsid w:val="0004516C"/>
    <w:rsid w:val="0004531C"/>
    <w:rsid w:val="0004536C"/>
    <w:rsid w:val="000458A0"/>
    <w:rsid w:val="00045A59"/>
    <w:rsid w:val="00045ACF"/>
    <w:rsid w:val="000460AE"/>
    <w:rsid w:val="000464E6"/>
    <w:rsid w:val="00046B8A"/>
    <w:rsid w:val="00046DB1"/>
    <w:rsid w:val="00046E02"/>
    <w:rsid w:val="0004783C"/>
    <w:rsid w:val="0004791B"/>
    <w:rsid w:val="0004798C"/>
    <w:rsid w:val="00047A72"/>
    <w:rsid w:val="0005035E"/>
    <w:rsid w:val="00050CD1"/>
    <w:rsid w:val="00050DCF"/>
    <w:rsid w:val="00050F5D"/>
    <w:rsid w:val="000517CF"/>
    <w:rsid w:val="00051E19"/>
    <w:rsid w:val="000525FE"/>
    <w:rsid w:val="00052B42"/>
    <w:rsid w:val="00052BC2"/>
    <w:rsid w:val="00053384"/>
    <w:rsid w:val="000535E9"/>
    <w:rsid w:val="0005396E"/>
    <w:rsid w:val="00054300"/>
    <w:rsid w:val="0005516C"/>
    <w:rsid w:val="000551EA"/>
    <w:rsid w:val="000552CC"/>
    <w:rsid w:val="000557FB"/>
    <w:rsid w:val="000558E5"/>
    <w:rsid w:val="00055C98"/>
    <w:rsid w:val="00056788"/>
    <w:rsid w:val="000567DD"/>
    <w:rsid w:val="00056B32"/>
    <w:rsid w:val="00057187"/>
    <w:rsid w:val="0005799B"/>
    <w:rsid w:val="00057A02"/>
    <w:rsid w:val="00057DD9"/>
    <w:rsid w:val="00057FF0"/>
    <w:rsid w:val="000605F3"/>
    <w:rsid w:val="00060F45"/>
    <w:rsid w:val="00061669"/>
    <w:rsid w:val="000618C1"/>
    <w:rsid w:val="0006190A"/>
    <w:rsid w:val="00062335"/>
    <w:rsid w:val="000630E7"/>
    <w:rsid w:val="000632B3"/>
    <w:rsid w:val="00063675"/>
    <w:rsid w:val="0006379F"/>
    <w:rsid w:val="00063E38"/>
    <w:rsid w:val="00063EAA"/>
    <w:rsid w:val="00064623"/>
    <w:rsid w:val="000649DE"/>
    <w:rsid w:val="000656C1"/>
    <w:rsid w:val="000657A1"/>
    <w:rsid w:val="00065814"/>
    <w:rsid w:val="00066577"/>
    <w:rsid w:val="00066A4F"/>
    <w:rsid w:val="00067457"/>
    <w:rsid w:val="00067612"/>
    <w:rsid w:val="00067B7B"/>
    <w:rsid w:val="0007005E"/>
    <w:rsid w:val="00070731"/>
    <w:rsid w:val="00071A4F"/>
    <w:rsid w:val="00071B73"/>
    <w:rsid w:val="00071FCF"/>
    <w:rsid w:val="000723D5"/>
    <w:rsid w:val="000725C1"/>
    <w:rsid w:val="000725F7"/>
    <w:rsid w:val="000729EF"/>
    <w:rsid w:val="00072FB2"/>
    <w:rsid w:val="0007307E"/>
    <w:rsid w:val="000739BB"/>
    <w:rsid w:val="00073A97"/>
    <w:rsid w:val="00073B08"/>
    <w:rsid w:val="00074299"/>
    <w:rsid w:val="000744FE"/>
    <w:rsid w:val="0007452A"/>
    <w:rsid w:val="00074B96"/>
    <w:rsid w:val="00074C51"/>
    <w:rsid w:val="00075134"/>
    <w:rsid w:val="00075214"/>
    <w:rsid w:val="000755F2"/>
    <w:rsid w:val="000758CD"/>
    <w:rsid w:val="00076093"/>
    <w:rsid w:val="00076A2A"/>
    <w:rsid w:val="00076C5D"/>
    <w:rsid w:val="00076D4E"/>
    <w:rsid w:val="00076DC4"/>
    <w:rsid w:val="00076EDC"/>
    <w:rsid w:val="0007712A"/>
    <w:rsid w:val="00077292"/>
    <w:rsid w:val="000774BF"/>
    <w:rsid w:val="00077CD6"/>
    <w:rsid w:val="00077E88"/>
    <w:rsid w:val="00080D00"/>
    <w:rsid w:val="000814F3"/>
    <w:rsid w:val="000819F7"/>
    <w:rsid w:val="00081BD9"/>
    <w:rsid w:val="00082698"/>
    <w:rsid w:val="00082845"/>
    <w:rsid w:val="00082907"/>
    <w:rsid w:val="000834D9"/>
    <w:rsid w:val="0008409B"/>
    <w:rsid w:val="00084A0F"/>
    <w:rsid w:val="00084B4F"/>
    <w:rsid w:val="00084CE6"/>
    <w:rsid w:val="000852D0"/>
    <w:rsid w:val="000860D2"/>
    <w:rsid w:val="000862AD"/>
    <w:rsid w:val="00087116"/>
    <w:rsid w:val="000872B6"/>
    <w:rsid w:val="00087440"/>
    <w:rsid w:val="000876E4"/>
    <w:rsid w:val="0009079E"/>
    <w:rsid w:val="00090AFD"/>
    <w:rsid w:val="0009195B"/>
    <w:rsid w:val="0009197A"/>
    <w:rsid w:val="00091A20"/>
    <w:rsid w:val="00091ADB"/>
    <w:rsid w:val="00091C8D"/>
    <w:rsid w:val="00092636"/>
    <w:rsid w:val="00092B2F"/>
    <w:rsid w:val="00092ED9"/>
    <w:rsid w:val="0009384C"/>
    <w:rsid w:val="0009387B"/>
    <w:rsid w:val="000938C4"/>
    <w:rsid w:val="00093CFA"/>
    <w:rsid w:val="00093D48"/>
    <w:rsid w:val="00093D9F"/>
    <w:rsid w:val="00094AD4"/>
    <w:rsid w:val="00094C9A"/>
    <w:rsid w:val="00094DA2"/>
    <w:rsid w:val="00094E73"/>
    <w:rsid w:val="00095314"/>
    <w:rsid w:val="00095A24"/>
    <w:rsid w:val="00095A42"/>
    <w:rsid w:val="00095A6F"/>
    <w:rsid w:val="00095C9C"/>
    <w:rsid w:val="0009607E"/>
    <w:rsid w:val="00096187"/>
    <w:rsid w:val="0009666D"/>
    <w:rsid w:val="000970F9"/>
    <w:rsid w:val="000975C1"/>
    <w:rsid w:val="00097627"/>
    <w:rsid w:val="000978E0"/>
    <w:rsid w:val="00097C1D"/>
    <w:rsid w:val="000A0278"/>
    <w:rsid w:val="000A1337"/>
    <w:rsid w:val="000A150F"/>
    <w:rsid w:val="000A186A"/>
    <w:rsid w:val="000A1A11"/>
    <w:rsid w:val="000A1A5D"/>
    <w:rsid w:val="000A1F60"/>
    <w:rsid w:val="000A21FB"/>
    <w:rsid w:val="000A2286"/>
    <w:rsid w:val="000A24F4"/>
    <w:rsid w:val="000A2F6D"/>
    <w:rsid w:val="000A2FC0"/>
    <w:rsid w:val="000A34D5"/>
    <w:rsid w:val="000A4132"/>
    <w:rsid w:val="000A48BB"/>
    <w:rsid w:val="000A4B6F"/>
    <w:rsid w:val="000A4BAD"/>
    <w:rsid w:val="000A5D50"/>
    <w:rsid w:val="000A64BE"/>
    <w:rsid w:val="000A64F4"/>
    <w:rsid w:val="000A6686"/>
    <w:rsid w:val="000A6B77"/>
    <w:rsid w:val="000A6DF2"/>
    <w:rsid w:val="000A7C12"/>
    <w:rsid w:val="000A7EA5"/>
    <w:rsid w:val="000B06C6"/>
    <w:rsid w:val="000B114B"/>
    <w:rsid w:val="000B130F"/>
    <w:rsid w:val="000B2D47"/>
    <w:rsid w:val="000B35C7"/>
    <w:rsid w:val="000B3AE1"/>
    <w:rsid w:val="000B4972"/>
    <w:rsid w:val="000B4B41"/>
    <w:rsid w:val="000B50E2"/>
    <w:rsid w:val="000B521D"/>
    <w:rsid w:val="000B59E5"/>
    <w:rsid w:val="000B5ADE"/>
    <w:rsid w:val="000B5BC6"/>
    <w:rsid w:val="000B5C73"/>
    <w:rsid w:val="000B60B1"/>
    <w:rsid w:val="000B6236"/>
    <w:rsid w:val="000B6C2D"/>
    <w:rsid w:val="000B72EC"/>
    <w:rsid w:val="000B78D4"/>
    <w:rsid w:val="000B7D7F"/>
    <w:rsid w:val="000B7E1F"/>
    <w:rsid w:val="000B7E67"/>
    <w:rsid w:val="000C02DD"/>
    <w:rsid w:val="000C0B8F"/>
    <w:rsid w:val="000C0F91"/>
    <w:rsid w:val="000C15B5"/>
    <w:rsid w:val="000C1AF9"/>
    <w:rsid w:val="000C1B4E"/>
    <w:rsid w:val="000C1B80"/>
    <w:rsid w:val="000C1D5E"/>
    <w:rsid w:val="000C1E62"/>
    <w:rsid w:val="000C1F76"/>
    <w:rsid w:val="000C2518"/>
    <w:rsid w:val="000C28A3"/>
    <w:rsid w:val="000C2C2F"/>
    <w:rsid w:val="000C2C59"/>
    <w:rsid w:val="000C2D6C"/>
    <w:rsid w:val="000C2D76"/>
    <w:rsid w:val="000C30A1"/>
    <w:rsid w:val="000C31B6"/>
    <w:rsid w:val="000C339B"/>
    <w:rsid w:val="000C346D"/>
    <w:rsid w:val="000C3566"/>
    <w:rsid w:val="000C3C17"/>
    <w:rsid w:val="000C466B"/>
    <w:rsid w:val="000C4A1B"/>
    <w:rsid w:val="000C5609"/>
    <w:rsid w:val="000C5914"/>
    <w:rsid w:val="000C59BA"/>
    <w:rsid w:val="000C5C33"/>
    <w:rsid w:val="000C6204"/>
    <w:rsid w:val="000C63AB"/>
    <w:rsid w:val="000C6EB4"/>
    <w:rsid w:val="000D06F4"/>
    <w:rsid w:val="000D0F3B"/>
    <w:rsid w:val="000D1450"/>
    <w:rsid w:val="000D14C4"/>
    <w:rsid w:val="000D1B2B"/>
    <w:rsid w:val="000D1FE8"/>
    <w:rsid w:val="000D2DF9"/>
    <w:rsid w:val="000D3A46"/>
    <w:rsid w:val="000D3C85"/>
    <w:rsid w:val="000D4107"/>
    <w:rsid w:val="000D41B8"/>
    <w:rsid w:val="000D479C"/>
    <w:rsid w:val="000D4AFB"/>
    <w:rsid w:val="000D4AFC"/>
    <w:rsid w:val="000D4BED"/>
    <w:rsid w:val="000D5911"/>
    <w:rsid w:val="000D601A"/>
    <w:rsid w:val="000D665E"/>
    <w:rsid w:val="000D6675"/>
    <w:rsid w:val="000D69B1"/>
    <w:rsid w:val="000D6B82"/>
    <w:rsid w:val="000D6E50"/>
    <w:rsid w:val="000D71F4"/>
    <w:rsid w:val="000D79A8"/>
    <w:rsid w:val="000D7FE7"/>
    <w:rsid w:val="000E0007"/>
    <w:rsid w:val="000E050F"/>
    <w:rsid w:val="000E05FF"/>
    <w:rsid w:val="000E0629"/>
    <w:rsid w:val="000E08B8"/>
    <w:rsid w:val="000E08FB"/>
    <w:rsid w:val="000E0DBF"/>
    <w:rsid w:val="000E1561"/>
    <w:rsid w:val="000E15E7"/>
    <w:rsid w:val="000E1801"/>
    <w:rsid w:val="000E1819"/>
    <w:rsid w:val="000E1A95"/>
    <w:rsid w:val="000E1ADF"/>
    <w:rsid w:val="000E1D69"/>
    <w:rsid w:val="000E1E12"/>
    <w:rsid w:val="000E1F39"/>
    <w:rsid w:val="000E1F58"/>
    <w:rsid w:val="000E23F4"/>
    <w:rsid w:val="000E24B2"/>
    <w:rsid w:val="000E2845"/>
    <w:rsid w:val="000E2A66"/>
    <w:rsid w:val="000E2F58"/>
    <w:rsid w:val="000E3379"/>
    <w:rsid w:val="000E3550"/>
    <w:rsid w:val="000E38CD"/>
    <w:rsid w:val="000E437C"/>
    <w:rsid w:val="000E4599"/>
    <w:rsid w:val="000E45E3"/>
    <w:rsid w:val="000E468A"/>
    <w:rsid w:val="000E5460"/>
    <w:rsid w:val="000E555F"/>
    <w:rsid w:val="000E5828"/>
    <w:rsid w:val="000E5AC8"/>
    <w:rsid w:val="000E5CF0"/>
    <w:rsid w:val="000E5D10"/>
    <w:rsid w:val="000E5F6F"/>
    <w:rsid w:val="000E5FF1"/>
    <w:rsid w:val="000E7688"/>
    <w:rsid w:val="000F1146"/>
    <w:rsid w:val="000F1A44"/>
    <w:rsid w:val="000F1B55"/>
    <w:rsid w:val="000F1D1C"/>
    <w:rsid w:val="000F1F7A"/>
    <w:rsid w:val="000F336C"/>
    <w:rsid w:val="000F3671"/>
    <w:rsid w:val="000F3F3E"/>
    <w:rsid w:val="000F4624"/>
    <w:rsid w:val="000F504F"/>
    <w:rsid w:val="000F5C6B"/>
    <w:rsid w:val="000F66FE"/>
    <w:rsid w:val="000F7108"/>
    <w:rsid w:val="000F7454"/>
    <w:rsid w:val="000F75D0"/>
    <w:rsid w:val="000F76B4"/>
    <w:rsid w:val="000F7848"/>
    <w:rsid w:val="000F795E"/>
    <w:rsid w:val="000F7992"/>
    <w:rsid w:val="00100289"/>
    <w:rsid w:val="0010184D"/>
    <w:rsid w:val="0010238F"/>
    <w:rsid w:val="00102674"/>
    <w:rsid w:val="00102F1B"/>
    <w:rsid w:val="00103207"/>
    <w:rsid w:val="0010370D"/>
    <w:rsid w:val="00103E8A"/>
    <w:rsid w:val="00103E92"/>
    <w:rsid w:val="0010460E"/>
    <w:rsid w:val="00104A8B"/>
    <w:rsid w:val="00104FD5"/>
    <w:rsid w:val="00105241"/>
    <w:rsid w:val="00105DE2"/>
    <w:rsid w:val="00105FA4"/>
    <w:rsid w:val="00106548"/>
    <w:rsid w:val="001068F5"/>
    <w:rsid w:val="00106E25"/>
    <w:rsid w:val="00106E38"/>
    <w:rsid w:val="0010713A"/>
    <w:rsid w:val="00107863"/>
    <w:rsid w:val="00107B8A"/>
    <w:rsid w:val="00107C77"/>
    <w:rsid w:val="00107DDD"/>
    <w:rsid w:val="001103D2"/>
    <w:rsid w:val="00110834"/>
    <w:rsid w:val="001109F4"/>
    <w:rsid w:val="00111173"/>
    <w:rsid w:val="00111239"/>
    <w:rsid w:val="0011131E"/>
    <w:rsid w:val="00111670"/>
    <w:rsid w:val="00111997"/>
    <w:rsid w:val="00111CE5"/>
    <w:rsid w:val="00112124"/>
    <w:rsid w:val="0011246D"/>
    <w:rsid w:val="00112535"/>
    <w:rsid w:val="00112D0C"/>
    <w:rsid w:val="0011375C"/>
    <w:rsid w:val="00113984"/>
    <w:rsid w:val="00113CFB"/>
    <w:rsid w:val="00113D95"/>
    <w:rsid w:val="00113EA1"/>
    <w:rsid w:val="001155AF"/>
    <w:rsid w:val="00116DED"/>
    <w:rsid w:val="00116F69"/>
    <w:rsid w:val="0011734B"/>
    <w:rsid w:val="00117977"/>
    <w:rsid w:val="001207AB"/>
    <w:rsid w:val="00120BBE"/>
    <w:rsid w:val="00121063"/>
    <w:rsid w:val="00121942"/>
    <w:rsid w:val="00121B14"/>
    <w:rsid w:val="00121E52"/>
    <w:rsid w:val="001220EE"/>
    <w:rsid w:val="0012254C"/>
    <w:rsid w:val="001226DC"/>
    <w:rsid w:val="00122A7D"/>
    <w:rsid w:val="00123236"/>
    <w:rsid w:val="00123600"/>
    <w:rsid w:val="00123CBF"/>
    <w:rsid w:val="00123F40"/>
    <w:rsid w:val="00124283"/>
    <w:rsid w:val="0012457B"/>
    <w:rsid w:val="001245C4"/>
    <w:rsid w:val="00124DE3"/>
    <w:rsid w:val="0012512E"/>
    <w:rsid w:val="001259A7"/>
    <w:rsid w:val="00125F6D"/>
    <w:rsid w:val="00125F79"/>
    <w:rsid w:val="0012677A"/>
    <w:rsid w:val="00126B0B"/>
    <w:rsid w:val="00126E1E"/>
    <w:rsid w:val="00127646"/>
    <w:rsid w:val="00127A2E"/>
    <w:rsid w:val="00127BB5"/>
    <w:rsid w:val="00127C6E"/>
    <w:rsid w:val="00130BE1"/>
    <w:rsid w:val="00131814"/>
    <w:rsid w:val="001318A4"/>
    <w:rsid w:val="0013230E"/>
    <w:rsid w:val="00132358"/>
    <w:rsid w:val="001324AE"/>
    <w:rsid w:val="00132CC4"/>
    <w:rsid w:val="00132DBE"/>
    <w:rsid w:val="0013352C"/>
    <w:rsid w:val="001337CD"/>
    <w:rsid w:val="00133995"/>
    <w:rsid w:val="00133A88"/>
    <w:rsid w:val="00134062"/>
    <w:rsid w:val="00134327"/>
    <w:rsid w:val="001345EC"/>
    <w:rsid w:val="00134DF4"/>
    <w:rsid w:val="00134E3B"/>
    <w:rsid w:val="0013503F"/>
    <w:rsid w:val="00135885"/>
    <w:rsid w:val="00135889"/>
    <w:rsid w:val="00135B9F"/>
    <w:rsid w:val="0013602A"/>
    <w:rsid w:val="0013611F"/>
    <w:rsid w:val="00136C9B"/>
    <w:rsid w:val="00137390"/>
    <w:rsid w:val="00137568"/>
    <w:rsid w:val="00137820"/>
    <w:rsid w:val="00137BE2"/>
    <w:rsid w:val="001403F7"/>
    <w:rsid w:val="00140A63"/>
    <w:rsid w:val="00140BDB"/>
    <w:rsid w:val="001413FC"/>
    <w:rsid w:val="00141842"/>
    <w:rsid w:val="001420A0"/>
    <w:rsid w:val="001423A1"/>
    <w:rsid w:val="00142562"/>
    <w:rsid w:val="001431F0"/>
    <w:rsid w:val="001433B6"/>
    <w:rsid w:val="00144183"/>
    <w:rsid w:val="00144401"/>
    <w:rsid w:val="00144873"/>
    <w:rsid w:val="00144983"/>
    <w:rsid w:val="00144A5E"/>
    <w:rsid w:val="00144A7E"/>
    <w:rsid w:val="00144D00"/>
    <w:rsid w:val="0014564A"/>
    <w:rsid w:val="0014572A"/>
    <w:rsid w:val="0014581E"/>
    <w:rsid w:val="00145A1C"/>
    <w:rsid w:val="00145B46"/>
    <w:rsid w:val="001465FB"/>
    <w:rsid w:val="0014671B"/>
    <w:rsid w:val="001472B8"/>
    <w:rsid w:val="001478CA"/>
    <w:rsid w:val="00150330"/>
    <w:rsid w:val="001517B8"/>
    <w:rsid w:val="00151873"/>
    <w:rsid w:val="0015187C"/>
    <w:rsid w:val="00152045"/>
    <w:rsid w:val="001529C2"/>
    <w:rsid w:val="001529CC"/>
    <w:rsid w:val="00153005"/>
    <w:rsid w:val="00153405"/>
    <w:rsid w:val="00153AC7"/>
    <w:rsid w:val="00153B2B"/>
    <w:rsid w:val="00153CEC"/>
    <w:rsid w:val="00153F13"/>
    <w:rsid w:val="00154180"/>
    <w:rsid w:val="001544B0"/>
    <w:rsid w:val="00154744"/>
    <w:rsid w:val="0015614E"/>
    <w:rsid w:val="001561B6"/>
    <w:rsid w:val="0015624D"/>
    <w:rsid w:val="00156692"/>
    <w:rsid w:val="001567BE"/>
    <w:rsid w:val="00156887"/>
    <w:rsid w:val="00156E98"/>
    <w:rsid w:val="00157C44"/>
    <w:rsid w:val="0016001C"/>
    <w:rsid w:val="00160223"/>
    <w:rsid w:val="001603F7"/>
    <w:rsid w:val="00160BD0"/>
    <w:rsid w:val="00160C1B"/>
    <w:rsid w:val="00160CBA"/>
    <w:rsid w:val="00160EBB"/>
    <w:rsid w:val="00161DE7"/>
    <w:rsid w:val="00162674"/>
    <w:rsid w:val="00163766"/>
    <w:rsid w:val="00163C1F"/>
    <w:rsid w:val="00163E30"/>
    <w:rsid w:val="00163E6E"/>
    <w:rsid w:val="0016416C"/>
    <w:rsid w:val="00164549"/>
    <w:rsid w:val="00164986"/>
    <w:rsid w:val="00164E21"/>
    <w:rsid w:val="00165091"/>
    <w:rsid w:val="0016518F"/>
    <w:rsid w:val="00165540"/>
    <w:rsid w:val="00165A59"/>
    <w:rsid w:val="00166102"/>
    <w:rsid w:val="00167404"/>
    <w:rsid w:val="001675B0"/>
    <w:rsid w:val="00167B5E"/>
    <w:rsid w:val="001705A2"/>
    <w:rsid w:val="001705C4"/>
    <w:rsid w:val="00171ABB"/>
    <w:rsid w:val="00172423"/>
    <w:rsid w:val="001729F8"/>
    <w:rsid w:val="00172D34"/>
    <w:rsid w:val="001737DB"/>
    <w:rsid w:val="001737ED"/>
    <w:rsid w:val="00173A72"/>
    <w:rsid w:val="00173C51"/>
    <w:rsid w:val="00173ED2"/>
    <w:rsid w:val="00174118"/>
    <w:rsid w:val="001741F0"/>
    <w:rsid w:val="001743FF"/>
    <w:rsid w:val="00174C75"/>
    <w:rsid w:val="0017532B"/>
    <w:rsid w:val="001763A9"/>
    <w:rsid w:val="001768B3"/>
    <w:rsid w:val="00176FF4"/>
    <w:rsid w:val="001773BF"/>
    <w:rsid w:val="0017766D"/>
    <w:rsid w:val="0017774D"/>
    <w:rsid w:val="001777DC"/>
    <w:rsid w:val="00177945"/>
    <w:rsid w:val="00180CE2"/>
    <w:rsid w:val="0018127C"/>
    <w:rsid w:val="00181A91"/>
    <w:rsid w:val="00181B15"/>
    <w:rsid w:val="00181DDA"/>
    <w:rsid w:val="00182C0C"/>
    <w:rsid w:val="001837B0"/>
    <w:rsid w:val="00183E3A"/>
    <w:rsid w:val="00184DB6"/>
    <w:rsid w:val="0018509A"/>
    <w:rsid w:val="00185142"/>
    <w:rsid w:val="001857C8"/>
    <w:rsid w:val="00185C0E"/>
    <w:rsid w:val="00185D9F"/>
    <w:rsid w:val="00185F3E"/>
    <w:rsid w:val="00187405"/>
    <w:rsid w:val="00187C76"/>
    <w:rsid w:val="00190600"/>
    <w:rsid w:val="001907E9"/>
    <w:rsid w:val="00190EB7"/>
    <w:rsid w:val="00190F20"/>
    <w:rsid w:val="001912AA"/>
    <w:rsid w:val="001914F5"/>
    <w:rsid w:val="00191AE5"/>
    <w:rsid w:val="00192177"/>
    <w:rsid w:val="00192462"/>
    <w:rsid w:val="00192D78"/>
    <w:rsid w:val="0019307E"/>
    <w:rsid w:val="0019351D"/>
    <w:rsid w:val="00194488"/>
    <w:rsid w:val="0019461A"/>
    <w:rsid w:val="001946B2"/>
    <w:rsid w:val="00194A91"/>
    <w:rsid w:val="001953F6"/>
    <w:rsid w:val="00195466"/>
    <w:rsid w:val="00195FD2"/>
    <w:rsid w:val="00195FED"/>
    <w:rsid w:val="00196038"/>
    <w:rsid w:val="00196681"/>
    <w:rsid w:val="00196713"/>
    <w:rsid w:val="00196ACB"/>
    <w:rsid w:val="00196D60"/>
    <w:rsid w:val="001977BD"/>
    <w:rsid w:val="00197B36"/>
    <w:rsid w:val="00197F74"/>
    <w:rsid w:val="001A007D"/>
    <w:rsid w:val="001A09E1"/>
    <w:rsid w:val="001A0D57"/>
    <w:rsid w:val="001A1002"/>
    <w:rsid w:val="001A121F"/>
    <w:rsid w:val="001A152A"/>
    <w:rsid w:val="001A1930"/>
    <w:rsid w:val="001A1C69"/>
    <w:rsid w:val="001A2644"/>
    <w:rsid w:val="001A27CC"/>
    <w:rsid w:val="001A284B"/>
    <w:rsid w:val="001A2F3B"/>
    <w:rsid w:val="001A36F3"/>
    <w:rsid w:val="001A3C3D"/>
    <w:rsid w:val="001A3CE1"/>
    <w:rsid w:val="001A4324"/>
    <w:rsid w:val="001A4A8D"/>
    <w:rsid w:val="001A4B90"/>
    <w:rsid w:val="001A4D4B"/>
    <w:rsid w:val="001A4E30"/>
    <w:rsid w:val="001A4F42"/>
    <w:rsid w:val="001A559E"/>
    <w:rsid w:val="001A5B21"/>
    <w:rsid w:val="001A5E0A"/>
    <w:rsid w:val="001A5FA0"/>
    <w:rsid w:val="001A60CB"/>
    <w:rsid w:val="001A62DD"/>
    <w:rsid w:val="001A6320"/>
    <w:rsid w:val="001A6642"/>
    <w:rsid w:val="001A6908"/>
    <w:rsid w:val="001A6A14"/>
    <w:rsid w:val="001A6C31"/>
    <w:rsid w:val="001A6CE6"/>
    <w:rsid w:val="001B00D8"/>
    <w:rsid w:val="001B017B"/>
    <w:rsid w:val="001B08B6"/>
    <w:rsid w:val="001B09F5"/>
    <w:rsid w:val="001B0F87"/>
    <w:rsid w:val="001B20C6"/>
    <w:rsid w:val="001B2203"/>
    <w:rsid w:val="001B2323"/>
    <w:rsid w:val="001B3060"/>
    <w:rsid w:val="001B317F"/>
    <w:rsid w:val="001B3832"/>
    <w:rsid w:val="001B3AAB"/>
    <w:rsid w:val="001B3FCE"/>
    <w:rsid w:val="001B42F6"/>
    <w:rsid w:val="001B48B5"/>
    <w:rsid w:val="001B4CCD"/>
    <w:rsid w:val="001B4E26"/>
    <w:rsid w:val="001B669A"/>
    <w:rsid w:val="001B718D"/>
    <w:rsid w:val="001B7234"/>
    <w:rsid w:val="001B74C7"/>
    <w:rsid w:val="001B7544"/>
    <w:rsid w:val="001B77DD"/>
    <w:rsid w:val="001B7BB8"/>
    <w:rsid w:val="001B7F89"/>
    <w:rsid w:val="001C04BC"/>
    <w:rsid w:val="001C068E"/>
    <w:rsid w:val="001C1E46"/>
    <w:rsid w:val="001C1FC5"/>
    <w:rsid w:val="001C2239"/>
    <w:rsid w:val="001C242D"/>
    <w:rsid w:val="001C24AB"/>
    <w:rsid w:val="001C2AA8"/>
    <w:rsid w:val="001C2DE7"/>
    <w:rsid w:val="001C31A2"/>
    <w:rsid w:val="001C31FF"/>
    <w:rsid w:val="001C3516"/>
    <w:rsid w:val="001C3623"/>
    <w:rsid w:val="001C4028"/>
    <w:rsid w:val="001C4098"/>
    <w:rsid w:val="001C412C"/>
    <w:rsid w:val="001C428D"/>
    <w:rsid w:val="001C4A89"/>
    <w:rsid w:val="001C4D8C"/>
    <w:rsid w:val="001C5088"/>
    <w:rsid w:val="001C51C0"/>
    <w:rsid w:val="001C55DB"/>
    <w:rsid w:val="001C5600"/>
    <w:rsid w:val="001C5606"/>
    <w:rsid w:val="001C5B40"/>
    <w:rsid w:val="001C670C"/>
    <w:rsid w:val="001C6C9A"/>
    <w:rsid w:val="001C711F"/>
    <w:rsid w:val="001D0236"/>
    <w:rsid w:val="001D0530"/>
    <w:rsid w:val="001D090F"/>
    <w:rsid w:val="001D0CE8"/>
    <w:rsid w:val="001D1276"/>
    <w:rsid w:val="001D1706"/>
    <w:rsid w:val="001D1DF5"/>
    <w:rsid w:val="001D1EE1"/>
    <w:rsid w:val="001D240E"/>
    <w:rsid w:val="001D24C6"/>
    <w:rsid w:val="001D26FD"/>
    <w:rsid w:val="001D2FE7"/>
    <w:rsid w:val="001D3703"/>
    <w:rsid w:val="001D3DF3"/>
    <w:rsid w:val="001D3E18"/>
    <w:rsid w:val="001D3E9E"/>
    <w:rsid w:val="001D3ECE"/>
    <w:rsid w:val="001D409C"/>
    <w:rsid w:val="001D44D9"/>
    <w:rsid w:val="001D49E6"/>
    <w:rsid w:val="001D4A51"/>
    <w:rsid w:val="001D4D87"/>
    <w:rsid w:val="001D558E"/>
    <w:rsid w:val="001D5916"/>
    <w:rsid w:val="001D5AE1"/>
    <w:rsid w:val="001D5DA7"/>
    <w:rsid w:val="001D60BD"/>
    <w:rsid w:val="001D747F"/>
    <w:rsid w:val="001D75C7"/>
    <w:rsid w:val="001D7883"/>
    <w:rsid w:val="001E06F3"/>
    <w:rsid w:val="001E0A7D"/>
    <w:rsid w:val="001E0B53"/>
    <w:rsid w:val="001E0EE6"/>
    <w:rsid w:val="001E0F96"/>
    <w:rsid w:val="001E117C"/>
    <w:rsid w:val="001E13C0"/>
    <w:rsid w:val="001E14DE"/>
    <w:rsid w:val="001E1784"/>
    <w:rsid w:val="001E1B3F"/>
    <w:rsid w:val="001E1D55"/>
    <w:rsid w:val="001E2016"/>
    <w:rsid w:val="001E25F6"/>
    <w:rsid w:val="001E2605"/>
    <w:rsid w:val="001E2A5E"/>
    <w:rsid w:val="001E3217"/>
    <w:rsid w:val="001E37C6"/>
    <w:rsid w:val="001E3BF7"/>
    <w:rsid w:val="001E3CDF"/>
    <w:rsid w:val="001E4271"/>
    <w:rsid w:val="001E4911"/>
    <w:rsid w:val="001E4C07"/>
    <w:rsid w:val="001E5236"/>
    <w:rsid w:val="001E53AB"/>
    <w:rsid w:val="001E5F3C"/>
    <w:rsid w:val="001E6686"/>
    <w:rsid w:val="001E68D8"/>
    <w:rsid w:val="001E6A62"/>
    <w:rsid w:val="001E6E57"/>
    <w:rsid w:val="001E6F7D"/>
    <w:rsid w:val="001E717A"/>
    <w:rsid w:val="001E7911"/>
    <w:rsid w:val="001E79CC"/>
    <w:rsid w:val="001F0770"/>
    <w:rsid w:val="001F0C74"/>
    <w:rsid w:val="001F1077"/>
    <w:rsid w:val="001F10F5"/>
    <w:rsid w:val="001F1BB8"/>
    <w:rsid w:val="001F2172"/>
    <w:rsid w:val="001F28EB"/>
    <w:rsid w:val="001F2CFE"/>
    <w:rsid w:val="001F399E"/>
    <w:rsid w:val="001F45EC"/>
    <w:rsid w:val="001F47B3"/>
    <w:rsid w:val="001F4889"/>
    <w:rsid w:val="001F4AE1"/>
    <w:rsid w:val="001F4C7F"/>
    <w:rsid w:val="001F4E7A"/>
    <w:rsid w:val="001F4EC2"/>
    <w:rsid w:val="001F5788"/>
    <w:rsid w:val="001F5972"/>
    <w:rsid w:val="001F5CDB"/>
    <w:rsid w:val="001F5DB2"/>
    <w:rsid w:val="001F6A87"/>
    <w:rsid w:val="001F6E0F"/>
    <w:rsid w:val="001F6FED"/>
    <w:rsid w:val="001F7243"/>
    <w:rsid w:val="001F777E"/>
    <w:rsid w:val="00200233"/>
    <w:rsid w:val="00200CA8"/>
    <w:rsid w:val="002010D5"/>
    <w:rsid w:val="00201940"/>
    <w:rsid w:val="00201AD9"/>
    <w:rsid w:val="00202B0F"/>
    <w:rsid w:val="002041E1"/>
    <w:rsid w:val="0020435F"/>
    <w:rsid w:val="002046C2"/>
    <w:rsid w:val="00204A0F"/>
    <w:rsid w:val="00205837"/>
    <w:rsid w:val="00205942"/>
    <w:rsid w:val="00205E9A"/>
    <w:rsid w:val="0020630F"/>
    <w:rsid w:val="0020650F"/>
    <w:rsid w:val="0020667C"/>
    <w:rsid w:val="00207747"/>
    <w:rsid w:val="002103D9"/>
    <w:rsid w:val="002109CC"/>
    <w:rsid w:val="002110E3"/>
    <w:rsid w:val="00211170"/>
    <w:rsid w:val="002112E5"/>
    <w:rsid w:val="002112ED"/>
    <w:rsid w:val="002113AB"/>
    <w:rsid w:val="002117B1"/>
    <w:rsid w:val="00211B6A"/>
    <w:rsid w:val="00211C6D"/>
    <w:rsid w:val="00211DB1"/>
    <w:rsid w:val="00212541"/>
    <w:rsid w:val="0021279D"/>
    <w:rsid w:val="002127C8"/>
    <w:rsid w:val="002128B1"/>
    <w:rsid w:val="00212C53"/>
    <w:rsid w:val="00213029"/>
    <w:rsid w:val="00213112"/>
    <w:rsid w:val="002133C5"/>
    <w:rsid w:val="002134C6"/>
    <w:rsid w:val="0021358F"/>
    <w:rsid w:val="002137CE"/>
    <w:rsid w:val="0021387D"/>
    <w:rsid w:val="00213D9E"/>
    <w:rsid w:val="00213EF3"/>
    <w:rsid w:val="00214326"/>
    <w:rsid w:val="0021461E"/>
    <w:rsid w:val="00214D38"/>
    <w:rsid w:val="00214F66"/>
    <w:rsid w:val="00215576"/>
    <w:rsid w:val="0021618D"/>
    <w:rsid w:val="002164CA"/>
    <w:rsid w:val="002166D5"/>
    <w:rsid w:val="00216FED"/>
    <w:rsid w:val="002175C2"/>
    <w:rsid w:val="00217948"/>
    <w:rsid w:val="00217DA0"/>
    <w:rsid w:val="002209E8"/>
    <w:rsid w:val="0022114A"/>
    <w:rsid w:val="002218F1"/>
    <w:rsid w:val="002219FB"/>
    <w:rsid w:val="00221B2F"/>
    <w:rsid w:val="00221C5E"/>
    <w:rsid w:val="00221DCF"/>
    <w:rsid w:val="00222D8D"/>
    <w:rsid w:val="00223263"/>
    <w:rsid w:val="00223BBF"/>
    <w:rsid w:val="0022439C"/>
    <w:rsid w:val="00224D8F"/>
    <w:rsid w:val="00224E4B"/>
    <w:rsid w:val="00224E84"/>
    <w:rsid w:val="00224F0F"/>
    <w:rsid w:val="00225243"/>
    <w:rsid w:val="002255AC"/>
    <w:rsid w:val="002258A0"/>
    <w:rsid w:val="002260CE"/>
    <w:rsid w:val="002267A3"/>
    <w:rsid w:val="00226E17"/>
    <w:rsid w:val="0022734B"/>
    <w:rsid w:val="002273EA"/>
    <w:rsid w:val="00227467"/>
    <w:rsid w:val="002274F1"/>
    <w:rsid w:val="00227598"/>
    <w:rsid w:val="00227892"/>
    <w:rsid w:val="00227AF9"/>
    <w:rsid w:val="00227F3B"/>
    <w:rsid w:val="00230198"/>
    <w:rsid w:val="0023067C"/>
    <w:rsid w:val="002308D1"/>
    <w:rsid w:val="00230E9C"/>
    <w:rsid w:val="002317DC"/>
    <w:rsid w:val="00231CF6"/>
    <w:rsid w:val="002321B8"/>
    <w:rsid w:val="00232271"/>
    <w:rsid w:val="00232327"/>
    <w:rsid w:val="0023240F"/>
    <w:rsid w:val="00232A18"/>
    <w:rsid w:val="00233F53"/>
    <w:rsid w:val="0023434F"/>
    <w:rsid w:val="0023450C"/>
    <w:rsid w:val="002345BE"/>
    <w:rsid w:val="00234871"/>
    <w:rsid w:val="00235371"/>
    <w:rsid w:val="00235489"/>
    <w:rsid w:val="00235496"/>
    <w:rsid w:val="002355C2"/>
    <w:rsid w:val="00235F3D"/>
    <w:rsid w:val="00236735"/>
    <w:rsid w:val="00237022"/>
    <w:rsid w:val="00237BC5"/>
    <w:rsid w:val="00240123"/>
    <w:rsid w:val="0024016D"/>
    <w:rsid w:val="00240408"/>
    <w:rsid w:val="00240F3D"/>
    <w:rsid w:val="00241123"/>
    <w:rsid w:val="002427BD"/>
    <w:rsid w:val="00242DEC"/>
    <w:rsid w:val="00242DFD"/>
    <w:rsid w:val="002431C7"/>
    <w:rsid w:val="00243689"/>
    <w:rsid w:val="0024388D"/>
    <w:rsid w:val="00243E5B"/>
    <w:rsid w:val="002442E6"/>
    <w:rsid w:val="002448C7"/>
    <w:rsid w:val="00244CE2"/>
    <w:rsid w:val="00245966"/>
    <w:rsid w:val="002459CA"/>
    <w:rsid w:val="00245A57"/>
    <w:rsid w:val="00245A75"/>
    <w:rsid w:val="00245AE0"/>
    <w:rsid w:val="0024671B"/>
    <w:rsid w:val="00246848"/>
    <w:rsid w:val="00246C69"/>
    <w:rsid w:val="00246FA7"/>
    <w:rsid w:val="00247099"/>
    <w:rsid w:val="0024767B"/>
    <w:rsid w:val="00247BC8"/>
    <w:rsid w:val="00247E69"/>
    <w:rsid w:val="00250078"/>
    <w:rsid w:val="00250098"/>
    <w:rsid w:val="00250268"/>
    <w:rsid w:val="00250401"/>
    <w:rsid w:val="00250893"/>
    <w:rsid w:val="0025097E"/>
    <w:rsid w:val="002509E3"/>
    <w:rsid w:val="00250F76"/>
    <w:rsid w:val="002513D5"/>
    <w:rsid w:val="002515B3"/>
    <w:rsid w:val="00251F26"/>
    <w:rsid w:val="00252806"/>
    <w:rsid w:val="00252E09"/>
    <w:rsid w:val="00252F06"/>
    <w:rsid w:val="00253183"/>
    <w:rsid w:val="002533F2"/>
    <w:rsid w:val="00253728"/>
    <w:rsid w:val="00254529"/>
    <w:rsid w:val="0025454D"/>
    <w:rsid w:val="002556C1"/>
    <w:rsid w:val="00255916"/>
    <w:rsid w:val="00256487"/>
    <w:rsid w:val="002571C6"/>
    <w:rsid w:val="00257495"/>
    <w:rsid w:val="002579BB"/>
    <w:rsid w:val="002600AF"/>
    <w:rsid w:val="00260A5C"/>
    <w:rsid w:val="00260ABF"/>
    <w:rsid w:val="00260D98"/>
    <w:rsid w:val="002614E7"/>
    <w:rsid w:val="002616DB"/>
    <w:rsid w:val="00261953"/>
    <w:rsid w:val="00261BF4"/>
    <w:rsid w:val="00261E2A"/>
    <w:rsid w:val="002621D4"/>
    <w:rsid w:val="002621FB"/>
    <w:rsid w:val="002622ED"/>
    <w:rsid w:val="0026354E"/>
    <w:rsid w:val="002635FE"/>
    <w:rsid w:val="00264208"/>
    <w:rsid w:val="002644A8"/>
    <w:rsid w:val="00264941"/>
    <w:rsid w:val="00264E0E"/>
    <w:rsid w:val="00265256"/>
    <w:rsid w:val="0026581F"/>
    <w:rsid w:val="0026615B"/>
    <w:rsid w:val="00266492"/>
    <w:rsid w:val="002668D5"/>
    <w:rsid w:val="00266FE4"/>
    <w:rsid w:val="002674AD"/>
    <w:rsid w:val="00270D0C"/>
    <w:rsid w:val="00270F30"/>
    <w:rsid w:val="00271340"/>
    <w:rsid w:val="00271E5D"/>
    <w:rsid w:val="00272857"/>
    <w:rsid w:val="00272A57"/>
    <w:rsid w:val="00273011"/>
    <w:rsid w:val="002730A9"/>
    <w:rsid w:val="0027334E"/>
    <w:rsid w:val="002735F3"/>
    <w:rsid w:val="00274457"/>
    <w:rsid w:val="0027459B"/>
    <w:rsid w:val="002749C8"/>
    <w:rsid w:val="00274B54"/>
    <w:rsid w:val="00274D43"/>
    <w:rsid w:val="002750C2"/>
    <w:rsid w:val="002759B9"/>
    <w:rsid w:val="0027709B"/>
    <w:rsid w:val="002770AB"/>
    <w:rsid w:val="00277338"/>
    <w:rsid w:val="00277414"/>
    <w:rsid w:val="002779E1"/>
    <w:rsid w:val="00277B5A"/>
    <w:rsid w:val="00277D20"/>
    <w:rsid w:val="00280910"/>
    <w:rsid w:val="00280E85"/>
    <w:rsid w:val="00281210"/>
    <w:rsid w:val="002823C4"/>
    <w:rsid w:val="00282444"/>
    <w:rsid w:val="002829B2"/>
    <w:rsid w:val="00282ABC"/>
    <w:rsid w:val="00283001"/>
    <w:rsid w:val="0028336C"/>
    <w:rsid w:val="00283E71"/>
    <w:rsid w:val="002848CD"/>
    <w:rsid w:val="0028494A"/>
    <w:rsid w:val="00284B1B"/>
    <w:rsid w:val="00284F8E"/>
    <w:rsid w:val="002852C0"/>
    <w:rsid w:val="00285384"/>
    <w:rsid w:val="002857D5"/>
    <w:rsid w:val="00285AA8"/>
    <w:rsid w:val="00286003"/>
    <w:rsid w:val="00286A34"/>
    <w:rsid w:val="0028722E"/>
    <w:rsid w:val="00287261"/>
    <w:rsid w:val="00287DF4"/>
    <w:rsid w:val="00287EF6"/>
    <w:rsid w:val="002900A3"/>
    <w:rsid w:val="0029054A"/>
    <w:rsid w:val="002907C9"/>
    <w:rsid w:val="00290E9C"/>
    <w:rsid w:val="00291047"/>
    <w:rsid w:val="00291099"/>
    <w:rsid w:val="002915C5"/>
    <w:rsid w:val="0029234C"/>
    <w:rsid w:val="002924F0"/>
    <w:rsid w:val="00292572"/>
    <w:rsid w:val="00292E1D"/>
    <w:rsid w:val="0029388D"/>
    <w:rsid w:val="00294153"/>
    <w:rsid w:val="00294188"/>
    <w:rsid w:val="00294ADF"/>
    <w:rsid w:val="00294AF2"/>
    <w:rsid w:val="00294B0E"/>
    <w:rsid w:val="00294C88"/>
    <w:rsid w:val="00294D68"/>
    <w:rsid w:val="00296740"/>
    <w:rsid w:val="00296A9F"/>
    <w:rsid w:val="00296FBA"/>
    <w:rsid w:val="002978E6"/>
    <w:rsid w:val="002A0268"/>
    <w:rsid w:val="002A07FC"/>
    <w:rsid w:val="002A0C0A"/>
    <w:rsid w:val="002A1148"/>
    <w:rsid w:val="002A11C0"/>
    <w:rsid w:val="002A1613"/>
    <w:rsid w:val="002A1B25"/>
    <w:rsid w:val="002A1D4B"/>
    <w:rsid w:val="002A1D98"/>
    <w:rsid w:val="002A1F83"/>
    <w:rsid w:val="002A1FF1"/>
    <w:rsid w:val="002A21D4"/>
    <w:rsid w:val="002A2213"/>
    <w:rsid w:val="002A27F4"/>
    <w:rsid w:val="002A2CC2"/>
    <w:rsid w:val="002A2DF2"/>
    <w:rsid w:val="002A2FB0"/>
    <w:rsid w:val="002A322E"/>
    <w:rsid w:val="002A3452"/>
    <w:rsid w:val="002A385A"/>
    <w:rsid w:val="002A3D04"/>
    <w:rsid w:val="002A3D6A"/>
    <w:rsid w:val="002A3E43"/>
    <w:rsid w:val="002A467F"/>
    <w:rsid w:val="002A506E"/>
    <w:rsid w:val="002A5673"/>
    <w:rsid w:val="002A57C6"/>
    <w:rsid w:val="002A61D8"/>
    <w:rsid w:val="002A6C89"/>
    <w:rsid w:val="002A7222"/>
    <w:rsid w:val="002A7A4A"/>
    <w:rsid w:val="002A7D2E"/>
    <w:rsid w:val="002B00F8"/>
    <w:rsid w:val="002B017D"/>
    <w:rsid w:val="002B038B"/>
    <w:rsid w:val="002B03D4"/>
    <w:rsid w:val="002B09A3"/>
    <w:rsid w:val="002B0A6E"/>
    <w:rsid w:val="002B0A82"/>
    <w:rsid w:val="002B1977"/>
    <w:rsid w:val="002B1B60"/>
    <w:rsid w:val="002B293A"/>
    <w:rsid w:val="002B2DB3"/>
    <w:rsid w:val="002B2F04"/>
    <w:rsid w:val="002B2F86"/>
    <w:rsid w:val="002B3060"/>
    <w:rsid w:val="002B37DD"/>
    <w:rsid w:val="002B3EA0"/>
    <w:rsid w:val="002B421D"/>
    <w:rsid w:val="002B4226"/>
    <w:rsid w:val="002B4506"/>
    <w:rsid w:val="002B5221"/>
    <w:rsid w:val="002B539A"/>
    <w:rsid w:val="002B58EA"/>
    <w:rsid w:val="002B592E"/>
    <w:rsid w:val="002B5A79"/>
    <w:rsid w:val="002B5B06"/>
    <w:rsid w:val="002B6326"/>
    <w:rsid w:val="002B6415"/>
    <w:rsid w:val="002B649C"/>
    <w:rsid w:val="002B6D92"/>
    <w:rsid w:val="002B6F56"/>
    <w:rsid w:val="002B7A67"/>
    <w:rsid w:val="002B7C19"/>
    <w:rsid w:val="002C0458"/>
    <w:rsid w:val="002C08D4"/>
    <w:rsid w:val="002C1789"/>
    <w:rsid w:val="002C232B"/>
    <w:rsid w:val="002C244A"/>
    <w:rsid w:val="002C3945"/>
    <w:rsid w:val="002C48C0"/>
    <w:rsid w:val="002C5255"/>
    <w:rsid w:val="002C5269"/>
    <w:rsid w:val="002C54E3"/>
    <w:rsid w:val="002C56A8"/>
    <w:rsid w:val="002C620F"/>
    <w:rsid w:val="002C66A0"/>
    <w:rsid w:val="002C68EF"/>
    <w:rsid w:val="002C74BD"/>
    <w:rsid w:val="002C7BC9"/>
    <w:rsid w:val="002C7DDC"/>
    <w:rsid w:val="002D0472"/>
    <w:rsid w:val="002D1123"/>
    <w:rsid w:val="002D1294"/>
    <w:rsid w:val="002D167C"/>
    <w:rsid w:val="002D1813"/>
    <w:rsid w:val="002D19CC"/>
    <w:rsid w:val="002D2175"/>
    <w:rsid w:val="002D2E29"/>
    <w:rsid w:val="002D3233"/>
    <w:rsid w:val="002D355D"/>
    <w:rsid w:val="002D4266"/>
    <w:rsid w:val="002D44AD"/>
    <w:rsid w:val="002D48FA"/>
    <w:rsid w:val="002D4B99"/>
    <w:rsid w:val="002D4CC3"/>
    <w:rsid w:val="002D4F01"/>
    <w:rsid w:val="002D5557"/>
    <w:rsid w:val="002D5DBE"/>
    <w:rsid w:val="002D61F9"/>
    <w:rsid w:val="002D6E46"/>
    <w:rsid w:val="002D7083"/>
    <w:rsid w:val="002D7108"/>
    <w:rsid w:val="002D7B02"/>
    <w:rsid w:val="002D7BEB"/>
    <w:rsid w:val="002D7DE8"/>
    <w:rsid w:val="002E1097"/>
    <w:rsid w:val="002E10C9"/>
    <w:rsid w:val="002E13E3"/>
    <w:rsid w:val="002E200A"/>
    <w:rsid w:val="002E2551"/>
    <w:rsid w:val="002E2ED0"/>
    <w:rsid w:val="002E2F77"/>
    <w:rsid w:val="002E3877"/>
    <w:rsid w:val="002E3C90"/>
    <w:rsid w:val="002E3CDD"/>
    <w:rsid w:val="002E3D00"/>
    <w:rsid w:val="002E3D8C"/>
    <w:rsid w:val="002E3E5B"/>
    <w:rsid w:val="002E3F96"/>
    <w:rsid w:val="002E4472"/>
    <w:rsid w:val="002E47EE"/>
    <w:rsid w:val="002E4B03"/>
    <w:rsid w:val="002E4F2E"/>
    <w:rsid w:val="002E5280"/>
    <w:rsid w:val="002E576F"/>
    <w:rsid w:val="002E59D1"/>
    <w:rsid w:val="002E5F40"/>
    <w:rsid w:val="002E62D0"/>
    <w:rsid w:val="002E6C97"/>
    <w:rsid w:val="002E6E05"/>
    <w:rsid w:val="002E77B5"/>
    <w:rsid w:val="002E79E6"/>
    <w:rsid w:val="002E7D78"/>
    <w:rsid w:val="002F00F1"/>
    <w:rsid w:val="002F03A7"/>
    <w:rsid w:val="002F03DC"/>
    <w:rsid w:val="002F052A"/>
    <w:rsid w:val="002F0879"/>
    <w:rsid w:val="002F08C8"/>
    <w:rsid w:val="002F0CBD"/>
    <w:rsid w:val="002F0D32"/>
    <w:rsid w:val="002F1111"/>
    <w:rsid w:val="002F111F"/>
    <w:rsid w:val="002F1839"/>
    <w:rsid w:val="002F1B0E"/>
    <w:rsid w:val="002F1B5A"/>
    <w:rsid w:val="002F20A7"/>
    <w:rsid w:val="002F213B"/>
    <w:rsid w:val="002F286B"/>
    <w:rsid w:val="002F3372"/>
    <w:rsid w:val="002F3863"/>
    <w:rsid w:val="002F3B80"/>
    <w:rsid w:val="002F3C14"/>
    <w:rsid w:val="002F3F73"/>
    <w:rsid w:val="002F4248"/>
    <w:rsid w:val="002F45A4"/>
    <w:rsid w:val="002F479C"/>
    <w:rsid w:val="002F47F7"/>
    <w:rsid w:val="002F4B7C"/>
    <w:rsid w:val="002F511E"/>
    <w:rsid w:val="002F5122"/>
    <w:rsid w:val="002F5127"/>
    <w:rsid w:val="002F54E3"/>
    <w:rsid w:val="002F560F"/>
    <w:rsid w:val="002F5D20"/>
    <w:rsid w:val="002F631E"/>
    <w:rsid w:val="002F656E"/>
    <w:rsid w:val="002F6588"/>
    <w:rsid w:val="002F689E"/>
    <w:rsid w:val="002F6BD0"/>
    <w:rsid w:val="002F6C00"/>
    <w:rsid w:val="002F77DA"/>
    <w:rsid w:val="002F7888"/>
    <w:rsid w:val="003003CB"/>
    <w:rsid w:val="003006F2"/>
    <w:rsid w:val="00300A75"/>
    <w:rsid w:val="00300D8C"/>
    <w:rsid w:val="003011D7"/>
    <w:rsid w:val="003014C5"/>
    <w:rsid w:val="00301F7C"/>
    <w:rsid w:val="00302242"/>
    <w:rsid w:val="0030232C"/>
    <w:rsid w:val="003028E1"/>
    <w:rsid w:val="00302A11"/>
    <w:rsid w:val="00302B89"/>
    <w:rsid w:val="00302DDC"/>
    <w:rsid w:val="00303C5A"/>
    <w:rsid w:val="003045CC"/>
    <w:rsid w:val="00304E5E"/>
    <w:rsid w:val="00304F02"/>
    <w:rsid w:val="003055B9"/>
    <w:rsid w:val="00305A50"/>
    <w:rsid w:val="00306419"/>
    <w:rsid w:val="003064BB"/>
    <w:rsid w:val="00306817"/>
    <w:rsid w:val="00306C1D"/>
    <w:rsid w:val="00306ED7"/>
    <w:rsid w:val="00306F54"/>
    <w:rsid w:val="0030719E"/>
    <w:rsid w:val="003075D1"/>
    <w:rsid w:val="00307867"/>
    <w:rsid w:val="00307C73"/>
    <w:rsid w:val="0030FDF6"/>
    <w:rsid w:val="003100ED"/>
    <w:rsid w:val="00310555"/>
    <w:rsid w:val="00311366"/>
    <w:rsid w:val="003117B5"/>
    <w:rsid w:val="003119AC"/>
    <w:rsid w:val="00311EDC"/>
    <w:rsid w:val="00312062"/>
    <w:rsid w:val="0031233C"/>
    <w:rsid w:val="0031293B"/>
    <w:rsid w:val="00312A3F"/>
    <w:rsid w:val="00312CAD"/>
    <w:rsid w:val="003133EE"/>
    <w:rsid w:val="00313DE4"/>
    <w:rsid w:val="00314A47"/>
    <w:rsid w:val="00315615"/>
    <w:rsid w:val="0031590C"/>
    <w:rsid w:val="00315E22"/>
    <w:rsid w:val="00316029"/>
    <w:rsid w:val="003162E4"/>
    <w:rsid w:val="0031666C"/>
    <w:rsid w:val="00316D7B"/>
    <w:rsid w:val="0031706E"/>
    <w:rsid w:val="003176EE"/>
    <w:rsid w:val="00317C62"/>
    <w:rsid w:val="00317D40"/>
    <w:rsid w:val="003202A8"/>
    <w:rsid w:val="003203C8"/>
    <w:rsid w:val="003203CA"/>
    <w:rsid w:val="00320853"/>
    <w:rsid w:val="00320BD0"/>
    <w:rsid w:val="0032128A"/>
    <w:rsid w:val="00321B9A"/>
    <w:rsid w:val="00321FF3"/>
    <w:rsid w:val="0032260F"/>
    <w:rsid w:val="00322AA3"/>
    <w:rsid w:val="00322C5E"/>
    <w:rsid w:val="00322F1A"/>
    <w:rsid w:val="00323A6C"/>
    <w:rsid w:val="00323AFD"/>
    <w:rsid w:val="00323E5B"/>
    <w:rsid w:val="00324930"/>
    <w:rsid w:val="00324B32"/>
    <w:rsid w:val="00324FF8"/>
    <w:rsid w:val="003255B3"/>
    <w:rsid w:val="00325BF8"/>
    <w:rsid w:val="00325C62"/>
    <w:rsid w:val="0032626A"/>
    <w:rsid w:val="00326D2F"/>
    <w:rsid w:val="003271F8"/>
    <w:rsid w:val="0032746A"/>
    <w:rsid w:val="00327632"/>
    <w:rsid w:val="00327936"/>
    <w:rsid w:val="00327B88"/>
    <w:rsid w:val="0032E9AC"/>
    <w:rsid w:val="00331D01"/>
    <w:rsid w:val="00332596"/>
    <w:rsid w:val="0033288D"/>
    <w:rsid w:val="00332F04"/>
    <w:rsid w:val="00332F26"/>
    <w:rsid w:val="003333BC"/>
    <w:rsid w:val="003333F0"/>
    <w:rsid w:val="00333D35"/>
    <w:rsid w:val="00333F7F"/>
    <w:rsid w:val="00334262"/>
    <w:rsid w:val="003345BE"/>
    <w:rsid w:val="00335177"/>
    <w:rsid w:val="00335B9D"/>
    <w:rsid w:val="0033605A"/>
    <w:rsid w:val="0033611F"/>
    <w:rsid w:val="0033628A"/>
    <w:rsid w:val="003362DA"/>
    <w:rsid w:val="003363FE"/>
    <w:rsid w:val="003365EC"/>
    <w:rsid w:val="00336E9C"/>
    <w:rsid w:val="0033764D"/>
    <w:rsid w:val="00337A66"/>
    <w:rsid w:val="00337B85"/>
    <w:rsid w:val="00337BD4"/>
    <w:rsid w:val="00337E93"/>
    <w:rsid w:val="00337EFD"/>
    <w:rsid w:val="003400CA"/>
    <w:rsid w:val="00340110"/>
    <w:rsid w:val="0034124D"/>
    <w:rsid w:val="0034127D"/>
    <w:rsid w:val="0034141C"/>
    <w:rsid w:val="0034182A"/>
    <w:rsid w:val="003418A9"/>
    <w:rsid w:val="003419C9"/>
    <w:rsid w:val="00341B1F"/>
    <w:rsid w:val="00341F9E"/>
    <w:rsid w:val="00342354"/>
    <w:rsid w:val="00342585"/>
    <w:rsid w:val="0034266C"/>
    <w:rsid w:val="00342C07"/>
    <w:rsid w:val="003431ED"/>
    <w:rsid w:val="00343534"/>
    <w:rsid w:val="003435B6"/>
    <w:rsid w:val="003437F0"/>
    <w:rsid w:val="00344352"/>
    <w:rsid w:val="00344C86"/>
    <w:rsid w:val="00344D9E"/>
    <w:rsid w:val="00345729"/>
    <w:rsid w:val="0034598E"/>
    <w:rsid w:val="00345B4D"/>
    <w:rsid w:val="003461EC"/>
    <w:rsid w:val="003462DB"/>
    <w:rsid w:val="003468A7"/>
    <w:rsid w:val="003468B0"/>
    <w:rsid w:val="00347315"/>
    <w:rsid w:val="003473F6"/>
    <w:rsid w:val="0034785B"/>
    <w:rsid w:val="00347FC3"/>
    <w:rsid w:val="00350F85"/>
    <w:rsid w:val="00350FF8"/>
    <w:rsid w:val="0035139D"/>
    <w:rsid w:val="0035145C"/>
    <w:rsid w:val="003515FD"/>
    <w:rsid w:val="00351A1B"/>
    <w:rsid w:val="00351CCE"/>
    <w:rsid w:val="00351D9C"/>
    <w:rsid w:val="00352400"/>
    <w:rsid w:val="003525A2"/>
    <w:rsid w:val="003525F9"/>
    <w:rsid w:val="00352A6B"/>
    <w:rsid w:val="00352D61"/>
    <w:rsid w:val="00352E43"/>
    <w:rsid w:val="003530AF"/>
    <w:rsid w:val="0035396B"/>
    <w:rsid w:val="00353B61"/>
    <w:rsid w:val="0035479A"/>
    <w:rsid w:val="003553BB"/>
    <w:rsid w:val="0035551C"/>
    <w:rsid w:val="00355B19"/>
    <w:rsid w:val="00355C7B"/>
    <w:rsid w:val="00355F65"/>
    <w:rsid w:val="00356210"/>
    <w:rsid w:val="0035629C"/>
    <w:rsid w:val="00356ECC"/>
    <w:rsid w:val="0035707B"/>
    <w:rsid w:val="00357199"/>
    <w:rsid w:val="0035762F"/>
    <w:rsid w:val="003577A4"/>
    <w:rsid w:val="00357FB7"/>
    <w:rsid w:val="0036012A"/>
    <w:rsid w:val="003603EF"/>
    <w:rsid w:val="003609A2"/>
    <w:rsid w:val="00360D67"/>
    <w:rsid w:val="00360D6F"/>
    <w:rsid w:val="00360F33"/>
    <w:rsid w:val="00361861"/>
    <w:rsid w:val="003621D5"/>
    <w:rsid w:val="003624C2"/>
    <w:rsid w:val="003624F7"/>
    <w:rsid w:val="0036272D"/>
    <w:rsid w:val="00362B0C"/>
    <w:rsid w:val="00362B79"/>
    <w:rsid w:val="003634C0"/>
    <w:rsid w:val="00363AC2"/>
    <w:rsid w:val="00363B71"/>
    <w:rsid w:val="00363C3F"/>
    <w:rsid w:val="00363E69"/>
    <w:rsid w:val="00364BBB"/>
    <w:rsid w:val="00364C70"/>
    <w:rsid w:val="00364CA0"/>
    <w:rsid w:val="00364ED2"/>
    <w:rsid w:val="0036505C"/>
    <w:rsid w:val="00365382"/>
    <w:rsid w:val="003657AC"/>
    <w:rsid w:val="003660BD"/>
    <w:rsid w:val="00366480"/>
    <w:rsid w:val="003667F3"/>
    <w:rsid w:val="00366981"/>
    <w:rsid w:val="00370744"/>
    <w:rsid w:val="00370780"/>
    <w:rsid w:val="003708D2"/>
    <w:rsid w:val="00370907"/>
    <w:rsid w:val="00370FE4"/>
    <w:rsid w:val="00371089"/>
    <w:rsid w:val="003716E8"/>
    <w:rsid w:val="00371B10"/>
    <w:rsid w:val="00371D94"/>
    <w:rsid w:val="00371D97"/>
    <w:rsid w:val="00371DCE"/>
    <w:rsid w:val="00371F80"/>
    <w:rsid w:val="003727ED"/>
    <w:rsid w:val="003732CC"/>
    <w:rsid w:val="0037397A"/>
    <w:rsid w:val="00373BB6"/>
    <w:rsid w:val="00373DEA"/>
    <w:rsid w:val="00374577"/>
    <w:rsid w:val="003747F3"/>
    <w:rsid w:val="00374DC3"/>
    <w:rsid w:val="00374DF6"/>
    <w:rsid w:val="00375146"/>
    <w:rsid w:val="003752FB"/>
    <w:rsid w:val="00375E93"/>
    <w:rsid w:val="003761C4"/>
    <w:rsid w:val="00376434"/>
    <w:rsid w:val="0037689E"/>
    <w:rsid w:val="00376BDE"/>
    <w:rsid w:val="00377582"/>
    <w:rsid w:val="00377D18"/>
    <w:rsid w:val="00380069"/>
    <w:rsid w:val="003802EF"/>
    <w:rsid w:val="00380765"/>
    <w:rsid w:val="003807F2"/>
    <w:rsid w:val="00380A0F"/>
    <w:rsid w:val="00380ABF"/>
    <w:rsid w:val="00380E9C"/>
    <w:rsid w:val="003819E8"/>
    <w:rsid w:val="003820D4"/>
    <w:rsid w:val="0038258A"/>
    <w:rsid w:val="00382918"/>
    <w:rsid w:val="00382988"/>
    <w:rsid w:val="00382C7E"/>
    <w:rsid w:val="00383BCC"/>
    <w:rsid w:val="00384078"/>
    <w:rsid w:val="0038463D"/>
    <w:rsid w:val="003847C9"/>
    <w:rsid w:val="00384890"/>
    <w:rsid w:val="00384AF6"/>
    <w:rsid w:val="00384B00"/>
    <w:rsid w:val="00384B97"/>
    <w:rsid w:val="0038505B"/>
    <w:rsid w:val="0038560F"/>
    <w:rsid w:val="00385736"/>
    <w:rsid w:val="003859F6"/>
    <w:rsid w:val="00385A84"/>
    <w:rsid w:val="00385B0E"/>
    <w:rsid w:val="00385CF4"/>
    <w:rsid w:val="00385E8A"/>
    <w:rsid w:val="0038636D"/>
    <w:rsid w:val="00386B76"/>
    <w:rsid w:val="00386BD3"/>
    <w:rsid w:val="00386DEC"/>
    <w:rsid w:val="003875BA"/>
    <w:rsid w:val="00387891"/>
    <w:rsid w:val="00387A6F"/>
    <w:rsid w:val="00390437"/>
    <w:rsid w:val="00390705"/>
    <w:rsid w:val="00390CC1"/>
    <w:rsid w:val="00391207"/>
    <w:rsid w:val="00391FBC"/>
    <w:rsid w:val="00392303"/>
    <w:rsid w:val="00393FB1"/>
    <w:rsid w:val="00394020"/>
    <w:rsid w:val="00394A09"/>
    <w:rsid w:val="00394CD7"/>
    <w:rsid w:val="00395046"/>
    <w:rsid w:val="00395182"/>
    <w:rsid w:val="00395375"/>
    <w:rsid w:val="00395404"/>
    <w:rsid w:val="0039566F"/>
    <w:rsid w:val="003958A9"/>
    <w:rsid w:val="00395A5A"/>
    <w:rsid w:val="0039621E"/>
    <w:rsid w:val="0039629A"/>
    <w:rsid w:val="00396EE8"/>
    <w:rsid w:val="003970A8"/>
    <w:rsid w:val="00397218"/>
    <w:rsid w:val="0039753E"/>
    <w:rsid w:val="00397CC3"/>
    <w:rsid w:val="003A01B0"/>
    <w:rsid w:val="003A0DFB"/>
    <w:rsid w:val="003A1013"/>
    <w:rsid w:val="003A16C8"/>
    <w:rsid w:val="003A1B04"/>
    <w:rsid w:val="003A2015"/>
    <w:rsid w:val="003A2049"/>
    <w:rsid w:val="003A23CE"/>
    <w:rsid w:val="003A2AD1"/>
    <w:rsid w:val="003A2CA4"/>
    <w:rsid w:val="003A31E3"/>
    <w:rsid w:val="003A3466"/>
    <w:rsid w:val="003A3726"/>
    <w:rsid w:val="003A372B"/>
    <w:rsid w:val="003A38D9"/>
    <w:rsid w:val="003A3A19"/>
    <w:rsid w:val="003A4898"/>
    <w:rsid w:val="003A49C3"/>
    <w:rsid w:val="003A550C"/>
    <w:rsid w:val="003A5568"/>
    <w:rsid w:val="003A5E8A"/>
    <w:rsid w:val="003A6102"/>
    <w:rsid w:val="003A6382"/>
    <w:rsid w:val="003A67FB"/>
    <w:rsid w:val="003A6E6D"/>
    <w:rsid w:val="003A6EF9"/>
    <w:rsid w:val="003A728B"/>
    <w:rsid w:val="003A7B99"/>
    <w:rsid w:val="003B023A"/>
    <w:rsid w:val="003B0377"/>
    <w:rsid w:val="003B0670"/>
    <w:rsid w:val="003B0B57"/>
    <w:rsid w:val="003B0C98"/>
    <w:rsid w:val="003B10EA"/>
    <w:rsid w:val="003B21F7"/>
    <w:rsid w:val="003B2A5A"/>
    <w:rsid w:val="003B2BC4"/>
    <w:rsid w:val="003B2D4E"/>
    <w:rsid w:val="003B3037"/>
    <w:rsid w:val="003B3101"/>
    <w:rsid w:val="003B3AB3"/>
    <w:rsid w:val="003B41EE"/>
    <w:rsid w:val="003B4300"/>
    <w:rsid w:val="003B442E"/>
    <w:rsid w:val="003B443B"/>
    <w:rsid w:val="003B508A"/>
    <w:rsid w:val="003B5433"/>
    <w:rsid w:val="003B55EA"/>
    <w:rsid w:val="003B628E"/>
    <w:rsid w:val="003B645D"/>
    <w:rsid w:val="003B6789"/>
    <w:rsid w:val="003B6C54"/>
    <w:rsid w:val="003B70B3"/>
    <w:rsid w:val="003B74CC"/>
    <w:rsid w:val="003B75A3"/>
    <w:rsid w:val="003B7DE9"/>
    <w:rsid w:val="003C0383"/>
    <w:rsid w:val="003C0C39"/>
    <w:rsid w:val="003C0C8D"/>
    <w:rsid w:val="003C1BB7"/>
    <w:rsid w:val="003C1C07"/>
    <w:rsid w:val="003C2323"/>
    <w:rsid w:val="003C2E3E"/>
    <w:rsid w:val="003C2E45"/>
    <w:rsid w:val="003C345A"/>
    <w:rsid w:val="003C3719"/>
    <w:rsid w:val="003C39DF"/>
    <w:rsid w:val="003C3A86"/>
    <w:rsid w:val="003C3CEA"/>
    <w:rsid w:val="003C3EC0"/>
    <w:rsid w:val="003C3F86"/>
    <w:rsid w:val="003C4019"/>
    <w:rsid w:val="003C4337"/>
    <w:rsid w:val="003C4E40"/>
    <w:rsid w:val="003C54C2"/>
    <w:rsid w:val="003C561C"/>
    <w:rsid w:val="003C572D"/>
    <w:rsid w:val="003C5FA6"/>
    <w:rsid w:val="003C62F5"/>
    <w:rsid w:val="003C7069"/>
    <w:rsid w:val="003C7CB8"/>
    <w:rsid w:val="003D0725"/>
    <w:rsid w:val="003D0809"/>
    <w:rsid w:val="003D0909"/>
    <w:rsid w:val="003D0B6B"/>
    <w:rsid w:val="003D0D52"/>
    <w:rsid w:val="003D1155"/>
    <w:rsid w:val="003D1330"/>
    <w:rsid w:val="003D16FA"/>
    <w:rsid w:val="003D1CA9"/>
    <w:rsid w:val="003D234A"/>
    <w:rsid w:val="003D2456"/>
    <w:rsid w:val="003D3839"/>
    <w:rsid w:val="003D39B7"/>
    <w:rsid w:val="003D40EA"/>
    <w:rsid w:val="003D4B75"/>
    <w:rsid w:val="003D4D42"/>
    <w:rsid w:val="003D53F1"/>
    <w:rsid w:val="003D570D"/>
    <w:rsid w:val="003D5835"/>
    <w:rsid w:val="003D594F"/>
    <w:rsid w:val="003D68BC"/>
    <w:rsid w:val="003D741F"/>
    <w:rsid w:val="003D7600"/>
    <w:rsid w:val="003E029A"/>
    <w:rsid w:val="003E079F"/>
    <w:rsid w:val="003E1030"/>
    <w:rsid w:val="003E142F"/>
    <w:rsid w:val="003E1502"/>
    <w:rsid w:val="003E1671"/>
    <w:rsid w:val="003E2295"/>
    <w:rsid w:val="003E4E81"/>
    <w:rsid w:val="003E506F"/>
    <w:rsid w:val="003E5889"/>
    <w:rsid w:val="003E5AE3"/>
    <w:rsid w:val="003E5B7E"/>
    <w:rsid w:val="003E5C5B"/>
    <w:rsid w:val="003E5F51"/>
    <w:rsid w:val="003E7073"/>
    <w:rsid w:val="003E711C"/>
    <w:rsid w:val="003E7456"/>
    <w:rsid w:val="003F03B6"/>
    <w:rsid w:val="003F09B7"/>
    <w:rsid w:val="003F0A76"/>
    <w:rsid w:val="003F1371"/>
    <w:rsid w:val="003F13B4"/>
    <w:rsid w:val="003F1B0C"/>
    <w:rsid w:val="003F1DE5"/>
    <w:rsid w:val="003F202A"/>
    <w:rsid w:val="003F2049"/>
    <w:rsid w:val="003F2A64"/>
    <w:rsid w:val="003F2AAE"/>
    <w:rsid w:val="003F3287"/>
    <w:rsid w:val="003F3420"/>
    <w:rsid w:val="003F3CF7"/>
    <w:rsid w:val="003F446D"/>
    <w:rsid w:val="003F4482"/>
    <w:rsid w:val="003F4D7B"/>
    <w:rsid w:val="003F5D20"/>
    <w:rsid w:val="003F6092"/>
    <w:rsid w:val="003F637F"/>
    <w:rsid w:val="003F6469"/>
    <w:rsid w:val="003F6D60"/>
    <w:rsid w:val="003F6E36"/>
    <w:rsid w:val="003F7636"/>
    <w:rsid w:val="003F76C2"/>
    <w:rsid w:val="004004C4"/>
    <w:rsid w:val="0040072E"/>
    <w:rsid w:val="004007F0"/>
    <w:rsid w:val="00400E33"/>
    <w:rsid w:val="00400FA8"/>
    <w:rsid w:val="00400FC3"/>
    <w:rsid w:val="00400FE6"/>
    <w:rsid w:val="0040128A"/>
    <w:rsid w:val="00401D68"/>
    <w:rsid w:val="00401EF0"/>
    <w:rsid w:val="00402011"/>
    <w:rsid w:val="0040224D"/>
    <w:rsid w:val="00402780"/>
    <w:rsid w:val="0040322C"/>
    <w:rsid w:val="0040369B"/>
    <w:rsid w:val="0040397A"/>
    <w:rsid w:val="00404069"/>
    <w:rsid w:val="004047AC"/>
    <w:rsid w:val="0040489D"/>
    <w:rsid w:val="004058FB"/>
    <w:rsid w:val="00405EC2"/>
    <w:rsid w:val="00406279"/>
    <w:rsid w:val="0040706B"/>
    <w:rsid w:val="00407137"/>
    <w:rsid w:val="004072BE"/>
    <w:rsid w:val="00407381"/>
    <w:rsid w:val="0040748A"/>
    <w:rsid w:val="00407C68"/>
    <w:rsid w:val="004116EB"/>
    <w:rsid w:val="00411C7F"/>
    <w:rsid w:val="00411F8F"/>
    <w:rsid w:val="004124FC"/>
    <w:rsid w:val="0041275E"/>
    <w:rsid w:val="00412BFF"/>
    <w:rsid w:val="00412EC0"/>
    <w:rsid w:val="0041373C"/>
    <w:rsid w:val="00413767"/>
    <w:rsid w:val="00413A61"/>
    <w:rsid w:val="00413A78"/>
    <w:rsid w:val="00413EA7"/>
    <w:rsid w:val="00414662"/>
    <w:rsid w:val="004153EB"/>
    <w:rsid w:val="00415B0E"/>
    <w:rsid w:val="00415E13"/>
    <w:rsid w:val="0041687E"/>
    <w:rsid w:val="0041761D"/>
    <w:rsid w:val="004176E0"/>
    <w:rsid w:val="00417780"/>
    <w:rsid w:val="00417D47"/>
    <w:rsid w:val="00417E17"/>
    <w:rsid w:val="00417FE0"/>
    <w:rsid w:val="004202EA"/>
    <w:rsid w:val="004207CC"/>
    <w:rsid w:val="00420E2A"/>
    <w:rsid w:val="00421230"/>
    <w:rsid w:val="0042165F"/>
    <w:rsid w:val="00421BED"/>
    <w:rsid w:val="00421E37"/>
    <w:rsid w:val="004222AC"/>
    <w:rsid w:val="004225A5"/>
    <w:rsid w:val="0042301F"/>
    <w:rsid w:val="004234F6"/>
    <w:rsid w:val="00423A0C"/>
    <w:rsid w:val="00423A53"/>
    <w:rsid w:val="00424098"/>
    <w:rsid w:val="00424416"/>
    <w:rsid w:val="004246D7"/>
    <w:rsid w:val="004248AF"/>
    <w:rsid w:val="0042545D"/>
    <w:rsid w:val="00425623"/>
    <w:rsid w:val="004257FD"/>
    <w:rsid w:val="004259C3"/>
    <w:rsid w:val="00425EDF"/>
    <w:rsid w:val="004265D1"/>
    <w:rsid w:val="00426CB8"/>
    <w:rsid w:val="0042701E"/>
    <w:rsid w:val="004276C5"/>
    <w:rsid w:val="00427E3C"/>
    <w:rsid w:val="00427F62"/>
    <w:rsid w:val="004308A1"/>
    <w:rsid w:val="004308B2"/>
    <w:rsid w:val="004315B9"/>
    <w:rsid w:val="004315C5"/>
    <w:rsid w:val="00431743"/>
    <w:rsid w:val="00431853"/>
    <w:rsid w:val="00431C07"/>
    <w:rsid w:val="00431CE9"/>
    <w:rsid w:val="004333FC"/>
    <w:rsid w:val="0043359C"/>
    <w:rsid w:val="004342B1"/>
    <w:rsid w:val="0043439A"/>
    <w:rsid w:val="00434786"/>
    <w:rsid w:val="004349BB"/>
    <w:rsid w:val="0043579C"/>
    <w:rsid w:val="00435FDE"/>
    <w:rsid w:val="004361F0"/>
    <w:rsid w:val="0043630F"/>
    <w:rsid w:val="0043658B"/>
    <w:rsid w:val="00436971"/>
    <w:rsid w:val="004370D1"/>
    <w:rsid w:val="00437201"/>
    <w:rsid w:val="004373E7"/>
    <w:rsid w:val="00437A7D"/>
    <w:rsid w:val="00437DC7"/>
    <w:rsid w:val="00440196"/>
    <w:rsid w:val="004404BD"/>
    <w:rsid w:val="004406B0"/>
    <w:rsid w:val="00440825"/>
    <w:rsid w:val="00440AD1"/>
    <w:rsid w:val="00440FA9"/>
    <w:rsid w:val="0044136C"/>
    <w:rsid w:val="004419F4"/>
    <w:rsid w:val="00441D44"/>
    <w:rsid w:val="00442195"/>
    <w:rsid w:val="004421A0"/>
    <w:rsid w:val="0044271D"/>
    <w:rsid w:val="00442867"/>
    <w:rsid w:val="00442952"/>
    <w:rsid w:val="00442A7C"/>
    <w:rsid w:val="00443118"/>
    <w:rsid w:val="004435A7"/>
    <w:rsid w:val="0044361D"/>
    <w:rsid w:val="0044370C"/>
    <w:rsid w:val="0044394C"/>
    <w:rsid w:val="00443A64"/>
    <w:rsid w:val="004453CB"/>
    <w:rsid w:val="00445C13"/>
    <w:rsid w:val="00445CA9"/>
    <w:rsid w:val="004462F3"/>
    <w:rsid w:val="00446356"/>
    <w:rsid w:val="004468CE"/>
    <w:rsid w:val="004469A9"/>
    <w:rsid w:val="00446C39"/>
    <w:rsid w:val="0044714E"/>
    <w:rsid w:val="00447DA0"/>
    <w:rsid w:val="00450C8A"/>
    <w:rsid w:val="00450D3E"/>
    <w:rsid w:val="004511A1"/>
    <w:rsid w:val="0045145C"/>
    <w:rsid w:val="0045168F"/>
    <w:rsid w:val="004516A6"/>
    <w:rsid w:val="004518E7"/>
    <w:rsid w:val="00451D5C"/>
    <w:rsid w:val="00451F98"/>
    <w:rsid w:val="00451FE5"/>
    <w:rsid w:val="004521FC"/>
    <w:rsid w:val="0045231A"/>
    <w:rsid w:val="004530B9"/>
    <w:rsid w:val="00453183"/>
    <w:rsid w:val="004531C4"/>
    <w:rsid w:val="00453343"/>
    <w:rsid w:val="00453858"/>
    <w:rsid w:val="00453C2D"/>
    <w:rsid w:val="00453FE8"/>
    <w:rsid w:val="004548AB"/>
    <w:rsid w:val="00455443"/>
    <w:rsid w:val="00455A9B"/>
    <w:rsid w:val="00455BC9"/>
    <w:rsid w:val="00455D70"/>
    <w:rsid w:val="00456416"/>
    <w:rsid w:val="0045690E"/>
    <w:rsid w:val="004569D2"/>
    <w:rsid w:val="00456E43"/>
    <w:rsid w:val="00456F3F"/>
    <w:rsid w:val="00457599"/>
    <w:rsid w:val="00457CE8"/>
    <w:rsid w:val="00457D75"/>
    <w:rsid w:val="00460ADB"/>
    <w:rsid w:val="00461A71"/>
    <w:rsid w:val="00461ABC"/>
    <w:rsid w:val="00462744"/>
    <w:rsid w:val="00462D82"/>
    <w:rsid w:val="00462DAD"/>
    <w:rsid w:val="00462FB6"/>
    <w:rsid w:val="0046349E"/>
    <w:rsid w:val="00463D74"/>
    <w:rsid w:val="00463DCC"/>
    <w:rsid w:val="00463EE1"/>
    <w:rsid w:val="00464209"/>
    <w:rsid w:val="0046495E"/>
    <w:rsid w:val="00464B19"/>
    <w:rsid w:val="00464D43"/>
    <w:rsid w:val="00464DB2"/>
    <w:rsid w:val="0046571E"/>
    <w:rsid w:val="00465C74"/>
    <w:rsid w:val="00465DD1"/>
    <w:rsid w:val="00465F33"/>
    <w:rsid w:val="00466033"/>
    <w:rsid w:val="0046664A"/>
    <w:rsid w:val="0046664E"/>
    <w:rsid w:val="00466A30"/>
    <w:rsid w:val="004676B8"/>
    <w:rsid w:val="00467751"/>
    <w:rsid w:val="00470063"/>
    <w:rsid w:val="00470354"/>
    <w:rsid w:val="00470773"/>
    <w:rsid w:val="00470E94"/>
    <w:rsid w:val="00470EAF"/>
    <w:rsid w:val="00471069"/>
    <w:rsid w:val="004714DC"/>
    <w:rsid w:val="004716E7"/>
    <w:rsid w:val="0047170D"/>
    <w:rsid w:val="004719B9"/>
    <w:rsid w:val="00471C15"/>
    <w:rsid w:val="00471C86"/>
    <w:rsid w:val="00471F32"/>
    <w:rsid w:val="00472341"/>
    <w:rsid w:val="00472972"/>
    <w:rsid w:val="004733A1"/>
    <w:rsid w:val="0047371C"/>
    <w:rsid w:val="0047381D"/>
    <w:rsid w:val="00473BA4"/>
    <w:rsid w:val="00474044"/>
    <w:rsid w:val="0047442F"/>
    <w:rsid w:val="004749EA"/>
    <w:rsid w:val="0047500F"/>
    <w:rsid w:val="00475078"/>
    <w:rsid w:val="00475D82"/>
    <w:rsid w:val="00475EDC"/>
    <w:rsid w:val="00475FAC"/>
    <w:rsid w:val="00476034"/>
    <w:rsid w:val="00476F12"/>
    <w:rsid w:val="004773A4"/>
    <w:rsid w:val="00477E61"/>
    <w:rsid w:val="0048006D"/>
    <w:rsid w:val="00480328"/>
    <w:rsid w:val="00480488"/>
    <w:rsid w:val="004804A5"/>
    <w:rsid w:val="00480563"/>
    <w:rsid w:val="00480C3C"/>
    <w:rsid w:val="00480F1E"/>
    <w:rsid w:val="00480FEA"/>
    <w:rsid w:val="0048105C"/>
    <w:rsid w:val="0048139D"/>
    <w:rsid w:val="004813EB"/>
    <w:rsid w:val="00481A13"/>
    <w:rsid w:val="00481DB8"/>
    <w:rsid w:val="00482900"/>
    <w:rsid w:val="0048309B"/>
    <w:rsid w:val="004832B4"/>
    <w:rsid w:val="00483385"/>
    <w:rsid w:val="00483AA2"/>
    <w:rsid w:val="00484296"/>
    <w:rsid w:val="004842EF"/>
    <w:rsid w:val="004844D6"/>
    <w:rsid w:val="004849E1"/>
    <w:rsid w:val="00484D24"/>
    <w:rsid w:val="0048522E"/>
    <w:rsid w:val="004857CD"/>
    <w:rsid w:val="00485898"/>
    <w:rsid w:val="00485974"/>
    <w:rsid w:val="00486F4E"/>
    <w:rsid w:val="004871E5"/>
    <w:rsid w:val="00487207"/>
    <w:rsid w:val="00487770"/>
    <w:rsid w:val="00487F57"/>
    <w:rsid w:val="004904DB"/>
    <w:rsid w:val="004909D1"/>
    <w:rsid w:val="00490A0A"/>
    <w:rsid w:val="0049128B"/>
    <w:rsid w:val="0049162F"/>
    <w:rsid w:val="00491A66"/>
    <w:rsid w:val="004923A6"/>
    <w:rsid w:val="00492942"/>
    <w:rsid w:val="00492EFD"/>
    <w:rsid w:val="00492F63"/>
    <w:rsid w:val="00493156"/>
    <w:rsid w:val="00493A48"/>
    <w:rsid w:val="00493D86"/>
    <w:rsid w:val="00493E91"/>
    <w:rsid w:val="00494042"/>
    <w:rsid w:val="00494AF0"/>
    <w:rsid w:val="00494C2D"/>
    <w:rsid w:val="00494C78"/>
    <w:rsid w:val="00494D56"/>
    <w:rsid w:val="00494D81"/>
    <w:rsid w:val="0049513F"/>
    <w:rsid w:val="00495339"/>
    <w:rsid w:val="004966D2"/>
    <w:rsid w:val="00496AB5"/>
    <w:rsid w:val="00496C99"/>
    <w:rsid w:val="0049731C"/>
    <w:rsid w:val="004974D8"/>
    <w:rsid w:val="00497560"/>
    <w:rsid w:val="00497E0D"/>
    <w:rsid w:val="004A043F"/>
    <w:rsid w:val="004A05EF"/>
    <w:rsid w:val="004A0668"/>
    <w:rsid w:val="004A0A86"/>
    <w:rsid w:val="004A0EE3"/>
    <w:rsid w:val="004A11A2"/>
    <w:rsid w:val="004A19D5"/>
    <w:rsid w:val="004A1AAB"/>
    <w:rsid w:val="004A1C3F"/>
    <w:rsid w:val="004A1D0F"/>
    <w:rsid w:val="004A25CE"/>
    <w:rsid w:val="004A268E"/>
    <w:rsid w:val="004A38F2"/>
    <w:rsid w:val="004A3A04"/>
    <w:rsid w:val="004A3AD6"/>
    <w:rsid w:val="004A3CBA"/>
    <w:rsid w:val="004A4370"/>
    <w:rsid w:val="004A4EB3"/>
    <w:rsid w:val="004A5B4C"/>
    <w:rsid w:val="004A6536"/>
    <w:rsid w:val="004A6560"/>
    <w:rsid w:val="004A6EC1"/>
    <w:rsid w:val="004A71DA"/>
    <w:rsid w:val="004A7724"/>
    <w:rsid w:val="004B0040"/>
    <w:rsid w:val="004B0113"/>
    <w:rsid w:val="004B021D"/>
    <w:rsid w:val="004B02C8"/>
    <w:rsid w:val="004B04D6"/>
    <w:rsid w:val="004B08E6"/>
    <w:rsid w:val="004B0C72"/>
    <w:rsid w:val="004B0E36"/>
    <w:rsid w:val="004B1096"/>
    <w:rsid w:val="004B1294"/>
    <w:rsid w:val="004B137E"/>
    <w:rsid w:val="004B18DB"/>
    <w:rsid w:val="004B1908"/>
    <w:rsid w:val="004B19CB"/>
    <w:rsid w:val="004B1C90"/>
    <w:rsid w:val="004B3335"/>
    <w:rsid w:val="004B3BA3"/>
    <w:rsid w:val="004B3BA7"/>
    <w:rsid w:val="004B3F48"/>
    <w:rsid w:val="004B4391"/>
    <w:rsid w:val="004B47F6"/>
    <w:rsid w:val="004B482C"/>
    <w:rsid w:val="004B4BB2"/>
    <w:rsid w:val="004B58E6"/>
    <w:rsid w:val="004B59C1"/>
    <w:rsid w:val="004B5E95"/>
    <w:rsid w:val="004B61B4"/>
    <w:rsid w:val="004B695F"/>
    <w:rsid w:val="004B6ADC"/>
    <w:rsid w:val="004B6DFB"/>
    <w:rsid w:val="004B7664"/>
    <w:rsid w:val="004B7DBC"/>
    <w:rsid w:val="004B7E41"/>
    <w:rsid w:val="004BDEA9"/>
    <w:rsid w:val="004C0287"/>
    <w:rsid w:val="004C1061"/>
    <w:rsid w:val="004C1837"/>
    <w:rsid w:val="004C1B51"/>
    <w:rsid w:val="004C1DE6"/>
    <w:rsid w:val="004C2236"/>
    <w:rsid w:val="004C2329"/>
    <w:rsid w:val="004C23B8"/>
    <w:rsid w:val="004C2902"/>
    <w:rsid w:val="004C291E"/>
    <w:rsid w:val="004C2F85"/>
    <w:rsid w:val="004C302E"/>
    <w:rsid w:val="004C354A"/>
    <w:rsid w:val="004C3717"/>
    <w:rsid w:val="004C3EDD"/>
    <w:rsid w:val="004C3FC5"/>
    <w:rsid w:val="004C4485"/>
    <w:rsid w:val="004C4EA3"/>
    <w:rsid w:val="004C55E0"/>
    <w:rsid w:val="004C594D"/>
    <w:rsid w:val="004C5AB0"/>
    <w:rsid w:val="004C5CCF"/>
    <w:rsid w:val="004C6EA6"/>
    <w:rsid w:val="004C7094"/>
    <w:rsid w:val="004C7376"/>
    <w:rsid w:val="004C737E"/>
    <w:rsid w:val="004C7D72"/>
    <w:rsid w:val="004D111F"/>
    <w:rsid w:val="004D1658"/>
    <w:rsid w:val="004D1D9C"/>
    <w:rsid w:val="004D1F21"/>
    <w:rsid w:val="004D21C5"/>
    <w:rsid w:val="004D2703"/>
    <w:rsid w:val="004D301B"/>
    <w:rsid w:val="004D3A4E"/>
    <w:rsid w:val="004D431E"/>
    <w:rsid w:val="004D477C"/>
    <w:rsid w:val="004D530F"/>
    <w:rsid w:val="004D57E3"/>
    <w:rsid w:val="004D61C1"/>
    <w:rsid w:val="004D6CD6"/>
    <w:rsid w:val="004D723E"/>
    <w:rsid w:val="004E055D"/>
    <w:rsid w:val="004E0CC9"/>
    <w:rsid w:val="004E0DED"/>
    <w:rsid w:val="004E1201"/>
    <w:rsid w:val="004E242C"/>
    <w:rsid w:val="004E27BD"/>
    <w:rsid w:val="004E2B1C"/>
    <w:rsid w:val="004E2BAB"/>
    <w:rsid w:val="004E2DE1"/>
    <w:rsid w:val="004E32FF"/>
    <w:rsid w:val="004E370A"/>
    <w:rsid w:val="004E3B14"/>
    <w:rsid w:val="004E3C6F"/>
    <w:rsid w:val="004E4787"/>
    <w:rsid w:val="004E5166"/>
    <w:rsid w:val="004E53B7"/>
    <w:rsid w:val="004E559F"/>
    <w:rsid w:val="004E5A2C"/>
    <w:rsid w:val="004E5E4F"/>
    <w:rsid w:val="004E6258"/>
    <w:rsid w:val="004E6568"/>
    <w:rsid w:val="004E6709"/>
    <w:rsid w:val="004E68C8"/>
    <w:rsid w:val="004E691A"/>
    <w:rsid w:val="004E692A"/>
    <w:rsid w:val="004E6FFE"/>
    <w:rsid w:val="004E762D"/>
    <w:rsid w:val="004E764A"/>
    <w:rsid w:val="004E785A"/>
    <w:rsid w:val="004F0AE5"/>
    <w:rsid w:val="004F0FA3"/>
    <w:rsid w:val="004F1316"/>
    <w:rsid w:val="004F14E7"/>
    <w:rsid w:val="004F1CF0"/>
    <w:rsid w:val="004F1E51"/>
    <w:rsid w:val="004F2411"/>
    <w:rsid w:val="004F2D83"/>
    <w:rsid w:val="004F3252"/>
    <w:rsid w:val="004F33BF"/>
    <w:rsid w:val="004F3416"/>
    <w:rsid w:val="004F37D5"/>
    <w:rsid w:val="004F3EC1"/>
    <w:rsid w:val="004F455B"/>
    <w:rsid w:val="004F4621"/>
    <w:rsid w:val="004F4935"/>
    <w:rsid w:val="004F55EE"/>
    <w:rsid w:val="004F5915"/>
    <w:rsid w:val="004F5D9B"/>
    <w:rsid w:val="004F698C"/>
    <w:rsid w:val="004F6A51"/>
    <w:rsid w:val="004F6E30"/>
    <w:rsid w:val="004F6E63"/>
    <w:rsid w:val="004F6F28"/>
    <w:rsid w:val="004F75B2"/>
    <w:rsid w:val="004F7845"/>
    <w:rsid w:val="0050069D"/>
    <w:rsid w:val="005008CF"/>
    <w:rsid w:val="00500CA6"/>
    <w:rsid w:val="00501039"/>
    <w:rsid w:val="005011A0"/>
    <w:rsid w:val="00501960"/>
    <w:rsid w:val="00501ACB"/>
    <w:rsid w:val="0050221F"/>
    <w:rsid w:val="0050278E"/>
    <w:rsid w:val="00502951"/>
    <w:rsid w:val="00502CA8"/>
    <w:rsid w:val="005038D3"/>
    <w:rsid w:val="00503C3A"/>
    <w:rsid w:val="0050425F"/>
    <w:rsid w:val="005042A2"/>
    <w:rsid w:val="00504883"/>
    <w:rsid w:val="0050492C"/>
    <w:rsid w:val="00504BA0"/>
    <w:rsid w:val="00504E5F"/>
    <w:rsid w:val="00504EE9"/>
    <w:rsid w:val="00505053"/>
    <w:rsid w:val="00505706"/>
    <w:rsid w:val="00505770"/>
    <w:rsid w:val="00505D08"/>
    <w:rsid w:val="00505EFC"/>
    <w:rsid w:val="00506AAB"/>
    <w:rsid w:val="00506EDE"/>
    <w:rsid w:val="005072F8"/>
    <w:rsid w:val="00507353"/>
    <w:rsid w:val="0050745A"/>
    <w:rsid w:val="00507563"/>
    <w:rsid w:val="00507A8C"/>
    <w:rsid w:val="00507AFB"/>
    <w:rsid w:val="00507BA1"/>
    <w:rsid w:val="00507D59"/>
    <w:rsid w:val="00507F5C"/>
    <w:rsid w:val="00510DF4"/>
    <w:rsid w:val="005111C4"/>
    <w:rsid w:val="005112AC"/>
    <w:rsid w:val="005115BB"/>
    <w:rsid w:val="00511E8C"/>
    <w:rsid w:val="00511FEC"/>
    <w:rsid w:val="00512407"/>
    <w:rsid w:val="00512746"/>
    <w:rsid w:val="00512D1C"/>
    <w:rsid w:val="00513DC9"/>
    <w:rsid w:val="005142BC"/>
    <w:rsid w:val="00514950"/>
    <w:rsid w:val="0051517B"/>
    <w:rsid w:val="00515267"/>
    <w:rsid w:val="00515279"/>
    <w:rsid w:val="00515B7D"/>
    <w:rsid w:val="00515F04"/>
    <w:rsid w:val="005160E9"/>
    <w:rsid w:val="00516406"/>
    <w:rsid w:val="005168B9"/>
    <w:rsid w:val="00517AD3"/>
    <w:rsid w:val="00517E36"/>
    <w:rsid w:val="005201A6"/>
    <w:rsid w:val="005216F1"/>
    <w:rsid w:val="00521718"/>
    <w:rsid w:val="005219F9"/>
    <w:rsid w:val="00521F25"/>
    <w:rsid w:val="0052210D"/>
    <w:rsid w:val="00522207"/>
    <w:rsid w:val="00522250"/>
    <w:rsid w:val="005229A1"/>
    <w:rsid w:val="00523426"/>
    <w:rsid w:val="0052359E"/>
    <w:rsid w:val="0052380A"/>
    <w:rsid w:val="00523B85"/>
    <w:rsid w:val="00523D5F"/>
    <w:rsid w:val="00523FB4"/>
    <w:rsid w:val="00523FB9"/>
    <w:rsid w:val="005244B7"/>
    <w:rsid w:val="00524549"/>
    <w:rsid w:val="00524B27"/>
    <w:rsid w:val="00524C6E"/>
    <w:rsid w:val="00524ECD"/>
    <w:rsid w:val="00524EE5"/>
    <w:rsid w:val="00525306"/>
    <w:rsid w:val="00525735"/>
    <w:rsid w:val="00525AA7"/>
    <w:rsid w:val="005269FB"/>
    <w:rsid w:val="00526FB6"/>
    <w:rsid w:val="005274A1"/>
    <w:rsid w:val="00527DE1"/>
    <w:rsid w:val="0052ED8A"/>
    <w:rsid w:val="0053030A"/>
    <w:rsid w:val="00530553"/>
    <w:rsid w:val="005307C1"/>
    <w:rsid w:val="00530A02"/>
    <w:rsid w:val="00530B55"/>
    <w:rsid w:val="0053144D"/>
    <w:rsid w:val="00531656"/>
    <w:rsid w:val="00531682"/>
    <w:rsid w:val="00531E42"/>
    <w:rsid w:val="00532032"/>
    <w:rsid w:val="005321F2"/>
    <w:rsid w:val="00532A7D"/>
    <w:rsid w:val="00532F25"/>
    <w:rsid w:val="00532FAC"/>
    <w:rsid w:val="0053383B"/>
    <w:rsid w:val="00533931"/>
    <w:rsid w:val="005339C6"/>
    <w:rsid w:val="00533E7A"/>
    <w:rsid w:val="005346A7"/>
    <w:rsid w:val="00534764"/>
    <w:rsid w:val="0053496F"/>
    <w:rsid w:val="00534DB7"/>
    <w:rsid w:val="005353C5"/>
    <w:rsid w:val="005354B7"/>
    <w:rsid w:val="0053578B"/>
    <w:rsid w:val="00535CD4"/>
    <w:rsid w:val="00535E56"/>
    <w:rsid w:val="00536CFB"/>
    <w:rsid w:val="00536EFC"/>
    <w:rsid w:val="005370BA"/>
    <w:rsid w:val="005379C1"/>
    <w:rsid w:val="00537CB8"/>
    <w:rsid w:val="00537EAE"/>
    <w:rsid w:val="00540019"/>
    <w:rsid w:val="00540383"/>
    <w:rsid w:val="005403A0"/>
    <w:rsid w:val="0054098C"/>
    <w:rsid w:val="00540EE5"/>
    <w:rsid w:val="005417EB"/>
    <w:rsid w:val="0054193F"/>
    <w:rsid w:val="00541D4A"/>
    <w:rsid w:val="005427FA"/>
    <w:rsid w:val="00542927"/>
    <w:rsid w:val="005429EE"/>
    <w:rsid w:val="00542C8C"/>
    <w:rsid w:val="00542D92"/>
    <w:rsid w:val="00542F84"/>
    <w:rsid w:val="00543461"/>
    <w:rsid w:val="0054373D"/>
    <w:rsid w:val="0054444C"/>
    <w:rsid w:val="00544A5D"/>
    <w:rsid w:val="00544D43"/>
    <w:rsid w:val="005453C0"/>
    <w:rsid w:val="00545421"/>
    <w:rsid w:val="005458C8"/>
    <w:rsid w:val="00545B2F"/>
    <w:rsid w:val="0054631B"/>
    <w:rsid w:val="00546A29"/>
    <w:rsid w:val="00546C87"/>
    <w:rsid w:val="00547354"/>
    <w:rsid w:val="005478DF"/>
    <w:rsid w:val="00547A3B"/>
    <w:rsid w:val="00547C19"/>
    <w:rsid w:val="005506F3"/>
    <w:rsid w:val="0055086B"/>
    <w:rsid w:val="00550AC9"/>
    <w:rsid w:val="00550C94"/>
    <w:rsid w:val="00550E70"/>
    <w:rsid w:val="00550E8B"/>
    <w:rsid w:val="00550FF6"/>
    <w:rsid w:val="00551622"/>
    <w:rsid w:val="00551A74"/>
    <w:rsid w:val="00551F6E"/>
    <w:rsid w:val="0055297D"/>
    <w:rsid w:val="00552FFD"/>
    <w:rsid w:val="00553637"/>
    <w:rsid w:val="00553F56"/>
    <w:rsid w:val="00553FEF"/>
    <w:rsid w:val="00554EA5"/>
    <w:rsid w:val="00554EF6"/>
    <w:rsid w:val="005555A0"/>
    <w:rsid w:val="00555A02"/>
    <w:rsid w:val="00555E00"/>
    <w:rsid w:val="00555FB7"/>
    <w:rsid w:val="00556309"/>
    <w:rsid w:val="00556960"/>
    <w:rsid w:val="00556B2D"/>
    <w:rsid w:val="00556C13"/>
    <w:rsid w:val="00556FDB"/>
    <w:rsid w:val="00557AFF"/>
    <w:rsid w:val="00557DD2"/>
    <w:rsid w:val="005620A4"/>
    <w:rsid w:val="00562404"/>
    <w:rsid w:val="005625EE"/>
    <w:rsid w:val="00562C4E"/>
    <w:rsid w:val="00562CF3"/>
    <w:rsid w:val="00562EAB"/>
    <w:rsid w:val="00563146"/>
    <w:rsid w:val="0056362C"/>
    <w:rsid w:val="00563C52"/>
    <w:rsid w:val="00563E43"/>
    <w:rsid w:val="00563ED9"/>
    <w:rsid w:val="005641A7"/>
    <w:rsid w:val="00564477"/>
    <w:rsid w:val="005648AC"/>
    <w:rsid w:val="005649C9"/>
    <w:rsid w:val="00564F16"/>
    <w:rsid w:val="005654BC"/>
    <w:rsid w:val="0056569E"/>
    <w:rsid w:val="00565C15"/>
    <w:rsid w:val="00565EA3"/>
    <w:rsid w:val="0056618A"/>
    <w:rsid w:val="00566708"/>
    <w:rsid w:val="005668A1"/>
    <w:rsid w:val="00566B1F"/>
    <w:rsid w:val="0056731F"/>
    <w:rsid w:val="0056733A"/>
    <w:rsid w:val="00567EC4"/>
    <w:rsid w:val="005709D1"/>
    <w:rsid w:val="00570D6D"/>
    <w:rsid w:val="00570E91"/>
    <w:rsid w:val="0057129A"/>
    <w:rsid w:val="0057131D"/>
    <w:rsid w:val="00571422"/>
    <w:rsid w:val="00571F89"/>
    <w:rsid w:val="0057205D"/>
    <w:rsid w:val="005723C4"/>
    <w:rsid w:val="0057260E"/>
    <w:rsid w:val="00572824"/>
    <w:rsid w:val="00572BD1"/>
    <w:rsid w:val="00572CE3"/>
    <w:rsid w:val="00573ED4"/>
    <w:rsid w:val="00574049"/>
    <w:rsid w:val="005743AF"/>
    <w:rsid w:val="00574906"/>
    <w:rsid w:val="00574C2F"/>
    <w:rsid w:val="00575486"/>
    <w:rsid w:val="005755AB"/>
    <w:rsid w:val="00575C2D"/>
    <w:rsid w:val="00576909"/>
    <w:rsid w:val="00576B92"/>
    <w:rsid w:val="00576DFF"/>
    <w:rsid w:val="00577022"/>
    <w:rsid w:val="00577890"/>
    <w:rsid w:val="0058050C"/>
    <w:rsid w:val="0058110C"/>
    <w:rsid w:val="00581B18"/>
    <w:rsid w:val="00581B79"/>
    <w:rsid w:val="00582A1B"/>
    <w:rsid w:val="005837CD"/>
    <w:rsid w:val="00583E1E"/>
    <w:rsid w:val="00584352"/>
    <w:rsid w:val="00584445"/>
    <w:rsid w:val="00584DE8"/>
    <w:rsid w:val="0058564A"/>
    <w:rsid w:val="00585C1C"/>
    <w:rsid w:val="00585F3A"/>
    <w:rsid w:val="00586E5E"/>
    <w:rsid w:val="005873BE"/>
    <w:rsid w:val="005878D0"/>
    <w:rsid w:val="00587A37"/>
    <w:rsid w:val="00587A4A"/>
    <w:rsid w:val="005908F9"/>
    <w:rsid w:val="00590950"/>
    <w:rsid w:val="00590B2C"/>
    <w:rsid w:val="00590EBB"/>
    <w:rsid w:val="00591698"/>
    <w:rsid w:val="00591CA4"/>
    <w:rsid w:val="00591D00"/>
    <w:rsid w:val="00591EF5"/>
    <w:rsid w:val="00592149"/>
    <w:rsid w:val="00592AE2"/>
    <w:rsid w:val="00592E8C"/>
    <w:rsid w:val="00593052"/>
    <w:rsid w:val="00593B33"/>
    <w:rsid w:val="00593EAA"/>
    <w:rsid w:val="00593FBF"/>
    <w:rsid w:val="005948C6"/>
    <w:rsid w:val="00594F3B"/>
    <w:rsid w:val="00595023"/>
    <w:rsid w:val="005953F3"/>
    <w:rsid w:val="005958C9"/>
    <w:rsid w:val="005959F3"/>
    <w:rsid w:val="00595B17"/>
    <w:rsid w:val="00596323"/>
    <w:rsid w:val="00596583"/>
    <w:rsid w:val="00596A59"/>
    <w:rsid w:val="00596FF0"/>
    <w:rsid w:val="00597231"/>
    <w:rsid w:val="0059777B"/>
    <w:rsid w:val="005A0332"/>
    <w:rsid w:val="005A044D"/>
    <w:rsid w:val="005A0D84"/>
    <w:rsid w:val="005A1496"/>
    <w:rsid w:val="005A1891"/>
    <w:rsid w:val="005A2176"/>
    <w:rsid w:val="005A21A0"/>
    <w:rsid w:val="005A2314"/>
    <w:rsid w:val="005A3956"/>
    <w:rsid w:val="005A3D4F"/>
    <w:rsid w:val="005A428D"/>
    <w:rsid w:val="005A4EB7"/>
    <w:rsid w:val="005A50AB"/>
    <w:rsid w:val="005A52EA"/>
    <w:rsid w:val="005A5AC9"/>
    <w:rsid w:val="005A5BCC"/>
    <w:rsid w:val="005A5DB4"/>
    <w:rsid w:val="005A63A2"/>
    <w:rsid w:val="005A6478"/>
    <w:rsid w:val="005A71F2"/>
    <w:rsid w:val="005A7611"/>
    <w:rsid w:val="005A7719"/>
    <w:rsid w:val="005A773C"/>
    <w:rsid w:val="005A7B2C"/>
    <w:rsid w:val="005A7F8D"/>
    <w:rsid w:val="005B01BB"/>
    <w:rsid w:val="005B0364"/>
    <w:rsid w:val="005B0B02"/>
    <w:rsid w:val="005B1081"/>
    <w:rsid w:val="005B17A3"/>
    <w:rsid w:val="005B222A"/>
    <w:rsid w:val="005B249A"/>
    <w:rsid w:val="005B2678"/>
    <w:rsid w:val="005B2765"/>
    <w:rsid w:val="005B2DA1"/>
    <w:rsid w:val="005B33EC"/>
    <w:rsid w:val="005B34EF"/>
    <w:rsid w:val="005B356B"/>
    <w:rsid w:val="005B384D"/>
    <w:rsid w:val="005B3A7B"/>
    <w:rsid w:val="005B3B79"/>
    <w:rsid w:val="005B3E81"/>
    <w:rsid w:val="005B477A"/>
    <w:rsid w:val="005B4899"/>
    <w:rsid w:val="005B4D7B"/>
    <w:rsid w:val="005B53F5"/>
    <w:rsid w:val="005B53F9"/>
    <w:rsid w:val="005B58B5"/>
    <w:rsid w:val="005B5D77"/>
    <w:rsid w:val="005B6558"/>
    <w:rsid w:val="005B6ECA"/>
    <w:rsid w:val="005B72DF"/>
    <w:rsid w:val="005B7494"/>
    <w:rsid w:val="005B79E8"/>
    <w:rsid w:val="005C0032"/>
    <w:rsid w:val="005C003A"/>
    <w:rsid w:val="005C0094"/>
    <w:rsid w:val="005C02E4"/>
    <w:rsid w:val="005C039D"/>
    <w:rsid w:val="005C0521"/>
    <w:rsid w:val="005C0C2D"/>
    <w:rsid w:val="005C0D23"/>
    <w:rsid w:val="005C1954"/>
    <w:rsid w:val="005C3619"/>
    <w:rsid w:val="005C365C"/>
    <w:rsid w:val="005C368C"/>
    <w:rsid w:val="005C37F2"/>
    <w:rsid w:val="005C3A14"/>
    <w:rsid w:val="005C3B20"/>
    <w:rsid w:val="005C3FA4"/>
    <w:rsid w:val="005C43CD"/>
    <w:rsid w:val="005C4833"/>
    <w:rsid w:val="005C4A70"/>
    <w:rsid w:val="005C4E63"/>
    <w:rsid w:val="005C528F"/>
    <w:rsid w:val="005C5529"/>
    <w:rsid w:val="005C6146"/>
    <w:rsid w:val="005C66AD"/>
    <w:rsid w:val="005C6D12"/>
    <w:rsid w:val="005C6E4B"/>
    <w:rsid w:val="005C7C1F"/>
    <w:rsid w:val="005C7E0D"/>
    <w:rsid w:val="005D04D9"/>
    <w:rsid w:val="005D069E"/>
    <w:rsid w:val="005D12A5"/>
    <w:rsid w:val="005D13FB"/>
    <w:rsid w:val="005D155D"/>
    <w:rsid w:val="005D1E54"/>
    <w:rsid w:val="005D221F"/>
    <w:rsid w:val="005D229B"/>
    <w:rsid w:val="005D2681"/>
    <w:rsid w:val="005D2768"/>
    <w:rsid w:val="005D30ED"/>
    <w:rsid w:val="005D38D8"/>
    <w:rsid w:val="005D3A5E"/>
    <w:rsid w:val="005D3E25"/>
    <w:rsid w:val="005D4179"/>
    <w:rsid w:val="005D4A4A"/>
    <w:rsid w:val="005D5253"/>
    <w:rsid w:val="005D5717"/>
    <w:rsid w:val="005D581A"/>
    <w:rsid w:val="005D5A60"/>
    <w:rsid w:val="005D6538"/>
    <w:rsid w:val="005D66D6"/>
    <w:rsid w:val="005D6EC8"/>
    <w:rsid w:val="005D7191"/>
    <w:rsid w:val="005D767B"/>
    <w:rsid w:val="005D7BBA"/>
    <w:rsid w:val="005E0309"/>
    <w:rsid w:val="005E0EF1"/>
    <w:rsid w:val="005E11E8"/>
    <w:rsid w:val="005E1629"/>
    <w:rsid w:val="005E1E59"/>
    <w:rsid w:val="005E2BE6"/>
    <w:rsid w:val="005E387A"/>
    <w:rsid w:val="005E3B16"/>
    <w:rsid w:val="005E3B7E"/>
    <w:rsid w:val="005E41B1"/>
    <w:rsid w:val="005E422D"/>
    <w:rsid w:val="005E4E22"/>
    <w:rsid w:val="005E54AD"/>
    <w:rsid w:val="005E592A"/>
    <w:rsid w:val="005E59FB"/>
    <w:rsid w:val="005E5C29"/>
    <w:rsid w:val="005E6AC1"/>
    <w:rsid w:val="005E6CF2"/>
    <w:rsid w:val="005E776C"/>
    <w:rsid w:val="005E779F"/>
    <w:rsid w:val="005E7B4E"/>
    <w:rsid w:val="005E7CF3"/>
    <w:rsid w:val="005E7FE0"/>
    <w:rsid w:val="005F0979"/>
    <w:rsid w:val="005F0A9F"/>
    <w:rsid w:val="005F116D"/>
    <w:rsid w:val="005F16D7"/>
    <w:rsid w:val="005F1CFF"/>
    <w:rsid w:val="005F1E10"/>
    <w:rsid w:val="005F1EDB"/>
    <w:rsid w:val="005F1F29"/>
    <w:rsid w:val="005F1F78"/>
    <w:rsid w:val="005F22CB"/>
    <w:rsid w:val="005F2F3A"/>
    <w:rsid w:val="005F3433"/>
    <w:rsid w:val="005F385D"/>
    <w:rsid w:val="005F3F23"/>
    <w:rsid w:val="005F4174"/>
    <w:rsid w:val="005F45CA"/>
    <w:rsid w:val="005F4B37"/>
    <w:rsid w:val="005F4EDC"/>
    <w:rsid w:val="005F5318"/>
    <w:rsid w:val="005F558B"/>
    <w:rsid w:val="005F56E6"/>
    <w:rsid w:val="005F6A3F"/>
    <w:rsid w:val="005F7543"/>
    <w:rsid w:val="005F758D"/>
    <w:rsid w:val="005F7D26"/>
    <w:rsid w:val="005F7FA0"/>
    <w:rsid w:val="006007DF"/>
    <w:rsid w:val="0060081A"/>
    <w:rsid w:val="00600B17"/>
    <w:rsid w:val="00600BDC"/>
    <w:rsid w:val="00600DDB"/>
    <w:rsid w:val="006012F5"/>
    <w:rsid w:val="0060132C"/>
    <w:rsid w:val="00601678"/>
    <w:rsid w:val="006017DF"/>
    <w:rsid w:val="0060197F"/>
    <w:rsid w:val="00601E69"/>
    <w:rsid w:val="00601EB8"/>
    <w:rsid w:val="00601F90"/>
    <w:rsid w:val="00602175"/>
    <w:rsid w:val="00602DD5"/>
    <w:rsid w:val="00603584"/>
    <w:rsid w:val="006037A8"/>
    <w:rsid w:val="006037FE"/>
    <w:rsid w:val="00603874"/>
    <w:rsid w:val="00603939"/>
    <w:rsid w:val="00603C4F"/>
    <w:rsid w:val="006042AA"/>
    <w:rsid w:val="006047A9"/>
    <w:rsid w:val="00605145"/>
    <w:rsid w:val="006051E3"/>
    <w:rsid w:val="00605683"/>
    <w:rsid w:val="00605ECA"/>
    <w:rsid w:val="00606514"/>
    <w:rsid w:val="00606770"/>
    <w:rsid w:val="0060681B"/>
    <w:rsid w:val="00606AFE"/>
    <w:rsid w:val="00607412"/>
    <w:rsid w:val="0060784F"/>
    <w:rsid w:val="0060799F"/>
    <w:rsid w:val="0061049E"/>
    <w:rsid w:val="006107AD"/>
    <w:rsid w:val="006108B5"/>
    <w:rsid w:val="006109EC"/>
    <w:rsid w:val="00610F80"/>
    <w:rsid w:val="00610FB7"/>
    <w:rsid w:val="00611790"/>
    <w:rsid w:val="0061255B"/>
    <w:rsid w:val="00612616"/>
    <w:rsid w:val="006126B8"/>
    <w:rsid w:val="00612761"/>
    <w:rsid w:val="0061294D"/>
    <w:rsid w:val="00612A02"/>
    <w:rsid w:val="00612F29"/>
    <w:rsid w:val="00612FCD"/>
    <w:rsid w:val="006131A7"/>
    <w:rsid w:val="00613B01"/>
    <w:rsid w:val="0061470A"/>
    <w:rsid w:val="00614CE0"/>
    <w:rsid w:val="00614D1C"/>
    <w:rsid w:val="00614DE1"/>
    <w:rsid w:val="00614DF4"/>
    <w:rsid w:val="00615350"/>
    <w:rsid w:val="00615B12"/>
    <w:rsid w:val="00615C4B"/>
    <w:rsid w:val="00616C8A"/>
    <w:rsid w:val="00617417"/>
    <w:rsid w:val="00620135"/>
    <w:rsid w:val="006202F3"/>
    <w:rsid w:val="00620D15"/>
    <w:rsid w:val="00620EFE"/>
    <w:rsid w:val="00620FA8"/>
    <w:rsid w:val="006211D6"/>
    <w:rsid w:val="006213E0"/>
    <w:rsid w:val="00621489"/>
    <w:rsid w:val="006217A2"/>
    <w:rsid w:val="00621885"/>
    <w:rsid w:val="006219F0"/>
    <w:rsid w:val="00621F20"/>
    <w:rsid w:val="00623CE1"/>
    <w:rsid w:val="006249D8"/>
    <w:rsid w:val="0062529E"/>
    <w:rsid w:val="00625471"/>
    <w:rsid w:val="00625836"/>
    <w:rsid w:val="00625A83"/>
    <w:rsid w:val="00626622"/>
    <w:rsid w:val="006273AD"/>
    <w:rsid w:val="006277F3"/>
    <w:rsid w:val="00627F71"/>
    <w:rsid w:val="00630E69"/>
    <w:rsid w:val="006310DD"/>
    <w:rsid w:val="006310F0"/>
    <w:rsid w:val="006312DA"/>
    <w:rsid w:val="0063161E"/>
    <w:rsid w:val="00631F8B"/>
    <w:rsid w:val="00632480"/>
    <w:rsid w:val="00632BF8"/>
    <w:rsid w:val="006336A3"/>
    <w:rsid w:val="00633771"/>
    <w:rsid w:val="00633FD6"/>
    <w:rsid w:val="0063436A"/>
    <w:rsid w:val="006350B1"/>
    <w:rsid w:val="00635CBA"/>
    <w:rsid w:val="006360CE"/>
    <w:rsid w:val="00636266"/>
    <w:rsid w:val="0063692E"/>
    <w:rsid w:val="00636AB3"/>
    <w:rsid w:val="00636C95"/>
    <w:rsid w:val="0063769C"/>
    <w:rsid w:val="006377E1"/>
    <w:rsid w:val="0064031A"/>
    <w:rsid w:val="006408AF"/>
    <w:rsid w:val="00640FA2"/>
    <w:rsid w:val="00641142"/>
    <w:rsid w:val="006421F6"/>
    <w:rsid w:val="0064224A"/>
    <w:rsid w:val="00642760"/>
    <w:rsid w:val="00642AEB"/>
    <w:rsid w:val="00642B70"/>
    <w:rsid w:val="00642E0F"/>
    <w:rsid w:val="00642E1C"/>
    <w:rsid w:val="00643081"/>
    <w:rsid w:val="00643435"/>
    <w:rsid w:val="006435DF"/>
    <w:rsid w:val="0064368F"/>
    <w:rsid w:val="00643AF8"/>
    <w:rsid w:val="00643BB7"/>
    <w:rsid w:val="00643D2B"/>
    <w:rsid w:val="00644369"/>
    <w:rsid w:val="00644D30"/>
    <w:rsid w:val="00646365"/>
    <w:rsid w:val="006463FE"/>
    <w:rsid w:val="006466AD"/>
    <w:rsid w:val="00646E56"/>
    <w:rsid w:val="00646F34"/>
    <w:rsid w:val="00647031"/>
    <w:rsid w:val="00647220"/>
    <w:rsid w:val="006474C7"/>
    <w:rsid w:val="00647A0A"/>
    <w:rsid w:val="00647EDD"/>
    <w:rsid w:val="006502BD"/>
    <w:rsid w:val="0065036B"/>
    <w:rsid w:val="006509E4"/>
    <w:rsid w:val="006511D5"/>
    <w:rsid w:val="006515FC"/>
    <w:rsid w:val="006521AB"/>
    <w:rsid w:val="006534A8"/>
    <w:rsid w:val="006535C3"/>
    <w:rsid w:val="00653851"/>
    <w:rsid w:val="00653C80"/>
    <w:rsid w:val="006550FA"/>
    <w:rsid w:val="00655C96"/>
    <w:rsid w:val="00655FBC"/>
    <w:rsid w:val="00656CCD"/>
    <w:rsid w:val="00656F08"/>
    <w:rsid w:val="006570B4"/>
    <w:rsid w:val="006570BD"/>
    <w:rsid w:val="0065783E"/>
    <w:rsid w:val="00657DEE"/>
    <w:rsid w:val="0065908E"/>
    <w:rsid w:val="0066003E"/>
    <w:rsid w:val="00660619"/>
    <w:rsid w:val="00660824"/>
    <w:rsid w:val="006610A4"/>
    <w:rsid w:val="00661143"/>
    <w:rsid w:val="006612D8"/>
    <w:rsid w:val="00661B26"/>
    <w:rsid w:val="00661DD7"/>
    <w:rsid w:val="00661DF5"/>
    <w:rsid w:val="0066257D"/>
    <w:rsid w:val="00662802"/>
    <w:rsid w:val="006628FA"/>
    <w:rsid w:val="00662BAA"/>
    <w:rsid w:val="00662DA6"/>
    <w:rsid w:val="00662E8A"/>
    <w:rsid w:val="00663057"/>
    <w:rsid w:val="00663A75"/>
    <w:rsid w:val="00663FCA"/>
    <w:rsid w:val="0066404C"/>
    <w:rsid w:val="00664A55"/>
    <w:rsid w:val="00664AB4"/>
    <w:rsid w:val="00664B3E"/>
    <w:rsid w:val="00664C05"/>
    <w:rsid w:val="00665103"/>
    <w:rsid w:val="00665237"/>
    <w:rsid w:val="00665402"/>
    <w:rsid w:val="00665967"/>
    <w:rsid w:val="00665ACE"/>
    <w:rsid w:val="00665BC4"/>
    <w:rsid w:val="00665BC6"/>
    <w:rsid w:val="00666257"/>
    <w:rsid w:val="00666449"/>
    <w:rsid w:val="006669DA"/>
    <w:rsid w:val="00666BFC"/>
    <w:rsid w:val="00666C2A"/>
    <w:rsid w:val="00667227"/>
    <w:rsid w:val="0066746F"/>
    <w:rsid w:val="006676EF"/>
    <w:rsid w:val="00667D28"/>
    <w:rsid w:val="006702E0"/>
    <w:rsid w:val="006702ED"/>
    <w:rsid w:val="00671542"/>
    <w:rsid w:val="00671FAB"/>
    <w:rsid w:val="006722BA"/>
    <w:rsid w:val="0067235D"/>
    <w:rsid w:val="00672486"/>
    <w:rsid w:val="0067263A"/>
    <w:rsid w:val="006730D6"/>
    <w:rsid w:val="00673193"/>
    <w:rsid w:val="00673463"/>
    <w:rsid w:val="006736BB"/>
    <w:rsid w:val="00673CC9"/>
    <w:rsid w:val="00673E26"/>
    <w:rsid w:val="00673EEF"/>
    <w:rsid w:val="006745C9"/>
    <w:rsid w:val="006747B7"/>
    <w:rsid w:val="006749C7"/>
    <w:rsid w:val="00674DE1"/>
    <w:rsid w:val="00674E5D"/>
    <w:rsid w:val="00675267"/>
    <w:rsid w:val="006753F7"/>
    <w:rsid w:val="00675C2C"/>
    <w:rsid w:val="00675CC6"/>
    <w:rsid w:val="00675D15"/>
    <w:rsid w:val="006762CC"/>
    <w:rsid w:val="00676ABD"/>
    <w:rsid w:val="006775A5"/>
    <w:rsid w:val="00677E4F"/>
    <w:rsid w:val="0068013D"/>
    <w:rsid w:val="006801D0"/>
    <w:rsid w:val="00680540"/>
    <w:rsid w:val="006807B3"/>
    <w:rsid w:val="0068145B"/>
    <w:rsid w:val="00681BD7"/>
    <w:rsid w:val="00681D6F"/>
    <w:rsid w:val="00682573"/>
    <w:rsid w:val="00682AE6"/>
    <w:rsid w:val="00682DED"/>
    <w:rsid w:val="00682E6C"/>
    <w:rsid w:val="006836BE"/>
    <w:rsid w:val="006838B7"/>
    <w:rsid w:val="00683D78"/>
    <w:rsid w:val="006840A5"/>
    <w:rsid w:val="006842B5"/>
    <w:rsid w:val="00684A70"/>
    <w:rsid w:val="00684AD1"/>
    <w:rsid w:val="00684B76"/>
    <w:rsid w:val="00684F01"/>
    <w:rsid w:val="00685275"/>
    <w:rsid w:val="0068538A"/>
    <w:rsid w:val="0068538C"/>
    <w:rsid w:val="006855A3"/>
    <w:rsid w:val="0068580A"/>
    <w:rsid w:val="00685A00"/>
    <w:rsid w:val="00685B0F"/>
    <w:rsid w:val="006862BE"/>
    <w:rsid w:val="006863DA"/>
    <w:rsid w:val="006864D7"/>
    <w:rsid w:val="006865E9"/>
    <w:rsid w:val="0068705C"/>
    <w:rsid w:val="00687382"/>
    <w:rsid w:val="00687697"/>
    <w:rsid w:val="00687D1F"/>
    <w:rsid w:val="00690B43"/>
    <w:rsid w:val="00691397"/>
    <w:rsid w:val="006916CB"/>
    <w:rsid w:val="006927B0"/>
    <w:rsid w:val="00692AAC"/>
    <w:rsid w:val="00692DDD"/>
    <w:rsid w:val="00692E78"/>
    <w:rsid w:val="00693074"/>
    <w:rsid w:val="006930D6"/>
    <w:rsid w:val="0069365C"/>
    <w:rsid w:val="00693776"/>
    <w:rsid w:val="006939C8"/>
    <w:rsid w:val="00693E15"/>
    <w:rsid w:val="00693E73"/>
    <w:rsid w:val="00693ED6"/>
    <w:rsid w:val="006941AD"/>
    <w:rsid w:val="006945E4"/>
    <w:rsid w:val="0069467F"/>
    <w:rsid w:val="00694967"/>
    <w:rsid w:val="006949EC"/>
    <w:rsid w:val="00694C26"/>
    <w:rsid w:val="00694ECB"/>
    <w:rsid w:val="00694FE0"/>
    <w:rsid w:val="006955BE"/>
    <w:rsid w:val="006956DC"/>
    <w:rsid w:val="00695AB3"/>
    <w:rsid w:val="00695ADA"/>
    <w:rsid w:val="00695EF8"/>
    <w:rsid w:val="00695F91"/>
    <w:rsid w:val="00695FCA"/>
    <w:rsid w:val="006964DC"/>
    <w:rsid w:val="006A0014"/>
    <w:rsid w:val="006A0658"/>
    <w:rsid w:val="006A0A94"/>
    <w:rsid w:val="006A1E6D"/>
    <w:rsid w:val="006A20D4"/>
    <w:rsid w:val="006A2422"/>
    <w:rsid w:val="006A325C"/>
    <w:rsid w:val="006A3489"/>
    <w:rsid w:val="006A3D65"/>
    <w:rsid w:val="006A3DAA"/>
    <w:rsid w:val="006A3E01"/>
    <w:rsid w:val="006A4504"/>
    <w:rsid w:val="006A470C"/>
    <w:rsid w:val="006A4825"/>
    <w:rsid w:val="006A4F55"/>
    <w:rsid w:val="006A5358"/>
    <w:rsid w:val="006A566B"/>
    <w:rsid w:val="006A5A75"/>
    <w:rsid w:val="006A5CC3"/>
    <w:rsid w:val="006A5F6D"/>
    <w:rsid w:val="006A686A"/>
    <w:rsid w:val="006A68B5"/>
    <w:rsid w:val="006A6A90"/>
    <w:rsid w:val="006A6D1E"/>
    <w:rsid w:val="006A7088"/>
    <w:rsid w:val="006A7125"/>
    <w:rsid w:val="006A740C"/>
    <w:rsid w:val="006A7427"/>
    <w:rsid w:val="006A7608"/>
    <w:rsid w:val="006A7992"/>
    <w:rsid w:val="006B027C"/>
    <w:rsid w:val="006B04EB"/>
    <w:rsid w:val="006B0C08"/>
    <w:rsid w:val="006B0C2A"/>
    <w:rsid w:val="006B158F"/>
    <w:rsid w:val="006B1B0B"/>
    <w:rsid w:val="006B237A"/>
    <w:rsid w:val="006B238C"/>
    <w:rsid w:val="006B2463"/>
    <w:rsid w:val="006B27AE"/>
    <w:rsid w:val="006B3295"/>
    <w:rsid w:val="006B391A"/>
    <w:rsid w:val="006B3A8F"/>
    <w:rsid w:val="006B3F25"/>
    <w:rsid w:val="006B452A"/>
    <w:rsid w:val="006B4F7C"/>
    <w:rsid w:val="006B52C8"/>
    <w:rsid w:val="006B53B7"/>
    <w:rsid w:val="006B603E"/>
    <w:rsid w:val="006B6761"/>
    <w:rsid w:val="006B7311"/>
    <w:rsid w:val="006B75D5"/>
    <w:rsid w:val="006B7822"/>
    <w:rsid w:val="006C0029"/>
    <w:rsid w:val="006C01A1"/>
    <w:rsid w:val="006C022C"/>
    <w:rsid w:val="006C049D"/>
    <w:rsid w:val="006C0792"/>
    <w:rsid w:val="006C1711"/>
    <w:rsid w:val="006C1C38"/>
    <w:rsid w:val="006C1C3D"/>
    <w:rsid w:val="006C1EA9"/>
    <w:rsid w:val="006C263F"/>
    <w:rsid w:val="006C283E"/>
    <w:rsid w:val="006C31FF"/>
    <w:rsid w:val="006C331D"/>
    <w:rsid w:val="006C35E6"/>
    <w:rsid w:val="006C3BEE"/>
    <w:rsid w:val="006C3CA7"/>
    <w:rsid w:val="006C3E55"/>
    <w:rsid w:val="006C3EEF"/>
    <w:rsid w:val="006C3F2B"/>
    <w:rsid w:val="006C42E6"/>
    <w:rsid w:val="006C49A3"/>
    <w:rsid w:val="006C4A50"/>
    <w:rsid w:val="006C4BAF"/>
    <w:rsid w:val="006C4DC6"/>
    <w:rsid w:val="006C4E5B"/>
    <w:rsid w:val="006C5193"/>
    <w:rsid w:val="006C5496"/>
    <w:rsid w:val="006C55B8"/>
    <w:rsid w:val="006C5910"/>
    <w:rsid w:val="006C593C"/>
    <w:rsid w:val="006C5FC8"/>
    <w:rsid w:val="006C65CB"/>
    <w:rsid w:val="006C6821"/>
    <w:rsid w:val="006C6ED3"/>
    <w:rsid w:val="006C6F58"/>
    <w:rsid w:val="006C737F"/>
    <w:rsid w:val="006C7479"/>
    <w:rsid w:val="006C7CFC"/>
    <w:rsid w:val="006C8CA5"/>
    <w:rsid w:val="006D0058"/>
    <w:rsid w:val="006D0C4C"/>
    <w:rsid w:val="006D14CB"/>
    <w:rsid w:val="006D20DF"/>
    <w:rsid w:val="006D25B4"/>
    <w:rsid w:val="006D2F7E"/>
    <w:rsid w:val="006D32B9"/>
    <w:rsid w:val="006D33A4"/>
    <w:rsid w:val="006D3A84"/>
    <w:rsid w:val="006D3B40"/>
    <w:rsid w:val="006D4732"/>
    <w:rsid w:val="006D4AD3"/>
    <w:rsid w:val="006D521E"/>
    <w:rsid w:val="006D54C5"/>
    <w:rsid w:val="006D5C4C"/>
    <w:rsid w:val="006D5EF0"/>
    <w:rsid w:val="006D66FA"/>
    <w:rsid w:val="006D6705"/>
    <w:rsid w:val="006D6DB6"/>
    <w:rsid w:val="006D6F03"/>
    <w:rsid w:val="006D7414"/>
    <w:rsid w:val="006D75E7"/>
    <w:rsid w:val="006D7829"/>
    <w:rsid w:val="006D7E1A"/>
    <w:rsid w:val="006E057A"/>
    <w:rsid w:val="006E05AD"/>
    <w:rsid w:val="006E0E4C"/>
    <w:rsid w:val="006E15D8"/>
    <w:rsid w:val="006E2004"/>
    <w:rsid w:val="006E202B"/>
    <w:rsid w:val="006E2243"/>
    <w:rsid w:val="006E2F77"/>
    <w:rsid w:val="006E32D9"/>
    <w:rsid w:val="006E336F"/>
    <w:rsid w:val="006E3934"/>
    <w:rsid w:val="006E4571"/>
    <w:rsid w:val="006E470B"/>
    <w:rsid w:val="006E49A3"/>
    <w:rsid w:val="006E4BAF"/>
    <w:rsid w:val="006E4EA2"/>
    <w:rsid w:val="006E4F8A"/>
    <w:rsid w:val="006E5348"/>
    <w:rsid w:val="006E5FDD"/>
    <w:rsid w:val="006E6023"/>
    <w:rsid w:val="006E68BF"/>
    <w:rsid w:val="006E6B82"/>
    <w:rsid w:val="006E6DE8"/>
    <w:rsid w:val="006E71AF"/>
    <w:rsid w:val="006E7693"/>
    <w:rsid w:val="006E7815"/>
    <w:rsid w:val="006E7D46"/>
    <w:rsid w:val="006E7EC4"/>
    <w:rsid w:val="006F02AE"/>
    <w:rsid w:val="006F0B23"/>
    <w:rsid w:val="006F0EC1"/>
    <w:rsid w:val="006F13D1"/>
    <w:rsid w:val="006F15A8"/>
    <w:rsid w:val="006F18DE"/>
    <w:rsid w:val="006F1A44"/>
    <w:rsid w:val="006F1D35"/>
    <w:rsid w:val="006F255F"/>
    <w:rsid w:val="006F26B1"/>
    <w:rsid w:val="006F3128"/>
    <w:rsid w:val="006F323F"/>
    <w:rsid w:val="006F3C60"/>
    <w:rsid w:val="006F4537"/>
    <w:rsid w:val="006F45F1"/>
    <w:rsid w:val="006F4C08"/>
    <w:rsid w:val="006F4D5E"/>
    <w:rsid w:val="006F4F64"/>
    <w:rsid w:val="006F4F69"/>
    <w:rsid w:val="006F550A"/>
    <w:rsid w:val="006F58F6"/>
    <w:rsid w:val="006F5EE5"/>
    <w:rsid w:val="006F6229"/>
    <w:rsid w:val="006F65D0"/>
    <w:rsid w:val="006F6908"/>
    <w:rsid w:val="006F7813"/>
    <w:rsid w:val="006F79FD"/>
    <w:rsid w:val="006F7C88"/>
    <w:rsid w:val="006F7E38"/>
    <w:rsid w:val="00700954"/>
    <w:rsid w:val="00700AB3"/>
    <w:rsid w:val="00701CBD"/>
    <w:rsid w:val="00701F2B"/>
    <w:rsid w:val="007023A3"/>
    <w:rsid w:val="007025FF"/>
    <w:rsid w:val="00702C1E"/>
    <w:rsid w:val="00703C7D"/>
    <w:rsid w:val="00704349"/>
    <w:rsid w:val="0070437D"/>
    <w:rsid w:val="0070486E"/>
    <w:rsid w:val="00704EC2"/>
    <w:rsid w:val="00705756"/>
    <w:rsid w:val="00705865"/>
    <w:rsid w:val="00705C36"/>
    <w:rsid w:val="00706C29"/>
    <w:rsid w:val="00706C52"/>
    <w:rsid w:val="0070718B"/>
    <w:rsid w:val="0070760C"/>
    <w:rsid w:val="00707CCA"/>
    <w:rsid w:val="00707D39"/>
    <w:rsid w:val="00708E91"/>
    <w:rsid w:val="0071011B"/>
    <w:rsid w:val="007105A1"/>
    <w:rsid w:val="00710609"/>
    <w:rsid w:val="007112A8"/>
    <w:rsid w:val="00711344"/>
    <w:rsid w:val="00711B10"/>
    <w:rsid w:val="0071225D"/>
    <w:rsid w:val="007124C8"/>
    <w:rsid w:val="0071264A"/>
    <w:rsid w:val="00712BE1"/>
    <w:rsid w:val="00712CDF"/>
    <w:rsid w:val="00713233"/>
    <w:rsid w:val="00713387"/>
    <w:rsid w:val="00713910"/>
    <w:rsid w:val="00713E8B"/>
    <w:rsid w:val="00713FFD"/>
    <w:rsid w:val="0071443C"/>
    <w:rsid w:val="00714561"/>
    <w:rsid w:val="00714564"/>
    <w:rsid w:val="00714A85"/>
    <w:rsid w:val="00714B01"/>
    <w:rsid w:val="00714D21"/>
    <w:rsid w:val="00714DEA"/>
    <w:rsid w:val="00714EB7"/>
    <w:rsid w:val="0071525D"/>
    <w:rsid w:val="007152D0"/>
    <w:rsid w:val="0071558E"/>
    <w:rsid w:val="00715F1F"/>
    <w:rsid w:val="00716777"/>
    <w:rsid w:val="00716957"/>
    <w:rsid w:val="0071704B"/>
    <w:rsid w:val="00717601"/>
    <w:rsid w:val="007204FB"/>
    <w:rsid w:val="0072050F"/>
    <w:rsid w:val="007205D3"/>
    <w:rsid w:val="00720A19"/>
    <w:rsid w:val="00720B3A"/>
    <w:rsid w:val="0072136F"/>
    <w:rsid w:val="007213BF"/>
    <w:rsid w:val="0072172B"/>
    <w:rsid w:val="00721862"/>
    <w:rsid w:val="00721E38"/>
    <w:rsid w:val="00721FBA"/>
    <w:rsid w:val="0072216F"/>
    <w:rsid w:val="00722206"/>
    <w:rsid w:val="007226BE"/>
    <w:rsid w:val="00722BDB"/>
    <w:rsid w:val="007231DA"/>
    <w:rsid w:val="0072324F"/>
    <w:rsid w:val="00723680"/>
    <w:rsid w:val="00723CBE"/>
    <w:rsid w:val="00723DD3"/>
    <w:rsid w:val="00723EAF"/>
    <w:rsid w:val="007241A0"/>
    <w:rsid w:val="007241EA"/>
    <w:rsid w:val="0072477E"/>
    <w:rsid w:val="0072488F"/>
    <w:rsid w:val="00724A8C"/>
    <w:rsid w:val="00724BA2"/>
    <w:rsid w:val="00725C3E"/>
    <w:rsid w:val="007262A1"/>
    <w:rsid w:val="007268EF"/>
    <w:rsid w:val="00726A84"/>
    <w:rsid w:val="00726BC4"/>
    <w:rsid w:val="00726CD6"/>
    <w:rsid w:val="0072704B"/>
    <w:rsid w:val="00727076"/>
    <w:rsid w:val="007270C9"/>
    <w:rsid w:val="007277B4"/>
    <w:rsid w:val="00727DFD"/>
    <w:rsid w:val="0072A592"/>
    <w:rsid w:val="00730733"/>
    <w:rsid w:val="0073090D"/>
    <w:rsid w:val="0073111E"/>
    <w:rsid w:val="007313D3"/>
    <w:rsid w:val="0073149D"/>
    <w:rsid w:val="007319A2"/>
    <w:rsid w:val="00732936"/>
    <w:rsid w:val="0073394A"/>
    <w:rsid w:val="00734284"/>
    <w:rsid w:val="007346D0"/>
    <w:rsid w:val="00734B29"/>
    <w:rsid w:val="00736163"/>
    <w:rsid w:val="00736796"/>
    <w:rsid w:val="00736EED"/>
    <w:rsid w:val="00736F75"/>
    <w:rsid w:val="0073706F"/>
    <w:rsid w:val="007373CF"/>
    <w:rsid w:val="00737C6F"/>
    <w:rsid w:val="007400B6"/>
    <w:rsid w:val="007401C5"/>
    <w:rsid w:val="0074047D"/>
    <w:rsid w:val="00740824"/>
    <w:rsid w:val="00740ACB"/>
    <w:rsid w:val="00740D9B"/>
    <w:rsid w:val="007412A0"/>
    <w:rsid w:val="00741470"/>
    <w:rsid w:val="0074156E"/>
    <w:rsid w:val="00742878"/>
    <w:rsid w:val="007428C8"/>
    <w:rsid w:val="00743156"/>
    <w:rsid w:val="007436D6"/>
    <w:rsid w:val="007439D6"/>
    <w:rsid w:val="0074448D"/>
    <w:rsid w:val="00744A74"/>
    <w:rsid w:val="007454A1"/>
    <w:rsid w:val="007455C1"/>
    <w:rsid w:val="007455F8"/>
    <w:rsid w:val="007457CA"/>
    <w:rsid w:val="00745FC7"/>
    <w:rsid w:val="00746027"/>
    <w:rsid w:val="007461BD"/>
    <w:rsid w:val="007463A5"/>
    <w:rsid w:val="007465B2"/>
    <w:rsid w:val="00746963"/>
    <w:rsid w:val="00747279"/>
    <w:rsid w:val="00747385"/>
    <w:rsid w:val="00747AC4"/>
    <w:rsid w:val="00747CFA"/>
    <w:rsid w:val="00750105"/>
    <w:rsid w:val="007502C6"/>
    <w:rsid w:val="00751557"/>
    <w:rsid w:val="007516B7"/>
    <w:rsid w:val="00751820"/>
    <w:rsid w:val="00751A47"/>
    <w:rsid w:val="007525DF"/>
    <w:rsid w:val="007525EB"/>
    <w:rsid w:val="00752707"/>
    <w:rsid w:val="007529B3"/>
    <w:rsid w:val="00752B43"/>
    <w:rsid w:val="00752DFB"/>
    <w:rsid w:val="00752EEE"/>
    <w:rsid w:val="007530DC"/>
    <w:rsid w:val="00753B76"/>
    <w:rsid w:val="00753BC8"/>
    <w:rsid w:val="00754089"/>
    <w:rsid w:val="007544EC"/>
    <w:rsid w:val="007548D7"/>
    <w:rsid w:val="00754B3D"/>
    <w:rsid w:val="00754C9E"/>
    <w:rsid w:val="007550BF"/>
    <w:rsid w:val="007552D6"/>
    <w:rsid w:val="00755819"/>
    <w:rsid w:val="0075641D"/>
    <w:rsid w:val="00756E25"/>
    <w:rsid w:val="00757407"/>
    <w:rsid w:val="00757A78"/>
    <w:rsid w:val="00757BF0"/>
    <w:rsid w:val="00760031"/>
    <w:rsid w:val="0076082F"/>
    <w:rsid w:val="007611C2"/>
    <w:rsid w:val="007619A2"/>
    <w:rsid w:val="007619D2"/>
    <w:rsid w:val="00761B50"/>
    <w:rsid w:val="00761C59"/>
    <w:rsid w:val="007628E6"/>
    <w:rsid w:val="007636A1"/>
    <w:rsid w:val="00763DE3"/>
    <w:rsid w:val="00764004"/>
    <w:rsid w:val="00764025"/>
    <w:rsid w:val="00764A7E"/>
    <w:rsid w:val="007658F0"/>
    <w:rsid w:val="007659DE"/>
    <w:rsid w:val="007660B5"/>
    <w:rsid w:val="007667E5"/>
    <w:rsid w:val="00766D86"/>
    <w:rsid w:val="0076754A"/>
    <w:rsid w:val="007675A7"/>
    <w:rsid w:val="00767990"/>
    <w:rsid w:val="00767C61"/>
    <w:rsid w:val="0077048C"/>
    <w:rsid w:val="00770691"/>
    <w:rsid w:val="007706DB"/>
    <w:rsid w:val="00770984"/>
    <w:rsid w:val="00770A2C"/>
    <w:rsid w:val="00770DF6"/>
    <w:rsid w:val="0077158C"/>
    <w:rsid w:val="00772176"/>
    <w:rsid w:val="00772C2E"/>
    <w:rsid w:val="00772D90"/>
    <w:rsid w:val="00772DD4"/>
    <w:rsid w:val="007734AD"/>
    <w:rsid w:val="00773AC7"/>
    <w:rsid w:val="0077403E"/>
    <w:rsid w:val="00774233"/>
    <w:rsid w:val="00774239"/>
    <w:rsid w:val="007744D2"/>
    <w:rsid w:val="00774A5C"/>
    <w:rsid w:val="00774A8C"/>
    <w:rsid w:val="00775608"/>
    <w:rsid w:val="007757CB"/>
    <w:rsid w:val="007758B1"/>
    <w:rsid w:val="007760DC"/>
    <w:rsid w:val="007771B1"/>
    <w:rsid w:val="00777815"/>
    <w:rsid w:val="00777F20"/>
    <w:rsid w:val="007805C2"/>
    <w:rsid w:val="00780A8B"/>
    <w:rsid w:val="00781A40"/>
    <w:rsid w:val="00782763"/>
    <w:rsid w:val="0078323F"/>
    <w:rsid w:val="0078388E"/>
    <w:rsid w:val="00783909"/>
    <w:rsid w:val="007839D4"/>
    <w:rsid w:val="00783ADD"/>
    <w:rsid w:val="00784305"/>
    <w:rsid w:val="00784491"/>
    <w:rsid w:val="007849AF"/>
    <w:rsid w:val="00784F96"/>
    <w:rsid w:val="007851D6"/>
    <w:rsid w:val="00786077"/>
    <w:rsid w:val="0078619E"/>
    <w:rsid w:val="0078668D"/>
    <w:rsid w:val="00786FDA"/>
    <w:rsid w:val="00787219"/>
    <w:rsid w:val="007874E4"/>
    <w:rsid w:val="0078751D"/>
    <w:rsid w:val="0078753E"/>
    <w:rsid w:val="00787776"/>
    <w:rsid w:val="00787E8D"/>
    <w:rsid w:val="0078F0A2"/>
    <w:rsid w:val="0079006B"/>
    <w:rsid w:val="007912C7"/>
    <w:rsid w:val="00791384"/>
    <w:rsid w:val="00791728"/>
    <w:rsid w:val="00791B76"/>
    <w:rsid w:val="00791C9C"/>
    <w:rsid w:val="007925C9"/>
    <w:rsid w:val="00792731"/>
    <w:rsid w:val="007930DA"/>
    <w:rsid w:val="007934D4"/>
    <w:rsid w:val="00793747"/>
    <w:rsid w:val="00793958"/>
    <w:rsid w:val="00794061"/>
    <w:rsid w:val="007942FB"/>
    <w:rsid w:val="00794AD7"/>
    <w:rsid w:val="00794C85"/>
    <w:rsid w:val="00795046"/>
    <w:rsid w:val="00795238"/>
    <w:rsid w:val="007953CA"/>
    <w:rsid w:val="00795578"/>
    <w:rsid w:val="007956D4"/>
    <w:rsid w:val="007961BB"/>
    <w:rsid w:val="00796E2B"/>
    <w:rsid w:val="00797373"/>
    <w:rsid w:val="007975DD"/>
    <w:rsid w:val="007976A4"/>
    <w:rsid w:val="0079771C"/>
    <w:rsid w:val="007A0982"/>
    <w:rsid w:val="007A10A3"/>
    <w:rsid w:val="007A1A22"/>
    <w:rsid w:val="007A1A2C"/>
    <w:rsid w:val="007A1AE9"/>
    <w:rsid w:val="007A2195"/>
    <w:rsid w:val="007A2211"/>
    <w:rsid w:val="007A227E"/>
    <w:rsid w:val="007A2377"/>
    <w:rsid w:val="007A238B"/>
    <w:rsid w:val="007A243B"/>
    <w:rsid w:val="007A24C0"/>
    <w:rsid w:val="007A25DD"/>
    <w:rsid w:val="007A27B4"/>
    <w:rsid w:val="007A284A"/>
    <w:rsid w:val="007A2918"/>
    <w:rsid w:val="007A2D04"/>
    <w:rsid w:val="007A2D7C"/>
    <w:rsid w:val="007A2E7D"/>
    <w:rsid w:val="007A2F39"/>
    <w:rsid w:val="007A3AA4"/>
    <w:rsid w:val="007A3C67"/>
    <w:rsid w:val="007A56A4"/>
    <w:rsid w:val="007A56A7"/>
    <w:rsid w:val="007A5709"/>
    <w:rsid w:val="007A572D"/>
    <w:rsid w:val="007A5960"/>
    <w:rsid w:val="007A5BE7"/>
    <w:rsid w:val="007A5E0F"/>
    <w:rsid w:val="007A606E"/>
    <w:rsid w:val="007A62F9"/>
    <w:rsid w:val="007A675D"/>
    <w:rsid w:val="007A6ABA"/>
    <w:rsid w:val="007A6D93"/>
    <w:rsid w:val="007A721B"/>
    <w:rsid w:val="007A7523"/>
    <w:rsid w:val="007A7643"/>
    <w:rsid w:val="007A7702"/>
    <w:rsid w:val="007B0165"/>
    <w:rsid w:val="007B0B08"/>
    <w:rsid w:val="007B0C7C"/>
    <w:rsid w:val="007B0FC0"/>
    <w:rsid w:val="007B19C1"/>
    <w:rsid w:val="007B1D1A"/>
    <w:rsid w:val="007B218F"/>
    <w:rsid w:val="007B3387"/>
    <w:rsid w:val="007B371A"/>
    <w:rsid w:val="007B3D2B"/>
    <w:rsid w:val="007B4791"/>
    <w:rsid w:val="007B47A4"/>
    <w:rsid w:val="007B48C9"/>
    <w:rsid w:val="007B4B35"/>
    <w:rsid w:val="007B4C68"/>
    <w:rsid w:val="007B4D61"/>
    <w:rsid w:val="007B4FD9"/>
    <w:rsid w:val="007B510C"/>
    <w:rsid w:val="007B5545"/>
    <w:rsid w:val="007B5659"/>
    <w:rsid w:val="007B5A5A"/>
    <w:rsid w:val="007B62C0"/>
    <w:rsid w:val="007B6AD6"/>
    <w:rsid w:val="007B70C3"/>
    <w:rsid w:val="007B73E9"/>
    <w:rsid w:val="007B771C"/>
    <w:rsid w:val="007B77E7"/>
    <w:rsid w:val="007B7C64"/>
    <w:rsid w:val="007C036F"/>
    <w:rsid w:val="007C07FB"/>
    <w:rsid w:val="007C10AA"/>
    <w:rsid w:val="007C13C9"/>
    <w:rsid w:val="007C171C"/>
    <w:rsid w:val="007C1BFE"/>
    <w:rsid w:val="007C1ECE"/>
    <w:rsid w:val="007C2B70"/>
    <w:rsid w:val="007C2D11"/>
    <w:rsid w:val="007C31E1"/>
    <w:rsid w:val="007C3CFB"/>
    <w:rsid w:val="007C403C"/>
    <w:rsid w:val="007C47C8"/>
    <w:rsid w:val="007C483A"/>
    <w:rsid w:val="007C6872"/>
    <w:rsid w:val="007C6C1B"/>
    <w:rsid w:val="007C6F1C"/>
    <w:rsid w:val="007C6F8D"/>
    <w:rsid w:val="007C74D5"/>
    <w:rsid w:val="007C7550"/>
    <w:rsid w:val="007C75BA"/>
    <w:rsid w:val="007D045E"/>
    <w:rsid w:val="007D05FE"/>
    <w:rsid w:val="007D0DB2"/>
    <w:rsid w:val="007D1134"/>
    <w:rsid w:val="007D116E"/>
    <w:rsid w:val="007D1B9D"/>
    <w:rsid w:val="007D1D36"/>
    <w:rsid w:val="007D29D8"/>
    <w:rsid w:val="007D29E3"/>
    <w:rsid w:val="007D2B14"/>
    <w:rsid w:val="007D3659"/>
    <w:rsid w:val="007D3A16"/>
    <w:rsid w:val="007D3D49"/>
    <w:rsid w:val="007D3DF1"/>
    <w:rsid w:val="007D40D2"/>
    <w:rsid w:val="007D4551"/>
    <w:rsid w:val="007D471F"/>
    <w:rsid w:val="007D47C0"/>
    <w:rsid w:val="007D4B0B"/>
    <w:rsid w:val="007D5672"/>
    <w:rsid w:val="007D57C6"/>
    <w:rsid w:val="007D5FB8"/>
    <w:rsid w:val="007D6468"/>
    <w:rsid w:val="007D6555"/>
    <w:rsid w:val="007D7602"/>
    <w:rsid w:val="007D7BFE"/>
    <w:rsid w:val="007D7D52"/>
    <w:rsid w:val="007E0860"/>
    <w:rsid w:val="007E0908"/>
    <w:rsid w:val="007E0B35"/>
    <w:rsid w:val="007E0CFC"/>
    <w:rsid w:val="007E1476"/>
    <w:rsid w:val="007E14D1"/>
    <w:rsid w:val="007E1BF6"/>
    <w:rsid w:val="007E2052"/>
    <w:rsid w:val="007E235F"/>
    <w:rsid w:val="007E263E"/>
    <w:rsid w:val="007E2B27"/>
    <w:rsid w:val="007E328C"/>
    <w:rsid w:val="007E3A89"/>
    <w:rsid w:val="007E3A8C"/>
    <w:rsid w:val="007E3D40"/>
    <w:rsid w:val="007E40C3"/>
    <w:rsid w:val="007E4767"/>
    <w:rsid w:val="007E6557"/>
    <w:rsid w:val="007E6565"/>
    <w:rsid w:val="007E73C2"/>
    <w:rsid w:val="007E73C4"/>
    <w:rsid w:val="007E7409"/>
    <w:rsid w:val="007F00C1"/>
    <w:rsid w:val="007F036B"/>
    <w:rsid w:val="007F05C0"/>
    <w:rsid w:val="007F07E8"/>
    <w:rsid w:val="007F15C5"/>
    <w:rsid w:val="007F19CA"/>
    <w:rsid w:val="007F1E88"/>
    <w:rsid w:val="007F23D7"/>
    <w:rsid w:val="007F24CC"/>
    <w:rsid w:val="007F2BB2"/>
    <w:rsid w:val="007F30B6"/>
    <w:rsid w:val="007F345C"/>
    <w:rsid w:val="007F36E0"/>
    <w:rsid w:val="007F3C2A"/>
    <w:rsid w:val="007F4110"/>
    <w:rsid w:val="007F49D3"/>
    <w:rsid w:val="007F49D7"/>
    <w:rsid w:val="007F4B86"/>
    <w:rsid w:val="007F4C4F"/>
    <w:rsid w:val="007F53A2"/>
    <w:rsid w:val="007F5A09"/>
    <w:rsid w:val="007F60D2"/>
    <w:rsid w:val="007F718A"/>
    <w:rsid w:val="007F7196"/>
    <w:rsid w:val="007F730C"/>
    <w:rsid w:val="007F7C7E"/>
    <w:rsid w:val="0080070E"/>
    <w:rsid w:val="00800C03"/>
    <w:rsid w:val="00800EFD"/>
    <w:rsid w:val="008016EB"/>
    <w:rsid w:val="0080209A"/>
    <w:rsid w:val="0080211E"/>
    <w:rsid w:val="00803551"/>
    <w:rsid w:val="0080376C"/>
    <w:rsid w:val="008037A0"/>
    <w:rsid w:val="00804493"/>
    <w:rsid w:val="00804AEC"/>
    <w:rsid w:val="00804B31"/>
    <w:rsid w:val="00804C2B"/>
    <w:rsid w:val="00804D99"/>
    <w:rsid w:val="0080514F"/>
    <w:rsid w:val="00805204"/>
    <w:rsid w:val="0080522D"/>
    <w:rsid w:val="00805477"/>
    <w:rsid w:val="008055E7"/>
    <w:rsid w:val="0080563E"/>
    <w:rsid w:val="00805866"/>
    <w:rsid w:val="008059C4"/>
    <w:rsid w:val="00805BEB"/>
    <w:rsid w:val="00806BDF"/>
    <w:rsid w:val="00807366"/>
    <w:rsid w:val="00807393"/>
    <w:rsid w:val="0080762E"/>
    <w:rsid w:val="0080767C"/>
    <w:rsid w:val="008078A3"/>
    <w:rsid w:val="0081009F"/>
    <w:rsid w:val="00810272"/>
    <w:rsid w:val="0081071E"/>
    <w:rsid w:val="00810918"/>
    <w:rsid w:val="0081093E"/>
    <w:rsid w:val="00811081"/>
    <w:rsid w:val="008116D5"/>
    <w:rsid w:val="00811C0E"/>
    <w:rsid w:val="0081278E"/>
    <w:rsid w:val="00813604"/>
    <w:rsid w:val="00813F8B"/>
    <w:rsid w:val="008141BB"/>
    <w:rsid w:val="00814714"/>
    <w:rsid w:val="00814870"/>
    <w:rsid w:val="00815DE3"/>
    <w:rsid w:val="00816478"/>
    <w:rsid w:val="008165B3"/>
    <w:rsid w:val="00816EE6"/>
    <w:rsid w:val="00816FC7"/>
    <w:rsid w:val="0081743B"/>
    <w:rsid w:val="0081744A"/>
    <w:rsid w:val="0081770B"/>
    <w:rsid w:val="00817720"/>
    <w:rsid w:val="00817CEE"/>
    <w:rsid w:val="00817E37"/>
    <w:rsid w:val="0082017F"/>
    <w:rsid w:val="00820251"/>
    <w:rsid w:val="0082063E"/>
    <w:rsid w:val="00820974"/>
    <w:rsid w:val="00820FF4"/>
    <w:rsid w:val="008211D8"/>
    <w:rsid w:val="008216DA"/>
    <w:rsid w:val="00821B96"/>
    <w:rsid w:val="00821C8C"/>
    <w:rsid w:val="00821DD0"/>
    <w:rsid w:val="00821E0B"/>
    <w:rsid w:val="00821FF2"/>
    <w:rsid w:val="00822CEB"/>
    <w:rsid w:val="00823535"/>
    <w:rsid w:val="00823D56"/>
    <w:rsid w:val="00823E0C"/>
    <w:rsid w:val="00823F08"/>
    <w:rsid w:val="00824887"/>
    <w:rsid w:val="00824C5E"/>
    <w:rsid w:val="00824C8C"/>
    <w:rsid w:val="00825449"/>
    <w:rsid w:val="008260CB"/>
    <w:rsid w:val="00826241"/>
    <w:rsid w:val="00826280"/>
    <w:rsid w:val="00826817"/>
    <w:rsid w:val="00826B09"/>
    <w:rsid w:val="00827019"/>
    <w:rsid w:val="00827355"/>
    <w:rsid w:val="0082783F"/>
    <w:rsid w:val="008278E1"/>
    <w:rsid w:val="00827978"/>
    <w:rsid w:val="00827FAF"/>
    <w:rsid w:val="008304CC"/>
    <w:rsid w:val="008305E4"/>
    <w:rsid w:val="00830CA7"/>
    <w:rsid w:val="008313A5"/>
    <w:rsid w:val="008319A4"/>
    <w:rsid w:val="00831E1D"/>
    <w:rsid w:val="00832ED9"/>
    <w:rsid w:val="00832EE7"/>
    <w:rsid w:val="008333F6"/>
    <w:rsid w:val="0083393B"/>
    <w:rsid w:val="00833EA5"/>
    <w:rsid w:val="00834386"/>
    <w:rsid w:val="0083571D"/>
    <w:rsid w:val="00835762"/>
    <w:rsid w:val="00835B82"/>
    <w:rsid w:val="00835D31"/>
    <w:rsid w:val="00835D66"/>
    <w:rsid w:val="00837407"/>
    <w:rsid w:val="00837765"/>
    <w:rsid w:val="008400F0"/>
    <w:rsid w:val="0084022F"/>
    <w:rsid w:val="00841129"/>
    <w:rsid w:val="008411A2"/>
    <w:rsid w:val="00841DA2"/>
    <w:rsid w:val="00841E00"/>
    <w:rsid w:val="0084221B"/>
    <w:rsid w:val="00842434"/>
    <w:rsid w:val="00842B44"/>
    <w:rsid w:val="008437BA"/>
    <w:rsid w:val="00843ABA"/>
    <w:rsid w:val="0084485D"/>
    <w:rsid w:val="0084490E"/>
    <w:rsid w:val="00844CAA"/>
    <w:rsid w:val="00845344"/>
    <w:rsid w:val="00845442"/>
    <w:rsid w:val="00845DCA"/>
    <w:rsid w:val="008461B4"/>
    <w:rsid w:val="00846595"/>
    <w:rsid w:val="008472A0"/>
    <w:rsid w:val="008473E6"/>
    <w:rsid w:val="00847B0E"/>
    <w:rsid w:val="00847D11"/>
    <w:rsid w:val="00847D7D"/>
    <w:rsid w:val="00850202"/>
    <w:rsid w:val="00850A86"/>
    <w:rsid w:val="00850E89"/>
    <w:rsid w:val="008511B3"/>
    <w:rsid w:val="00851484"/>
    <w:rsid w:val="008519BB"/>
    <w:rsid w:val="00851AD0"/>
    <w:rsid w:val="00851AD6"/>
    <w:rsid w:val="00851EB7"/>
    <w:rsid w:val="00852705"/>
    <w:rsid w:val="00852C8B"/>
    <w:rsid w:val="00852E61"/>
    <w:rsid w:val="00852E80"/>
    <w:rsid w:val="00852F0A"/>
    <w:rsid w:val="008549A8"/>
    <w:rsid w:val="00855032"/>
    <w:rsid w:val="008550AA"/>
    <w:rsid w:val="008553A3"/>
    <w:rsid w:val="0085582E"/>
    <w:rsid w:val="00855885"/>
    <w:rsid w:val="00856273"/>
    <w:rsid w:val="00856D3C"/>
    <w:rsid w:val="00857076"/>
    <w:rsid w:val="008570B4"/>
    <w:rsid w:val="008576E8"/>
    <w:rsid w:val="00857849"/>
    <w:rsid w:val="00857AC5"/>
    <w:rsid w:val="0086014F"/>
    <w:rsid w:val="008606F4"/>
    <w:rsid w:val="00860FB7"/>
    <w:rsid w:val="00861163"/>
    <w:rsid w:val="00861370"/>
    <w:rsid w:val="008615F1"/>
    <w:rsid w:val="0086211E"/>
    <w:rsid w:val="00862F66"/>
    <w:rsid w:val="008630D5"/>
    <w:rsid w:val="0086351F"/>
    <w:rsid w:val="00863C78"/>
    <w:rsid w:val="00863D6A"/>
    <w:rsid w:val="00864264"/>
    <w:rsid w:val="008643B4"/>
    <w:rsid w:val="008644D6"/>
    <w:rsid w:val="00864509"/>
    <w:rsid w:val="00864821"/>
    <w:rsid w:val="00864A52"/>
    <w:rsid w:val="00864AAA"/>
    <w:rsid w:val="00864D40"/>
    <w:rsid w:val="00864D44"/>
    <w:rsid w:val="00865684"/>
    <w:rsid w:val="00865B8D"/>
    <w:rsid w:val="00866282"/>
    <w:rsid w:val="00866797"/>
    <w:rsid w:val="00866C9B"/>
    <w:rsid w:val="00867CFB"/>
    <w:rsid w:val="0087037E"/>
    <w:rsid w:val="008716B4"/>
    <w:rsid w:val="00872172"/>
    <w:rsid w:val="00872A53"/>
    <w:rsid w:val="008730AB"/>
    <w:rsid w:val="008730AF"/>
    <w:rsid w:val="00873405"/>
    <w:rsid w:val="008737ED"/>
    <w:rsid w:val="00873BAF"/>
    <w:rsid w:val="00873CFA"/>
    <w:rsid w:val="00874159"/>
    <w:rsid w:val="00874A51"/>
    <w:rsid w:val="00875061"/>
    <w:rsid w:val="0087519D"/>
    <w:rsid w:val="008753E5"/>
    <w:rsid w:val="0087691B"/>
    <w:rsid w:val="008769A1"/>
    <w:rsid w:val="00877944"/>
    <w:rsid w:val="00877C97"/>
    <w:rsid w:val="00880179"/>
    <w:rsid w:val="00880207"/>
    <w:rsid w:val="00880989"/>
    <w:rsid w:val="0088100B"/>
    <w:rsid w:val="0088177E"/>
    <w:rsid w:val="0088195C"/>
    <w:rsid w:val="00881FCF"/>
    <w:rsid w:val="0088282D"/>
    <w:rsid w:val="00882B35"/>
    <w:rsid w:val="00882BC4"/>
    <w:rsid w:val="0088331B"/>
    <w:rsid w:val="00883E8D"/>
    <w:rsid w:val="00884504"/>
    <w:rsid w:val="0088455C"/>
    <w:rsid w:val="00884A93"/>
    <w:rsid w:val="00885110"/>
    <w:rsid w:val="00885260"/>
    <w:rsid w:val="008856AB"/>
    <w:rsid w:val="008859B5"/>
    <w:rsid w:val="00885CEE"/>
    <w:rsid w:val="00885EBE"/>
    <w:rsid w:val="00886023"/>
    <w:rsid w:val="00886622"/>
    <w:rsid w:val="0088664A"/>
    <w:rsid w:val="00887316"/>
    <w:rsid w:val="008873F7"/>
    <w:rsid w:val="00887995"/>
    <w:rsid w:val="008900A2"/>
    <w:rsid w:val="00890B96"/>
    <w:rsid w:val="0089126B"/>
    <w:rsid w:val="008912C7"/>
    <w:rsid w:val="008916FE"/>
    <w:rsid w:val="00891BF6"/>
    <w:rsid w:val="00891FD3"/>
    <w:rsid w:val="00892060"/>
    <w:rsid w:val="00892AFE"/>
    <w:rsid w:val="0089329F"/>
    <w:rsid w:val="008933E8"/>
    <w:rsid w:val="00893573"/>
    <w:rsid w:val="008937E4"/>
    <w:rsid w:val="00893E5F"/>
    <w:rsid w:val="00894B15"/>
    <w:rsid w:val="00894B59"/>
    <w:rsid w:val="00894DC7"/>
    <w:rsid w:val="00895099"/>
    <w:rsid w:val="00895542"/>
    <w:rsid w:val="008958D6"/>
    <w:rsid w:val="0089669A"/>
    <w:rsid w:val="0089670A"/>
    <w:rsid w:val="0089680F"/>
    <w:rsid w:val="00896980"/>
    <w:rsid w:val="00897D13"/>
    <w:rsid w:val="008A045B"/>
    <w:rsid w:val="008A07A5"/>
    <w:rsid w:val="008A23DC"/>
    <w:rsid w:val="008A2ADE"/>
    <w:rsid w:val="008A399F"/>
    <w:rsid w:val="008A476E"/>
    <w:rsid w:val="008A488A"/>
    <w:rsid w:val="008A4D93"/>
    <w:rsid w:val="008A5092"/>
    <w:rsid w:val="008A517B"/>
    <w:rsid w:val="008A52E3"/>
    <w:rsid w:val="008A53B7"/>
    <w:rsid w:val="008A5736"/>
    <w:rsid w:val="008A5777"/>
    <w:rsid w:val="008A6106"/>
    <w:rsid w:val="008A6794"/>
    <w:rsid w:val="008A692B"/>
    <w:rsid w:val="008A6A9F"/>
    <w:rsid w:val="008A6BF9"/>
    <w:rsid w:val="008A760E"/>
    <w:rsid w:val="008A77D7"/>
    <w:rsid w:val="008A7F4A"/>
    <w:rsid w:val="008B02C4"/>
    <w:rsid w:val="008B0757"/>
    <w:rsid w:val="008B0856"/>
    <w:rsid w:val="008B0AF3"/>
    <w:rsid w:val="008B0C71"/>
    <w:rsid w:val="008B0D62"/>
    <w:rsid w:val="008B1980"/>
    <w:rsid w:val="008B1C1C"/>
    <w:rsid w:val="008B1F92"/>
    <w:rsid w:val="008B2785"/>
    <w:rsid w:val="008B2C7C"/>
    <w:rsid w:val="008B30B7"/>
    <w:rsid w:val="008B4094"/>
    <w:rsid w:val="008B40E0"/>
    <w:rsid w:val="008B4504"/>
    <w:rsid w:val="008B49E1"/>
    <w:rsid w:val="008B4F5B"/>
    <w:rsid w:val="008B5142"/>
    <w:rsid w:val="008B516F"/>
    <w:rsid w:val="008B51AE"/>
    <w:rsid w:val="008B67D3"/>
    <w:rsid w:val="008B70C0"/>
    <w:rsid w:val="008B79F7"/>
    <w:rsid w:val="008B7C2D"/>
    <w:rsid w:val="008B7C83"/>
    <w:rsid w:val="008C046F"/>
    <w:rsid w:val="008C0B7E"/>
    <w:rsid w:val="008C1FC6"/>
    <w:rsid w:val="008C22D1"/>
    <w:rsid w:val="008C2590"/>
    <w:rsid w:val="008C27F6"/>
    <w:rsid w:val="008C29E7"/>
    <w:rsid w:val="008C2FFC"/>
    <w:rsid w:val="008C33C6"/>
    <w:rsid w:val="008C35F6"/>
    <w:rsid w:val="008C3DBE"/>
    <w:rsid w:val="008C40AB"/>
    <w:rsid w:val="008C40F2"/>
    <w:rsid w:val="008C4854"/>
    <w:rsid w:val="008C4DC6"/>
    <w:rsid w:val="008C557E"/>
    <w:rsid w:val="008C558B"/>
    <w:rsid w:val="008C5634"/>
    <w:rsid w:val="008C5794"/>
    <w:rsid w:val="008C5930"/>
    <w:rsid w:val="008C599D"/>
    <w:rsid w:val="008C6433"/>
    <w:rsid w:val="008C6470"/>
    <w:rsid w:val="008C64AA"/>
    <w:rsid w:val="008C6514"/>
    <w:rsid w:val="008C6BAD"/>
    <w:rsid w:val="008C6C85"/>
    <w:rsid w:val="008C6CE2"/>
    <w:rsid w:val="008C7113"/>
    <w:rsid w:val="008C7261"/>
    <w:rsid w:val="008C7D94"/>
    <w:rsid w:val="008C7EA4"/>
    <w:rsid w:val="008D0193"/>
    <w:rsid w:val="008D0FE7"/>
    <w:rsid w:val="008D1184"/>
    <w:rsid w:val="008D1AF0"/>
    <w:rsid w:val="008D1E7C"/>
    <w:rsid w:val="008D24F2"/>
    <w:rsid w:val="008D3110"/>
    <w:rsid w:val="008D3286"/>
    <w:rsid w:val="008D3811"/>
    <w:rsid w:val="008D4584"/>
    <w:rsid w:val="008D45F8"/>
    <w:rsid w:val="008D494E"/>
    <w:rsid w:val="008D5134"/>
    <w:rsid w:val="008D62AC"/>
    <w:rsid w:val="008D6448"/>
    <w:rsid w:val="008D6512"/>
    <w:rsid w:val="008D6B9F"/>
    <w:rsid w:val="008D6E74"/>
    <w:rsid w:val="008D787A"/>
    <w:rsid w:val="008D7C4E"/>
    <w:rsid w:val="008D7F78"/>
    <w:rsid w:val="008E007A"/>
    <w:rsid w:val="008E0972"/>
    <w:rsid w:val="008E09E7"/>
    <w:rsid w:val="008E12A7"/>
    <w:rsid w:val="008E175A"/>
    <w:rsid w:val="008E17CF"/>
    <w:rsid w:val="008E3D3C"/>
    <w:rsid w:val="008E3EAD"/>
    <w:rsid w:val="008E45FC"/>
    <w:rsid w:val="008E469C"/>
    <w:rsid w:val="008E5100"/>
    <w:rsid w:val="008E587E"/>
    <w:rsid w:val="008E58B3"/>
    <w:rsid w:val="008E5954"/>
    <w:rsid w:val="008E66B6"/>
    <w:rsid w:val="008E6759"/>
    <w:rsid w:val="008E6C37"/>
    <w:rsid w:val="008E764E"/>
    <w:rsid w:val="008E7D9B"/>
    <w:rsid w:val="008F0172"/>
    <w:rsid w:val="008F024E"/>
    <w:rsid w:val="008F02EE"/>
    <w:rsid w:val="008F117A"/>
    <w:rsid w:val="008F1457"/>
    <w:rsid w:val="008F290B"/>
    <w:rsid w:val="008F357E"/>
    <w:rsid w:val="008F4278"/>
    <w:rsid w:val="008F451C"/>
    <w:rsid w:val="008F459D"/>
    <w:rsid w:val="008F464C"/>
    <w:rsid w:val="008F4D07"/>
    <w:rsid w:val="008F4DDC"/>
    <w:rsid w:val="008F4E7E"/>
    <w:rsid w:val="008F5A70"/>
    <w:rsid w:val="008F5B29"/>
    <w:rsid w:val="008F67AF"/>
    <w:rsid w:val="008F6ADC"/>
    <w:rsid w:val="008F70C6"/>
    <w:rsid w:val="008F720C"/>
    <w:rsid w:val="008F72C4"/>
    <w:rsid w:val="008F7646"/>
    <w:rsid w:val="008F7B00"/>
    <w:rsid w:val="008F7EC6"/>
    <w:rsid w:val="0090015D"/>
    <w:rsid w:val="00900AC7"/>
    <w:rsid w:val="00901CA2"/>
    <w:rsid w:val="0090320D"/>
    <w:rsid w:val="00903340"/>
    <w:rsid w:val="00903569"/>
    <w:rsid w:val="00903844"/>
    <w:rsid w:val="00904529"/>
    <w:rsid w:val="00904812"/>
    <w:rsid w:val="00904A3F"/>
    <w:rsid w:val="00904CAA"/>
    <w:rsid w:val="00904D0B"/>
    <w:rsid w:val="00904F56"/>
    <w:rsid w:val="009055F8"/>
    <w:rsid w:val="00905654"/>
    <w:rsid w:val="00905A04"/>
    <w:rsid w:val="00906206"/>
    <w:rsid w:val="009065D9"/>
    <w:rsid w:val="00907CE9"/>
    <w:rsid w:val="00907D4C"/>
    <w:rsid w:val="009100B5"/>
    <w:rsid w:val="00910224"/>
    <w:rsid w:val="00910FF1"/>
    <w:rsid w:val="00911566"/>
    <w:rsid w:val="009122C1"/>
    <w:rsid w:val="0091244F"/>
    <w:rsid w:val="009125D7"/>
    <w:rsid w:val="00912847"/>
    <w:rsid w:val="00912CEF"/>
    <w:rsid w:val="00912FBE"/>
    <w:rsid w:val="009139E5"/>
    <w:rsid w:val="00914366"/>
    <w:rsid w:val="00914410"/>
    <w:rsid w:val="00914715"/>
    <w:rsid w:val="00914BD8"/>
    <w:rsid w:val="00915386"/>
    <w:rsid w:val="00915A96"/>
    <w:rsid w:val="00915DAD"/>
    <w:rsid w:val="00915FE7"/>
    <w:rsid w:val="00916138"/>
    <w:rsid w:val="00916492"/>
    <w:rsid w:val="009165C8"/>
    <w:rsid w:val="009168D0"/>
    <w:rsid w:val="00916EE2"/>
    <w:rsid w:val="00916FFD"/>
    <w:rsid w:val="00920160"/>
    <w:rsid w:val="009206F5"/>
    <w:rsid w:val="009207D5"/>
    <w:rsid w:val="00920D8C"/>
    <w:rsid w:val="00920E3F"/>
    <w:rsid w:val="00921389"/>
    <w:rsid w:val="00921A5E"/>
    <w:rsid w:val="00921E5C"/>
    <w:rsid w:val="00922170"/>
    <w:rsid w:val="009222C7"/>
    <w:rsid w:val="00922359"/>
    <w:rsid w:val="009223DF"/>
    <w:rsid w:val="00922464"/>
    <w:rsid w:val="0092314F"/>
    <w:rsid w:val="009234C1"/>
    <w:rsid w:val="00923EC3"/>
    <w:rsid w:val="009245CE"/>
    <w:rsid w:val="009249A4"/>
    <w:rsid w:val="00924B68"/>
    <w:rsid w:val="00924C85"/>
    <w:rsid w:val="00924D0C"/>
    <w:rsid w:val="00924FDC"/>
    <w:rsid w:val="009251F6"/>
    <w:rsid w:val="009260E2"/>
    <w:rsid w:val="009264ED"/>
    <w:rsid w:val="00926769"/>
    <w:rsid w:val="009267CB"/>
    <w:rsid w:val="009269A5"/>
    <w:rsid w:val="00926F3E"/>
    <w:rsid w:val="00926FDA"/>
    <w:rsid w:val="0092737C"/>
    <w:rsid w:val="009275DC"/>
    <w:rsid w:val="00927627"/>
    <w:rsid w:val="00927958"/>
    <w:rsid w:val="009279E8"/>
    <w:rsid w:val="00927A4F"/>
    <w:rsid w:val="0093091C"/>
    <w:rsid w:val="00930C02"/>
    <w:rsid w:val="009313C2"/>
    <w:rsid w:val="009316BD"/>
    <w:rsid w:val="00931C70"/>
    <w:rsid w:val="00931FE8"/>
    <w:rsid w:val="009327A0"/>
    <w:rsid w:val="0093317C"/>
    <w:rsid w:val="00933359"/>
    <w:rsid w:val="00933E46"/>
    <w:rsid w:val="00934295"/>
    <w:rsid w:val="0093480F"/>
    <w:rsid w:val="009348AF"/>
    <w:rsid w:val="00934A6B"/>
    <w:rsid w:val="00934BAC"/>
    <w:rsid w:val="00934BEF"/>
    <w:rsid w:val="00934C2C"/>
    <w:rsid w:val="00934D18"/>
    <w:rsid w:val="00934FF7"/>
    <w:rsid w:val="00935193"/>
    <w:rsid w:val="00935A1C"/>
    <w:rsid w:val="00935BAC"/>
    <w:rsid w:val="00936096"/>
    <w:rsid w:val="009361CA"/>
    <w:rsid w:val="00936821"/>
    <w:rsid w:val="00936BAC"/>
    <w:rsid w:val="009371D5"/>
    <w:rsid w:val="009371E2"/>
    <w:rsid w:val="00937AA6"/>
    <w:rsid w:val="00937B29"/>
    <w:rsid w:val="00937BB3"/>
    <w:rsid w:val="00940A7F"/>
    <w:rsid w:val="00940C01"/>
    <w:rsid w:val="00940DC2"/>
    <w:rsid w:val="00940E2B"/>
    <w:rsid w:val="009410FB"/>
    <w:rsid w:val="009417D4"/>
    <w:rsid w:val="00941894"/>
    <w:rsid w:val="00941B33"/>
    <w:rsid w:val="00941C16"/>
    <w:rsid w:val="00941EC4"/>
    <w:rsid w:val="00941F70"/>
    <w:rsid w:val="00942671"/>
    <w:rsid w:val="009429C8"/>
    <w:rsid w:val="00942BC5"/>
    <w:rsid w:val="00943DED"/>
    <w:rsid w:val="0094436C"/>
    <w:rsid w:val="00944930"/>
    <w:rsid w:val="009459D3"/>
    <w:rsid w:val="009460BD"/>
    <w:rsid w:val="00946FF6"/>
    <w:rsid w:val="009474F8"/>
    <w:rsid w:val="0094783C"/>
    <w:rsid w:val="0094788E"/>
    <w:rsid w:val="00947ABE"/>
    <w:rsid w:val="00950F27"/>
    <w:rsid w:val="00951630"/>
    <w:rsid w:val="009517CF"/>
    <w:rsid w:val="009519DF"/>
    <w:rsid w:val="00951D0A"/>
    <w:rsid w:val="009522BE"/>
    <w:rsid w:val="00952AB7"/>
    <w:rsid w:val="0095303D"/>
    <w:rsid w:val="00953C62"/>
    <w:rsid w:val="00953DB7"/>
    <w:rsid w:val="00953DF5"/>
    <w:rsid w:val="009540B3"/>
    <w:rsid w:val="00954B9B"/>
    <w:rsid w:val="00954E04"/>
    <w:rsid w:val="009555FA"/>
    <w:rsid w:val="009559B6"/>
    <w:rsid w:val="00955C40"/>
    <w:rsid w:val="00955CEE"/>
    <w:rsid w:val="009567AB"/>
    <w:rsid w:val="00956851"/>
    <w:rsid w:val="00956B88"/>
    <w:rsid w:val="0095750A"/>
    <w:rsid w:val="00957598"/>
    <w:rsid w:val="00957846"/>
    <w:rsid w:val="009579B8"/>
    <w:rsid w:val="00960130"/>
    <w:rsid w:val="00960392"/>
    <w:rsid w:val="009608B5"/>
    <w:rsid w:val="00960B0F"/>
    <w:rsid w:val="00960DFD"/>
    <w:rsid w:val="0096194E"/>
    <w:rsid w:val="00961AAB"/>
    <w:rsid w:val="009626EB"/>
    <w:rsid w:val="00962E6F"/>
    <w:rsid w:val="009636B6"/>
    <w:rsid w:val="00964F43"/>
    <w:rsid w:val="0096506C"/>
    <w:rsid w:val="0096520F"/>
    <w:rsid w:val="009653AE"/>
    <w:rsid w:val="009655EE"/>
    <w:rsid w:val="00965842"/>
    <w:rsid w:val="00965897"/>
    <w:rsid w:val="00965B31"/>
    <w:rsid w:val="00965D45"/>
    <w:rsid w:val="00966522"/>
    <w:rsid w:val="00966878"/>
    <w:rsid w:val="00966BF1"/>
    <w:rsid w:val="0096719E"/>
    <w:rsid w:val="0096742B"/>
    <w:rsid w:val="00967852"/>
    <w:rsid w:val="00967947"/>
    <w:rsid w:val="00967E9B"/>
    <w:rsid w:val="00970739"/>
    <w:rsid w:val="00970AD1"/>
    <w:rsid w:val="00970BCD"/>
    <w:rsid w:val="00970EAB"/>
    <w:rsid w:val="00970FE7"/>
    <w:rsid w:val="009713E2"/>
    <w:rsid w:val="009717EA"/>
    <w:rsid w:val="00971D48"/>
    <w:rsid w:val="00971D62"/>
    <w:rsid w:val="00972256"/>
    <w:rsid w:val="00972325"/>
    <w:rsid w:val="00972555"/>
    <w:rsid w:val="009725C0"/>
    <w:rsid w:val="00972A1A"/>
    <w:rsid w:val="00972C3F"/>
    <w:rsid w:val="0097305F"/>
    <w:rsid w:val="00973772"/>
    <w:rsid w:val="00973B35"/>
    <w:rsid w:val="00973D4A"/>
    <w:rsid w:val="00973E14"/>
    <w:rsid w:val="009742CB"/>
    <w:rsid w:val="009745EA"/>
    <w:rsid w:val="00974EE8"/>
    <w:rsid w:val="00975462"/>
    <w:rsid w:val="009755ED"/>
    <w:rsid w:val="00975697"/>
    <w:rsid w:val="0097582E"/>
    <w:rsid w:val="0097593E"/>
    <w:rsid w:val="00975B84"/>
    <w:rsid w:val="00976E3C"/>
    <w:rsid w:val="00977566"/>
    <w:rsid w:val="00977C24"/>
    <w:rsid w:val="00980190"/>
    <w:rsid w:val="0098032A"/>
    <w:rsid w:val="00980947"/>
    <w:rsid w:val="00980D0D"/>
    <w:rsid w:val="0098110F"/>
    <w:rsid w:val="00981558"/>
    <w:rsid w:val="009818D1"/>
    <w:rsid w:val="009819E5"/>
    <w:rsid w:val="00981FEA"/>
    <w:rsid w:val="0098236C"/>
    <w:rsid w:val="009827FD"/>
    <w:rsid w:val="0098344A"/>
    <w:rsid w:val="009836F6"/>
    <w:rsid w:val="00984267"/>
    <w:rsid w:val="009846C0"/>
    <w:rsid w:val="00984732"/>
    <w:rsid w:val="00984B6D"/>
    <w:rsid w:val="00984C82"/>
    <w:rsid w:val="00984D04"/>
    <w:rsid w:val="00984D63"/>
    <w:rsid w:val="00984DD2"/>
    <w:rsid w:val="00984EF9"/>
    <w:rsid w:val="00984F92"/>
    <w:rsid w:val="009852C8"/>
    <w:rsid w:val="00985477"/>
    <w:rsid w:val="009859A6"/>
    <w:rsid w:val="00986019"/>
    <w:rsid w:val="00986D59"/>
    <w:rsid w:val="00986ED7"/>
    <w:rsid w:val="00987297"/>
    <w:rsid w:val="00987727"/>
    <w:rsid w:val="009877A0"/>
    <w:rsid w:val="00990C74"/>
    <w:rsid w:val="00991145"/>
    <w:rsid w:val="00991A9E"/>
    <w:rsid w:val="009926AC"/>
    <w:rsid w:val="009926D4"/>
    <w:rsid w:val="00992B60"/>
    <w:rsid w:val="00992DD1"/>
    <w:rsid w:val="00992F9D"/>
    <w:rsid w:val="00993695"/>
    <w:rsid w:val="00994361"/>
    <w:rsid w:val="009948A8"/>
    <w:rsid w:val="00994CC6"/>
    <w:rsid w:val="00994D31"/>
    <w:rsid w:val="009950CF"/>
    <w:rsid w:val="009952C8"/>
    <w:rsid w:val="00995405"/>
    <w:rsid w:val="00995C5D"/>
    <w:rsid w:val="00995F51"/>
    <w:rsid w:val="00996904"/>
    <w:rsid w:val="0099744B"/>
    <w:rsid w:val="009975B9"/>
    <w:rsid w:val="00997A30"/>
    <w:rsid w:val="00997A52"/>
    <w:rsid w:val="00997A53"/>
    <w:rsid w:val="00997D1D"/>
    <w:rsid w:val="00997D3F"/>
    <w:rsid w:val="009A095B"/>
    <w:rsid w:val="009A0A15"/>
    <w:rsid w:val="009A0CFD"/>
    <w:rsid w:val="009A1E66"/>
    <w:rsid w:val="009A24A2"/>
    <w:rsid w:val="009A24BE"/>
    <w:rsid w:val="009A272A"/>
    <w:rsid w:val="009A2742"/>
    <w:rsid w:val="009A2907"/>
    <w:rsid w:val="009A2B2F"/>
    <w:rsid w:val="009A2E9A"/>
    <w:rsid w:val="009A3332"/>
    <w:rsid w:val="009A34FC"/>
    <w:rsid w:val="009A3B95"/>
    <w:rsid w:val="009A421B"/>
    <w:rsid w:val="009A44CC"/>
    <w:rsid w:val="009A4BF6"/>
    <w:rsid w:val="009A521E"/>
    <w:rsid w:val="009A59EF"/>
    <w:rsid w:val="009A61B3"/>
    <w:rsid w:val="009A6A01"/>
    <w:rsid w:val="009A6B53"/>
    <w:rsid w:val="009A7131"/>
    <w:rsid w:val="009A73E7"/>
    <w:rsid w:val="009A7680"/>
    <w:rsid w:val="009A7A79"/>
    <w:rsid w:val="009A7B4D"/>
    <w:rsid w:val="009A7C43"/>
    <w:rsid w:val="009A7C89"/>
    <w:rsid w:val="009A7D76"/>
    <w:rsid w:val="009B01A7"/>
    <w:rsid w:val="009B0F73"/>
    <w:rsid w:val="009B1176"/>
    <w:rsid w:val="009B1292"/>
    <w:rsid w:val="009B13F5"/>
    <w:rsid w:val="009B1CFD"/>
    <w:rsid w:val="009B2441"/>
    <w:rsid w:val="009B2512"/>
    <w:rsid w:val="009B2D21"/>
    <w:rsid w:val="009B2D8E"/>
    <w:rsid w:val="009B3071"/>
    <w:rsid w:val="009B31B3"/>
    <w:rsid w:val="009B321D"/>
    <w:rsid w:val="009B3985"/>
    <w:rsid w:val="009B4510"/>
    <w:rsid w:val="009B46C0"/>
    <w:rsid w:val="009B4B5B"/>
    <w:rsid w:val="009B4F74"/>
    <w:rsid w:val="009B50AA"/>
    <w:rsid w:val="009B5BE2"/>
    <w:rsid w:val="009B5F90"/>
    <w:rsid w:val="009B6161"/>
    <w:rsid w:val="009B6439"/>
    <w:rsid w:val="009B6632"/>
    <w:rsid w:val="009B6986"/>
    <w:rsid w:val="009B7009"/>
    <w:rsid w:val="009B7369"/>
    <w:rsid w:val="009B7663"/>
    <w:rsid w:val="009B77B3"/>
    <w:rsid w:val="009C03D7"/>
    <w:rsid w:val="009C0C35"/>
    <w:rsid w:val="009C135E"/>
    <w:rsid w:val="009C16C6"/>
    <w:rsid w:val="009C196D"/>
    <w:rsid w:val="009C199F"/>
    <w:rsid w:val="009C1DC6"/>
    <w:rsid w:val="009C25D2"/>
    <w:rsid w:val="009C2712"/>
    <w:rsid w:val="009C34C3"/>
    <w:rsid w:val="009C366A"/>
    <w:rsid w:val="009C3CBA"/>
    <w:rsid w:val="009C4350"/>
    <w:rsid w:val="009C436B"/>
    <w:rsid w:val="009C4799"/>
    <w:rsid w:val="009C497B"/>
    <w:rsid w:val="009C4F41"/>
    <w:rsid w:val="009C52FF"/>
    <w:rsid w:val="009C5E60"/>
    <w:rsid w:val="009C5EEC"/>
    <w:rsid w:val="009C6365"/>
    <w:rsid w:val="009C6857"/>
    <w:rsid w:val="009C6C1B"/>
    <w:rsid w:val="009C6C2F"/>
    <w:rsid w:val="009C72CF"/>
    <w:rsid w:val="009C7C45"/>
    <w:rsid w:val="009D0049"/>
    <w:rsid w:val="009D0832"/>
    <w:rsid w:val="009D0D7C"/>
    <w:rsid w:val="009D0D80"/>
    <w:rsid w:val="009D0DED"/>
    <w:rsid w:val="009D15CD"/>
    <w:rsid w:val="009D1688"/>
    <w:rsid w:val="009D1ABD"/>
    <w:rsid w:val="009D1F92"/>
    <w:rsid w:val="009D25F5"/>
    <w:rsid w:val="009D2786"/>
    <w:rsid w:val="009D300E"/>
    <w:rsid w:val="009D4141"/>
    <w:rsid w:val="009D4AD4"/>
    <w:rsid w:val="009D4DF6"/>
    <w:rsid w:val="009D520D"/>
    <w:rsid w:val="009D5706"/>
    <w:rsid w:val="009D5784"/>
    <w:rsid w:val="009D57F8"/>
    <w:rsid w:val="009D5A7A"/>
    <w:rsid w:val="009D5E5B"/>
    <w:rsid w:val="009D61E1"/>
    <w:rsid w:val="009D68D9"/>
    <w:rsid w:val="009D696A"/>
    <w:rsid w:val="009D6DCE"/>
    <w:rsid w:val="009D76D4"/>
    <w:rsid w:val="009D7868"/>
    <w:rsid w:val="009D7BBD"/>
    <w:rsid w:val="009E09A0"/>
    <w:rsid w:val="009E0DF6"/>
    <w:rsid w:val="009E1572"/>
    <w:rsid w:val="009E1A7C"/>
    <w:rsid w:val="009E260F"/>
    <w:rsid w:val="009E31CF"/>
    <w:rsid w:val="009E3907"/>
    <w:rsid w:val="009E3D61"/>
    <w:rsid w:val="009E3FD5"/>
    <w:rsid w:val="009E4AAB"/>
    <w:rsid w:val="009E5448"/>
    <w:rsid w:val="009E60D3"/>
    <w:rsid w:val="009E618E"/>
    <w:rsid w:val="009E6A61"/>
    <w:rsid w:val="009E6CCF"/>
    <w:rsid w:val="009E6D0A"/>
    <w:rsid w:val="009E6DCB"/>
    <w:rsid w:val="009E6E2D"/>
    <w:rsid w:val="009E7747"/>
    <w:rsid w:val="009E7822"/>
    <w:rsid w:val="009F0304"/>
    <w:rsid w:val="009F0A92"/>
    <w:rsid w:val="009F0D67"/>
    <w:rsid w:val="009F0EA6"/>
    <w:rsid w:val="009F15BA"/>
    <w:rsid w:val="009F205D"/>
    <w:rsid w:val="009F276B"/>
    <w:rsid w:val="009F331E"/>
    <w:rsid w:val="009F3337"/>
    <w:rsid w:val="009F3339"/>
    <w:rsid w:val="009F36CB"/>
    <w:rsid w:val="009F4651"/>
    <w:rsid w:val="009F49F1"/>
    <w:rsid w:val="009F4F82"/>
    <w:rsid w:val="009F5100"/>
    <w:rsid w:val="009F5608"/>
    <w:rsid w:val="009F5A44"/>
    <w:rsid w:val="009F5D60"/>
    <w:rsid w:val="009F6087"/>
    <w:rsid w:val="009F6227"/>
    <w:rsid w:val="009F6E60"/>
    <w:rsid w:val="009F7185"/>
    <w:rsid w:val="009F7E01"/>
    <w:rsid w:val="009F7EFA"/>
    <w:rsid w:val="00A004AF"/>
    <w:rsid w:val="00A00624"/>
    <w:rsid w:val="00A0081A"/>
    <w:rsid w:val="00A0093B"/>
    <w:rsid w:val="00A00C75"/>
    <w:rsid w:val="00A01484"/>
    <w:rsid w:val="00A01ACC"/>
    <w:rsid w:val="00A01CF0"/>
    <w:rsid w:val="00A0273C"/>
    <w:rsid w:val="00A028A4"/>
    <w:rsid w:val="00A02E4B"/>
    <w:rsid w:val="00A03156"/>
    <w:rsid w:val="00A03863"/>
    <w:rsid w:val="00A03ACD"/>
    <w:rsid w:val="00A03C6F"/>
    <w:rsid w:val="00A04336"/>
    <w:rsid w:val="00A047DB"/>
    <w:rsid w:val="00A04938"/>
    <w:rsid w:val="00A04A61"/>
    <w:rsid w:val="00A04D90"/>
    <w:rsid w:val="00A0508D"/>
    <w:rsid w:val="00A0512D"/>
    <w:rsid w:val="00A051C1"/>
    <w:rsid w:val="00A0566B"/>
    <w:rsid w:val="00A057E6"/>
    <w:rsid w:val="00A05A56"/>
    <w:rsid w:val="00A06224"/>
    <w:rsid w:val="00A062E6"/>
    <w:rsid w:val="00A0699B"/>
    <w:rsid w:val="00A06E7E"/>
    <w:rsid w:val="00A070C8"/>
    <w:rsid w:val="00A075B6"/>
    <w:rsid w:val="00A07AB1"/>
    <w:rsid w:val="00A07DB9"/>
    <w:rsid w:val="00A07E17"/>
    <w:rsid w:val="00A07E58"/>
    <w:rsid w:val="00A107C0"/>
    <w:rsid w:val="00A10B38"/>
    <w:rsid w:val="00A10CC7"/>
    <w:rsid w:val="00A11837"/>
    <w:rsid w:val="00A11994"/>
    <w:rsid w:val="00A11F50"/>
    <w:rsid w:val="00A13858"/>
    <w:rsid w:val="00A13A6B"/>
    <w:rsid w:val="00A13F26"/>
    <w:rsid w:val="00A142BD"/>
    <w:rsid w:val="00A14421"/>
    <w:rsid w:val="00A14A5C"/>
    <w:rsid w:val="00A14C9F"/>
    <w:rsid w:val="00A150BF"/>
    <w:rsid w:val="00A15262"/>
    <w:rsid w:val="00A1550D"/>
    <w:rsid w:val="00A15FE9"/>
    <w:rsid w:val="00A16057"/>
    <w:rsid w:val="00A16223"/>
    <w:rsid w:val="00A16280"/>
    <w:rsid w:val="00A1746E"/>
    <w:rsid w:val="00A17A0A"/>
    <w:rsid w:val="00A200C1"/>
    <w:rsid w:val="00A20510"/>
    <w:rsid w:val="00A20972"/>
    <w:rsid w:val="00A20E13"/>
    <w:rsid w:val="00A213FD"/>
    <w:rsid w:val="00A21778"/>
    <w:rsid w:val="00A22730"/>
    <w:rsid w:val="00A22754"/>
    <w:rsid w:val="00A22A10"/>
    <w:rsid w:val="00A23172"/>
    <w:rsid w:val="00A23335"/>
    <w:rsid w:val="00A24350"/>
    <w:rsid w:val="00A249DB"/>
    <w:rsid w:val="00A249F6"/>
    <w:rsid w:val="00A24D10"/>
    <w:rsid w:val="00A24D36"/>
    <w:rsid w:val="00A25430"/>
    <w:rsid w:val="00A25E41"/>
    <w:rsid w:val="00A26351"/>
    <w:rsid w:val="00A266F0"/>
    <w:rsid w:val="00A26DF3"/>
    <w:rsid w:val="00A27548"/>
    <w:rsid w:val="00A27574"/>
    <w:rsid w:val="00A27D5D"/>
    <w:rsid w:val="00A27F6E"/>
    <w:rsid w:val="00A30A69"/>
    <w:rsid w:val="00A31491"/>
    <w:rsid w:val="00A3151F"/>
    <w:rsid w:val="00A31FFA"/>
    <w:rsid w:val="00A3225A"/>
    <w:rsid w:val="00A3239B"/>
    <w:rsid w:val="00A32AD4"/>
    <w:rsid w:val="00A32B68"/>
    <w:rsid w:val="00A32D29"/>
    <w:rsid w:val="00A335D1"/>
    <w:rsid w:val="00A34FC5"/>
    <w:rsid w:val="00A35ABE"/>
    <w:rsid w:val="00A3601B"/>
    <w:rsid w:val="00A36520"/>
    <w:rsid w:val="00A3713D"/>
    <w:rsid w:val="00A371FB"/>
    <w:rsid w:val="00A37258"/>
    <w:rsid w:val="00A37F99"/>
    <w:rsid w:val="00A40938"/>
    <w:rsid w:val="00A40D7F"/>
    <w:rsid w:val="00A40F02"/>
    <w:rsid w:val="00A41017"/>
    <w:rsid w:val="00A411CD"/>
    <w:rsid w:val="00A4182B"/>
    <w:rsid w:val="00A41C90"/>
    <w:rsid w:val="00A4256D"/>
    <w:rsid w:val="00A42A6D"/>
    <w:rsid w:val="00A430BC"/>
    <w:rsid w:val="00A43B13"/>
    <w:rsid w:val="00A447A6"/>
    <w:rsid w:val="00A44B9D"/>
    <w:rsid w:val="00A44BCC"/>
    <w:rsid w:val="00A44FBC"/>
    <w:rsid w:val="00A4513F"/>
    <w:rsid w:val="00A456B4"/>
    <w:rsid w:val="00A45DDA"/>
    <w:rsid w:val="00A4621C"/>
    <w:rsid w:val="00A4691C"/>
    <w:rsid w:val="00A47153"/>
    <w:rsid w:val="00A47447"/>
    <w:rsid w:val="00A47821"/>
    <w:rsid w:val="00A479E9"/>
    <w:rsid w:val="00A47A92"/>
    <w:rsid w:val="00A516ED"/>
    <w:rsid w:val="00A51AF8"/>
    <w:rsid w:val="00A520C5"/>
    <w:rsid w:val="00A52C8A"/>
    <w:rsid w:val="00A5309D"/>
    <w:rsid w:val="00A531D2"/>
    <w:rsid w:val="00A531EF"/>
    <w:rsid w:val="00A53319"/>
    <w:rsid w:val="00A533D7"/>
    <w:rsid w:val="00A539DE"/>
    <w:rsid w:val="00A53BD2"/>
    <w:rsid w:val="00A53F20"/>
    <w:rsid w:val="00A548D6"/>
    <w:rsid w:val="00A54C92"/>
    <w:rsid w:val="00A54CCE"/>
    <w:rsid w:val="00A550F1"/>
    <w:rsid w:val="00A559F6"/>
    <w:rsid w:val="00A55AFE"/>
    <w:rsid w:val="00A55B06"/>
    <w:rsid w:val="00A56636"/>
    <w:rsid w:val="00A56E2B"/>
    <w:rsid w:val="00A56EE1"/>
    <w:rsid w:val="00A570BC"/>
    <w:rsid w:val="00A57637"/>
    <w:rsid w:val="00A57E1B"/>
    <w:rsid w:val="00A57E86"/>
    <w:rsid w:val="00A57E93"/>
    <w:rsid w:val="00A60173"/>
    <w:rsid w:val="00A607F4"/>
    <w:rsid w:val="00A60839"/>
    <w:rsid w:val="00A60B1A"/>
    <w:rsid w:val="00A60FCE"/>
    <w:rsid w:val="00A615B1"/>
    <w:rsid w:val="00A61AC5"/>
    <w:rsid w:val="00A62151"/>
    <w:rsid w:val="00A624C2"/>
    <w:rsid w:val="00A628A3"/>
    <w:rsid w:val="00A62A7F"/>
    <w:rsid w:val="00A62D74"/>
    <w:rsid w:val="00A63481"/>
    <w:rsid w:val="00A6391B"/>
    <w:rsid w:val="00A63A7C"/>
    <w:rsid w:val="00A6434A"/>
    <w:rsid w:val="00A64BC0"/>
    <w:rsid w:val="00A64C9D"/>
    <w:rsid w:val="00A65304"/>
    <w:rsid w:val="00A6594C"/>
    <w:rsid w:val="00A65A8E"/>
    <w:rsid w:val="00A65AB1"/>
    <w:rsid w:val="00A65D05"/>
    <w:rsid w:val="00A66900"/>
    <w:rsid w:val="00A67410"/>
    <w:rsid w:val="00A70250"/>
    <w:rsid w:val="00A702BF"/>
    <w:rsid w:val="00A70576"/>
    <w:rsid w:val="00A70C78"/>
    <w:rsid w:val="00A70D6B"/>
    <w:rsid w:val="00A70DBC"/>
    <w:rsid w:val="00A70E0E"/>
    <w:rsid w:val="00A71027"/>
    <w:rsid w:val="00A71205"/>
    <w:rsid w:val="00A71218"/>
    <w:rsid w:val="00A71D45"/>
    <w:rsid w:val="00A71D65"/>
    <w:rsid w:val="00A71D81"/>
    <w:rsid w:val="00A72076"/>
    <w:rsid w:val="00A720CE"/>
    <w:rsid w:val="00A720D9"/>
    <w:rsid w:val="00A72147"/>
    <w:rsid w:val="00A72870"/>
    <w:rsid w:val="00A72F11"/>
    <w:rsid w:val="00A73BAB"/>
    <w:rsid w:val="00A73F2B"/>
    <w:rsid w:val="00A740B9"/>
    <w:rsid w:val="00A7413E"/>
    <w:rsid w:val="00A74295"/>
    <w:rsid w:val="00A742DD"/>
    <w:rsid w:val="00A742F2"/>
    <w:rsid w:val="00A742FE"/>
    <w:rsid w:val="00A74BA8"/>
    <w:rsid w:val="00A74BBB"/>
    <w:rsid w:val="00A74DB2"/>
    <w:rsid w:val="00A75375"/>
    <w:rsid w:val="00A75518"/>
    <w:rsid w:val="00A7597F"/>
    <w:rsid w:val="00A75A82"/>
    <w:rsid w:val="00A75B4F"/>
    <w:rsid w:val="00A75BD5"/>
    <w:rsid w:val="00A75F89"/>
    <w:rsid w:val="00A75FA2"/>
    <w:rsid w:val="00A762B5"/>
    <w:rsid w:val="00A7696B"/>
    <w:rsid w:val="00A76CB8"/>
    <w:rsid w:val="00A77062"/>
    <w:rsid w:val="00A774D9"/>
    <w:rsid w:val="00A77730"/>
    <w:rsid w:val="00A77913"/>
    <w:rsid w:val="00A77D0F"/>
    <w:rsid w:val="00A77F57"/>
    <w:rsid w:val="00A8010D"/>
    <w:rsid w:val="00A80633"/>
    <w:rsid w:val="00A80B4F"/>
    <w:rsid w:val="00A810D2"/>
    <w:rsid w:val="00A8145E"/>
    <w:rsid w:val="00A81AD6"/>
    <w:rsid w:val="00A81B44"/>
    <w:rsid w:val="00A8246D"/>
    <w:rsid w:val="00A82B31"/>
    <w:rsid w:val="00A82EB5"/>
    <w:rsid w:val="00A83000"/>
    <w:rsid w:val="00A8358A"/>
    <w:rsid w:val="00A83B2E"/>
    <w:rsid w:val="00A83D3C"/>
    <w:rsid w:val="00A84C61"/>
    <w:rsid w:val="00A8520E"/>
    <w:rsid w:val="00A85F23"/>
    <w:rsid w:val="00A869C9"/>
    <w:rsid w:val="00A86E9F"/>
    <w:rsid w:val="00A86FA0"/>
    <w:rsid w:val="00A870CF"/>
    <w:rsid w:val="00A87313"/>
    <w:rsid w:val="00A87436"/>
    <w:rsid w:val="00A874F2"/>
    <w:rsid w:val="00A87AB7"/>
    <w:rsid w:val="00A900C2"/>
    <w:rsid w:val="00A90865"/>
    <w:rsid w:val="00A90C12"/>
    <w:rsid w:val="00A91281"/>
    <w:rsid w:val="00A913D4"/>
    <w:rsid w:val="00A915C3"/>
    <w:rsid w:val="00A91E5F"/>
    <w:rsid w:val="00A92034"/>
    <w:rsid w:val="00A92489"/>
    <w:rsid w:val="00A92BE5"/>
    <w:rsid w:val="00A93420"/>
    <w:rsid w:val="00A934BB"/>
    <w:rsid w:val="00A94315"/>
    <w:rsid w:val="00A94AE8"/>
    <w:rsid w:val="00A94BE1"/>
    <w:rsid w:val="00A9524B"/>
    <w:rsid w:val="00A953EA"/>
    <w:rsid w:val="00A95528"/>
    <w:rsid w:val="00A95726"/>
    <w:rsid w:val="00A957DA"/>
    <w:rsid w:val="00A9583C"/>
    <w:rsid w:val="00A95D63"/>
    <w:rsid w:val="00A95FA9"/>
    <w:rsid w:val="00A96152"/>
    <w:rsid w:val="00A963C5"/>
    <w:rsid w:val="00A96911"/>
    <w:rsid w:val="00A96F7F"/>
    <w:rsid w:val="00A96FED"/>
    <w:rsid w:val="00A971EF"/>
    <w:rsid w:val="00A97355"/>
    <w:rsid w:val="00A97807"/>
    <w:rsid w:val="00A97F2D"/>
    <w:rsid w:val="00AA0587"/>
    <w:rsid w:val="00AA0D0E"/>
    <w:rsid w:val="00AA15C8"/>
    <w:rsid w:val="00AA1694"/>
    <w:rsid w:val="00AA2548"/>
    <w:rsid w:val="00AA32AD"/>
    <w:rsid w:val="00AA4A90"/>
    <w:rsid w:val="00AA4D8D"/>
    <w:rsid w:val="00AA543F"/>
    <w:rsid w:val="00AA643E"/>
    <w:rsid w:val="00AA65A4"/>
    <w:rsid w:val="00AA660B"/>
    <w:rsid w:val="00AA6AF7"/>
    <w:rsid w:val="00AA700B"/>
    <w:rsid w:val="00AB0293"/>
    <w:rsid w:val="00AB0415"/>
    <w:rsid w:val="00AB069C"/>
    <w:rsid w:val="00AB0835"/>
    <w:rsid w:val="00AB0C73"/>
    <w:rsid w:val="00AB0CF4"/>
    <w:rsid w:val="00AB1029"/>
    <w:rsid w:val="00AB114A"/>
    <w:rsid w:val="00AB134A"/>
    <w:rsid w:val="00AB1906"/>
    <w:rsid w:val="00AB19A5"/>
    <w:rsid w:val="00AB19D6"/>
    <w:rsid w:val="00AB1A38"/>
    <w:rsid w:val="00AB1F7B"/>
    <w:rsid w:val="00AB2008"/>
    <w:rsid w:val="00AB291D"/>
    <w:rsid w:val="00AB2BAD"/>
    <w:rsid w:val="00AB3012"/>
    <w:rsid w:val="00AB3316"/>
    <w:rsid w:val="00AB3963"/>
    <w:rsid w:val="00AB3BD8"/>
    <w:rsid w:val="00AB4093"/>
    <w:rsid w:val="00AB427B"/>
    <w:rsid w:val="00AB44F8"/>
    <w:rsid w:val="00AB48D9"/>
    <w:rsid w:val="00AB4F52"/>
    <w:rsid w:val="00AB4FE8"/>
    <w:rsid w:val="00AB5472"/>
    <w:rsid w:val="00AB56ED"/>
    <w:rsid w:val="00AB588E"/>
    <w:rsid w:val="00AB5D60"/>
    <w:rsid w:val="00AB5D97"/>
    <w:rsid w:val="00AB60AB"/>
    <w:rsid w:val="00AB6179"/>
    <w:rsid w:val="00AB6260"/>
    <w:rsid w:val="00AB6A49"/>
    <w:rsid w:val="00AB73D2"/>
    <w:rsid w:val="00AC051E"/>
    <w:rsid w:val="00AC087D"/>
    <w:rsid w:val="00AC0A75"/>
    <w:rsid w:val="00AC0BB5"/>
    <w:rsid w:val="00AC0D29"/>
    <w:rsid w:val="00AC0E40"/>
    <w:rsid w:val="00AC0FAF"/>
    <w:rsid w:val="00AC11A6"/>
    <w:rsid w:val="00AC134E"/>
    <w:rsid w:val="00AC1495"/>
    <w:rsid w:val="00AC1867"/>
    <w:rsid w:val="00AC1AA9"/>
    <w:rsid w:val="00AC1D8E"/>
    <w:rsid w:val="00AC20CA"/>
    <w:rsid w:val="00AC2DEE"/>
    <w:rsid w:val="00AC3A37"/>
    <w:rsid w:val="00AC46C3"/>
    <w:rsid w:val="00AC4ABA"/>
    <w:rsid w:val="00AC5978"/>
    <w:rsid w:val="00AC5EE8"/>
    <w:rsid w:val="00AC6181"/>
    <w:rsid w:val="00AC64D4"/>
    <w:rsid w:val="00AC6EDA"/>
    <w:rsid w:val="00AD05F6"/>
    <w:rsid w:val="00AD0801"/>
    <w:rsid w:val="00AD085C"/>
    <w:rsid w:val="00AD0F26"/>
    <w:rsid w:val="00AD1054"/>
    <w:rsid w:val="00AD1C43"/>
    <w:rsid w:val="00AD23B9"/>
    <w:rsid w:val="00AD2650"/>
    <w:rsid w:val="00AD2BB3"/>
    <w:rsid w:val="00AD3249"/>
    <w:rsid w:val="00AD3609"/>
    <w:rsid w:val="00AD3AF7"/>
    <w:rsid w:val="00AD4029"/>
    <w:rsid w:val="00AD42D6"/>
    <w:rsid w:val="00AD45AE"/>
    <w:rsid w:val="00AD5400"/>
    <w:rsid w:val="00AD7063"/>
    <w:rsid w:val="00AD70EF"/>
    <w:rsid w:val="00AD715A"/>
    <w:rsid w:val="00AD7F06"/>
    <w:rsid w:val="00AD7F6C"/>
    <w:rsid w:val="00AE01D1"/>
    <w:rsid w:val="00AE0AF4"/>
    <w:rsid w:val="00AE0B64"/>
    <w:rsid w:val="00AE0CA9"/>
    <w:rsid w:val="00AE0E52"/>
    <w:rsid w:val="00AE0FE2"/>
    <w:rsid w:val="00AE10B0"/>
    <w:rsid w:val="00AE18BA"/>
    <w:rsid w:val="00AE1A37"/>
    <w:rsid w:val="00AE1AE1"/>
    <w:rsid w:val="00AE1CC9"/>
    <w:rsid w:val="00AE1EC9"/>
    <w:rsid w:val="00AE2701"/>
    <w:rsid w:val="00AE29CD"/>
    <w:rsid w:val="00AE2E93"/>
    <w:rsid w:val="00AE30BC"/>
    <w:rsid w:val="00AE3BE5"/>
    <w:rsid w:val="00AE452E"/>
    <w:rsid w:val="00AE46CE"/>
    <w:rsid w:val="00AE4B1E"/>
    <w:rsid w:val="00AE565A"/>
    <w:rsid w:val="00AE5865"/>
    <w:rsid w:val="00AE5C3D"/>
    <w:rsid w:val="00AE5CE0"/>
    <w:rsid w:val="00AE6A90"/>
    <w:rsid w:val="00AE728E"/>
    <w:rsid w:val="00AE7367"/>
    <w:rsid w:val="00AF02DB"/>
    <w:rsid w:val="00AF081B"/>
    <w:rsid w:val="00AF0BAF"/>
    <w:rsid w:val="00AF120A"/>
    <w:rsid w:val="00AF122B"/>
    <w:rsid w:val="00AF1722"/>
    <w:rsid w:val="00AF1DDF"/>
    <w:rsid w:val="00AF1E35"/>
    <w:rsid w:val="00AF23C0"/>
    <w:rsid w:val="00AF29E6"/>
    <w:rsid w:val="00AF33A9"/>
    <w:rsid w:val="00AF375F"/>
    <w:rsid w:val="00AF3B9C"/>
    <w:rsid w:val="00AF3ECD"/>
    <w:rsid w:val="00AF3F29"/>
    <w:rsid w:val="00AF49D8"/>
    <w:rsid w:val="00AF5011"/>
    <w:rsid w:val="00AF501D"/>
    <w:rsid w:val="00AF550C"/>
    <w:rsid w:val="00AF553F"/>
    <w:rsid w:val="00AF5AC0"/>
    <w:rsid w:val="00AF5C67"/>
    <w:rsid w:val="00AF6F09"/>
    <w:rsid w:val="00AF7126"/>
    <w:rsid w:val="00AF73B3"/>
    <w:rsid w:val="00AF7CBE"/>
    <w:rsid w:val="00B00042"/>
    <w:rsid w:val="00B0053F"/>
    <w:rsid w:val="00B00A72"/>
    <w:rsid w:val="00B00B61"/>
    <w:rsid w:val="00B00B87"/>
    <w:rsid w:val="00B00C2E"/>
    <w:rsid w:val="00B01712"/>
    <w:rsid w:val="00B01AB5"/>
    <w:rsid w:val="00B022DD"/>
    <w:rsid w:val="00B02349"/>
    <w:rsid w:val="00B0236B"/>
    <w:rsid w:val="00B026DD"/>
    <w:rsid w:val="00B02C04"/>
    <w:rsid w:val="00B03020"/>
    <w:rsid w:val="00B033C5"/>
    <w:rsid w:val="00B035A5"/>
    <w:rsid w:val="00B0361F"/>
    <w:rsid w:val="00B03A9E"/>
    <w:rsid w:val="00B03C7D"/>
    <w:rsid w:val="00B040D2"/>
    <w:rsid w:val="00B048F0"/>
    <w:rsid w:val="00B04C64"/>
    <w:rsid w:val="00B05502"/>
    <w:rsid w:val="00B0590A"/>
    <w:rsid w:val="00B05D6E"/>
    <w:rsid w:val="00B069CD"/>
    <w:rsid w:val="00B07646"/>
    <w:rsid w:val="00B07717"/>
    <w:rsid w:val="00B0793D"/>
    <w:rsid w:val="00B079EC"/>
    <w:rsid w:val="00B07AE9"/>
    <w:rsid w:val="00B07B8A"/>
    <w:rsid w:val="00B07C3F"/>
    <w:rsid w:val="00B1060B"/>
    <w:rsid w:val="00B10C44"/>
    <w:rsid w:val="00B1113A"/>
    <w:rsid w:val="00B11200"/>
    <w:rsid w:val="00B12137"/>
    <w:rsid w:val="00B12228"/>
    <w:rsid w:val="00B1251B"/>
    <w:rsid w:val="00B1267E"/>
    <w:rsid w:val="00B1270A"/>
    <w:rsid w:val="00B1272A"/>
    <w:rsid w:val="00B12D82"/>
    <w:rsid w:val="00B132B1"/>
    <w:rsid w:val="00B13F39"/>
    <w:rsid w:val="00B14155"/>
    <w:rsid w:val="00B1432E"/>
    <w:rsid w:val="00B14B6C"/>
    <w:rsid w:val="00B15624"/>
    <w:rsid w:val="00B15C32"/>
    <w:rsid w:val="00B16380"/>
    <w:rsid w:val="00B16598"/>
    <w:rsid w:val="00B16ABD"/>
    <w:rsid w:val="00B16AC7"/>
    <w:rsid w:val="00B16F2B"/>
    <w:rsid w:val="00B17784"/>
    <w:rsid w:val="00B20B93"/>
    <w:rsid w:val="00B21C20"/>
    <w:rsid w:val="00B21D37"/>
    <w:rsid w:val="00B227B7"/>
    <w:rsid w:val="00B22A06"/>
    <w:rsid w:val="00B2375A"/>
    <w:rsid w:val="00B23FCD"/>
    <w:rsid w:val="00B25311"/>
    <w:rsid w:val="00B25340"/>
    <w:rsid w:val="00B26625"/>
    <w:rsid w:val="00B27303"/>
    <w:rsid w:val="00B27C34"/>
    <w:rsid w:val="00B3043B"/>
    <w:rsid w:val="00B309AE"/>
    <w:rsid w:val="00B30D4B"/>
    <w:rsid w:val="00B31D27"/>
    <w:rsid w:val="00B3207E"/>
    <w:rsid w:val="00B321EA"/>
    <w:rsid w:val="00B32A9A"/>
    <w:rsid w:val="00B32B2E"/>
    <w:rsid w:val="00B3308F"/>
    <w:rsid w:val="00B335E0"/>
    <w:rsid w:val="00B33621"/>
    <w:rsid w:val="00B33B22"/>
    <w:rsid w:val="00B347A2"/>
    <w:rsid w:val="00B349E4"/>
    <w:rsid w:val="00B34F32"/>
    <w:rsid w:val="00B35C83"/>
    <w:rsid w:val="00B35FB6"/>
    <w:rsid w:val="00B36349"/>
    <w:rsid w:val="00B367BE"/>
    <w:rsid w:val="00B36869"/>
    <w:rsid w:val="00B36C5E"/>
    <w:rsid w:val="00B36CB7"/>
    <w:rsid w:val="00B371DD"/>
    <w:rsid w:val="00B372C2"/>
    <w:rsid w:val="00B3733C"/>
    <w:rsid w:val="00B3742B"/>
    <w:rsid w:val="00B37679"/>
    <w:rsid w:val="00B376BE"/>
    <w:rsid w:val="00B37719"/>
    <w:rsid w:val="00B37B00"/>
    <w:rsid w:val="00B37B99"/>
    <w:rsid w:val="00B37CD7"/>
    <w:rsid w:val="00B400FE"/>
    <w:rsid w:val="00B403DC"/>
    <w:rsid w:val="00B41186"/>
    <w:rsid w:val="00B412E3"/>
    <w:rsid w:val="00B41377"/>
    <w:rsid w:val="00B413FD"/>
    <w:rsid w:val="00B417CD"/>
    <w:rsid w:val="00B4188A"/>
    <w:rsid w:val="00B41B67"/>
    <w:rsid w:val="00B4251F"/>
    <w:rsid w:val="00B42889"/>
    <w:rsid w:val="00B42C70"/>
    <w:rsid w:val="00B42DB8"/>
    <w:rsid w:val="00B42DEC"/>
    <w:rsid w:val="00B43060"/>
    <w:rsid w:val="00B43442"/>
    <w:rsid w:val="00B43D20"/>
    <w:rsid w:val="00B441D9"/>
    <w:rsid w:val="00B44210"/>
    <w:rsid w:val="00B4469C"/>
    <w:rsid w:val="00B446F0"/>
    <w:rsid w:val="00B44F33"/>
    <w:rsid w:val="00B45A79"/>
    <w:rsid w:val="00B45B56"/>
    <w:rsid w:val="00B461EF"/>
    <w:rsid w:val="00B464E9"/>
    <w:rsid w:val="00B46539"/>
    <w:rsid w:val="00B4653B"/>
    <w:rsid w:val="00B46D09"/>
    <w:rsid w:val="00B46DA7"/>
    <w:rsid w:val="00B46E40"/>
    <w:rsid w:val="00B47120"/>
    <w:rsid w:val="00B47D50"/>
    <w:rsid w:val="00B47EC7"/>
    <w:rsid w:val="00B50037"/>
    <w:rsid w:val="00B504D4"/>
    <w:rsid w:val="00B50AE1"/>
    <w:rsid w:val="00B50B94"/>
    <w:rsid w:val="00B50D45"/>
    <w:rsid w:val="00B511CF"/>
    <w:rsid w:val="00B51BFD"/>
    <w:rsid w:val="00B51D93"/>
    <w:rsid w:val="00B5223B"/>
    <w:rsid w:val="00B52345"/>
    <w:rsid w:val="00B5235E"/>
    <w:rsid w:val="00B52A71"/>
    <w:rsid w:val="00B52C7A"/>
    <w:rsid w:val="00B53042"/>
    <w:rsid w:val="00B5314F"/>
    <w:rsid w:val="00B53642"/>
    <w:rsid w:val="00B5406D"/>
    <w:rsid w:val="00B54B5C"/>
    <w:rsid w:val="00B54BD2"/>
    <w:rsid w:val="00B55265"/>
    <w:rsid w:val="00B5541B"/>
    <w:rsid w:val="00B55745"/>
    <w:rsid w:val="00B5574C"/>
    <w:rsid w:val="00B557E2"/>
    <w:rsid w:val="00B56081"/>
    <w:rsid w:val="00B56BB0"/>
    <w:rsid w:val="00B56C65"/>
    <w:rsid w:val="00B57233"/>
    <w:rsid w:val="00B5741A"/>
    <w:rsid w:val="00B57624"/>
    <w:rsid w:val="00B57997"/>
    <w:rsid w:val="00B57ABF"/>
    <w:rsid w:val="00B57D08"/>
    <w:rsid w:val="00B57E9A"/>
    <w:rsid w:val="00B60466"/>
    <w:rsid w:val="00B61493"/>
    <w:rsid w:val="00B61C39"/>
    <w:rsid w:val="00B61CDE"/>
    <w:rsid w:val="00B61E6E"/>
    <w:rsid w:val="00B62EF2"/>
    <w:rsid w:val="00B62FCC"/>
    <w:rsid w:val="00B63084"/>
    <w:rsid w:val="00B6310F"/>
    <w:rsid w:val="00B63A77"/>
    <w:rsid w:val="00B647FD"/>
    <w:rsid w:val="00B6596C"/>
    <w:rsid w:val="00B65D2A"/>
    <w:rsid w:val="00B66B08"/>
    <w:rsid w:val="00B6785B"/>
    <w:rsid w:val="00B67FF2"/>
    <w:rsid w:val="00B70811"/>
    <w:rsid w:val="00B70A28"/>
    <w:rsid w:val="00B71647"/>
    <w:rsid w:val="00B71933"/>
    <w:rsid w:val="00B71BB3"/>
    <w:rsid w:val="00B71C1C"/>
    <w:rsid w:val="00B71C98"/>
    <w:rsid w:val="00B71CD9"/>
    <w:rsid w:val="00B736FC"/>
    <w:rsid w:val="00B738C8"/>
    <w:rsid w:val="00B73CAF"/>
    <w:rsid w:val="00B73D8D"/>
    <w:rsid w:val="00B740A8"/>
    <w:rsid w:val="00B741D5"/>
    <w:rsid w:val="00B744B6"/>
    <w:rsid w:val="00B7460A"/>
    <w:rsid w:val="00B74CA7"/>
    <w:rsid w:val="00B74DEB"/>
    <w:rsid w:val="00B760F6"/>
    <w:rsid w:val="00B76A06"/>
    <w:rsid w:val="00B777D4"/>
    <w:rsid w:val="00B80041"/>
    <w:rsid w:val="00B801DC"/>
    <w:rsid w:val="00B8045C"/>
    <w:rsid w:val="00B80A12"/>
    <w:rsid w:val="00B80D37"/>
    <w:rsid w:val="00B81290"/>
    <w:rsid w:val="00B815CB"/>
    <w:rsid w:val="00B81A96"/>
    <w:rsid w:val="00B82F02"/>
    <w:rsid w:val="00B82FE5"/>
    <w:rsid w:val="00B830F1"/>
    <w:rsid w:val="00B8336F"/>
    <w:rsid w:val="00B833E8"/>
    <w:rsid w:val="00B83692"/>
    <w:rsid w:val="00B8383A"/>
    <w:rsid w:val="00B8385E"/>
    <w:rsid w:val="00B83941"/>
    <w:rsid w:val="00B83CF4"/>
    <w:rsid w:val="00B83EB7"/>
    <w:rsid w:val="00B8445E"/>
    <w:rsid w:val="00B84C05"/>
    <w:rsid w:val="00B85379"/>
    <w:rsid w:val="00B85DB5"/>
    <w:rsid w:val="00B85FC5"/>
    <w:rsid w:val="00B860D2"/>
    <w:rsid w:val="00B86FA6"/>
    <w:rsid w:val="00B870AA"/>
    <w:rsid w:val="00B873C1"/>
    <w:rsid w:val="00B8775B"/>
    <w:rsid w:val="00B87B5C"/>
    <w:rsid w:val="00B87B8C"/>
    <w:rsid w:val="00B87DE0"/>
    <w:rsid w:val="00B9017B"/>
    <w:rsid w:val="00B906ED"/>
    <w:rsid w:val="00B91973"/>
    <w:rsid w:val="00B91CC4"/>
    <w:rsid w:val="00B92CBB"/>
    <w:rsid w:val="00B92E80"/>
    <w:rsid w:val="00B932C0"/>
    <w:rsid w:val="00B937B3"/>
    <w:rsid w:val="00B937D6"/>
    <w:rsid w:val="00B93CC3"/>
    <w:rsid w:val="00B944AB"/>
    <w:rsid w:val="00B9463C"/>
    <w:rsid w:val="00B94E53"/>
    <w:rsid w:val="00B94E80"/>
    <w:rsid w:val="00B9523B"/>
    <w:rsid w:val="00B9586B"/>
    <w:rsid w:val="00B958AC"/>
    <w:rsid w:val="00B95B38"/>
    <w:rsid w:val="00B95F67"/>
    <w:rsid w:val="00B96E15"/>
    <w:rsid w:val="00B97F06"/>
    <w:rsid w:val="00BA03A6"/>
    <w:rsid w:val="00BA09A3"/>
    <w:rsid w:val="00BA0BBB"/>
    <w:rsid w:val="00BA0DDF"/>
    <w:rsid w:val="00BA1E89"/>
    <w:rsid w:val="00BA1EEB"/>
    <w:rsid w:val="00BA2297"/>
    <w:rsid w:val="00BA2EEC"/>
    <w:rsid w:val="00BA2FB1"/>
    <w:rsid w:val="00BA3733"/>
    <w:rsid w:val="00BA449D"/>
    <w:rsid w:val="00BA507A"/>
    <w:rsid w:val="00BA5548"/>
    <w:rsid w:val="00BA570C"/>
    <w:rsid w:val="00BA5F90"/>
    <w:rsid w:val="00BA5FA9"/>
    <w:rsid w:val="00BA642D"/>
    <w:rsid w:val="00BA645C"/>
    <w:rsid w:val="00BA6FD7"/>
    <w:rsid w:val="00BA7001"/>
    <w:rsid w:val="00BA7271"/>
    <w:rsid w:val="00BA78C5"/>
    <w:rsid w:val="00BA7DD4"/>
    <w:rsid w:val="00BB03D0"/>
    <w:rsid w:val="00BB0751"/>
    <w:rsid w:val="00BB0CA4"/>
    <w:rsid w:val="00BB105B"/>
    <w:rsid w:val="00BB106A"/>
    <w:rsid w:val="00BB14F7"/>
    <w:rsid w:val="00BB15AD"/>
    <w:rsid w:val="00BB1829"/>
    <w:rsid w:val="00BB1A9D"/>
    <w:rsid w:val="00BB1E2F"/>
    <w:rsid w:val="00BB255B"/>
    <w:rsid w:val="00BB2A42"/>
    <w:rsid w:val="00BB2F09"/>
    <w:rsid w:val="00BB3BA4"/>
    <w:rsid w:val="00BB3C6F"/>
    <w:rsid w:val="00BB3F8B"/>
    <w:rsid w:val="00BB426D"/>
    <w:rsid w:val="00BB42DC"/>
    <w:rsid w:val="00BB4AE3"/>
    <w:rsid w:val="00BB5849"/>
    <w:rsid w:val="00BB596A"/>
    <w:rsid w:val="00BB61D8"/>
    <w:rsid w:val="00BB71ED"/>
    <w:rsid w:val="00BC030D"/>
    <w:rsid w:val="00BC04B3"/>
    <w:rsid w:val="00BC04FB"/>
    <w:rsid w:val="00BC05F0"/>
    <w:rsid w:val="00BC0AC7"/>
    <w:rsid w:val="00BC1215"/>
    <w:rsid w:val="00BC162A"/>
    <w:rsid w:val="00BC18EE"/>
    <w:rsid w:val="00BC1BDC"/>
    <w:rsid w:val="00BC1C08"/>
    <w:rsid w:val="00BC1E89"/>
    <w:rsid w:val="00BC24EB"/>
    <w:rsid w:val="00BC263A"/>
    <w:rsid w:val="00BC283C"/>
    <w:rsid w:val="00BC2D0A"/>
    <w:rsid w:val="00BC31B7"/>
    <w:rsid w:val="00BC3896"/>
    <w:rsid w:val="00BC3F7B"/>
    <w:rsid w:val="00BC41E0"/>
    <w:rsid w:val="00BC45E8"/>
    <w:rsid w:val="00BC470D"/>
    <w:rsid w:val="00BC48F9"/>
    <w:rsid w:val="00BC4AEF"/>
    <w:rsid w:val="00BC4BFB"/>
    <w:rsid w:val="00BC4ED1"/>
    <w:rsid w:val="00BC4F5E"/>
    <w:rsid w:val="00BC56B7"/>
    <w:rsid w:val="00BC5A72"/>
    <w:rsid w:val="00BC5D43"/>
    <w:rsid w:val="00BC5F69"/>
    <w:rsid w:val="00BC5F86"/>
    <w:rsid w:val="00BC620F"/>
    <w:rsid w:val="00BC6314"/>
    <w:rsid w:val="00BC6877"/>
    <w:rsid w:val="00BC6D4C"/>
    <w:rsid w:val="00BD0284"/>
    <w:rsid w:val="00BD02EA"/>
    <w:rsid w:val="00BD090C"/>
    <w:rsid w:val="00BD0B72"/>
    <w:rsid w:val="00BD0B90"/>
    <w:rsid w:val="00BD0EC4"/>
    <w:rsid w:val="00BD11DF"/>
    <w:rsid w:val="00BD173A"/>
    <w:rsid w:val="00BD17F4"/>
    <w:rsid w:val="00BD1AC2"/>
    <w:rsid w:val="00BD1B16"/>
    <w:rsid w:val="00BD2A64"/>
    <w:rsid w:val="00BD2B3F"/>
    <w:rsid w:val="00BD2D76"/>
    <w:rsid w:val="00BD2FCE"/>
    <w:rsid w:val="00BD3F24"/>
    <w:rsid w:val="00BD4798"/>
    <w:rsid w:val="00BD4DCB"/>
    <w:rsid w:val="00BD56EB"/>
    <w:rsid w:val="00BD6208"/>
    <w:rsid w:val="00BD6516"/>
    <w:rsid w:val="00BD6C3D"/>
    <w:rsid w:val="00BD7B8B"/>
    <w:rsid w:val="00BD7E34"/>
    <w:rsid w:val="00BD9550"/>
    <w:rsid w:val="00BE0049"/>
    <w:rsid w:val="00BE0196"/>
    <w:rsid w:val="00BE0685"/>
    <w:rsid w:val="00BE0E11"/>
    <w:rsid w:val="00BE0E58"/>
    <w:rsid w:val="00BE119C"/>
    <w:rsid w:val="00BE1238"/>
    <w:rsid w:val="00BE1576"/>
    <w:rsid w:val="00BE16A3"/>
    <w:rsid w:val="00BE16D1"/>
    <w:rsid w:val="00BE183D"/>
    <w:rsid w:val="00BE1ADF"/>
    <w:rsid w:val="00BE1C3B"/>
    <w:rsid w:val="00BE1CAB"/>
    <w:rsid w:val="00BE1E7B"/>
    <w:rsid w:val="00BE2452"/>
    <w:rsid w:val="00BE2C0D"/>
    <w:rsid w:val="00BE2C87"/>
    <w:rsid w:val="00BE2D88"/>
    <w:rsid w:val="00BE2E78"/>
    <w:rsid w:val="00BE3FBE"/>
    <w:rsid w:val="00BE40F9"/>
    <w:rsid w:val="00BE4171"/>
    <w:rsid w:val="00BE4C6D"/>
    <w:rsid w:val="00BE4CD0"/>
    <w:rsid w:val="00BE4F5B"/>
    <w:rsid w:val="00BE5458"/>
    <w:rsid w:val="00BE5EF4"/>
    <w:rsid w:val="00BE6439"/>
    <w:rsid w:val="00BE6A04"/>
    <w:rsid w:val="00BE7362"/>
    <w:rsid w:val="00BEC907"/>
    <w:rsid w:val="00BF000C"/>
    <w:rsid w:val="00BF0C24"/>
    <w:rsid w:val="00BF19BF"/>
    <w:rsid w:val="00BF1A9A"/>
    <w:rsid w:val="00BF1B7B"/>
    <w:rsid w:val="00BF21AC"/>
    <w:rsid w:val="00BF233B"/>
    <w:rsid w:val="00BF23D7"/>
    <w:rsid w:val="00BF2973"/>
    <w:rsid w:val="00BF2F8A"/>
    <w:rsid w:val="00BF348E"/>
    <w:rsid w:val="00BF350E"/>
    <w:rsid w:val="00BF3810"/>
    <w:rsid w:val="00BF3DDD"/>
    <w:rsid w:val="00BF4301"/>
    <w:rsid w:val="00BF4C19"/>
    <w:rsid w:val="00BF5014"/>
    <w:rsid w:val="00BF533A"/>
    <w:rsid w:val="00BF53E7"/>
    <w:rsid w:val="00BF54C8"/>
    <w:rsid w:val="00BF5B0E"/>
    <w:rsid w:val="00BF5CCC"/>
    <w:rsid w:val="00BF676A"/>
    <w:rsid w:val="00BF6789"/>
    <w:rsid w:val="00BF6898"/>
    <w:rsid w:val="00BF696F"/>
    <w:rsid w:val="00BF6FF4"/>
    <w:rsid w:val="00BF73F9"/>
    <w:rsid w:val="00BF771B"/>
    <w:rsid w:val="00BF78C6"/>
    <w:rsid w:val="00BF7AD3"/>
    <w:rsid w:val="00BF7F0C"/>
    <w:rsid w:val="00C003CC"/>
    <w:rsid w:val="00C00876"/>
    <w:rsid w:val="00C00BF5"/>
    <w:rsid w:val="00C01D56"/>
    <w:rsid w:val="00C02005"/>
    <w:rsid w:val="00C023FD"/>
    <w:rsid w:val="00C02AEC"/>
    <w:rsid w:val="00C02CCA"/>
    <w:rsid w:val="00C02EFC"/>
    <w:rsid w:val="00C02FDF"/>
    <w:rsid w:val="00C03A5A"/>
    <w:rsid w:val="00C03C19"/>
    <w:rsid w:val="00C03C7C"/>
    <w:rsid w:val="00C03CFF"/>
    <w:rsid w:val="00C044F4"/>
    <w:rsid w:val="00C046D6"/>
    <w:rsid w:val="00C04CB6"/>
    <w:rsid w:val="00C050D3"/>
    <w:rsid w:val="00C05358"/>
    <w:rsid w:val="00C05B9D"/>
    <w:rsid w:val="00C05E9D"/>
    <w:rsid w:val="00C0603E"/>
    <w:rsid w:val="00C06430"/>
    <w:rsid w:val="00C06769"/>
    <w:rsid w:val="00C0678C"/>
    <w:rsid w:val="00C06DC5"/>
    <w:rsid w:val="00C06F21"/>
    <w:rsid w:val="00C07679"/>
    <w:rsid w:val="00C07A77"/>
    <w:rsid w:val="00C10488"/>
    <w:rsid w:val="00C10922"/>
    <w:rsid w:val="00C10E20"/>
    <w:rsid w:val="00C11871"/>
    <w:rsid w:val="00C11B52"/>
    <w:rsid w:val="00C11EF8"/>
    <w:rsid w:val="00C12619"/>
    <w:rsid w:val="00C12F9E"/>
    <w:rsid w:val="00C13098"/>
    <w:rsid w:val="00C13A88"/>
    <w:rsid w:val="00C13C77"/>
    <w:rsid w:val="00C14002"/>
    <w:rsid w:val="00C141E2"/>
    <w:rsid w:val="00C14B49"/>
    <w:rsid w:val="00C14E44"/>
    <w:rsid w:val="00C14FA1"/>
    <w:rsid w:val="00C150C4"/>
    <w:rsid w:val="00C15268"/>
    <w:rsid w:val="00C152CF"/>
    <w:rsid w:val="00C154E4"/>
    <w:rsid w:val="00C1678E"/>
    <w:rsid w:val="00C16CB4"/>
    <w:rsid w:val="00C16F0A"/>
    <w:rsid w:val="00C17241"/>
    <w:rsid w:val="00C1743F"/>
    <w:rsid w:val="00C17E5F"/>
    <w:rsid w:val="00C20090"/>
    <w:rsid w:val="00C2009E"/>
    <w:rsid w:val="00C203A0"/>
    <w:rsid w:val="00C203D6"/>
    <w:rsid w:val="00C208CA"/>
    <w:rsid w:val="00C21048"/>
    <w:rsid w:val="00C214D3"/>
    <w:rsid w:val="00C215D3"/>
    <w:rsid w:val="00C22130"/>
    <w:rsid w:val="00C22516"/>
    <w:rsid w:val="00C2267E"/>
    <w:rsid w:val="00C22C25"/>
    <w:rsid w:val="00C22E53"/>
    <w:rsid w:val="00C231C1"/>
    <w:rsid w:val="00C231EE"/>
    <w:rsid w:val="00C23FCB"/>
    <w:rsid w:val="00C24559"/>
    <w:rsid w:val="00C24AD1"/>
    <w:rsid w:val="00C24D49"/>
    <w:rsid w:val="00C24E75"/>
    <w:rsid w:val="00C255EC"/>
    <w:rsid w:val="00C25653"/>
    <w:rsid w:val="00C257D7"/>
    <w:rsid w:val="00C2590C"/>
    <w:rsid w:val="00C26256"/>
    <w:rsid w:val="00C264DA"/>
    <w:rsid w:val="00C27913"/>
    <w:rsid w:val="00C27F82"/>
    <w:rsid w:val="00C30ACB"/>
    <w:rsid w:val="00C30BDF"/>
    <w:rsid w:val="00C30C5F"/>
    <w:rsid w:val="00C314FF"/>
    <w:rsid w:val="00C31678"/>
    <w:rsid w:val="00C31E11"/>
    <w:rsid w:val="00C32538"/>
    <w:rsid w:val="00C329D4"/>
    <w:rsid w:val="00C32CFC"/>
    <w:rsid w:val="00C32D9B"/>
    <w:rsid w:val="00C3301E"/>
    <w:rsid w:val="00C33ABA"/>
    <w:rsid w:val="00C349EA"/>
    <w:rsid w:val="00C34CAA"/>
    <w:rsid w:val="00C35694"/>
    <w:rsid w:val="00C35F14"/>
    <w:rsid w:val="00C35FA3"/>
    <w:rsid w:val="00C35FB6"/>
    <w:rsid w:val="00C3608D"/>
    <w:rsid w:val="00C360C4"/>
    <w:rsid w:val="00C36BDB"/>
    <w:rsid w:val="00C36E56"/>
    <w:rsid w:val="00C3711C"/>
    <w:rsid w:val="00C37898"/>
    <w:rsid w:val="00C37F43"/>
    <w:rsid w:val="00C4078D"/>
    <w:rsid w:val="00C40869"/>
    <w:rsid w:val="00C409E3"/>
    <w:rsid w:val="00C40E02"/>
    <w:rsid w:val="00C416B9"/>
    <w:rsid w:val="00C41923"/>
    <w:rsid w:val="00C4204C"/>
    <w:rsid w:val="00C420F4"/>
    <w:rsid w:val="00C421BA"/>
    <w:rsid w:val="00C424CA"/>
    <w:rsid w:val="00C429C3"/>
    <w:rsid w:val="00C42A16"/>
    <w:rsid w:val="00C42A2E"/>
    <w:rsid w:val="00C42C33"/>
    <w:rsid w:val="00C42D33"/>
    <w:rsid w:val="00C4324A"/>
    <w:rsid w:val="00C4333F"/>
    <w:rsid w:val="00C43D71"/>
    <w:rsid w:val="00C44725"/>
    <w:rsid w:val="00C44D6E"/>
    <w:rsid w:val="00C45188"/>
    <w:rsid w:val="00C453F9"/>
    <w:rsid w:val="00C45427"/>
    <w:rsid w:val="00C4599D"/>
    <w:rsid w:val="00C459A3"/>
    <w:rsid w:val="00C45E40"/>
    <w:rsid w:val="00C45E7F"/>
    <w:rsid w:val="00C45F4F"/>
    <w:rsid w:val="00C464AF"/>
    <w:rsid w:val="00C4664C"/>
    <w:rsid w:val="00C468F9"/>
    <w:rsid w:val="00C47661"/>
    <w:rsid w:val="00C47D6D"/>
    <w:rsid w:val="00C47ECC"/>
    <w:rsid w:val="00C50114"/>
    <w:rsid w:val="00C50AF5"/>
    <w:rsid w:val="00C50FE6"/>
    <w:rsid w:val="00C51092"/>
    <w:rsid w:val="00C52126"/>
    <w:rsid w:val="00C522CE"/>
    <w:rsid w:val="00C5232E"/>
    <w:rsid w:val="00C52698"/>
    <w:rsid w:val="00C529C0"/>
    <w:rsid w:val="00C529FF"/>
    <w:rsid w:val="00C52F2C"/>
    <w:rsid w:val="00C536DE"/>
    <w:rsid w:val="00C53F8D"/>
    <w:rsid w:val="00C54C82"/>
    <w:rsid w:val="00C54E57"/>
    <w:rsid w:val="00C5539E"/>
    <w:rsid w:val="00C557FC"/>
    <w:rsid w:val="00C55E86"/>
    <w:rsid w:val="00C561D2"/>
    <w:rsid w:val="00C57918"/>
    <w:rsid w:val="00C57B77"/>
    <w:rsid w:val="00C57CC9"/>
    <w:rsid w:val="00C57DD5"/>
    <w:rsid w:val="00C60360"/>
    <w:rsid w:val="00C60511"/>
    <w:rsid w:val="00C60FC4"/>
    <w:rsid w:val="00C6109B"/>
    <w:rsid w:val="00C61657"/>
    <w:rsid w:val="00C618D9"/>
    <w:rsid w:val="00C61B04"/>
    <w:rsid w:val="00C62085"/>
    <w:rsid w:val="00C6270F"/>
    <w:rsid w:val="00C6272A"/>
    <w:rsid w:val="00C62768"/>
    <w:rsid w:val="00C6300A"/>
    <w:rsid w:val="00C63465"/>
    <w:rsid w:val="00C634EB"/>
    <w:rsid w:val="00C63967"/>
    <w:rsid w:val="00C64283"/>
    <w:rsid w:val="00C64660"/>
    <w:rsid w:val="00C64AE5"/>
    <w:rsid w:val="00C64CDC"/>
    <w:rsid w:val="00C650B1"/>
    <w:rsid w:val="00C65AC3"/>
    <w:rsid w:val="00C65ED5"/>
    <w:rsid w:val="00C66531"/>
    <w:rsid w:val="00C66561"/>
    <w:rsid w:val="00C6691F"/>
    <w:rsid w:val="00C66B66"/>
    <w:rsid w:val="00C66BA8"/>
    <w:rsid w:val="00C66C8D"/>
    <w:rsid w:val="00C670B0"/>
    <w:rsid w:val="00C67DA4"/>
    <w:rsid w:val="00C70D4B"/>
    <w:rsid w:val="00C71366"/>
    <w:rsid w:val="00C71830"/>
    <w:rsid w:val="00C71A17"/>
    <w:rsid w:val="00C7204B"/>
    <w:rsid w:val="00C72605"/>
    <w:rsid w:val="00C7269B"/>
    <w:rsid w:val="00C735FB"/>
    <w:rsid w:val="00C7362C"/>
    <w:rsid w:val="00C73954"/>
    <w:rsid w:val="00C73B35"/>
    <w:rsid w:val="00C73D10"/>
    <w:rsid w:val="00C73D3C"/>
    <w:rsid w:val="00C74095"/>
    <w:rsid w:val="00C740C1"/>
    <w:rsid w:val="00C742B1"/>
    <w:rsid w:val="00C743FF"/>
    <w:rsid w:val="00C74A20"/>
    <w:rsid w:val="00C7518B"/>
    <w:rsid w:val="00C7524A"/>
    <w:rsid w:val="00C7564F"/>
    <w:rsid w:val="00C75931"/>
    <w:rsid w:val="00C759C6"/>
    <w:rsid w:val="00C76619"/>
    <w:rsid w:val="00C76971"/>
    <w:rsid w:val="00C76B38"/>
    <w:rsid w:val="00C76B9F"/>
    <w:rsid w:val="00C76CDF"/>
    <w:rsid w:val="00C76D86"/>
    <w:rsid w:val="00C76E49"/>
    <w:rsid w:val="00C76FB8"/>
    <w:rsid w:val="00C77777"/>
    <w:rsid w:val="00C77867"/>
    <w:rsid w:val="00C77BCF"/>
    <w:rsid w:val="00C77D7F"/>
    <w:rsid w:val="00C77EDA"/>
    <w:rsid w:val="00C807EC"/>
    <w:rsid w:val="00C809ED"/>
    <w:rsid w:val="00C80D7E"/>
    <w:rsid w:val="00C819C4"/>
    <w:rsid w:val="00C81F71"/>
    <w:rsid w:val="00C8213D"/>
    <w:rsid w:val="00C82655"/>
    <w:rsid w:val="00C827FC"/>
    <w:rsid w:val="00C83299"/>
    <w:rsid w:val="00C836FF"/>
    <w:rsid w:val="00C8395A"/>
    <w:rsid w:val="00C83968"/>
    <w:rsid w:val="00C83B25"/>
    <w:rsid w:val="00C84035"/>
    <w:rsid w:val="00C8429E"/>
    <w:rsid w:val="00C8482E"/>
    <w:rsid w:val="00C84C18"/>
    <w:rsid w:val="00C85455"/>
    <w:rsid w:val="00C8557C"/>
    <w:rsid w:val="00C8614B"/>
    <w:rsid w:val="00C86261"/>
    <w:rsid w:val="00C86422"/>
    <w:rsid w:val="00C864EE"/>
    <w:rsid w:val="00C86786"/>
    <w:rsid w:val="00C867DC"/>
    <w:rsid w:val="00C86833"/>
    <w:rsid w:val="00C86C70"/>
    <w:rsid w:val="00C86EC7"/>
    <w:rsid w:val="00C870E6"/>
    <w:rsid w:val="00C8714C"/>
    <w:rsid w:val="00C87C73"/>
    <w:rsid w:val="00C90542"/>
    <w:rsid w:val="00C9091E"/>
    <w:rsid w:val="00C90AB3"/>
    <w:rsid w:val="00C90DB9"/>
    <w:rsid w:val="00C91562"/>
    <w:rsid w:val="00C91A14"/>
    <w:rsid w:val="00C9244C"/>
    <w:rsid w:val="00C928DB"/>
    <w:rsid w:val="00C92B86"/>
    <w:rsid w:val="00C932E0"/>
    <w:rsid w:val="00C9342F"/>
    <w:rsid w:val="00C938B1"/>
    <w:rsid w:val="00C93C83"/>
    <w:rsid w:val="00C93E94"/>
    <w:rsid w:val="00C9429F"/>
    <w:rsid w:val="00C94324"/>
    <w:rsid w:val="00C94531"/>
    <w:rsid w:val="00C94C12"/>
    <w:rsid w:val="00C9506E"/>
    <w:rsid w:val="00C95362"/>
    <w:rsid w:val="00C953CD"/>
    <w:rsid w:val="00C9595A"/>
    <w:rsid w:val="00C95E92"/>
    <w:rsid w:val="00C95FA4"/>
    <w:rsid w:val="00C96080"/>
    <w:rsid w:val="00C9659B"/>
    <w:rsid w:val="00C96ABA"/>
    <w:rsid w:val="00C96B92"/>
    <w:rsid w:val="00C96BB9"/>
    <w:rsid w:val="00C97146"/>
    <w:rsid w:val="00C97344"/>
    <w:rsid w:val="00C973EB"/>
    <w:rsid w:val="00C97CAC"/>
    <w:rsid w:val="00C97E54"/>
    <w:rsid w:val="00C97E94"/>
    <w:rsid w:val="00C97FCE"/>
    <w:rsid w:val="00CA000B"/>
    <w:rsid w:val="00CA010E"/>
    <w:rsid w:val="00CA0628"/>
    <w:rsid w:val="00CA0A92"/>
    <w:rsid w:val="00CA113B"/>
    <w:rsid w:val="00CA31EC"/>
    <w:rsid w:val="00CA3476"/>
    <w:rsid w:val="00CA355C"/>
    <w:rsid w:val="00CA4406"/>
    <w:rsid w:val="00CA4444"/>
    <w:rsid w:val="00CA46FC"/>
    <w:rsid w:val="00CA47FB"/>
    <w:rsid w:val="00CA4B92"/>
    <w:rsid w:val="00CA4D15"/>
    <w:rsid w:val="00CA4F21"/>
    <w:rsid w:val="00CA5131"/>
    <w:rsid w:val="00CA5634"/>
    <w:rsid w:val="00CA5873"/>
    <w:rsid w:val="00CA5B1E"/>
    <w:rsid w:val="00CA5CBD"/>
    <w:rsid w:val="00CA5F5B"/>
    <w:rsid w:val="00CA615E"/>
    <w:rsid w:val="00CA6963"/>
    <w:rsid w:val="00CA6BA2"/>
    <w:rsid w:val="00CA701B"/>
    <w:rsid w:val="00CA7129"/>
    <w:rsid w:val="00CA7153"/>
    <w:rsid w:val="00CA75DF"/>
    <w:rsid w:val="00CA76D5"/>
    <w:rsid w:val="00CA7921"/>
    <w:rsid w:val="00CA7AA3"/>
    <w:rsid w:val="00CAA983"/>
    <w:rsid w:val="00CB0254"/>
    <w:rsid w:val="00CB03C9"/>
    <w:rsid w:val="00CB23D1"/>
    <w:rsid w:val="00CB24B1"/>
    <w:rsid w:val="00CB2A0C"/>
    <w:rsid w:val="00CB30B6"/>
    <w:rsid w:val="00CB31E4"/>
    <w:rsid w:val="00CB3E14"/>
    <w:rsid w:val="00CB410A"/>
    <w:rsid w:val="00CB4408"/>
    <w:rsid w:val="00CB49AA"/>
    <w:rsid w:val="00CB525F"/>
    <w:rsid w:val="00CB5549"/>
    <w:rsid w:val="00CB5710"/>
    <w:rsid w:val="00CB5907"/>
    <w:rsid w:val="00CB5D41"/>
    <w:rsid w:val="00CB5F40"/>
    <w:rsid w:val="00CB6496"/>
    <w:rsid w:val="00CB6581"/>
    <w:rsid w:val="00CB679C"/>
    <w:rsid w:val="00CB68E1"/>
    <w:rsid w:val="00CB719A"/>
    <w:rsid w:val="00CB7214"/>
    <w:rsid w:val="00CB789C"/>
    <w:rsid w:val="00CB7A5D"/>
    <w:rsid w:val="00CB7BF6"/>
    <w:rsid w:val="00CB7C78"/>
    <w:rsid w:val="00CC0B66"/>
    <w:rsid w:val="00CC0EB2"/>
    <w:rsid w:val="00CC0F5D"/>
    <w:rsid w:val="00CC1C36"/>
    <w:rsid w:val="00CC1CC9"/>
    <w:rsid w:val="00CC1D5C"/>
    <w:rsid w:val="00CC239E"/>
    <w:rsid w:val="00CC2831"/>
    <w:rsid w:val="00CC28F4"/>
    <w:rsid w:val="00CC2C9D"/>
    <w:rsid w:val="00CC2FA1"/>
    <w:rsid w:val="00CC36FE"/>
    <w:rsid w:val="00CC3E9B"/>
    <w:rsid w:val="00CC4451"/>
    <w:rsid w:val="00CC4793"/>
    <w:rsid w:val="00CC48C1"/>
    <w:rsid w:val="00CC4B4D"/>
    <w:rsid w:val="00CC4EFA"/>
    <w:rsid w:val="00CC5226"/>
    <w:rsid w:val="00CC6881"/>
    <w:rsid w:val="00CC6A32"/>
    <w:rsid w:val="00CC6ADB"/>
    <w:rsid w:val="00CC6BA3"/>
    <w:rsid w:val="00CC6FF4"/>
    <w:rsid w:val="00CC7451"/>
    <w:rsid w:val="00CC74F5"/>
    <w:rsid w:val="00CC7E42"/>
    <w:rsid w:val="00CD0791"/>
    <w:rsid w:val="00CD0B3E"/>
    <w:rsid w:val="00CD1090"/>
    <w:rsid w:val="00CD155D"/>
    <w:rsid w:val="00CD1C72"/>
    <w:rsid w:val="00CD22C5"/>
    <w:rsid w:val="00CD277D"/>
    <w:rsid w:val="00CD2A1B"/>
    <w:rsid w:val="00CD2B3A"/>
    <w:rsid w:val="00CD3339"/>
    <w:rsid w:val="00CD3387"/>
    <w:rsid w:val="00CD35C9"/>
    <w:rsid w:val="00CD38A2"/>
    <w:rsid w:val="00CD39AA"/>
    <w:rsid w:val="00CD3B45"/>
    <w:rsid w:val="00CD3F4F"/>
    <w:rsid w:val="00CD48E5"/>
    <w:rsid w:val="00CD4DFB"/>
    <w:rsid w:val="00CD51A5"/>
    <w:rsid w:val="00CD5A5C"/>
    <w:rsid w:val="00CD5BB2"/>
    <w:rsid w:val="00CD61F7"/>
    <w:rsid w:val="00CD637F"/>
    <w:rsid w:val="00CD6537"/>
    <w:rsid w:val="00CD6767"/>
    <w:rsid w:val="00CD67B6"/>
    <w:rsid w:val="00CD702B"/>
    <w:rsid w:val="00CD733C"/>
    <w:rsid w:val="00CD7B04"/>
    <w:rsid w:val="00CD7B40"/>
    <w:rsid w:val="00CE006D"/>
    <w:rsid w:val="00CE039B"/>
    <w:rsid w:val="00CE0568"/>
    <w:rsid w:val="00CE07FD"/>
    <w:rsid w:val="00CE0A93"/>
    <w:rsid w:val="00CE0D9D"/>
    <w:rsid w:val="00CE22EE"/>
    <w:rsid w:val="00CE272A"/>
    <w:rsid w:val="00CE27AF"/>
    <w:rsid w:val="00CE2A97"/>
    <w:rsid w:val="00CE2E7F"/>
    <w:rsid w:val="00CE3564"/>
    <w:rsid w:val="00CE38BB"/>
    <w:rsid w:val="00CE3CB9"/>
    <w:rsid w:val="00CE4357"/>
    <w:rsid w:val="00CE43CD"/>
    <w:rsid w:val="00CE47BE"/>
    <w:rsid w:val="00CE4B06"/>
    <w:rsid w:val="00CE4FF0"/>
    <w:rsid w:val="00CE5190"/>
    <w:rsid w:val="00CE54B7"/>
    <w:rsid w:val="00CE595E"/>
    <w:rsid w:val="00CE5CBB"/>
    <w:rsid w:val="00CE5DA2"/>
    <w:rsid w:val="00CE6595"/>
    <w:rsid w:val="00CE6720"/>
    <w:rsid w:val="00CE6929"/>
    <w:rsid w:val="00CE6BA2"/>
    <w:rsid w:val="00CE7B04"/>
    <w:rsid w:val="00CF0617"/>
    <w:rsid w:val="00CF0707"/>
    <w:rsid w:val="00CF0B5E"/>
    <w:rsid w:val="00CF1266"/>
    <w:rsid w:val="00CF1801"/>
    <w:rsid w:val="00CF182C"/>
    <w:rsid w:val="00CF1FB5"/>
    <w:rsid w:val="00CF2069"/>
    <w:rsid w:val="00CF247E"/>
    <w:rsid w:val="00CF2827"/>
    <w:rsid w:val="00CF282B"/>
    <w:rsid w:val="00CF28BD"/>
    <w:rsid w:val="00CF29A3"/>
    <w:rsid w:val="00CF303C"/>
    <w:rsid w:val="00CF32B3"/>
    <w:rsid w:val="00CF331A"/>
    <w:rsid w:val="00CF38D8"/>
    <w:rsid w:val="00CF3A94"/>
    <w:rsid w:val="00CF3BB9"/>
    <w:rsid w:val="00CF4614"/>
    <w:rsid w:val="00CF48E9"/>
    <w:rsid w:val="00CF4AF3"/>
    <w:rsid w:val="00CF4B6B"/>
    <w:rsid w:val="00CF4C36"/>
    <w:rsid w:val="00CF4F4B"/>
    <w:rsid w:val="00CF4F5A"/>
    <w:rsid w:val="00CF565E"/>
    <w:rsid w:val="00CF5797"/>
    <w:rsid w:val="00CF5ADF"/>
    <w:rsid w:val="00CF6112"/>
    <w:rsid w:val="00CF625E"/>
    <w:rsid w:val="00CF6662"/>
    <w:rsid w:val="00CF678F"/>
    <w:rsid w:val="00CF6D28"/>
    <w:rsid w:val="00CF7569"/>
    <w:rsid w:val="00CF7653"/>
    <w:rsid w:val="00CF7774"/>
    <w:rsid w:val="00CF7824"/>
    <w:rsid w:val="00CF7A1C"/>
    <w:rsid w:val="00CF7E04"/>
    <w:rsid w:val="00CF7E9B"/>
    <w:rsid w:val="00CFBE11"/>
    <w:rsid w:val="00D00646"/>
    <w:rsid w:val="00D0141B"/>
    <w:rsid w:val="00D025FD"/>
    <w:rsid w:val="00D028CD"/>
    <w:rsid w:val="00D02A0C"/>
    <w:rsid w:val="00D02D1D"/>
    <w:rsid w:val="00D0364E"/>
    <w:rsid w:val="00D039F2"/>
    <w:rsid w:val="00D03BE1"/>
    <w:rsid w:val="00D0443C"/>
    <w:rsid w:val="00D04657"/>
    <w:rsid w:val="00D04985"/>
    <w:rsid w:val="00D049D4"/>
    <w:rsid w:val="00D04A54"/>
    <w:rsid w:val="00D04D68"/>
    <w:rsid w:val="00D051B2"/>
    <w:rsid w:val="00D0522D"/>
    <w:rsid w:val="00D055B5"/>
    <w:rsid w:val="00D05AC7"/>
    <w:rsid w:val="00D05CAF"/>
    <w:rsid w:val="00D067AF"/>
    <w:rsid w:val="00D068DE"/>
    <w:rsid w:val="00D06937"/>
    <w:rsid w:val="00D06A92"/>
    <w:rsid w:val="00D072E6"/>
    <w:rsid w:val="00D07D83"/>
    <w:rsid w:val="00D09FC9"/>
    <w:rsid w:val="00D10214"/>
    <w:rsid w:val="00D10260"/>
    <w:rsid w:val="00D103C0"/>
    <w:rsid w:val="00D1063C"/>
    <w:rsid w:val="00D109BB"/>
    <w:rsid w:val="00D10E0D"/>
    <w:rsid w:val="00D111D3"/>
    <w:rsid w:val="00D111EB"/>
    <w:rsid w:val="00D11A9B"/>
    <w:rsid w:val="00D12199"/>
    <w:rsid w:val="00D12721"/>
    <w:rsid w:val="00D1303E"/>
    <w:rsid w:val="00D13051"/>
    <w:rsid w:val="00D131F1"/>
    <w:rsid w:val="00D136B3"/>
    <w:rsid w:val="00D13709"/>
    <w:rsid w:val="00D13F07"/>
    <w:rsid w:val="00D14283"/>
    <w:rsid w:val="00D14888"/>
    <w:rsid w:val="00D1495F"/>
    <w:rsid w:val="00D15177"/>
    <w:rsid w:val="00D1551A"/>
    <w:rsid w:val="00D15CC0"/>
    <w:rsid w:val="00D1624A"/>
    <w:rsid w:val="00D162C8"/>
    <w:rsid w:val="00D167F6"/>
    <w:rsid w:val="00D16FBD"/>
    <w:rsid w:val="00D171DB"/>
    <w:rsid w:val="00D172AC"/>
    <w:rsid w:val="00D17D9F"/>
    <w:rsid w:val="00D200A7"/>
    <w:rsid w:val="00D2019A"/>
    <w:rsid w:val="00D20BEA"/>
    <w:rsid w:val="00D21D4C"/>
    <w:rsid w:val="00D228B5"/>
    <w:rsid w:val="00D22995"/>
    <w:rsid w:val="00D229D2"/>
    <w:rsid w:val="00D23BC7"/>
    <w:rsid w:val="00D23F6A"/>
    <w:rsid w:val="00D24289"/>
    <w:rsid w:val="00D24529"/>
    <w:rsid w:val="00D2452B"/>
    <w:rsid w:val="00D245EF"/>
    <w:rsid w:val="00D24B52"/>
    <w:rsid w:val="00D261AB"/>
    <w:rsid w:val="00D2623D"/>
    <w:rsid w:val="00D264BB"/>
    <w:rsid w:val="00D26605"/>
    <w:rsid w:val="00D266DC"/>
    <w:rsid w:val="00D2671D"/>
    <w:rsid w:val="00D302B9"/>
    <w:rsid w:val="00D30642"/>
    <w:rsid w:val="00D30C4F"/>
    <w:rsid w:val="00D30F89"/>
    <w:rsid w:val="00D321A4"/>
    <w:rsid w:val="00D321CF"/>
    <w:rsid w:val="00D3228A"/>
    <w:rsid w:val="00D32388"/>
    <w:rsid w:val="00D32660"/>
    <w:rsid w:val="00D326D2"/>
    <w:rsid w:val="00D32F91"/>
    <w:rsid w:val="00D33121"/>
    <w:rsid w:val="00D3333C"/>
    <w:rsid w:val="00D336DF"/>
    <w:rsid w:val="00D339B3"/>
    <w:rsid w:val="00D339F8"/>
    <w:rsid w:val="00D33AFC"/>
    <w:rsid w:val="00D34AE6"/>
    <w:rsid w:val="00D3559F"/>
    <w:rsid w:val="00D35F40"/>
    <w:rsid w:val="00D36039"/>
    <w:rsid w:val="00D364B6"/>
    <w:rsid w:val="00D3699D"/>
    <w:rsid w:val="00D36C6F"/>
    <w:rsid w:val="00D371B0"/>
    <w:rsid w:val="00D37281"/>
    <w:rsid w:val="00D374A3"/>
    <w:rsid w:val="00D37C80"/>
    <w:rsid w:val="00D40055"/>
    <w:rsid w:val="00D402E4"/>
    <w:rsid w:val="00D40334"/>
    <w:rsid w:val="00D40BA9"/>
    <w:rsid w:val="00D40CB2"/>
    <w:rsid w:val="00D41F5E"/>
    <w:rsid w:val="00D42565"/>
    <w:rsid w:val="00D42CC6"/>
    <w:rsid w:val="00D4386B"/>
    <w:rsid w:val="00D438BD"/>
    <w:rsid w:val="00D43B9E"/>
    <w:rsid w:val="00D43D96"/>
    <w:rsid w:val="00D4428D"/>
    <w:rsid w:val="00D44718"/>
    <w:rsid w:val="00D44A22"/>
    <w:rsid w:val="00D4553A"/>
    <w:rsid w:val="00D45BAC"/>
    <w:rsid w:val="00D46092"/>
    <w:rsid w:val="00D46441"/>
    <w:rsid w:val="00D4663E"/>
    <w:rsid w:val="00D46705"/>
    <w:rsid w:val="00D46C59"/>
    <w:rsid w:val="00D46FF5"/>
    <w:rsid w:val="00D4776D"/>
    <w:rsid w:val="00D47BA8"/>
    <w:rsid w:val="00D47FAE"/>
    <w:rsid w:val="00D50096"/>
    <w:rsid w:val="00D50139"/>
    <w:rsid w:val="00D501F5"/>
    <w:rsid w:val="00D50285"/>
    <w:rsid w:val="00D50391"/>
    <w:rsid w:val="00D50778"/>
    <w:rsid w:val="00D50948"/>
    <w:rsid w:val="00D50B5E"/>
    <w:rsid w:val="00D50BC8"/>
    <w:rsid w:val="00D50BF0"/>
    <w:rsid w:val="00D51E19"/>
    <w:rsid w:val="00D5200F"/>
    <w:rsid w:val="00D528E5"/>
    <w:rsid w:val="00D52DD3"/>
    <w:rsid w:val="00D53483"/>
    <w:rsid w:val="00D53BB2"/>
    <w:rsid w:val="00D54FC2"/>
    <w:rsid w:val="00D552EC"/>
    <w:rsid w:val="00D55604"/>
    <w:rsid w:val="00D55788"/>
    <w:rsid w:val="00D55EFD"/>
    <w:rsid w:val="00D55F28"/>
    <w:rsid w:val="00D5617D"/>
    <w:rsid w:val="00D563C3"/>
    <w:rsid w:val="00D5693A"/>
    <w:rsid w:val="00D569FE"/>
    <w:rsid w:val="00D56AAA"/>
    <w:rsid w:val="00D602AA"/>
    <w:rsid w:val="00D60700"/>
    <w:rsid w:val="00D60B9B"/>
    <w:rsid w:val="00D60EC7"/>
    <w:rsid w:val="00D61632"/>
    <w:rsid w:val="00D61B52"/>
    <w:rsid w:val="00D61BBB"/>
    <w:rsid w:val="00D6329A"/>
    <w:rsid w:val="00D637BB"/>
    <w:rsid w:val="00D63A5B"/>
    <w:rsid w:val="00D643A0"/>
    <w:rsid w:val="00D6454F"/>
    <w:rsid w:val="00D646C7"/>
    <w:rsid w:val="00D64BCD"/>
    <w:rsid w:val="00D64E88"/>
    <w:rsid w:val="00D65312"/>
    <w:rsid w:val="00D65DD6"/>
    <w:rsid w:val="00D66060"/>
    <w:rsid w:val="00D66B9C"/>
    <w:rsid w:val="00D673D3"/>
    <w:rsid w:val="00D67F77"/>
    <w:rsid w:val="00D700FA"/>
    <w:rsid w:val="00D70DB7"/>
    <w:rsid w:val="00D70E2A"/>
    <w:rsid w:val="00D71A57"/>
    <w:rsid w:val="00D726E6"/>
    <w:rsid w:val="00D7319B"/>
    <w:rsid w:val="00D73255"/>
    <w:rsid w:val="00D732D0"/>
    <w:rsid w:val="00D734C3"/>
    <w:rsid w:val="00D738E2"/>
    <w:rsid w:val="00D75067"/>
    <w:rsid w:val="00D758C6"/>
    <w:rsid w:val="00D75B25"/>
    <w:rsid w:val="00D7696C"/>
    <w:rsid w:val="00D76980"/>
    <w:rsid w:val="00D76A92"/>
    <w:rsid w:val="00D77061"/>
    <w:rsid w:val="00D77C95"/>
    <w:rsid w:val="00D803AE"/>
    <w:rsid w:val="00D8052D"/>
    <w:rsid w:val="00D806AA"/>
    <w:rsid w:val="00D8098E"/>
    <w:rsid w:val="00D80E0D"/>
    <w:rsid w:val="00D81052"/>
    <w:rsid w:val="00D8122B"/>
    <w:rsid w:val="00D81242"/>
    <w:rsid w:val="00D81436"/>
    <w:rsid w:val="00D8168E"/>
    <w:rsid w:val="00D825F9"/>
    <w:rsid w:val="00D82796"/>
    <w:rsid w:val="00D85E28"/>
    <w:rsid w:val="00D86A55"/>
    <w:rsid w:val="00D86AA7"/>
    <w:rsid w:val="00D86B4A"/>
    <w:rsid w:val="00D86B5E"/>
    <w:rsid w:val="00D86C57"/>
    <w:rsid w:val="00D875A9"/>
    <w:rsid w:val="00D876AF"/>
    <w:rsid w:val="00D876E5"/>
    <w:rsid w:val="00D8784B"/>
    <w:rsid w:val="00D87D95"/>
    <w:rsid w:val="00D90389"/>
    <w:rsid w:val="00D905DD"/>
    <w:rsid w:val="00D91261"/>
    <w:rsid w:val="00D91AE6"/>
    <w:rsid w:val="00D928C8"/>
    <w:rsid w:val="00D9300C"/>
    <w:rsid w:val="00D9372C"/>
    <w:rsid w:val="00D93BC0"/>
    <w:rsid w:val="00D942C7"/>
    <w:rsid w:val="00D94CEA"/>
    <w:rsid w:val="00D950A0"/>
    <w:rsid w:val="00D95387"/>
    <w:rsid w:val="00D954BD"/>
    <w:rsid w:val="00D955FD"/>
    <w:rsid w:val="00D95774"/>
    <w:rsid w:val="00D95B98"/>
    <w:rsid w:val="00D95CA6"/>
    <w:rsid w:val="00D961F9"/>
    <w:rsid w:val="00D9679A"/>
    <w:rsid w:val="00D96CBC"/>
    <w:rsid w:val="00D96E00"/>
    <w:rsid w:val="00D96FE3"/>
    <w:rsid w:val="00D9709C"/>
    <w:rsid w:val="00D971AF"/>
    <w:rsid w:val="00D972A4"/>
    <w:rsid w:val="00D97528"/>
    <w:rsid w:val="00D97AAB"/>
    <w:rsid w:val="00D97CEB"/>
    <w:rsid w:val="00D97DC2"/>
    <w:rsid w:val="00D97EBD"/>
    <w:rsid w:val="00D97FD6"/>
    <w:rsid w:val="00DA056C"/>
    <w:rsid w:val="00DA07D7"/>
    <w:rsid w:val="00DA1097"/>
    <w:rsid w:val="00DA11B2"/>
    <w:rsid w:val="00DA1F4D"/>
    <w:rsid w:val="00DA1FF5"/>
    <w:rsid w:val="00DA246B"/>
    <w:rsid w:val="00DA27E0"/>
    <w:rsid w:val="00DA3311"/>
    <w:rsid w:val="00DA3F91"/>
    <w:rsid w:val="00DA431E"/>
    <w:rsid w:val="00DA48CE"/>
    <w:rsid w:val="00DA5089"/>
    <w:rsid w:val="00DA5128"/>
    <w:rsid w:val="00DA5757"/>
    <w:rsid w:val="00DA59A2"/>
    <w:rsid w:val="00DA5D49"/>
    <w:rsid w:val="00DA5F8E"/>
    <w:rsid w:val="00DA6184"/>
    <w:rsid w:val="00DA62B4"/>
    <w:rsid w:val="00DA65A2"/>
    <w:rsid w:val="00DA711B"/>
    <w:rsid w:val="00DA7A55"/>
    <w:rsid w:val="00DA7CF4"/>
    <w:rsid w:val="00DB03AA"/>
    <w:rsid w:val="00DB049A"/>
    <w:rsid w:val="00DB04EC"/>
    <w:rsid w:val="00DB07CA"/>
    <w:rsid w:val="00DB0930"/>
    <w:rsid w:val="00DB0A72"/>
    <w:rsid w:val="00DB158F"/>
    <w:rsid w:val="00DB17B6"/>
    <w:rsid w:val="00DB1CE8"/>
    <w:rsid w:val="00DB2025"/>
    <w:rsid w:val="00DB22F7"/>
    <w:rsid w:val="00DB2DDB"/>
    <w:rsid w:val="00DB2FBF"/>
    <w:rsid w:val="00DB35EA"/>
    <w:rsid w:val="00DB37F8"/>
    <w:rsid w:val="00DB39C6"/>
    <w:rsid w:val="00DB39E7"/>
    <w:rsid w:val="00DB3D2B"/>
    <w:rsid w:val="00DB43DE"/>
    <w:rsid w:val="00DB45E2"/>
    <w:rsid w:val="00DB46E2"/>
    <w:rsid w:val="00DB4B9C"/>
    <w:rsid w:val="00DB4C17"/>
    <w:rsid w:val="00DB592E"/>
    <w:rsid w:val="00DB5C1B"/>
    <w:rsid w:val="00DB6010"/>
    <w:rsid w:val="00DB612E"/>
    <w:rsid w:val="00DB627B"/>
    <w:rsid w:val="00DB64B4"/>
    <w:rsid w:val="00DB68D9"/>
    <w:rsid w:val="00DB6BC3"/>
    <w:rsid w:val="00DB6BF6"/>
    <w:rsid w:val="00DB7314"/>
    <w:rsid w:val="00DB781C"/>
    <w:rsid w:val="00DB7C00"/>
    <w:rsid w:val="00DB7FD0"/>
    <w:rsid w:val="00DC066C"/>
    <w:rsid w:val="00DC0A74"/>
    <w:rsid w:val="00DC13BB"/>
    <w:rsid w:val="00DC1715"/>
    <w:rsid w:val="00DC1C75"/>
    <w:rsid w:val="00DC1EA6"/>
    <w:rsid w:val="00DC1F3D"/>
    <w:rsid w:val="00DC2203"/>
    <w:rsid w:val="00DC2744"/>
    <w:rsid w:val="00DC2786"/>
    <w:rsid w:val="00DC2C19"/>
    <w:rsid w:val="00DC3D93"/>
    <w:rsid w:val="00DC477C"/>
    <w:rsid w:val="00DC4BC3"/>
    <w:rsid w:val="00DC5324"/>
    <w:rsid w:val="00DC57A2"/>
    <w:rsid w:val="00DC67C8"/>
    <w:rsid w:val="00DC68C4"/>
    <w:rsid w:val="00DC6D20"/>
    <w:rsid w:val="00DC72C2"/>
    <w:rsid w:val="00DC7E92"/>
    <w:rsid w:val="00DD0D2D"/>
    <w:rsid w:val="00DD164B"/>
    <w:rsid w:val="00DD1938"/>
    <w:rsid w:val="00DD1ADD"/>
    <w:rsid w:val="00DD23B9"/>
    <w:rsid w:val="00DD2534"/>
    <w:rsid w:val="00DD25BC"/>
    <w:rsid w:val="00DD2C8A"/>
    <w:rsid w:val="00DD2D58"/>
    <w:rsid w:val="00DD3AC7"/>
    <w:rsid w:val="00DD3C1A"/>
    <w:rsid w:val="00DD3D2F"/>
    <w:rsid w:val="00DD3EC3"/>
    <w:rsid w:val="00DD49A3"/>
    <w:rsid w:val="00DD57DC"/>
    <w:rsid w:val="00DD581E"/>
    <w:rsid w:val="00DD59C5"/>
    <w:rsid w:val="00DD5CA4"/>
    <w:rsid w:val="00DD611C"/>
    <w:rsid w:val="00DD697A"/>
    <w:rsid w:val="00DD6D7E"/>
    <w:rsid w:val="00DD7097"/>
    <w:rsid w:val="00DD70B7"/>
    <w:rsid w:val="00DD71B2"/>
    <w:rsid w:val="00DD7C61"/>
    <w:rsid w:val="00DE0E73"/>
    <w:rsid w:val="00DE11E0"/>
    <w:rsid w:val="00DE16A2"/>
    <w:rsid w:val="00DE1F2A"/>
    <w:rsid w:val="00DE26C9"/>
    <w:rsid w:val="00DE2E11"/>
    <w:rsid w:val="00DE33D2"/>
    <w:rsid w:val="00DE3488"/>
    <w:rsid w:val="00DE36CD"/>
    <w:rsid w:val="00DE3AC4"/>
    <w:rsid w:val="00DE410E"/>
    <w:rsid w:val="00DE4128"/>
    <w:rsid w:val="00DE4545"/>
    <w:rsid w:val="00DE45B9"/>
    <w:rsid w:val="00DE49B7"/>
    <w:rsid w:val="00DE5670"/>
    <w:rsid w:val="00DE5696"/>
    <w:rsid w:val="00DE59ED"/>
    <w:rsid w:val="00DE5B6E"/>
    <w:rsid w:val="00DE69F9"/>
    <w:rsid w:val="00DE6CF2"/>
    <w:rsid w:val="00DE6DAB"/>
    <w:rsid w:val="00DE6DC4"/>
    <w:rsid w:val="00DE6F6F"/>
    <w:rsid w:val="00DE7362"/>
    <w:rsid w:val="00DF06D6"/>
    <w:rsid w:val="00DF0C46"/>
    <w:rsid w:val="00DF0C90"/>
    <w:rsid w:val="00DF0E60"/>
    <w:rsid w:val="00DF0EDA"/>
    <w:rsid w:val="00DF1657"/>
    <w:rsid w:val="00DF167F"/>
    <w:rsid w:val="00DF2328"/>
    <w:rsid w:val="00DF2B98"/>
    <w:rsid w:val="00DF2CC4"/>
    <w:rsid w:val="00DF2F82"/>
    <w:rsid w:val="00DF3089"/>
    <w:rsid w:val="00DF41EF"/>
    <w:rsid w:val="00DF442F"/>
    <w:rsid w:val="00DF4866"/>
    <w:rsid w:val="00DF49EF"/>
    <w:rsid w:val="00DF4AB1"/>
    <w:rsid w:val="00DF4C5B"/>
    <w:rsid w:val="00DF5912"/>
    <w:rsid w:val="00DF5C88"/>
    <w:rsid w:val="00DF66B2"/>
    <w:rsid w:val="00DF6936"/>
    <w:rsid w:val="00DF6AD4"/>
    <w:rsid w:val="00DF6D8C"/>
    <w:rsid w:val="00DF6FA6"/>
    <w:rsid w:val="00DF785B"/>
    <w:rsid w:val="00DF7B7C"/>
    <w:rsid w:val="00E00160"/>
    <w:rsid w:val="00E00A3F"/>
    <w:rsid w:val="00E011A5"/>
    <w:rsid w:val="00E011CB"/>
    <w:rsid w:val="00E014C2"/>
    <w:rsid w:val="00E01CCC"/>
    <w:rsid w:val="00E01DC6"/>
    <w:rsid w:val="00E01F0A"/>
    <w:rsid w:val="00E01FDD"/>
    <w:rsid w:val="00E02110"/>
    <w:rsid w:val="00E0267A"/>
    <w:rsid w:val="00E026F6"/>
    <w:rsid w:val="00E03899"/>
    <w:rsid w:val="00E0395D"/>
    <w:rsid w:val="00E04324"/>
    <w:rsid w:val="00E04354"/>
    <w:rsid w:val="00E0436C"/>
    <w:rsid w:val="00E04A4E"/>
    <w:rsid w:val="00E05302"/>
    <w:rsid w:val="00E053F5"/>
    <w:rsid w:val="00E0550F"/>
    <w:rsid w:val="00E06543"/>
    <w:rsid w:val="00E069DB"/>
    <w:rsid w:val="00E0721C"/>
    <w:rsid w:val="00E07250"/>
    <w:rsid w:val="00E07937"/>
    <w:rsid w:val="00E07BE2"/>
    <w:rsid w:val="00E07CAA"/>
    <w:rsid w:val="00E07DF9"/>
    <w:rsid w:val="00E100F1"/>
    <w:rsid w:val="00E10544"/>
    <w:rsid w:val="00E10E5A"/>
    <w:rsid w:val="00E10EDD"/>
    <w:rsid w:val="00E1109B"/>
    <w:rsid w:val="00E110AC"/>
    <w:rsid w:val="00E1111A"/>
    <w:rsid w:val="00E112D2"/>
    <w:rsid w:val="00E11B02"/>
    <w:rsid w:val="00E11C39"/>
    <w:rsid w:val="00E11D59"/>
    <w:rsid w:val="00E12316"/>
    <w:rsid w:val="00E12B91"/>
    <w:rsid w:val="00E12BBE"/>
    <w:rsid w:val="00E13CA5"/>
    <w:rsid w:val="00E13F8C"/>
    <w:rsid w:val="00E1454C"/>
    <w:rsid w:val="00E14724"/>
    <w:rsid w:val="00E14A8D"/>
    <w:rsid w:val="00E14AA7"/>
    <w:rsid w:val="00E1513E"/>
    <w:rsid w:val="00E151C6"/>
    <w:rsid w:val="00E151E9"/>
    <w:rsid w:val="00E154D6"/>
    <w:rsid w:val="00E156A8"/>
    <w:rsid w:val="00E15860"/>
    <w:rsid w:val="00E15D5A"/>
    <w:rsid w:val="00E15D62"/>
    <w:rsid w:val="00E162F4"/>
    <w:rsid w:val="00E16B58"/>
    <w:rsid w:val="00E16CFF"/>
    <w:rsid w:val="00E175AF"/>
    <w:rsid w:val="00E17672"/>
    <w:rsid w:val="00E178E4"/>
    <w:rsid w:val="00E1FF55"/>
    <w:rsid w:val="00E2048B"/>
    <w:rsid w:val="00E204D4"/>
    <w:rsid w:val="00E20AED"/>
    <w:rsid w:val="00E212A6"/>
    <w:rsid w:val="00E217C2"/>
    <w:rsid w:val="00E21D13"/>
    <w:rsid w:val="00E21DBD"/>
    <w:rsid w:val="00E2208D"/>
    <w:rsid w:val="00E22688"/>
    <w:rsid w:val="00E22893"/>
    <w:rsid w:val="00E22B58"/>
    <w:rsid w:val="00E22D17"/>
    <w:rsid w:val="00E232BF"/>
    <w:rsid w:val="00E23907"/>
    <w:rsid w:val="00E23A47"/>
    <w:rsid w:val="00E23A8B"/>
    <w:rsid w:val="00E23B6F"/>
    <w:rsid w:val="00E23BD5"/>
    <w:rsid w:val="00E23E97"/>
    <w:rsid w:val="00E245BB"/>
    <w:rsid w:val="00E247A3"/>
    <w:rsid w:val="00E24BC7"/>
    <w:rsid w:val="00E251CC"/>
    <w:rsid w:val="00E253A1"/>
    <w:rsid w:val="00E25593"/>
    <w:rsid w:val="00E25DC5"/>
    <w:rsid w:val="00E26364"/>
    <w:rsid w:val="00E264B1"/>
    <w:rsid w:val="00E2A179"/>
    <w:rsid w:val="00E305F1"/>
    <w:rsid w:val="00E30A86"/>
    <w:rsid w:val="00E30C46"/>
    <w:rsid w:val="00E3115C"/>
    <w:rsid w:val="00E311CC"/>
    <w:rsid w:val="00E31F38"/>
    <w:rsid w:val="00E32194"/>
    <w:rsid w:val="00E321BD"/>
    <w:rsid w:val="00E32268"/>
    <w:rsid w:val="00E3231C"/>
    <w:rsid w:val="00E3236C"/>
    <w:rsid w:val="00E324CD"/>
    <w:rsid w:val="00E330FF"/>
    <w:rsid w:val="00E3338A"/>
    <w:rsid w:val="00E3362C"/>
    <w:rsid w:val="00E336B4"/>
    <w:rsid w:val="00E33B41"/>
    <w:rsid w:val="00E34DCF"/>
    <w:rsid w:val="00E34E62"/>
    <w:rsid w:val="00E3654D"/>
    <w:rsid w:val="00E37193"/>
    <w:rsid w:val="00E373E6"/>
    <w:rsid w:val="00E37C79"/>
    <w:rsid w:val="00E37DFF"/>
    <w:rsid w:val="00E37FF6"/>
    <w:rsid w:val="00E3BB85"/>
    <w:rsid w:val="00E405E2"/>
    <w:rsid w:val="00E4061E"/>
    <w:rsid w:val="00E40915"/>
    <w:rsid w:val="00E40B0E"/>
    <w:rsid w:val="00E40C5C"/>
    <w:rsid w:val="00E412DA"/>
    <w:rsid w:val="00E4146A"/>
    <w:rsid w:val="00E41593"/>
    <w:rsid w:val="00E4183F"/>
    <w:rsid w:val="00E41EDA"/>
    <w:rsid w:val="00E428C1"/>
    <w:rsid w:val="00E42AE7"/>
    <w:rsid w:val="00E42BA8"/>
    <w:rsid w:val="00E42CB5"/>
    <w:rsid w:val="00E439B3"/>
    <w:rsid w:val="00E43C7C"/>
    <w:rsid w:val="00E43D01"/>
    <w:rsid w:val="00E43D44"/>
    <w:rsid w:val="00E4442A"/>
    <w:rsid w:val="00E44503"/>
    <w:rsid w:val="00E4456D"/>
    <w:rsid w:val="00E45142"/>
    <w:rsid w:val="00E459BC"/>
    <w:rsid w:val="00E461D0"/>
    <w:rsid w:val="00E4636E"/>
    <w:rsid w:val="00E466A6"/>
    <w:rsid w:val="00E46CE9"/>
    <w:rsid w:val="00E46EED"/>
    <w:rsid w:val="00E46F35"/>
    <w:rsid w:val="00E472AB"/>
    <w:rsid w:val="00E475DA"/>
    <w:rsid w:val="00E50301"/>
    <w:rsid w:val="00E5038B"/>
    <w:rsid w:val="00E50B7F"/>
    <w:rsid w:val="00E50DBB"/>
    <w:rsid w:val="00E511AA"/>
    <w:rsid w:val="00E5180F"/>
    <w:rsid w:val="00E518EC"/>
    <w:rsid w:val="00E51CF2"/>
    <w:rsid w:val="00E5265B"/>
    <w:rsid w:val="00E528D6"/>
    <w:rsid w:val="00E52EA3"/>
    <w:rsid w:val="00E531A6"/>
    <w:rsid w:val="00E53ABF"/>
    <w:rsid w:val="00E53E21"/>
    <w:rsid w:val="00E540FF"/>
    <w:rsid w:val="00E541D1"/>
    <w:rsid w:val="00E54421"/>
    <w:rsid w:val="00E546BD"/>
    <w:rsid w:val="00E547AE"/>
    <w:rsid w:val="00E54852"/>
    <w:rsid w:val="00E550E3"/>
    <w:rsid w:val="00E55788"/>
    <w:rsid w:val="00E55C37"/>
    <w:rsid w:val="00E56031"/>
    <w:rsid w:val="00E562A4"/>
    <w:rsid w:val="00E56555"/>
    <w:rsid w:val="00E57130"/>
    <w:rsid w:val="00E5716F"/>
    <w:rsid w:val="00E5724C"/>
    <w:rsid w:val="00E572DB"/>
    <w:rsid w:val="00E57B78"/>
    <w:rsid w:val="00E57CDF"/>
    <w:rsid w:val="00E57E3F"/>
    <w:rsid w:val="00E57F02"/>
    <w:rsid w:val="00E608E4"/>
    <w:rsid w:val="00E6145E"/>
    <w:rsid w:val="00E61BFA"/>
    <w:rsid w:val="00E62113"/>
    <w:rsid w:val="00E6217D"/>
    <w:rsid w:val="00E62C1B"/>
    <w:rsid w:val="00E63CEC"/>
    <w:rsid w:val="00E6437D"/>
    <w:rsid w:val="00E645D5"/>
    <w:rsid w:val="00E64B31"/>
    <w:rsid w:val="00E64C59"/>
    <w:rsid w:val="00E64CBC"/>
    <w:rsid w:val="00E6535D"/>
    <w:rsid w:val="00E65622"/>
    <w:rsid w:val="00E65CD3"/>
    <w:rsid w:val="00E66013"/>
    <w:rsid w:val="00E6664A"/>
    <w:rsid w:val="00E669CA"/>
    <w:rsid w:val="00E66A1E"/>
    <w:rsid w:val="00E66BA4"/>
    <w:rsid w:val="00E6797A"/>
    <w:rsid w:val="00E70101"/>
    <w:rsid w:val="00E70541"/>
    <w:rsid w:val="00E71194"/>
    <w:rsid w:val="00E7123B"/>
    <w:rsid w:val="00E713F0"/>
    <w:rsid w:val="00E7167E"/>
    <w:rsid w:val="00E716DA"/>
    <w:rsid w:val="00E7243B"/>
    <w:rsid w:val="00E72506"/>
    <w:rsid w:val="00E72BFA"/>
    <w:rsid w:val="00E72C28"/>
    <w:rsid w:val="00E72CB4"/>
    <w:rsid w:val="00E74793"/>
    <w:rsid w:val="00E74B5B"/>
    <w:rsid w:val="00E753AE"/>
    <w:rsid w:val="00E755CA"/>
    <w:rsid w:val="00E757BE"/>
    <w:rsid w:val="00E75BC5"/>
    <w:rsid w:val="00E76216"/>
    <w:rsid w:val="00E76B54"/>
    <w:rsid w:val="00E76BD4"/>
    <w:rsid w:val="00E770C8"/>
    <w:rsid w:val="00E77620"/>
    <w:rsid w:val="00E7767F"/>
    <w:rsid w:val="00E77A89"/>
    <w:rsid w:val="00E77DF8"/>
    <w:rsid w:val="00E80071"/>
    <w:rsid w:val="00E8098C"/>
    <w:rsid w:val="00E81515"/>
    <w:rsid w:val="00E817A5"/>
    <w:rsid w:val="00E81C30"/>
    <w:rsid w:val="00E82198"/>
    <w:rsid w:val="00E824D1"/>
    <w:rsid w:val="00E826A6"/>
    <w:rsid w:val="00E8312D"/>
    <w:rsid w:val="00E83222"/>
    <w:rsid w:val="00E8356B"/>
    <w:rsid w:val="00E83845"/>
    <w:rsid w:val="00E840D7"/>
    <w:rsid w:val="00E840FA"/>
    <w:rsid w:val="00E8426B"/>
    <w:rsid w:val="00E84344"/>
    <w:rsid w:val="00E85306"/>
    <w:rsid w:val="00E8542A"/>
    <w:rsid w:val="00E85AC5"/>
    <w:rsid w:val="00E85BFA"/>
    <w:rsid w:val="00E86313"/>
    <w:rsid w:val="00E86D31"/>
    <w:rsid w:val="00E879AA"/>
    <w:rsid w:val="00E87E14"/>
    <w:rsid w:val="00E87E63"/>
    <w:rsid w:val="00E87F91"/>
    <w:rsid w:val="00E90571"/>
    <w:rsid w:val="00E905FC"/>
    <w:rsid w:val="00E919B2"/>
    <w:rsid w:val="00E91B32"/>
    <w:rsid w:val="00E921E1"/>
    <w:rsid w:val="00E92BC0"/>
    <w:rsid w:val="00E92E44"/>
    <w:rsid w:val="00E931CE"/>
    <w:rsid w:val="00E93221"/>
    <w:rsid w:val="00E9377D"/>
    <w:rsid w:val="00E93C23"/>
    <w:rsid w:val="00E93F19"/>
    <w:rsid w:val="00E9439B"/>
    <w:rsid w:val="00E94543"/>
    <w:rsid w:val="00E9503F"/>
    <w:rsid w:val="00E95A4A"/>
    <w:rsid w:val="00E9604D"/>
    <w:rsid w:val="00E96611"/>
    <w:rsid w:val="00E96639"/>
    <w:rsid w:val="00E96653"/>
    <w:rsid w:val="00E96E4F"/>
    <w:rsid w:val="00E976D4"/>
    <w:rsid w:val="00E977D4"/>
    <w:rsid w:val="00E97B85"/>
    <w:rsid w:val="00EA0164"/>
    <w:rsid w:val="00EA0815"/>
    <w:rsid w:val="00EA0A34"/>
    <w:rsid w:val="00EA16F2"/>
    <w:rsid w:val="00EA1A38"/>
    <w:rsid w:val="00EA21E7"/>
    <w:rsid w:val="00EA2615"/>
    <w:rsid w:val="00EA2CEB"/>
    <w:rsid w:val="00EA2F3B"/>
    <w:rsid w:val="00EA2FBF"/>
    <w:rsid w:val="00EA3473"/>
    <w:rsid w:val="00EA3BC1"/>
    <w:rsid w:val="00EA42EF"/>
    <w:rsid w:val="00EA430D"/>
    <w:rsid w:val="00EA4372"/>
    <w:rsid w:val="00EA462B"/>
    <w:rsid w:val="00EA4766"/>
    <w:rsid w:val="00EA4869"/>
    <w:rsid w:val="00EA4E77"/>
    <w:rsid w:val="00EA4FC7"/>
    <w:rsid w:val="00EA587C"/>
    <w:rsid w:val="00EA5B73"/>
    <w:rsid w:val="00EA5C88"/>
    <w:rsid w:val="00EA5CCF"/>
    <w:rsid w:val="00EA6280"/>
    <w:rsid w:val="00EA645E"/>
    <w:rsid w:val="00EA6572"/>
    <w:rsid w:val="00EA7131"/>
    <w:rsid w:val="00EA737F"/>
    <w:rsid w:val="00EA75D3"/>
    <w:rsid w:val="00EA7602"/>
    <w:rsid w:val="00EA7B2F"/>
    <w:rsid w:val="00EB02A0"/>
    <w:rsid w:val="00EB0991"/>
    <w:rsid w:val="00EB0D01"/>
    <w:rsid w:val="00EB0EA4"/>
    <w:rsid w:val="00EB0F89"/>
    <w:rsid w:val="00EB1AC3"/>
    <w:rsid w:val="00EB1CF3"/>
    <w:rsid w:val="00EB2380"/>
    <w:rsid w:val="00EB3BB5"/>
    <w:rsid w:val="00EB4142"/>
    <w:rsid w:val="00EB419C"/>
    <w:rsid w:val="00EB434D"/>
    <w:rsid w:val="00EB438B"/>
    <w:rsid w:val="00EB43A4"/>
    <w:rsid w:val="00EB4C47"/>
    <w:rsid w:val="00EB5352"/>
    <w:rsid w:val="00EB5B46"/>
    <w:rsid w:val="00EB5C5C"/>
    <w:rsid w:val="00EB6324"/>
    <w:rsid w:val="00EB676E"/>
    <w:rsid w:val="00EB6969"/>
    <w:rsid w:val="00EB6B3A"/>
    <w:rsid w:val="00EB6D38"/>
    <w:rsid w:val="00EB6F8B"/>
    <w:rsid w:val="00EB7742"/>
    <w:rsid w:val="00EB7915"/>
    <w:rsid w:val="00EB7EF6"/>
    <w:rsid w:val="00EC0271"/>
    <w:rsid w:val="00EC0669"/>
    <w:rsid w:val="00EC06AD"/>
    <w:rsid w:val="00EC0CE7"/>
    <w:rsid w:val="00EC11EF"/>
    <w:rsid w:val="00EC1377"/>
    <w:rsid w:val="00EC13CC"/>
    <w:rsid w:val="00EC15A1"/>
    <w:rsid w:val="00EC1C54"/>
    <w:rsid w:val="00EC1E41"/>
    <w:rsid w:val="00EC224B"/>
    <w:rsid w:val="00EC2959"/>
    <w:rsid w:val="00EC2C3F"/>
    <w:rsid w:val="00EC2F50"/>
    <w:rsid w:val="00EC3AB1"/>
    <w:rsid w:val="00EC3EAB"/>
    <w:rsid w:val="00EC43E7"/>
    <w:rsid w:val="00EC47AF"/>
    <w:rsid w:val="00EC5118"/>
    <w:rsid w:val="00EC5671"/>
    <w:rsid w:val="00EC57C3"/>
    <w:rsid w:val="00EC5856"/>
    <w:rsid w:val="00EC58F9"/>
    <w:rsid w:val="00EC5AF2"/>
    <w:rsid w:val="00EC626B"/>
    <w:rsid w:val="00EC7371"/>
    <w:rsid w:val="00EC7646"/>
    <w:rsid w:val="00EC79DF"/>
    <w:rsid w:val="00EC7CAD"/>
    <w:rsid w:val="00EC7DAD"/>
    <w:rsid w:val="00ED0055"/>
    <w:rsid w:val="00ED08F8"/>
    <w:rsid w:val="00ED0C12"/>
    <w:rsid w:val="00ED0D15"/>
    <w:rsid w:val="00ED1082"/>
    <w:rsid w:val="00ED11A8"/>
    <w:rsid w:val="00ED162F"/>
    <w:rsid w:val="00ED26F5"/>
    <w:rsid w:val="00ED304E"/>
    <w:rsid w:val="00ED38B6"/>
    <w:rsid w:val="00ED3C85"/>
    <w:rsid w:val="00ED3CF9"/>
    <w:rsid w:val="00ED3DB5"/>
    <w:rsid w:val="00ED3FFC"/>
    <w:rsid w:val="00ED4255"/>
    <w:rsid w:val="00ED4A38"/>
    <w:rsid w:val="00ED5247"/>
    <w:rsid w:val="00ED591F"/>
    <w:rsid w:val="00ED5B6E"/>
    <w:rsid w:val="00ED5EC7"/>
    <w:rsid w:val="00ED610C"/>
    <w:rsid w:val="00ED6B7A"/>
    <w:rsid w:val="00ED73CD"/>
    <w:rsid w:val="00ED7831"/>
    <w:rsid w:val="00ED7C6F"/>
    <w:rsid w:val="00ED7CCD"/>
    <w:rsid w:val="00ED7DAB"/>
    <w:rsid w:val="00EE0173"/>
    <w:rsid w:val="00EE17BA"/>
    <w:rsid w:val="00EE1B7C"/>
    <w:rsid w:val="00EE1DBF"/>
    <w:rsid w:val="00EE1E3F"/>
    <w:rsid w:val="00EE2A47"/>
    <w:rsid w:val="00EE2C17"/>
    <w:rsid w:val="00EE3342"/>
    <w:rsid w:val="00EE35E4"/>
    <w:rsid w:val="00EE37E1"/>
    <w:rsid w:val="00EE3F56"/>
    <w:rsid w:val="00EE4397"/>
    <w:rsid w:val="00EE4693"/>
    <w:rsid w:val="00EE4C20"/>
    <w:rsid w:val="00EE4DE1"/>
    <w:rsid w:val="00EE50AC"/>
    <w:rsid w:val="00EE5797"/>
    <w:rsid w:val="00EE57E4"/>
    <w:rsid w:val="00EE5868"/>
    <w:rsid w:val="00EE586D"/>
    <w:rsid w:val="00EE5A3C"/>
    <w:rsid w:val="00EE5E34"/>
    <w:rsid w:val="00EE601C"/>
    <w:rsid w:val="00EE64C9"/>
    <w:rsid w:val="00EE65E5"/>
    <w:rsid w:val="00EE66AA"/>
    <w:rsid w:val="00EE6A67"/>
    <w:rsid w:val="00EE6BAC"/>
    <w:rsid w:val="00EE70F4"/>
    <w:rsid w:val="00EE74ED"/>
    <w:rsid w:val="00EE7643"/>
    <w:rsid w:val="00EE7B6B"/>
    <w:rsid w:val="00EF062D"/>
    <w:rsid w:val="00EF0E31"/>
    <w:rsid w:val="00EF18D6"/>
    <w:rsid w:val="00EF1AA3"/>
    <w:rsid w:val="00EF1ED1"/>
    <w:rsid w:val="00EF1F3E"/>
    <w:rsid w:val="00EF20C2"/>
    <w:rsid w:val="00EF2E4C"/>
    <w:rsid w:val="00EF3227"/>
    <w:rsid w:val="00EF35E1"/>
    <w:rsid w:val="00EF3CCA"/>
    <w:rsid w:val="00EF3CD3"/>
    <w:rsid w:val="00EF4042"/>
    <w:rsid w:val="00EF40B0"/>
    <w:rsid w:val="00EF4463"/>
    <w:rsid w:val="00EF4631"/>
    <w:rsid w:val="00EF4837"/>
    <w:rsid w:val="00EF4F7F"/>
    <w:rsid w:val="00EF5101"/>
    <w:rsid w:val="00EF5278"/>
    <w:rsid w:val="00EF57D1"/>
    <w:rsid w:val="00EF59D3"/>
    <w:rsid w:val="00EF5A93"/>
    <w:rsid w:val="00EF64D8"/>
    <w:rsid w:val="00EF6E17"/>
    <w:rsid w:val="00EF73C4"/>
    <w:rsid w:val="00EF7AB3"/>
    <w:rsid w:val="00EF7B42"/>
    <w:rsid w:val="00EF7DC7"/>
    <w:rsid w:val="00F0024A"/>
    <w:rsid w:val="00F017C6"/>
    <w:rsid w:val="00F02017"/>
    <w:rsid w:val="00F023AF"/>
    <w:rsid w:val="00F0246F"/>
    <w:rsid w:val="00F029F0"/>
    <w:rsid w:val="00F035E8"/>
    <w:rsid w:val="00F036CB"/>
    <w:rsid w:val="00F036F0"/>
    <w:rsid w:val="00F038A5"/>
    <w:rsid w:val="00F03B1F"/>
    <w:rsid w:val="00F03D3B"/>
    <w:rsid w:val="00F04A5E"/>
    <w:rsid w:val="00F04B2B"/>
    <w:rsid w:val="00F04CB1"/>
    <w:rsid w:val="00F05183"/>
    <w:rsid w:val="00F05EFE"/>
    <w:rsid w:val="00F06D32"/>
    <w:rsid w:val="00F07982"/>
    <w:rsid w:val="00F07A2C"/>
    <w:rsid w:val="00F101FC"/>
    <w:rsid w:val="00F10237"/>
    <w:rsid w:val="00F104A7"/>
    <w:rsid w:val="00F10702"/>
    <w:rsid w:val="00F109F2"/>
    <w:rsid w:val="00F10DE6"/>
    <w:rsid w:val="00F11115"/>
    <w:rsid w:val="00F11224"/>
    <w:rsid w:val="00F117C0"/>
    <w:rsid w:val="00F117E3"/>
    <w:rsid w:val="00F121FC"/>
    <w:rsid w:val="00F127C3"/>
    <w:rsid w:val="00F1354F"/>
    <w:rsid w:val="00F13CF3"/>
    <w:rsid w:val="00F13E1F"/>
    <w:rsid w:val="00F142B1"/>
    <w:rsid w:val="00F1453C"/>
    <w:rsid w:val="00F14667"/>
    <w:rsid w:val="00F1467C"/>
    <w:rsid w:val="00F148E2"/>
    <w:rsid w:val="00F15C6D"/>
    <w:rsid w:val="00F15F97"/>
    <w:rsid w:val="00F163B4"/>
    <w:rsid w:val="00F16489"/>
    <w:rsid w:val="00F166C7"/>
    <w:rsid w:val="00F16CD0"/>
    <w:rsid w:val="00F16FCB"/>
    <w:rsid w:val="00F171E2"/>
    <w:rsid w:val="00F173FC"/>
    <w:rsid w:val="00F17461"/>
    <w:rsid w:val="00F1754F"/>
    <w:rsid w:val="00F17A52"/>
    <w:rsid w:val="00F17C02"/>
    <w:rsid w:val="00F17C47"/>
    <w:rsid w:val="00F17D09"/>
    <w:rsid w:val="00F20037"/>
    <w:rsid w:val="00F20729"/>
    <w:rsid w:val="00F2088B"/>
    <w:rsid w:val="00F20D6F"/>
    <w:rsid w:val="00F21062"/>
    <w:rsid w:val="00F2130B"/>
    <w:rsid w:val="00F21602"/>
    <w:rsid w:val="00F21647"/>
    <w:rsid w:val="00F221FE"/>
    <w:rsid w:val="00F223F0"/>
    <w:rsid w:val="00F22AFF"/>
    <w:rsid w:val="00F22B12"/>
    <w:rsid w:val="00F230D2"/>
    <w:rsid w:val="00F23439"/>
    <w:rsid w:val="00F23488"/>
    <w:rsid w:val="00F236A4"/>
    <w:rsid w:val="00F2472F"/>
    <w:rsid w:val="00F247D6"/>
    <w:rsid w:val="00F24976"/>
    <w:rsid w:val="00F249AF"/>
    <w:rsid w:val="00F24B96"/>
    <w:rsid w:val="00F25817"/>
    <w:rsid w:val="00F25839"/>
    <w:rsid w:val="00F259D8"/>
    <w:rsid w:val="00F259DC"/>
    <w:rsid w:val="00F26351"/>
    <w:rsid w:val="00F264E8"/>
    <w:rsid w:val="00F265A3"/>
    <w:rsid w:val="00F270A8"/>
    <w:rsid w:val="00F272A9"/>
    <w:rsid w:val="00F272FB"/>
    <w:rsid w:val="00F275FB"/>
    <w:rsid w:val="00F27A4C"/>
    <w:rsid w:val="00F27B94"/>
    <w:rsid w:val="00F302AE"/>
    <w:rsid w:val="00F302B2"/>
    <w:rsid w:val="00F30460"/>
    <w:rsid w:val="00F30A34"/>
    <w:rsid w:val="00F30A97"/>
    <w:rsid w:val="00F317AE"/>
    <w:rsid w:val="00F3184A"/>
    <w:rsid w:val="00F31B36"/>
    <w:rsid w:val="00F31D8E"/>
    <w:rsid w:val="00F3240B"/>
    <w:rsid w:val="00F32907"/>
    <w:rsid w:val="00F32CA9"/>
    <w:rsid w:val="00F32EDE"/>
    <w:rsid w:val="00F341A0"/>
    <w:rsid w:val="00F3453D"/>
    <w:rsid w:val="00F34E74"/>
    <w:rsid w:val="00F35578"/>
    <w:rsid w:val="00F35F81"/>
    <w:rsid w:val="00F362F1"/>
    <w:rsid w:val="00F36782"/>
    <w:rsid w:val="00F36CE8"/>
    <w:rsid w:val="00F36E37"/>
    <w:rsid w:val="00F36EA9"/>
    <w:rsid w:val="00F36FDB"/>
    <w:rsid w:val="00F374FA"/>
    <w:rsid w:val="00F37734"/>
    <w:rsid w:val="00F3790E"/>
    <w:rsid w:val="00F37DF1"/>
    <w:rsid w:val="00F400C0"/>
    <w:rsid w:val="00F403E3"/>
    <w:rsid w:val="00F405FC"/>
    <w:rsid w:val="00F40F4D"/>
    <w:rsid w:val="00F40FF2"/>
    <w:rsid w:val="00F413FA"/>
    <w:rsid w:val="00F41B26"/>
    <w:rsid w:val="00F425D3"/>
    <w:rsid w:val="00F42D4A"/>
    <w:rsid w:val="00F4308A"/>
    <w:rsid w:val="00F4331A"/>
    <w:rsid w:val="00F43365"/>
    <w:rsid w:val="00F4351E"/>
    <w:rsid w:val="00F435D3"/>
    <w:rsid w:val="00F43620"/>
    <w:rsid w:val="00F437ED"/>
    <w:rsid w:val="00F43BCF"/>
    <w:rsid w:val="00F43BD4"/>
    <w:rsid w:val="00F43C01"/>
    <w:rsid w:val="00F442FE"/>
    <w:rsid w:val="00F44781"/>
    <w:rsid w:val="00F44A1A"/>
    <w:rsid w:val="00F44FE6"/>
    <w:rsid w:val="00F452ED"/>
    <w:rsid w:val="00F45706"/>
    <w:rsid w:val="00F4576A"/>
    <w:rsid w:val="00F457E5"/>
    <w:rsid w:val="00F45C8B"/>
    <w:rsid w:val="00F45F38"/>
    <w:rsid w:val="00F45FAD"/>
    <w:rsid w:val="00F4656B"/>
    <w:rsid w:val="00F4666A"/>
    <w:rsid w:val="00F46B13"/>
    <w:rsid w:val="00F46D31"/>
    <w:rsid w:val="00F47059"/>
    <w:rsid w:val="00F47746"/>
    <w:rsid w:val="00F47AEE"/>
    <w:rsid w:val="00F47B53"/>
    <w:rsid w:val="00F50F6D"/>
    <w:rsid w:val="00F51345"/>
    <w:rsid w:val="00F517D4"/>
    <w:rsid w:val="00F51955"/>
    <w:rsid w:val="00F51DAE"/>
    <w:rsid w:val="00F5266F"/>
    <w:rsid w:val="00F528D1"/>
    <w:rsid w:val="00F52F37"/>
    <w:rsid w:val="00F5301A"/>
    <w:rsid w:val="00F53725"/>
    <w:rsid w:val="00F541CB"/>
    <w:rsid w:val="00F54AA3"/>
    <w:rsid w:val="00F54C24"/>
    <w:rsid w:val="00F54D68"/>
    <w:rsid w:val="00F553C4"/>
    <w:rsid w:val="00F57551"/>
    <w:rsid w:val="00F57B10"/>
    <w:rsid w:val="00F60112"/>
    <w:rsid w:val="00F6038F"/>
    <w:rsid w:val="00F606F7"/>
    <w:rsid w:val="00F606FB"/>
    <w:rsid w:val="00F6076F"/>
    <w:rsid w:val="00F6186C"/>
    <w:rsid w:val="00F6206E"/>
    <w:rsid w:val="00F62943"/>
    <w:rsid w:val="00F630E2"/>
    <w:rsid w:val="00F6327A"/>
    <w:rsid w:val="00F6363A"/>
    <w:rsid w:val="00F63871"/>
    <w:rsid w:val="00F641A9"/>
    <w:rsid w:val="00F64231"/>
    <w:rsid w:val="00F64E9C"/>
    <w:rsid w:val="00F655D3"/>
    <w:rsid w:val="00F65771"/>
    <w:rsid w:val="00F65BAA"/>
    <w:rsid w:val="00F65EC6"/>
    <w:rsid w:val="00F6643B"/>
    <w:rsid w:val="00F670E6"/>
    <w:rsid w:val="00F701DD"/>
    <w:rsid w:val="00F70BEF"/>
    <w:rsid w:val="00F717E9"/>
    <w:rsid w:val="00F71E65"/>
    <w:rsid w:val="00F71EE9"/>
    <w:rsid w:val="00F721FB"/>
    <w:rsid w:val="00F723C6"/>
    <w:rsid w:val="00F728B8"/>
    <w:rsid w:val="00F73F1F"/>
    <w:rsid w:val="00F74551"/>
    <w:rsid w:val="00F75240"/>
    <w:rsid w:val="00F75284"/>
    <w:rsid w:val="00F75853"/>
    <w:rsid w:val="00F764CC"/>
    <w:rsid w:val="00F76A93"/>
    <w:rsid w:val="00F76B10"/>
    <w:rsid w:val="00F76B8A"/>
    <w:rsid w:val="00F77068"/>
    <w:rsid w:val="00F7742E"/>
    <w:rsid w:val="00F7759B"/>
    <w:rsid w:val="00F77734"/>
    <w:rsid w:val="00F777BD"/>
    <w:rsid w:val="00F802AC"/>
    <w:rsid w:val="00F805E9"/>
    <w:rsid w:val="00F8081A"/>
    <w:rsid w:val="00F80E56"/>
    <w:rsid w:val="00F81BFD"/>
    <w:rsid w:val="00F81FD1"/>
    <w:rsid w:val="00F82CC8"/>
    <w:rsid w:val="00F83235"/>
    <w:rsid w:val="00F8370D"/>
    <w:rsid w:val="00F838BC"/>
    <w:rsid w:val="00F84902"/>
    <w:rsid w:val="00F85915"/>
    <w:rsid w:val="00F86134"/>
    <w:rsid w:val="00F86319"/>
    <w:rsid w:val="00F86640"/>
    <w:rsid w:val="00F86736"/>
    <w:rsid w:val="00F8684B"/>
    <w:rsid w:val="00F8793C"/>
    <w:rsid w:val="00F87B87"/>
    <w:rsid w:val="00F90085"/>
    <w:rsid w:val="00F904DD"/>
    <w:rsid w:val="00F90AFD"/>
    <w:rsid w:val="00F91522"/>
    <w:rsid w:val="00F9189E"/>
    <w:rsid w:val="00F91C6A"/>
    <w:rsid w:val="00F93108"/>
    <w:rsid w:val="00F933B2"/>
    <w:rsid w:val="00F93456"/>
    <w:rsid w:val="00F9348C"/>
    <w:rsid w:val="00F934D4"/>
    <w:rsid w:val="00F93629"/>
    <w:rsid w:val="00F939FF"/>
    <w:rsid w:val="00F93AFF"/>
    <w:rsid w:val="00F93D7A"/>
    <w:rsid w:val="00F940C7"/>
    <w:rsid w:val="00F94BB5"/>
    <w:rsid w:val="00F94F16"/>
    <w:rsid w:val="00F958B4"/>
    <w:rsid w:val="00F96694"/>
    <w:rsid w:val="00F96DA6"/>
    <w:rsid w:val="00F97083"/>
    <w:rsid w:val="00F971CD"/>
    <w:rsid w:val="00F97573"/>
    <w:rsid w:val="00F97AE5"/>
    <w:rsid w:val="00FA09AE"/>
    <w:rsid w:val="00FA0C0C"/>
    <w:rsid w:val="00FA0C4E"/>
    <w:rsid w:val="00FA0E10"/>
    <w:rsid w:val="00FA1141"/>
    <w:rsid w:val="00FA14AE"/>
    <w:rsid w:val="00FA18DE"/>
    <w:rsid w:val="00FA20A6"/>
    <w:rsid w:val="00FA2613"/>
    <w:rsid w:val="00FA266D"/>
    <w:rsid w:val="00FA29E7"/>
    <w:rsid w:val="00FA2D1F"/>
    <w:rsid w:val="00FA2DDE"/>
    <w:rsid w:val="00FA2FF9"/>
    <w:rsid w:val="00FA3100"/>
    <w:rsid w:val="00FA3CE7"/>
    <w:rsid w:val="00FA43C5"/>
    <w:rsid w:val="00FA44AB"/>
    <w:rsid w:val="00FA4814"/>
    <w:rsid w:val="00FA4B16"/>
    <w:rsid w:val="00FA55C8"/>
    <w:rsid w:val="00FA5A0F"/>
    <w:rsid w:val="00FA5B67"/>
    <w:rsid w:val="00FA5D3D"/>
    <w:rsid w:val="00FA5F9D"/>
    <w:rsid w:val="00FA63A7"/>
    <w:rsid w:val="00FA6852"/>
    <w:rsid w:val="00FA69FD"/>
    <w:rsid w:val="00FA6B8D"/>
    <w:rsid w:val="00FA798A"/>
    <w:rsid w:val="00FA7B54"/>
    <w:rsid w:val="00FA7C65"/>
    <w:rsid w:val="00FB07F4"/>
    <w:rsid w:val="00FB08C1"/>
    <w:rsid w:val="00FB1455"/>
    <w:rsid w:val="00FB15BB"/>
    <w:rsid w:val="00FB18BC"/>
    <w:rsid w:val="00FB1DBC"/>
    <w:rsid w:val="00FB1E7E"/>
    <w:rsid w:val="00FB2CAF"/>
    <w:rsid w:val="00FB31F2"/>
    <w:rsid w:val="00FB32C8"/>
    <w:rsid w:val="00FB3302"/>
    <w:rsid w:val="00FB3413"/>
    <w:rsid w:val="00FB4001"/>
    <w:rsid w:val="00FB407B"/>
    <w:rsid w:val="00FB4260"/>
    <w:rsid w:val="00FB43A8"/>
    <w:rsid w:val="00FB448F"/>
    <w:rsid w:val="00FB46DA"/>
    <w:rsid w:val="00FB4F54"/>
    <w:rsid w:val="00FB51F7"/>
    <w:rsid w:val="00FB5AA1"/>
    <w:rsid w:val="00FB618C"/>
    <w:rsid w:val="00FB6927"/>
    <w:rsid w:val="00FB69AB"/>
    <w:rsid w:val="00FB69D5"/>
    <w:rsid w:val="00FB6CF1"/>
    <w:rsid w:val="00FB7078"/>
    <w:rsid w:val="00FB7190"/>
    <w:rsid w:val="00FB72A0"/>
    <w:rsid w:val="00FC0ABA"/>
    <w:rsid w:val="00FC0AC6"/>
    <w:rsid w:val="00FC0B4C"/>
    <w:rsid w:val="00FC0D5D"/>
    <w:rsid w:val="00FC1068"/>
    <w:rsid w:val="00FC10DF"/>
    <w:rsid w:val="00FC1989"/>
    <w:rsid w:val="00FC1D46"/>
    <w:rsid w:val="00FC1D48"/>
    <w:rsid w:val="00FC1DD1"/>
    <w:rsid w:val="00FC1EA5"/>
    <w:rsid w:val="00FC240D"/>
    <w:rsid w:val="00FC32C4"/>
    <w:rsid w:val="00FC3C31"/>
    <w:rsid w:val="00FC3D7A"/>
    <w:rsid w:val="00FC4073"/>
    <w:rsid w:val="00FC418F"/>
    <w:rsid w:val="00FC4ED2"/>
    <w:rsid w:val="00FC51A9"/>
    <w:rsid w:val="00FC5278"/>
    <w:rsid w:val="00FC52C5"/>
    <w:rsid w:val="00FC549B"/>
    <w:rsid w:val="00FC580C"/>
    <w:rsid w:val="00FC5C21"/>
    <w:rsid w:val="00FC6C92"/>
    <w:rsid w:val="00FC712A"/>
    <w:rsid w:val="00FC7322"/>
    <w:rsid w:val="00FC736E"/>
    <w:rsid w:val="00FC7743"/>
    <w:rsid w:val="00FC7FBF"/>
    <w:rsid w:val="00FD0303"/>
    <w:rsid w:val="00FD0367"/>
    <w:rsid w:val="00FD06F1"/>
    <w:rsid w:val="00FD0C2F"/>
    <w:rsid w:val="00FD1AED"/>
    <w:rsid w:val="00FD1BA7"/>
    <w:rsid w:val="00FD22B3"/>
    <w:rsid w:val="00FD2814"/>
    <w:rsid w:val="00FD328B"/>
    <w:rsid w:val="00FD3F07"/>
    <w:rsid w:val="00FD48E5"/>
    <w:rsid w:val="00FD55E7"/>
    <w:rsid w:val="00FD584A"/>
    <w:rsid w:val="00FD5F26"/>
    <w:rsid w:val="00FD61A3"/>
    <w:rsid w:val="00FD6F5B"/>
    <w:rsid w:val="00FD70F8"/>
    <w:rsid w:val="00FD752B"/>
    <w:rsid w:val="00FD7C69"/>
    <w:rsid w:val="00FD7C86"/>
    <w:rsid w:val="00FE15FE"/>
    <w:rsid w:val="00FE1FC7"/>
    <w:rsid w:val="00FE25CA"/>
    <w:rsid w:val="00FE28EE"/>
    <w:rsid w:val="00FE2D84"/>
    <w:rsid w:val="00FE371E"/>
    <w:rsid w:val="00FE3771"/>
    <w:rsid w:val="00FE3A1C"/>
    <w:rsid w:val="00FE3A35"/>
    <w:rsid w:val="00FE3F3E"/>
    <w:rsid w:val="00FE4580"/>
    <w:rsid w:val="00FE4888"/>
    <w:rsid w:val="00FE4B56"/>
    <w:rsid w:val="00FE4DA9"/>
    <w:rsid w:val="00FE57A3"/>
    <w:rsid w:val="00FE59D3"/>
    <w:rsid w:val="00FE5E87"/>
    <w:rsid w:val="00FE628A"/>
    <w:rsid w:val="00FE6455"/>
    <w:rsid w:val="00FE6CEC"/>
    <w:rsid w:val="00FE6FB4"/>
    <w:rsid w:val="00FE77EB"/>
    <w:rsid w:val="00FE79A0"/>
    <w:rsid w:val="00FE7DE2"/>
    <w:rsid w:val="00FF024E"/>
    <w:rsid w:val="00FF03D2"/>
    <w:rsid w:val="00FF044B"/>
    <w:rsid w:val="00FF05D8"/>
    <w:rsid w:val="00FF0E99"/>
    <w:rsid w:val="00FF1278"/>
    <w:rsid w:val="00FF15DF"/>
    <w:rsid w:val="00FF1773"/>
    <w:rsid w:val="00FF179A"/>
    <w:rsid w:val="00FF23D2"/>
    <w:rsid w:val="00FF30F7"/>
    <w:rsid w:val="00FF3445"/>
    <w:rsid w:val="00FF355E"/>
    <w:rsid w:val="00FF36A4"/>
    <w:rsid w:val="00FF3A5A"/>
    <w:rsid w:val="00FF4D09"/>
    <w:rsid w:val="00FF509F"/>
    <w:rsid w:val="00FF55C8"/>
    <w:rsid w:val="00FF5B4D"/>
    <w:rsid w:val="00FF6757"/>
    <w:rsid w:val="00FF68B6"/>
    <w:rsid w:val="011241E8"/>
    <w:rsid w:val="0113DCC1"/>
    <w:rsid w:val="011BDB26"/>
    <w:rsid w:val="0122D2FF"/>
    <w:rsid w:val="012F3DCB"/>
    <w:rsid w:val="013128E1"/>
    <w:rsid w:val="013161C6"/>
    <w:rsid w:val="0131B651"/>
    <w:rsid w:val="0131EFA1"/>
    <w:rsid w:val="013387D4"/>
    <w:rsid w:val="01378816"/>
    <w:rsid w:val="013E8E0B"/>
    <w:rsid w:val="01401042"/>
    <w:rsid w:val="014586EF"/>
    <w:rsid w:val="0157BF0B"/>
    <w:rsid w:val="0168F59B"/>
    <w:rsid w:val="0176266D"/>
    <w:rsid w:val="01791E98"/>
    <w:rsid w:val="017D2FDB"/>
    <w:rsid w:val="01992C69"/>
    <w:rsid w:val="01AE40EB"/>
    <w:rsid w:val="01C0CB79"/>
    <w:rsid w:val="01CF2419"/>
    <w:rsid w:val="01D00F59"/>
    <w:rsid w:val="01D8AC5A"/>
    <w:rsid w:val="01DB1D8E"/>
    <w:rsid w:val="01DC79E6"/>
    <w:rsid w:val="01DD3602"/>
    <w:rsid w:val="01DE7518"/>
    <w:rsid w:val="01E74F98"/>
    <w:rsid w:val="01E8C787"/>
    <w:rsid w:val="01EB184F"/>
    <w:rsid w:val="01F2CF34"/>
    <w:rsid w:val="01F2D827"/>
    <w:rsid w:val="01FD8F34"/>
    <w:rsid w:val="01FEB9F9"/>
    <w:rsid w:val="020D0605"/>
    <w:rsid w:val="020D9EDA"/>
    <w:rsid w:val="02188CDC"/>
    <w:rsid w:val="021C99B5"/>
    <w:rsid w:val="0220E604"/>
    <w:rsid w:val="0229BF88"/>
    <w:rsid w:val="022D45BE"/>
    <w:rsid w:val="02328F9F"/>
    <w:rsid w:val="02401999"/>
    <w:rsid w:val="02440069"/>
    <w:rsid w:val="02479A55"/>
    <w:rsid w:val="0248C0DF"/>
    <w:rsid w:val="024CCDDD"/>
    <w:rsid w:val="0254396F"/>
    <w:rsid w:val="0256A5E9"/>
    <w:rsid w:val="0258E1CD"/>
    <w:rsid w:val="0260AD78"/>
    <w:rsid w:val="026F8823"/>
    <w:rsid w:val="02740F10"/>
    <w:rsid w:val="0275B15E"/>
    <w:rsid w:val="027A4A9D"/>
    <w:rsid w:val="027DAB9D"/>
    <w:rsid w:val="027E7DAC"/>
    <w:rsid w:val="0281969F"/>
    <w:rsid w:val="02888B51"/>
    <w:rsid w:val="0289CFF4"/>
    <w:rsid w:val="028D09B5"/>
    <w:rsid w:val="02991180"/>
    <w:rsid w:val="02ACF3FE"/>
    <w:rsid w:val="02B32B5E"/>
    <w:rsid w:val="02C3E6DC"/>
    <w:rsid w:val="02DF9474"/>
    <w:rsid w:val="0307AE21"/>
    <w:rsid w:val="030F7448"/>
    <w:rsid w:val="031049A8"/>
    <w:rsid w:val="03200AC6"/>
    <w:rsid w:val="03376551"/>
    <w:rsid w:val="03507E4C"/>
    <w:rsid w:val="0387B27F"/>
    <w:rsid w:val="039D2279"/>
    <w:rsid w:val="039EE083"/>
    <w:rsid w:val="039F246F"/>
    <w:rsid w:val="03AF392E"/>
    <w:rsid w:val="03AFCD0E"/>
    <w:rsid w:val="03B4B7AD"/>
    <w:rsid w:val="03B7CD69"/>
    <w:rsid w:val="03BCC627"/>
    <w:rsid w:val="03BEFA03"/>
    <w:rsid w:val="03C46D8D"/>
    <w:rsid w:val="03C4EB9F"/>
    <w:rsid w:val="03D13130"/>
    <w:rsid w:val="03D33CCE"/>
    <w:rsid w:val="03D436E2"/>
    <w:rsid w:val="03D7AFB5"/>
    <w:rsid w:val="03ED18E1"/>
    <w:rsid w:val="03F2CBFB"/>
    <w:rsid w:val="03FD6258"/>
    <w:rsid w:val="0406F0E7"/>
    <w:rsid w:val="040CE190"/>
    <w:rsid w:val="040E1CEC"/>
    <w:rsid w:val="041C550C"/>
    <w:rsid w:val="04220CCA"/>
    <w:rsid w:val="04239DE2"/>
    <w:rsid w:val="042CDE7F"/>
    <w:rsid w:val="0433A34C"/>
    <w:rsid w:val="0433EAD5"/>
    <w:rsid w:val="0436D7F3"/>
    <w:rsid w:val="0437A0A2"/>
    <w:rsid w:val="043C7E8B"/>
    <w:rsid w:val="04447129"/>
    <w:rsid w:val="044A10CD"/>
    <w:rsid w:val="044EB56F"/>
    <w:rsid w:val="04542DD9"/>
    <w:rsid w:val="04554538"/>
    <w:rsid w:val="0458E57F"/>
    <w:rsid w:val="045DE036"/>
    <w:rsid w:val="04668A59"/>
    <w:rsid w:val="0467F4F6"/>
    <w:rsid w:val="0475E058"/>
    <w:rsid w:val="047E7082"/>
    <w:rsid w:val="0482B1C6"/>
    <w:rsid w:val="0497030A"/>
    <w:rsid w:val="0497467D"/>
    <w:rsid w:val="04975A73"/>
    <w:rsid w:val="04A3E9BA"/>
    <w:rsid w:val="04A88B60"/>
    <w:rsid w:val="04A8A8FB"/>
    <w:rsid w:val="04B1DC58"/>
    <w:rsid w:val="04BF133C"/>
    <w:rsid w:val="04C375DC"/>
    <w:rsid w:val="04C52D50"/>
    <w:rsid w:val="04C56F84"/>
    <w:rsid w:val="04CC016C"/>
    <w:rsid w:val="04D4266D"/>
    <w:rsid w:val="04DB0148"/>
    <w:rsid w:val="04F1B994"/>
    <w:rsid w:val="04F23167"/>
    <w:rsid w:val="04FA5220"/>
    <w:rsid w:val="04FB3497"/>
    <w:rsid w:val="050BFAE6"/>
    <w:rsid w:val="050FE7E3"/>
    <w:rsid w:val="0511CB84"/>
    <w:rsid w:val="0517A270"/>
    <w:rsid w:val="051837AF"/>
    <w:rsid w:val="05232DB5"/>
    <w:rsid w:val="05287136"/>
    <w:rsid w:val="052EC50A"/>
    <w:rsid w:val="0533D202"/>
    <w:rsid w:val="05350C73"/>
    <w:rsid w:val="053E01E6"/>
    <w:rsid w:val="053F0131"/>
    <w:rsid w:val="0548DBB9"/>
    <w:rsid w:val="0548F271"/>
    <w:rsid w:val="054F9829"/>
    <w:rsid w:val="0559D532"/>
    <w:rsid w:val="055F6018"/>
    <w:rsid w:val="0561AC07"/>
    <w:rsid w:val="0566D393"/>
    <w:rsid w:val="056BD30A"/>
    <w:rsid w:val="0572ACF3"/>
    <w:rsid w:val="057C871C"/>
    <w:rsid w:val="057D16FF"/>
    <w:rsid w:val="0581AE2B"/>
    <w:rsid w:val="058998D1"/>
    <w:rsid w:val="0591CDC2"/>
    <w:rsid w:val="05931778"/>
    <w:rsid w:val="0596A824"/>
    <w:rsid w:val="05A6D2A1"/>
    <w:rsid w:val="05A7B27E"/>
    <w:rsid w:val="05B20C66"/>
    <w:rsid w:val="05B450A8"/>
    <w:rsid w:val="05B90A65"/>
    <w:rsid w:val="05C9871D"/>
    <w:rsid w:val="05C98A9E"/>
    <w:rsid w:val="05D039CE"/>
    <w:rsid w:val="05D114A9"/>
    <w:rsid w:val="05D55D75"/>
    <w:rsid w:val="05D7403E"/>
    <w:rsid w:val="060D91C9"/>
    <w:rsid w:val="0617C420"/>
    <w:rsid w:val="0619D74F"/>
    <w:rsid w:val="061FA37B"/>
    <w:rsid w:val="0621C4CD"/>
    <w:rsid w:val="062A6A01"/>
    <w:rsid w:val="062DFF4A"/>
    <w:rsid w:val="0633C7EC"/>
    <w:rsid w:val="063E0B10"/>
    <w:rsid w:val="064A3358"/>
    <w:rsid w:val="0656AC4A"/>
    <w:rsid w:val="0660C5F2"/>
    <w:rsid w:val="0668D9FC"/>
    <w:rsid w:val="066A5CA2"/>
    <w:rsid w:val="066CE730"/>
    <w:rsid w:val="06712BDA"/>
    <w:rsid w:val="06798EA3"/>
    <w:rsid w:val="06935FD2"/>
    <w:rsid w:val="069B873A"/>
    <w:rsid w:val="06A2B767"/>
    <w:rsid w:val="06A77468"/>
    <w:rsid w:val="06A8ADE0"/>
    <w:rsid w:val="06C29FE0"/>
    <w:rsid w:val="06C4854F"/>
    <w:rsid w:val="06D72DB1"/>
    <w:rsid w:val="06D996BF"/>
    <w:rsid w:val="06D9DA2B"/>
    <w:rsid w:val="06E9F6EE"/>
    <w:rsid w:val="070973D6"/>
    <w:rsid w:val="070E7CDD"/>
    <w:rsid w:val="071999BE"/>
    <w:rsid w:val="07276D7D"/>
    <w:rsid w:val="07279F7F"/>
    <w:rsid w:val="072E557E"/>
    <w:rsid w:val="0735BE72"/>
    <w:rsid w:val="0738AC3B"/>
    <w:rsid w:val="073DC346"/>
    <w:rsid w:val="074254A1"/>
    <w:rsid w:val="074C4B51"/>
    <w:rsid w:val="074D67FC"/>
    <w:rsid w:val="075080AA"/>
    <w:rsid w:val="07567EED"/>
    <w:rsid w:val="0757295A"/>
    <w:rsid w:val="075DD48C"/>
    <w:rsid w:val="0776CE3D"/>
    <w:rsid w:val="07796A06"/>
    <w:rsid w:val="078179CF"/>
    <w:rsid w:val="078906E4"/>
    <w:rsid w:val="0789B119"/>
    <w:rsid w:val="07A07FEB"/>
    <w:rsid w:val="07A30017"/>
    <w:rsid w:val="07B025F6"/>
    <w:rsid w:val="07CC4D38"/>
    <w:rsid w:val="07DBE8A2"/>
    <w:rsid w:val="07E0AB35"/>
    <w:rsid w:val="07E6D72E"/>
    <w:rsid w:val="07E786B6"/>
    <w:rsid w:val="07E990AA"/>
    <w:rsid w:val="08051EA7"/>
    <w:rsid w:val="0819B437"/>
    <w:rsid w:val="081AC541"/>
    <w:rsid w:val="082A6C7C"/>
    <w:rsid w:val="08327880"/>
    <w:rsid w:val="08389496"/>
    <w:rsid w:val="0839631D"/>
    <w:rsid w:val="083D666E"/>
    <w:rsid w:val="0849CE26"/>
    <w:rsid w:val="085A65E0"/>
    <w:rsid w:val="0868A84B"/>
    <w:rsid w:val="08763237"/>
    <w:rsid w:val="087A0050"/>
    <w:rsid w:val="08850AA8"/>
    <w:rsid w:val="089A2590"/>
    <w:rsid w:val="089B3D85"/>
    <w:rsid w:val="089D58FB"/>
    <w:rsid w:val="08AEC680"/>
    <w:rsid w:val="08BB862A"/>
    <w:rsid w:val="08C68BA5"/>
    <w:rsid w:val="08C8D1DF"/>
    <w:rsid w:val="08D10734"/>
    <w:rsid w:val="08D6DDD1"/>
    <w:rsid w:val="08D733F3"/>
    <w:rsid w:val="08DE6808"/>
    <w:rsid w:val="08E9EA10"/>
    <w:rsid w:val="0902908D"/>
    <w:rsid w:val="0906872A"/>
    <w:rsid w:val="090921B0"/>
    <w:rsid w:val="092A694C"/>
    <w:rsid w:val="092EB89D"/>
    <w:rsid w:val="092FB379"/>
    <w:rsid w:val="0936AB7B"/>
    <w:rsid w:val="093A65E3"/>
    <w:rsid w:val="093FFBB0"/>
    <w:rsid w:val="09439C5A"/>
    <w:rsid w:val="09446CD5"/>
    <w:rsid w:val="09506A84"/>
    <w:rsid w:val="09543A93"/>
    <w:rsid w:val="0954F626"/>
    <w:rsid w:val="09558BF8"/>
    <w:rsid w:val="095D8F71"/>
    <w:rsid w:val="095E5F06"/>
    <w:rsid w:val="095F9BB0"/>
    <w:rsid w:val="0963E45B"/>
    <w:rsid w:val="096D66BD"/>
    <w:rsid w:val="0973E848"/>
    <w:rsid w:val="097A53A5"/>
    <w:rsid w:val="09804B18"/>
    <w:rsid w:val="098E87B1"/>
    <w:rsid w:val="09940270"/>
    <w:rsid w:val="09945397"/>
    <w:rsid w:val="0996479D"/>
    <w:rsid w:val="09974D55"/>
    <w:rsid w:val="099C9952"/>
    <w:rsid w:val="09A398F0"/>
    <w:rsid w:val="09A97B94"/>
    <w:rsid w:val="09B76917"/>
    <w:rsid w:val="09C05238"/>
    <w:rsid w:val="09CADFDD"/>
    <w:rsid w:val="09E9729E"/>
    <w:rsid w:val="09EDF286"/>
    <w:rsid w:val="09EED0BF"/>
    <w:rsid w:val="09F1FB68"/>
    <w:rsid w:val="09FA3040"/>
    <w:rsid w:val="09FDD3F8"/>
    <w:rsid w:val="0A0054AF"/>
    <w:rsid w:val="0A01E6D3"/>
    <w:rsid w:val="0A04212A"/>
    <w:rsid w:val="0A0A2EF8"/>
    <w:rsid w:val="0A0CDD3E"/>
    <w:rsid w:val="0A1785B4"/>
    <w:rsid w:val="0A1EF826"/>
    <w:rsid w:val="0A20F85C"/>
    <w:rsid w:val="0A36900F"/>
    <w:rsid w:val="0A3AB392"/>
    <w:rsid w:val="0A3E5EBE"/>
    <w:rsid w:val="0A454B19"/>
    <w:rsid w:val="0A4D7EB6"/>
    <w:rsid w:val="0A4E5315"/>
    <w:rsid w:val="0A530C5C"/>
    <w:rsid w:val="0A56EF30"/>
    <w:rsid w:val="0A5A9489"/>
    <w:rsid w:val="0A5B0749"/>
    <w:rsid w:val="0A7637EC"/>
    <w:rsid w:val="0A8830A4"/>
    <w:rsid w:val="0A8CBF87"/>
    <w:rsid w:val="0A93131E"/>
    <w:rsid w:val="0A949081"/>
    <w:rsid w:val="0A9D0F25"/>
    <w:rsid w:val="0AA5F255"/>
    <w:rsid w:val="0AAC4940"/>
    <w:rsid w:val="0AAEEB80"/>
    <w:rsid w:val="0AB06CA1"/>
    <w:rsid w:val="0AB1E2F4"/>
    <w:rsid w:val="0AC739D5"/>
    <w:rsid w:val="0ACA2948"/>
    <w:rsid w:val="0ACB039F"/>
    <w:rsid w:val="0AD97C68"/>
    <w:rsid w:val="0AD980A7"/>
    <w:rsid w:val="0AF8886E"/>
    <w:rsid w:val="0AF8C083"/>
    <w:rsid w:val="0AFB5C57"/>
    <w:rsid w:val="0B01C1D8"/>
    <w:rsid w:val="0B02340A"/>
    <w:rsid w:val="0B02CAC4"/>
    <w:rsid w:val="0B294045"/>
    <w:rsid w:val="0B2CBCBA"/>
    <w:rsid w:val="0B31FAAB"/>
    <w:rsid w:val="0B37FF72"/>
    <w:rsid w:val="0B3D1869"/>
    <w:rsid w:val="0B59511D"/>
    <w:rsid w:val="0B624556"/>
    <w:rsid w:val="0B648377"/>
    <w:rsid w:val="0B72FF22"/>
    <w:rsid w:val="0B76DF8A"/>
    <w:rsid w:val="0B7A2E63"/>
    <w:rsid w:val="0B8BE66B"/>
    <w:rsid w:val="0B93215B"/>
    <w:rsid w:val="0B9501D3"/>
    <w:rsid w:val="0BAA9BB1"/>
    <w:rsid w:val="0BAB5CF1"/>
    <w:rsid w:val="0BAF707C"/>
    <w:rsid w:val="0BBA93BB"/>
    <w:rsid w:val="0BBD5510"/>
    <w:rsid w:val="0BC59245"/>
    <w:rsid w:val="0BC8E945"/>
    <w:rsid w:val="0BCC4FB0"/>
    <w:rsid w:val="0BCE22EB"/>
    <w:rsid w:val="0BCF2557"/>
    <w:rsid w:val="0BD5C145"/>
    <w:rsid w:val="0BD70EAA"/>
    <w:rsid w:val="0BD9BBB1"/>
    <w:rsid w:val="0BDAC087"/>
    <w:rsid w:val="0BDDE38E"/>
    <w:rsid w:val="0BEC807D"/>
    <w:rsid w:val="0BED3BB1"/>
    <w:rsid w:val="0BF38855"/>
    <w:rsid w:val="0BFC93CD"/>
    <w:rsid w:val="0BFFB82A"/>
    <w:rsid w:val="0BFFFB9B"/>
    <w:rsid w:val="0C022655"/>
    <w:rsid w:val="0C0312E3"/>
    <w:rsid w:val="0C09EBCE"/>
    <w:rsid w:val="0C0E6F53"/>
    <w:rsid w:val="0C10BFA3"/>
    <w:rsid w:val="0C1DFCC3"/>
    <w:rsid w:val="0C202186"/>
    <w:rsid w:val="0C27BB65"/>
    <w:rsid w:val="0C27BE3D"/>
    <w:rsid w:val="0C3160DD"/>
    <w:rsid w:val="0C338361"/>
    <w:rsid w:val="0C40BE04"/>
    <w:rsid w:val="0C49AB40"/>
    <w:rsid w:val="0C4FD4AA"/>
    <w:rsid w:val="0C537196"/>
    <w:rsid w:val="0C59C527"/>
    <w:rsid w:val="0C5A7E66"/>
    <w:rsid w:val="0C637509"/>
    <w:rsid w:val="0C64D428"/>
    <w:rsid w:val="0C754A7B"/>
    <w:rsid w:val="0C7C2C9F"/>
    <w:rsid w:val="0C7D8A16"/>
    <w:rsid w:val="0C82BF1C"/>
    <w:rsid w:val="0C872C5D"/>
    <w:rsid w:val="0C89C6AC"/>
    <w:rsid w:val="0C8C0BF2"/>
    <w:rsid w:val="0C90BC26"/>
    <w:rsid w:val="0C937DA3"/>
    <w:rsid w:val="0C93D96A"/>
    <w:rsid w:val="0C96EC1A"/>
    <w:rsid w:val="0CA8D752"/>
    <w:rsid w:val="0CAE18D6"/>
    <w:rsid w:val="0CB16C1D"/>
    <w:rsid w:val="0CB92384"/>
    <w:rsid w:val="0CBE58B8"/>
    <w:rsid w:val="0CBE8EC1"/>
    <w:rsid w:val="0CC41E94"/>
    <w:rsid w:val="0CC96FFF"/>
    <w:rsid w:val="0CCD6C9E"/>
    <w:rsid w:val="0CD7647D"/>
    <w:rsid w:val="0CDD7E7B"/>
    <w:rsid w:val="0CEE5CC0"/>
    <w:rsid w:val="0CFA1F6F"/>
    <w:rsid w:val="0CFB18AC"/>
    <w:rsid w:val="0CFD9051"/>
    <w:rsid w:val="0D11F37B"/>
    <w:rsid w:val="0D1F7CDB"/>
    <w:rsid w:val="0D21C9FF"/>
    <w:rsid w:val="0D23CCB6"/>
    <w:rsid w:val="0D2A7E7C"/>
    <w:rsid w:val="0D2AE73F"/>
    <w:rsid w:val="0D3A258C"/>
    <w:rsid w:val="0D4017BE"/>
    <w:rsid w:val="0D4564C8"/>
    <w:rsid w:val="0D488090"/>
    <w:rsid w:val="0D5F5860"/>
    <w:rsid w:val="0D62A6AF"/>
    <w:rsid w:val="0D6584A2"/>
    <w:rsid w:val="0D6F3EE9"/>
    <w:rsid w:val="0D7498F2"/>
    <w:rsid w:val="0D7D72CE"/>
    <w:rsid w:val="0D83A183"/>
    <w:rsid w:val="0D83B5A0"/>
    <w:rsid w:val="0D853F6F"/>
    <w:rsid w:val="0D8652C9"/>
    <w:rsid w:val="0D89D34D"/>
    <w:rsid w:val="0D8C09D3"/>
    <w:rsid w:val="0D9155E4"/>
    <w:rsid w:val="0D95000B"/>
    <w:rsid w:val="0D9643E3"/>
    <w:rsid w:val="0DA36473"/>
    <w:rsid w:val="0DB8051F"/>
    <w:rsid w:val="0DBF2E21"/>
    <w:rsid w:val="0DC6C98E"/>
    <w:rsid w:val="0DC88DCD"/>
    <w:rsid w:val="0DE19FB3"/>
    <w:rsid w:val="0DE5EC37"/>
    <w:rsid w:val="0DE6D1DE"/>
    <w:rsid w:val="0DE8938C"/>
    <w:rsid w:val="0DEDB96B"/>
    <w:rsid w:val="0DEEAF3B"/>
    <w:rsid w:val="0DF2B4AA"/>
    <w:rsid w:val="0DFA8BF1"/>
    <w:rsid w:val="0E0604A9"/>
    <w:rsid w:val="0E13D435"/>
    <w:rsid w:val="0E21CAAB"/>
    <w:rsid w:val="0E22A7F1"/>
    <w:rsid w:val="0E2378FB"/>
    <w:rsid w:val="0E251049"/>
    <w:rsid w:val="0E2737C1"/>
    <w:rsid w:val="0E2D4C17"/>
    <w:rsid w:val="0E2FCD79"/>
    <w:rsid w:val="0E3A18C4"/>
    <w:rsid w:val="0E3DA0A2"/>
    <w:rsid w:val="0E3DA288"/>
    <w:rsid w:val="0E3E54BF"/>
    <w:rsid w:val="0E4075AE"/>
    <w:rsid w:val="0E517DA6"/>
    <w:rsid w:val="0E5DB750"/>
    <w:rsid w:val="0E622B26"/>
    <w:rsid w:val="0E62A961"/>
    <w:rsid w:val="0E65B09E"/>
    <w:rsid w:val="0E676531"/>
    <w:rsid w:val="0E74B637"/>
    <w:rsid w:val="0E78367D"/>
    <w:rsid w:val="0E7A7AA7"/>
    <w:rsid w:val="0E84D708"/>
    <w:rsid w:val="0E862469"/>
    <w:rsid w:val="0E8C3823"/>
    <w:rsid w:val="0E8E0472"/>
    <w:rsid w:val="0E9DD26E"/>
    <w:rsid w:val="0EABD3BE"/>
    <w:rsid w:val="0ECCE3C0"/>
    <w:rsid w:val="0EDB82B2"/>
    <w:rsid w:val="0EE0D073"/>
    <w:rsid w:val="0EE27909"/>
    <w:rsid w:val="0EE5EBDF"/>
    <w:rsid w:val="0EE76C96"/>
    <w:rsid w:val="0EEB69CF"/>
    <w:rsid w:val="0EF0EB06"/>
    <w:rsid w:val="0EF41104"/>
    <w:rsid w:val="0F04D646"/>
    <w:rsid w:val="0F0D6DDB"/>
    <w:rsid w:val="0F29C941"/>
    <w:rsid w:val="0F3BEE90"/>
    <w:rsid w:val="0F3DBB95"/>
    <w:rsid w:val="0F41411C"/>
    <w:rsid w:val="0F44FC55"/>
    <w:rsid w:val="0F4E235C"/>
    <w:rsid w:val="0F522D92"/>
    <w:rsid w:val="0F56189E"/>
    <w:rsid w:val="0F5AB4AB"/>
    <w:rsid w:val="0F5B014E"/>
    <w:rsid w:val="0F664EE1"/>
    <w:rsid w:val="0F6C93E1"/>
    <w:rsid w:val="0F73C915"/>
    <w:rsid w:val="0F74E69C"/>
    <w:rsid w:val="0F7A3612"/>
    <w:rsid w:val="0F8124AB"/>
    <w:rsid w:val="0F94EAC2"/>
    <w:rsid w:val="0FA94902"/>
    <w:rsid w:val="0FAF2724"/>
    <w:rsid w:val="0FB8B710"/>
    <w:rsid w:val="0FB974DC"/>
    <w:rsid w:val="0FC2EFC4"/>
    <w:rsid w:val="0FCACF48"/>
    <w:rsid w:val="0FCE9409"/>
    <w:rsid w:val="0FCF1EF8"/>
    <w:rsid w:val="0FD33F32"/>
    <w:rsid w:val="0FE58D71"/>
    <w:rsid w:val="0FEA0863"/>
    <w:rsid w:val="0FF658A8"/>
    <w:rsid w:val="1003CA66"/>
    <w:rsid w:val="100C065F"/>
    <w:rsid w:val="100ECC44"/>
    <w:rsid w:val="101196F3"/>
    <w:rsid w:val="10128988"/>
    <w:rsid w:val="1035B1D9"/>
    <w:rsid w:val="10465787"/>
    <w:rsid w:val="10612A8D"/>
    <w:rsid w:val="1070C207"/>
    <w:rsid w:val="1070CC7C"/>
    <w:rsid w:val="1073403D"/>
    <w:rsid w:val="108F980D"/>
    <w:rsid w:val="10A27CFC"/>
    <w:rsid w:val="10A5462E"/>
    <w:rsid w:val="10AAF00D"/>
    <w:rsid w:val="10AF6B4E"/>
    <w:rsid w:val="10B81F56"/>
    <w:rsid w:val="10C1BD01"/>
    <w:rsid w:val="10C25A92"/>
    <w:rsid w:val="10C388BC"/>
    <w:rsid w:val="10C75CFE"/>
    <w:rsid w:val="10D7437E"/>
    <w:rsid w:val="10DCC146"/>
    <w:rsid w:val="10E1820F"/>
    <w:rsid w:val="10E6F376"/>
    <w:rsid w:val="10EB7EF8"/>
    <w:rsid w:val="10F9EDB8"/>
    <w:rsid w:val="10FC317D"/>
    <w:rsid w:val="110834AA"/>
    <w:rsid w:val="11130FF3"/>
    <w:rsid w:val="11163E83"/>
    <w:rsid w:val="1116434B"/>
    <w:rsid w:val="111828F1"/>
    <w:rsid w:val="11184638"/>
    <w:rsid w:val="111FC94F"/>
    <w:rsid w:val="1125B65D"/>
    <w:rsid w:val="112B8DA1"/>
    <w:rsid w:val="112C6453"/>
    <w:rsid w:val="1133D346"/>
    <w:rsid w:val="11489B4C"/>
    <w:rsid w:val="11529E30"/>
    <w:rsid w:val="1156390A"/>
    <w:rsid w:val="1159FFA2"/>
    <w:rsid w:val="115C49F4"/>
    <w:rsid w:val="1162D7A8"/>
    <w:rsid w:val="1163816D"/>
    <w:rsid w:val="116C17EF"/>
    <w:rsid w:val="117A65B5"/>
    <w:rsid w:val="117ABE97"/>
    <w:rsid w:val="118105EA"/>
    <w:rsid w:val="11978661"/>
    <w:rsid w:val="11A07FA9"/>
    <w:rsid w:val="11AA69B5"/>
    <w:rsid w:val="11B701D1"/>
    <w:rsid w:val="11C30EB3"/>
    <w:rsid w:val="11CC0FEC"/>
    <w:rsid w:val="11D1DF80"/>
    <w:rsid w:val="11D5478E"/>
    <w:rsid w:val="11D794FE"/>
    <w:rsid w:val="11E3C060"/>
    <w:rsid w:val="11EBD8C5"/>
    <w:rsid w:val="11F5765D"/>
    <w:rsid w:val="11F67F23"/>
    <w:rsid w:val="11FE86F4"/>
    <w:rsid w:val="120884FA"/>
    <w:rsid w:val="121F680E"/>
    <w:rsid w:val="12255226"/>
    <w:rsid w:val="12258700"/>
    <w:rsid w:val="12297BC6"/>
    <w:rsid w:val="122F33C9"/>
    <w:rsid w:val="123787A7"/>
    <w:rsid w:val="1239ABEC"/>
    <w:rsid w:val="123B729D"/>
    <w:rsid w:val="1250598B"/>
    <w:rsid w:val="1254487B"/>
    <w:rsid w:val="12572174"/>
    <w:rsid w:val="1258FDE5"/>
    <w:rsid w:val="128AF2EB"/>
    <w:rsid w:val="128CAD98"/>
    <w:rsid w:val="128F473E"/>
    <w:rsid w:val="12A9D113"/>
    <w:rsid w:val="12C18BC9"/>
    <w:rsid w:val="12C1C991"/>
    <w:rsid w:val="12C38764"/>
    <w:rsid w:val="12C4A77E"/>
    <w:rsid w:val="12C4AC4F"/>
    <w:rsid w:val="12CE25D3"/>
    <w:rsid w:val="12D50880"/>
    <w:rsid w:val="12D58DD1"/>
    <w:rsid w:val="12D6CC93"/>
    <w:rsid w:val="12F87E8E"/>
    <w:rsid w:val="12F932C7"/>
    <w:rsid w:val="12FC3C0E"/>
    <w:rsid w:val="12FCDECA"/>
    <w:rsid w:val="12FE687A"/>
    <w:rsid w:val="131A9F12"/>
    <w:rsid w:val="131C4439"/>
    <w:rsid w:val="131D3846"/>
    <w:rsid w:val="1339886D"/>
    <w:rsid w:val="133BC32F"/>
    <w:rsid w:val="133D9C0D"/>
    <w:rsid w:val="1352A5E9"/>
    <w:rsid w:val="135738B3"/>
    <w:rsid w:val="135C5336"/>
    <w:rsid w:val="135DA4B4"/>
    <w:rsid w:val="136D5433"/>
    <w:rsid w:val="136F3705"/>
    <w:rsid w:val="137081D9"/>
    <w:rsid w:val="1371801D"/>
    <w:rsid w:val="137904FB"/>
    <w:rsid w:val="139455D0"/>
    <w:rsid w:val="1398F4AE"/>
    <w:rsid w:val="13A851CE"/>
    <w:rsid w:val="13A91421"/>
    <w:rsid w:val="13B11D01"/>
    <w:rsid w:val="13B257E4"/>
    <w:rsid w:val="13B7BD70"/>
    <w:rsid w:val="13C37961"/>
    <w:rsid w:val="13CB9E93"/>
    <w:rsid w:val="13CD03AD"/>
    <w:rsid w:val="13E9B1D0"/>
    <w:rsid w:val="13F779DC"/>
    <w:rsid w:val="13F958C1"/>
    <w:rsid w:val="13FDF1AD"/>
    <w:rsid w:val="14005EE3"/>
    <w:rsid w:val="140078DD"/>
    <w:rsid w:val="140194C8"/>
    <w:rsid w:val="140A9B55"/>
    <w:rsid w:val="141CA9CE"/>
    <w:rsid w:val="14227D77"/>
    <w:rsid w:val="1422F1A4"/>
    <w:rsid w:val="1424148B"/>
    <w:rsid w:val="142C8D5F"/>
    <w:rsid w:val="142DE801"/>
    <w:rsid w:val="1433BE6C"/>
    <w:rsid w:val="144218BF"/>
    <w:rsid w:val="144A54D9"/>
    <w:rsid w:val="144D7F4F"/>
    <w:rsid w:val="144FFEC3"/>
    <w:rsid w:val="14513ABE"/>
    <w:rsid w:val="14532589"/>
    <w:rsid w:val="1453B500"/>
    <w:rsid w:val="146F097E"/>
    <w:rsid w:val="147305CE"/>
    <w:rsid w:val="1474C605"/>
    <w:rsid w:val="14767C5F"/>
    <w:rsid w:val="147E0B47"/>
    <w:rsid w:val="1482504B"/>
    <w:rsid w:val="148D54BB"/>
    <w:rsid w:val="148FD5C9"/>
    <w:rsid w:val="14AF721B"/>
    <w:rsid w:val="14B7A198"/>
    <w:rsid w:val="14BDFAA6"/>
    <w:rsid w:val="14C7B2BF"/>
    <w:rsid w:val="14D3C7C8"/>
    <w:rsid w:val="14EBE67C"/>
    <w:rsid w:val="1500F60D"/>
    <w:rsid w:val="1507F439"/>
    <w:rsid w:val="15140FEA"/>
    <w:rsid w:val="15211EEC"/>
    <w:rsid w:val="15278B37"/>
    <w:rsid w:val="152DE9DC"/>
    <w:rsid w:val="152EE59F"/>
    <w:rsid w:val="1532EC60"/>
    <w:rsid w:val="15347541"/>
    <w:rsid w:val="153516BE"/>
    <w:rsid w:val="15398547"/>
    <w:rsid w:val="1556DF2A"/>
    <w:rsid w:val="155FDBA1"/>
    <w:rsid w:val="156C9FCC"/>
    <w:rsid w:val="157938D4"/>
    <w:rsid w:val="157A7B4F"/>
    <w:rsid w:val="157D8A2E"/>
    <w:rsid w:val="15804E9F"/>
    <w:rsid w:val="159044F5"/>
    <w:rsid w:val="15927A3E"/>
    <w:rsid w:val="1596ED28"/>
    <w:rsid w:val="159B6705"/>
    <w:rsid w:val="15A36C27"/>
    <w:rsid w:val="15A7FFEF"/>
    <w:rsid w:val="15B62A3C"/>
    <w:rsid w:val="15CA35EC"/>
    <w:rsid w:val="15D250BB"/>
    <w:rsid w:val="15D46E2A"/>
    <w:rsid w:val="15DC9A20"/>
    <w:rsid w:val="15DE7C69"/>
    <w:rsid w:val="15ED1808"/>
    <w:rsid w:val="15EE950E"/>
    <w:rsid w:val="15F3B18D"/>
    <w:rsid w:val="15F64215"/>
    <w:rsid w:val="15F68785"/>
    <w:rsid w:val="15F9E4AF"/>
    <w:rsid w:val="15FCA08E"/>
    <w:rsid w:val="15FF1631"/>
    <w:rsid w:val="16137772"/>
    <w:rsid w:val="162A887A"/>
    <w:rsid w:val="162C66CB"/>
    <w:rsid w:val="1635AD1F"/>
    <w:rsid w:val="16360133"/>
    <w:rsid w:val="1636A12D"/>
    <w:rsid w:val="163887A2"/>
    <w:rsid w:val="1644BB70"/>
    <w:rsid w:val="1646B6D0"/>
    <w:rsid w:val="1656A379"/>
    <w:rsid w:val="1659C0E6"/>
    <w:rsid w:val="165CF84E"/>
    <w:rsid w:val="165F6F9D"/>
    <w:rsid w:val="16628180"/>
    <w:rsid w:val="1669B206"/>
    <w:rsid w:val="166AB69B"/>
    <w:rsid w:val="166E6B13"/>
    <w:rsid w:val="167DA3AA"/>
    <w:rsid w:val="167EF95C"/>
    <w:rsid w:val="16811604"/>
    <w:rsid w:val="168F835E"/>
    <w:rsid w:val="1691A19C"/>
    <w:rsid w:val="169C8574"/>
    <w:rsid w:val="169E1E2C"/>
    <w:rsid w:val="16A535FB"/>
    <w:rsid w:val="16A5DB61"/>
    <w:rsid w:val="16B2376D"/>
    <w:rsid w:val="16CAE663"/>
    <w:rsid w:val="16CD176D"/>
    <w:rsid w:val="16D75C8D"/>
    <w:rsid w:val="16E37011"/>
    <w:rsid w:val="16E83EE8"/>
    <w:rsid w:val="16EF5742"/>
    <w:rsid w:val="16EF835F"/>
    <w:rsid w:val="16F0D15F"/>
    <w:rsid w:val="16F1C651"/>
    <w:rsid w:val="16F69BE4"/>
    <w:rsid w:val="17001772"/>
    <w:rsid w:val="1701B4BD"/>
    <w:rsid w:val="171B68E2"/>
    <w:rsid w:val="171F7A00"/>
    <w:rsid w:val="1721AE15"/>
    <w:rsid w:val="1724558E"/>
    <w:rsid w:val="17263F31"/>
    <w:rsid w:val="172718AC"/>
    <w:rsid w:val="1728900A"/>
    <w:rsid w:val="1729C4D8"/>
    <w:rsid w:val="172EAE37"/>
    <w:rsid w:val="1734DBC3"/>
    <w:rsid w:val="1737FA99"/>
    <w:rsid w:val="1738642D"/>
    <w:rsid w:val="173AFBED"/>
    <w:rsid w:val="1741283F"/>
    <w:rsid w:val="17496C63"/>
    <w:rsid w:val="174C2F9C"/>
    <w:rsid w:val="174D4D09"/>
    <w:rsid w:val="174FA277"/>
    <w:rsid w:val="1751A35B"/>
    <w:rsid w:val="1756659A"/>
    <w:rsid w:val="175E73D4"/>
    <w:rsid w:val="176AC007"/>
    <w:rsid w:val="176DE942"/>
    <w:rsid w:val="176F7636"/>
    <w:rsid w:val="178D5EDF"/>
    <w:rsid w:val="178E447A"/>
    <w:rsid w:val="179EB5A0"/>
    <w:rsid w:val="17A8CC8B"/>
    <w:rsid w:val="17AD0690"/>
    <w:rsid w:val="17B2BB63"/>
    <w:rsid w:val="17B4DB6A"/>
    <w:rsid w:val="17B9F609"/>
    <w:rsid w:val="17BC116E"/>
    <w:rsid w:val="17BC3265"/>
    <w:rsid w:val="17C0A479"/>
    <w:rsid w:val="17C507F6"/>
    <w:rsid w:val="17C67D73"/>
    <w:rsid w:val="17E389C8"/>
    <w:rsid w:val="17E9618C"/>
    <w:rsid w:val="17F1B4DD"/>
    <w:rsid w:val="17F53B1C"/>
    <w:rsid w:val="17FA1CAD"/>
    <w:rsid w:val="17FADACF"/>
    <w:rsid w:val="17FE10E4"/>
    <w:rsid w:val="180707CE"/>
    <w:rsid w:val="18127579"/>
    <w:rsid w:val="18175146"/>
    <w:rsid w:val="181888E7"/>
    <w:rsid w:val="18239A10"/>
    <w:rsid w:val="1824D078"/>
    <w:rsid w:val="182AA6F5"/>
    <w:rsid w:val="182EA605"/>
    <w:rsid w:val="1832700C"/>
    <w:rsid w:val="184030B7"/>
    <w:rsid w:val="1870AB3F"/>
    <w:rsid w:val="18767C34"/>
    <w:rsid w:val="1887B0F4"/>
    <w:rsid w:val="188BF4A4"/>
    <w:rsid w:val="1897705C"/>
    <w:rsid w:val="18A95CCD"/>
    <w:rsid w:val="18AA3401"/>
    <w:rsid w:val="18B0E052"/>
    <w:rsid w:val="18B1093B"/>
    <w:rsid w:val="18B112CC"/>
    <w:rsid w:val="18B25DE7"/>
    <w:rsid w:val="18B2E86D"/>
    <w:rsid w:val="18C08CE3"/>
    <w:rsid w:val="18C4A3D1"/>
    <w:rsid w:val="18CCB37D"/>
    <w:rsid w:val="18CD0DC2"/>
    <w:rsid w:val="18CE50A9"/>
    <w:rsid w:val="18D09088"/>
    <w:rsid w:val="18D43912"/>
    <w:rsid w:val="18DEDC28"/>
    <w:rsid w:val="18E25BBE"/>
    <w:rsid w:val="18EB8506"/>
    <w:rsid w:val="18FBB2FD"/>
    <w:rsid w:val="1902A18E"/>
    <w:rsid w:val="190B9AE1"/>
    <w:rsid w:val="19195D1D"/>
    <w:rsid w:val="192606FB"/>
    <w:rsid w:val="19271B86"/>
    <w:rsid w:val="192B6A1D"/>
    <w:rsid w:val="1941D3AF"/>
    <w:rsid w:val="19483724"/>
    <w:rsid w:val="194E23FB"/>
    <w:rsid w:val="1964E51D"/>
    <w:rsid w:val="196BAB27"/>
    <w:rsid w:val="196C6C7A"/>
    <w:rsid w:val="196E2641"/>
    <w:rsid w:val="196F9D32"/>
    <w:rsid w:val="197DDA37"/>
    <w:rsid w:val="1987D0ED"/>
    <w:rsid w:val="198E07FD"/>
    <w:rsid w:val="199993DB"/>
    <w:rsid w:val="1999E906"/>
    <w:rsid w:val="19AB5114"/>
    <w:rsid w:val="19B01424"/>
    <w:rsid w:val="19C5C7C2"/>
    <w:rsid w:val="19C77E94"/>
    <w:rsid w:val="19CAC0DA"/>
    <w:rsid w:val="19CD29B0"/>
    <w:rsid w:val="19D167B1"/>
    <w:rsid w:val="19D515FB"/>
    <w:rsid w:val="19E00AA1"/>
    <w:rsid w:val="19E86C1B"/>
    <w:rsid w:val="19ED1245"/>
    <w:rsid w:val="19F66970"/>
    <w:rsid w:val="1A1223E6"/>
    <w:rsid w:val="1A28A3E6"/>
    <w:rsid w:val="1A319F58"/>
    <w:rsid w:val="1A350A0E"/>
    <w:rsid w:val="1A3894F9"/>
    <w:rsid w:val="1A3B4D48"/>
    <w:rsid w:val="1A45D944"/>
    <w:rsid w:val="1A475D11"/>
    <w:rsid w:val="1A4C1D2B"/>
    <w:rsid w:val="1A606200"/>
    <w:rsid w:val="1A6083D5"/>
    <w:rsid w:val="1A69BA69"/>
    <w:rsid w:val="1A73476D"/>
    <w:rsid w:val="1A743104"/>
    <w:rsid w:val="1A745D28"/>
    <w:rsid w:val="1A82A7BD"/>
    <w:rsid w:val="1A85B669"/>
    <w:rsid w:val="1A9FC6C8"/>
    <w:rsid w:val="1AAAC843"/>
    <w:rsid w:val="1AAD9137"/>
    <w:rsid w:val="1AAF2C96"/>
    <w:rsid w:val="1AB6CACB"/>
    <w:rsid w:val="1ABE4E96"/>
    <w:rsid w:val="1ABF1FC9"/>
    <w:rsid w:val="1AC95247"/>
    <w:rsid w:val="1ACC223F"/>
    <w:rsid w:val="1ACC30B2"/>
    <w:rsid w:val="1AD5D8D3"/>
    <w:rsid w:val="1AD898F5"/>
    <w:rsid w:val="1ADB00FF"/>
    <w:rsid w:val="1ADBD374"/>
    <w:rsid w:val="1ADD632C"/>
    <w:rsid w:val="1ADFC4DD"/>
    <w:rsid w:val="1AE6DBA3"/>
    <w:rsid w:val="1AE6F5E8"/>
    <w:rsid w:val="1AE70916"/>
    <w:rsid w:val="1AF719CF"/>
    <w:rsid w:val="1AF837C7"/>
    <w:rsid w:val="1AF9B0FE"/>
    <w:rsid w:val="1B0C1BFE"/>
    <w:rsid w:val="1B134765"/>
    <w:rsid w:val="1B25A4F8"/>
    <w:rsid w:val="1B27E217"/>
    <w:rsid w:val="1B2B2515"/>
    <w:rsid w:val="1B310E19"/>
    <w:rsid w:val="1B34DE86"/>
    <w:rsid w:val="1B396257"/>
    <w:rsid w:val="1B487812"/>
    <w:rsid w:val="1B4C5D15"/>
    <w:rsid w:val="1B589E35"/>
    <w:rsid w:val="1B5B9C1F"/>
    <w:rsid w:val="1B5DD2B4"/>
    <w:rsid w:val="1B5F813A"/>
    <w:rsid w:val="1B64F776"/>
    <w:rsid w:val="1B66A49B"/>
    <w:rsid w:val="1B81E9EB"/>
    <w:rsid w:val="1BA7C384"/>
    <w:rsid w:val="1BAB4F0E"/>
    <w:rsid w:val="1BB703E8"/>
    <w:rsid w:val="1BB82622"/>
    <w:rsid w:val="1BC9BE5B"/>
    <w:rsid w:val="1BD62C36"/>
    <w:rsid w:val="1BDB5E0F"/>
    <w:rsid w:val="1BE5082D"/>
    <w:rsid w:val="1BEAAA8E"/>
    <w:rsid w:val="1BED42A0"/>
    <w:rsid w:val="1BEFE236"/>
    <w:rsid w:val="1BF0E792"/>
    <w:rsid w:val="1BF10BEA"/>
    <w:rsid w:val="1C000CA2"/>
    <w:rsid w:val="1C0BB4C0"/>
    <w:rsid w:val="1C1178CE"/>
    <w:rsid w:val="1C2A0FB9"/>
    <w:rsid w:val="1C332992"/>
    <w:rsid w:val="1C348765"/>
    <w:rsid w:val="1C34E5B0"/>
    <w:rsid w:val="1C355B44"/>
    <w:rsid w:val="1C45AA8B"/>
    <w:rsid w:val="1C45FAE0"/>
    <w:rsid w:val="1C4B5180"/>
    <w:rsid w:val="1C4ED36F"/>
    <w:rsid w:val="1C55CD7C"/>
    <w:rsid w:val="1C5A63D3"/>
    <w:rsid w:val="1C5ACE53"/>
    <w:rsid w:val="1C5D3ED0"/>
    <w:rsid w:val="1C694CF8"/>
    <w:rsid w:val="1C73274B"/>
    <w:rsid w:val="1C747906"/>
    <w:rsid w:val="1C7FA0D6"/>
    <w:rsid w:val="1C875440"/>
    <w:rsid w:val="1C8EA9B4"/>
    <w:rsid w:val="1C92AC5D"/>
    <w:rsid w:val="1C92F252"/>
    <w:rsid w:val="1CADB18F"/>
    <w:rsid w:val="1CBEC5B0"/>
    <w:rsid w:val="1CC3B84D"/>
    <w:rsid w:val="1CC4F19D"/>
    <w:rsid w:val="1CD89E23"/>
    <w:rsid w:val="1CE5CE47"/>
    <w:rsid w:val="1CE62D40"/>
    <w:rsid w:val="1CE9384C"/>
    <w:rsid w:val="1CEB6E60"/>
    <w:rsid w:val="1CF01EDB"/>
    <w:rsid w:val="1D03EB18"/>
    <w:rsid w:val="1D0A5858"/>
    <w:rsid w:val="1D0D96AE"/>
    <w:rsid w:val="1D175A5D"/>
    <w:rsid w:val="1D21EAF1"/>
    <w:rsid w:val="1D242528"/>
    <w:rsid w:val="1D2A49F4"/>
    <w:rsid w:val="1D310766"/>
    <w:rsid w:val="1D3B7937"/>
    <w:rsid w:val="1D40CDFE"/>
    <w:rsid w:val="1D42EDC6"/>
    <w:rsid w:val="1D44B62C"/>
    <w:rsid w:val="1D460D7A"/>
    <w:rsid w:val="1D49FE13"/>
    <w:rsid w:val="1D5C38E2"/>
    <w:rsid w:val="1D703F53"/>
    <w:rsid w:val="1D7E8973"/>
    <w:rsid w:val="1D86CE3B"/>
    <w:rsid w:val="1D8E2FBC"/>
    <w:rsid w:val="1D9A9EA8"/>
    <w:rsid w:val="1D9E663C"/>
    <w:rsid w:val="1DA7A35E"/>
    <w:rsid w:val="1DAA130F"/>
    <w:rsid w:val="1DAD7C89"/>
    <w:rsid w:val="1DB5D500"/>
    <w:rsid w:val="1DB93507"/>
    <w:rsid w:val="1DC37661"/>
    <w:rsid w:val="1DCEB2E7"/>
    <w:rsid w:val="1DD434A9"/>
    <w:rsid w:val="1DD43568"/>
    <w:rsid w:val="1DE29064"/>
    <w:rsid w:val="1DE97419"/>
    <w:rsid w:val="1DED0175"/>
    <w:rsid w:val="1DF38E6B"/>
    <w:rsid w:val="1DF3EAF7"/>
    <w:rsid w:val="1DF8A169"/>
    <w:rsid w:val="1DFE748E"/>
    <w:rsid w:val="1DFF18D9"/>
    <w:rsid w:val="1E03568D"/>
    <w:rsid w:val="1E0500D0"/>
    <w:rsid w:val="1E07C5AB"/>
    <w:rsid w:val="1E08DAD6"/>
    <w:rsid w:val="1E1767C3"/>
    <w:rsid w:val="1E20FEC9"/>
    <w:rsid w:val="1E22FFBD"/>
    <w:rsid w:val="1E2E1DAB"/>
    <w:rsid w:val="1E36B159"/>
    <w:rsid w:val="1E3DE857"/>
    <w:rsid w:val="1E42FEBE"/>
    <w:rsid w:val="1E464411"/>
    <w:rsid w:val="1E54354E"/>
    <w:rsid w:val="1E592CE1"/>
    <w:rsid w:val="1E5CB038"/>
    <w:rsid w:val="1E5DDC8A"/>
    <w:rsid w:val="1E88B6CC"/>
    <w:rsid w:val="1E897FD0"/>
    <w:rsid w:val="1E8C405D"/>
    <w:rsid w:val="1E8FCD11"/>
    <w:rsid w:val="1E901480"/>
    <w:rsid w:val="1E9D1BCA"/>
    <w:rsid w:val="1EA2A0A5"/>
    <w:rsid w:val="1EB2B9B1"/>
    <w:rsid w:val="1ED383D7"/>
    <w:rsid w:val="1EDB4431"/>
    <w:rsid w:val="1EDD4C2A"/>
    <w:rsid w:val="1EDD7B36"/>
    <w:rsid w:val="1EDF7667"/>
    <w:rsid w:val="1EECCC3C"/>
    <w:rsid w:val="1EEF4F34"/>
    <w:rsid w:val="1EF82C02"/>
    <w:rsid w:val="1EF9D246"/>
    <w:rsid w:val="1F06C917"/>
    <w:rsid w:val="1F23047E"/>
    <w:rsid w:val="1F26EA6D"/>
    <w:rsid w:val="1F28076A"/>
    <w:rsid w:val="1F36B9D9"/>
    <w:rsid w:val="1F3B79DB"/>
    <w:rsid w:val="1F4247F1"/>
    <w:rsid w:val="1F460EA8"/>
    <w:rsid w:val="1F4A6BF7"/>
    <w:rsid w:val="1F592C4F"/>
    <w:rsid w:val="1F67E38A"/>
    <w:rsid w:val="1F6D0D56"/>
    <w:rsid w:val="1F7302A8"/>
    <w:rsid w:val="1F858819"/>
    <w:rsid w:val="1F97EC85"/>
    <w:rsid w:val="1FB3F24E"/>
    <w:rsid w:val="1FB77255"/>
    <w:rsid w:val="1FB8CADD"/>
    <w:rsid w:val="1FBBA318"/>
    <w:rsid w:val="1FC33FC6"/>
    <w:rsid w:val="1FC6FFD7"/>
    <w:rsid w:val="1FCA60C8"/>
    <w:rsid w:val="1FD0B9E0"/>
    <w:rsid w:val="1FE034A8"/>
    <w:rsid w:val="1FF3256C"/>
    <w:rsid w:val="1FF3EA4F"/>
    <w:rsid w:val="1FF6B83E"/>
    <w:rsid w:val="200C8077"/>
    <w:rsid w:val="200CFF33"/>
    <w:rsid w:val="200DE36B"/>
    <w:rsid w:val="200E9822"/>
    <w:rsid w:val="200FB23B"/>
    <w:rsid w:val="20139D0E"/>
    <w:rsid w:val="201C89A8"/>
    <w:rsid w:val="2024C5CE"/>
    <w:rsid w:val="202F603F"/>
    <w:rsid w:val="203856C6"/>
    <w:rsid w:val="2052CFB0"/>
    <w:rsid w:val="205C3FA8"/>
    <w:rsid w:val="205E625E"/>
    <w:rsid w:val="20624F6A"/>
    <w:rsid w:val="2063F869"/>
    <w:rsid w:val="2066698D"/>
    <w:rsid w:val="206BA8BC"/>
    <w:rsid w:val="20781322"/>
    <w:rsid w:val="2079FF28"/>
    <w:rsid w:val="2086A11C"/>
    <w:rsid w:val="208E1D02"/>
    <w:rsid w:val="209302E9"/>
    <w:rsid w:val="209C2775"/>
    <w:rsid w:val="20A7570A"/>
    <w:rsid w:val="20A80B3C"/>
    <w:rsid w:val="20AE508F"/>
    <w:rsid w:val="20BE6DF2"/>
    <w:rsid w:val="20C03365"/>
    <w:rsid w:val="20C1CEC7"/>
    <w:rsid w:val="20C64758"/>
    <w:rsid w:val="20CB4A81"/>
    <w:rsid w:val="20D3BAC4"/>
    <w:rsid w:val="20D9D56D"/>
    <w:rsid w:val="20E11091"/>
    <w:rsid w:val="20ED087F"/>
    <w:rsid w:val="20F2571D"/>
    <w:rsid w:val="20FC6FA4"/>
    <w:rsid w:val="20FD7F10"/>
    <w:rsid w:val="210AF883"/>
    <w:rsid w:val="210F417E"/>
    <w:rsid w:val="21174D2F"/>
    <w:rsid w:val="2124688C"/>
    <w:rsid w:val="2135520E"/>
    <w:rsid w:val="2135714F"/>
    <w:rsid w:val="2138D751"/>
    <w:rsid w:val="213940F4"/>
    <w:rsid w:val="2139787E"/>
    <w:rsid w:val="2149A33A"/>
    <w:rsid w:val="214A2F82"/>
    <w:rsid w:val="21553776"/>
    <w:rsid w:val="215C3672"/>
    <w:rsid w:val="2160934F"/>
    <w:rsid w:val="21639F37"/>
    <w:rsid w:val="21680BCE"/>
    <w:rsid w:val="216910EB"/>
    <w:rsid w:val="216EC699"/>
    <w:rsid w:val="2171BF03"/>
    <w:rsid w:val="218B190C"/>
    <w:rsid w:val="21A53626"/>
    <w:rsid w:val="21AA2495"/>
    <w:rsid w:val="21AB962D"/>
    <w:rsid w:val="21B94ABF"/>
    <w:rsid w:val="21BA78C6"/>
    <w:rsid w:val="21D23C90"/>
    <w:rsid w:val="21D30CC8"/>
    <w:rsid w:val="21E0A3D5"/>
    <w:rsid w:val="21E3F1CA"/>
    <w:rsid w:val="21EC7579"/>
    <w:rsid w:val="21EDEE69"/>
    <w:rsid w:val="21F56504"/>
    <w:rsid w:val="21F575E5"/>
    <w:rsid w:val="21F99B91"/>
    <w:rsid w:val="21FD468A"/>
    <w:rsid w:val="21FE8767"/>
    <w:rsid w:val="2202BC1C"/>
    <w:rsid w:val="22068AC2"/>
    <w:rsid w:val="22114386"/>
    <w:rsid w:val="221ECFAB"/>
    <w:rsid w:val="22297C3C"/>
    <w:rsid w:val="222A2878"/>
    <w:rsid w:val="222AFD61"/>
    <w:rsid w:val="22333A1D"/>
    <w:rsid w:val="223B56EE"/>
    <w:rsid w:val="2243C0FB"/>
    <w:rsid w:val="22546AA3"/>
    <w:rsid w:val="226EA4CA"/>
    <w:rsid w:val="2274E860"/>
    <w:rsid w:val="22786CA2"/>
    <w:rsid w:val="227E6C13"/>
    <w:rsid w:val="227F293B"/>
    <w:rsid w:val="228407BF"/>
    <w:rsid w:val="228B6EAC"/>
    <w:rsid w:val="228C124E"/>
    <w:rsid w:val="22A34D37"/>
    <w:rsid w:val="22C3D396"/>
    <w:rsid w:val="22D58AEA"/>
    <w:rsid w:val="22EAAE42"/>
    <w:rsid w:val="22ECF17D"/>
    <w:rsid w:val="22ED3E79"/>
    <w:rsid w:val="22F101C6"/>
    <w:rsid w:val="22F2E3E2"/>
    <w:rsid w:val="22F5B728"/>
    <w:rsid w:val="22FCCABF"/>
    <w:rsid w:val="22FE33B8"/>
    <w:rsid w:val="22FF0102"/>
    <w:rsid w:val="2315E444"/>
    <w:rsid w:val="2325664C"/>
    <w:rsid w:val="2331DBFB"/>
    <w:rsid w:val="233205A4"/>
    <w:rsid w:val="2338209F"/>
    <w:rsid w:val="2339FB59"/>
    <w:rsid w:val="23497339"/>
    <w:rsid w:val="234E2578"/>
    <w:rsid w:val="235051C0"/>
    <w:rsid w:val="23585FF8"/>
    <w:rsid w:val="2359EAC6"/>
    <w:rsid w:val="235A2EBA"/>
    <w:rsid w:val="235D2C48"/>
    <w:rsid w:val="235FE641"/>
    <w:rsid w:val="23651CB1"/>
    <w:rsid w:val="2367A27F"/>
    <w:rsid w:val="236D95C7"/>
    <w:rsid w:val="23730FF1"/>
    <w:rsid w:val="237351AB"/>
    <w:rsid w:val="2381D37A"/>
    <w:rsid w:val="2386834B"/>
    <w:rsid w:val="238CEA88"/>
    <w:rsid w:val="23A2C1FD"/>
    <w:rsid w:val="23A6E952"/>
    <w:rsid w:val="23B5C646"/>
    <w:rsid w:val="23BC3ACC"/>
    <w:rsid w:val="23BCB6D3"/>
    <w:rsid w:val="23C39E4F"/>
    <w:rsid w:val="23C69391"/>
    <w:rsid w:val="23C974C8"/>
    <w:rsid w:val="23D076BA"/>
    <w:rsid w:val="23DE39D7"/>
    <w:rsid w:val="23DFB90A"/>
    <w:rsid w:val="23E03C54"/>
    <w:rsid w:val="23E421AA"/>
    <w:rsid w:val="23F06F9D"/>
    <w:rsid w:val="23F79DBF"/>
    <w:rsid w:val="24014BCB"/>
    <w:rsid w:val="24154464"/>
    <w:rsid w:val="2420CC27"/>
    <w:rsid w:val="243D6C72"/>
    <w:rsid w:val="2441691E"/>
    <w:rsid w:val="24420D05"/>
    <w:rsid w:val="2447B1FC"/>
    <w:rsid w:val="24487CA4"/>
    <w:rsid w:val="2450A176"/>
    <w:rsid w:val="2450AF00"/>
    <w:rsid w:val="24575D50"/>
    <w:rsid w:val="24587A53"/>
    <w:rsid w:val="245B79A4"/>
    <w:rsid w:val="246B6F42"/>
    <w:rsid w:val="246CC9E3"/>
    <w:rsid w:val="246E2069"/>
    <w:rsid w:val="246EC75F"/>
    <w:rsid w:val="247D1FB1"/>
    <w:rsid w:val="2488E2A4"/>
    <w:rsid w:val="248A6050"/>
    <w:rsid w:val="248DD6DE"/>
    <w:rsid w:val="248EDBAA"/>
    <w:rsid w:val="24900B87"/>
    <w:rsid w:val="2496D5BC"/>
    <w:rsid w:val="249F4505"/>
    <w:rsid w:val="24A10D9B"/>
    <w:rsid w:val="24A6F3E8"/>
    <w:rsid w:val="24B7FE63"/>
    <w:rsid w:val="24BB29E4"/>
    <w:rsid w:val="24BED8EB"/>
    <w:rsid w:val="24BFE536"/>
    <w:rsid w:val="24C0FEDE"/>
    <w:rsid w:val="24C4012B"/>
    <w:rsid w:val="24C4E39E"/>
    <w:rsid w:val="24C9D380"/>
    <w:rsid w:val="24CB92DB"/>
    <w:rsid w:val="24CC30A8"/>
    <w:rsid w:val="24E97043"/>
    <w:rsid w:val="25025A15"/>
    <w:rsid w:val="2508EB54"/>
    <w:rsid w:val="250A2ABD"/>
    <w:rsid w:val="250FEFDA"/>
    <w:rsid w:val="250FF48F"/>
    <w:rsid w:val="25151DBD"/>
    <w:rsid w:val="251756A9"/>
    <w:rsid w:val="252EFFF5"/>
    <w:rsid w:val="2533016E"/>
    <w:rsid w:val="2535235A"/>
    <w:rsid w:val="25463C39"/>
    <w:rsid w:val="255700A8"/>
    <w:rsid w:val="255F7CBD"/>
    <w:rsid w:val="2569D423"/>
    <w:rsid w:val="256DDA1B"/>
    <w:rsid w:val="25779C55"/>
    <w:rsid w:val="257C7FB7"/>
    <w:rsid w:val="25837027"/>
    <w:rsid w:val="2587BC8F"/>
    <w:rsid w:val="25981540"/>
    <w:rsid w:val="25A08A87"/>
    <w:rsid w:val="25A760EB"/>
    <w:rsid w:val="25AC79CF"/>
    <w:rsid w:val="25B8264A"/>
    <w:rsid w:val="25C8586E"/>
    <w:rsid w:val="25C8A35D"/>
    <w:rsid w:val="25D59EB7"/>
    <w:rsid w:val="25D868BA"/>
    <w:rsid w:val="25DD1954"/>
    <w:rsid w:val="25E32567"/>
    <w:rsid w:val="25EC1B09"/>
    <w:rsid w:val="25F72660"/>
    <w:rsid w:val="25F96C1F"/>
    <w:rsid w:val="2609D82B"/>
    <w:rsid w:val="260EC079"/>
    <w:rsid w:val="262408A7"/>
    <w:rsid w:val="2631939A"/>
    <w:rsid w:val="26324F5F"/>
    <w:rsid w:val="2644B037"/>
    <w:rsid w:val="2655F227"/>
    <w:rsid w:val="265EF610"/>
    <w:rsid w:val="2663FBF2"/>
    <w:rsid w:val="267127FF"/>
    <w:rsid w:val="267A063A"/>
    <w:rsid w:val="267D362E"/>
    <w:rsid w:val="267E256D"/>
    <w:rsid w:val="268159E8"/>
    <w:rsid w:val="2689247D"/>
    <w:rsid w:val="2690A789"/>
    <w:rsid w:val="269E27D3"/>
    <w:rsid w:val="26AB0FEB"/>
    <w:rsid w:val="26B35CF8"/>
    <w:rsid w:val="26BF104E"/>
    <w:rsid w:val="26CA64B9"/>
    <w:rsid w:val="26D0B3C1"/>
    <w:rsid w:val="26D348F6"/>
    <w:rsid w:val="26D429DB"/>
    <w:rsid w:val="26D83D47"/>
    <w:rsid w:val="26DCF16C"/>
    <w:rsid w:val="26DD0FCD"/>
    <w:rsid w:val="26DE3092"/>
    <w:rsid w:val="26DE5942"/>
    <w:rsid w:val="26EEEA14"/>
    <w:rsid w:val="270C405F"/>
    <w:rsid w:val="27369054"/>
    <w:rsid w:val="274136D3"/>
    <w:rsid w:val="27420042"/>
    <w:rsid w:val="274709FA"/>
    <w:rsid w:val="274C0B7F"/>
    <w:rsid w:val="274FF387"/>
    <w:rsid w:val="2759724E"/>
    <w:rsid w:val="276290B9"/>
    <w:rsid w:val="2765DF3D"/>
    <w:rsid w:val="27720D50"/>
    <w:rsid w:val="27746BA9"/>
    <w:rsid w:val="277B706F"/>
    <w:rsid w:val="277D745D"/>
    <w:rsid w:val="2784169E"/>
    <w:rsid w:val="279A74E1"/>
    <w:rsid w:val="27B100EC"/>
    <w:rsid w:val="27B10D33"/>
    <w:rsid w:val="27B173CB"/>
    <w:rsid w:val="27B17F81"/>
    <w:rsid w:val="27B2B3BC"/>
    <w:rsid w:val="27B5D505"/>
    <w:rsid w:val="27CA71DC"/>
    <w:rsid w:val="27D0DEFB"/>
    <w:rsid w:val="27D97225"/>
    <w:rsid w:val="27DD9554"/>
    <w:rsid w:val="27E68B2E"/>
    <w:rsid w:val="27F23B44"/>
    <w:rsid w:val="27F9ABA6"/>
    <w:rsid w:val="27FDBFBF"/>
    <w:rsid w:val="2809A3F9"/>
    <w:rsid w:val="280EB18E"/>
    <w:rsid w:val="28128CAB"/>
    <w:rsid w:val="28131DF4"/>
    <w:rsid w:val="28134A4C"/>
    <w:rsid w:val="2818A794"/>
    <w:rsid w:val="281A5C6D"/>
    <w:rsid w:val="281CA595"/>
    <w:rsid w:val="2824E73B"/>
    <w:rsid w:val="282ED028"/>
    <w:rsid w:val="28337AA5"/>
    <w:rsid w:val="284E67CE"/>
    <w:rsid w:val="285180DC"/>
    <w:rsid w:val="2854FA50"/>
    <w:rsid w:val="2855EEFA"/>
    <w:rsid w:val="28588305"/>
    <w:rsid w:val="285AB1E7"/>
    <w:rsid w:val="285D539D"/>
    <w:rsid w:val="285EB7C8"/>
    <w:rsid w:val="286298E6"/>
    <w:rsid w:val="28706553"/>
    <w:rsid w:val="28765278"/>
    <w:rsid w:val="28882F2E"/>
    <w:rsid w:val="28957F5F"/>
    <w:rsid w:val="289FFD65"/>
    <w:rsid w:val="28AAD6FD"/>
    <w:rsid w:val="28B1522F"/>
    <w:rsid w:val="28BD5955"/>
    <w:rsid w:val="28C193BE"/>
    <w:rsid w:val="28C33043"/>
    <w:rsid w:val="28C98218"/>
    <w:rsid w:val="28D1F898"/>
    <w:rsid w:val="28D2F649"/>
    <w:rsid w:val="28DFDC7C"/>
    <w:rsid w:val="28E125EA"/>
    <w:rsid w:val="28E4A114"/>
    <w:rsid w:val="28E8C938"/>
    <w:rsid w:val="28E8DFE5"/>
    <w:rsid w:val="28E90B7D"/>
    <w:rsid w:val="28EC083B"/>
    <w:rsid w:val="28F2195D"/>
    <w:rsid w:val="28F22EB5"/>
    <w:rsid w:val="28FB0FA9"/>
    <w:rsid w:val="28FF99BD"/>
    <w:rsid w:val="29002B81"/>
    <w:rsid w:val="2901AEF9"/>
    <w:rsid w:val="29099747"/>
    <w:rsid w:val="29250DF5"/>
    <w:rsid w:val="29324A8B"/>
    <w:rsid w:val="294AF51F"/>
    <w:rsid w:val="29515723"/>
    <w:rsid w:val="2953104B"/>
    <w:rsid w:val="2958DE18"/>
    <w:rsid w:val="295F88B5"/>
    <w:rsid w:val="297DBAEE"/>
    <w:rsid w:val="299422FA"/>
    <w:rsid w:val="2995FDD6"/>
    <w:rsid w:val="29A3CBD4"/>
    <w:rsid w:val="29BD91AE"/>
    <w:rsid w:val="29CE9AF2"/>
    <w:rsid w:val="29DE85FD"/>
    <w:rsid w:val="29E3D421"/>
    <w:rsid w:val="29F1C99C"/>
    <w:rsid w:val="2A1A0000"/>
    <w:rsid w:val="2A247C4C"/>
    <w:rsid w:val="2A255740"/>
    <w:rsid w:val="2A28BC2D"/>
    <w:rsid w:val="2A2E9BD8"/>
    <w:rsid w:val="2A3D0E67"/>
    <w:rsid w:val="2A415D82"/>
    <w:rsid w:val="2A4D5DED"/>
    <w:rsid w:val="2A58C8CF"/>
    <w:rsid w:val="2A606242"/>
    <w:rsid w:val="2A6310D6"/>
    <w:rsid w:val="2A6C5352"/>
    <w:rsid w:val="2A76DA00"/>
    <w:rsid w:val="2A8A3688"/>
    <w:rsid w:val="2A990FD6"/>
    <w:rsid w:val="2AA2C69E"/>
    <w:rsid w:val="2AAC311B"/>
    <w:rsid w:val="2AAE2E0F"/>
    <w:rsid w:val="2AB1B7DC"/>
    <w:rsid w:val="2AB88994"/>
    <w:rsid w:val="2AC14C45"/>
    <w:rsid w:val="2AC5383D"/>
    <w:rsid w:val="2AC80E5D"/>
    <w:rsid w:val="2ACC076D"/>
    <w:rsid w:val="2AD1C0CC"/>
    <w:rsid w:val="2AD835F1"/>
    <w:rsid w:val="2AE83F86"/>
    <w:rsid w:val="2AF5FBEF"/>
    <w:rsid w:val="2B010F14"/>
    <w:rsid w:val="2B028A32"/>
    <w:rsid w:val="2B089F4A"/>
    <w:rsid w:val="2B0E870D"/>
    <w:rsid w:val="2B175225"/>
    <w:rsid w:val="2B1AD0E0"/>
    <w:rsid w:val="2B21A256"/>
    <w:rsid w:val="2B2DCC0A"/>
    <w:rsid w:val="2B30A3AA"/>
    <w:rsid w:val="2B338561"/>
    <w:rsid w:val="2B3EEEE3"/>
    <w:rsid w:val="2B54F714"/>
    <w:rsid w:val="2B58FC82"/>
    <w:rsid w:val="2B596A0E"/>
    <w:rsid w:val="2B5A9ED6"/>
    <w:rsid w:val="2B5B0650"/>
    <w:rsid w:val="2B5C2F78"/>
    <w:rsid w:val="2B64A8B6"/>
    <w:rsid w:val="2B6510C2"/>
    <w:rsid w:val="2B7F7105"/>
    <w:rsid w:val="2B811B6B"/>
    <w:rsid w:val="2B852FE4"/>
    <w:rsid w:val="2B92C063"/>
    <w:rsid w:val="2BB5FB61"/>
    <w:rsid w:val="2BB9A406"/>
    <w:rsid w:val="2BB9DC6F"/>
    <w:rsid w:val="2BBD499F"/>
    <w:rsid w:val="2BBF7608"/>
    <w:rsid w:val="2BC153D0"/>
    <w:rsid w:val="2BC6EE5C"/>
    <w:rsid w:val="2BEAF749"/>
    <w:rsid w:val="2BED43F8"/>
    <w:rsid w:val="2BED542E"/>
    <w:rsid w:val="2BF35607"/>
    <w:rsid w:val="2BF3E537"/>
    <w:rsid w:val="2BF43376"/>
    <w:rsid w:val="2C00AF28"/>
    <w:rsid w:val="2C094147"/>
    <w:rsid w:val="2C1188B3"/>
    <w:rsid w:val="2C1698CC"/>
    <w:rsid w:val="2C200901"/>
    <w:rsid w:val="2C20274C"/>
    <w:rsid w:val="2C2A23E2"/>
    <w:rsid w:val="2C2FA9D4"/>
    <w:rsid w:val="2C3505CF"/>
    <w:rsid w:val="2C39F0A8"/>
    <w:rsid w:val="2C3F559D"/>
    <w:rsid w:val="2C440C2E"/>
    <w:rsid w:val="2C4C08D8"/>
    <w:rsid w:val="2C5905A0"/>
    <w:rsid w:val="2C5FDF0C"/>
    <w:rsid w:val="2C68B9C0"/>
    <w:rsid w:val="2C75D494"/>
    <w:rsid w:val="2C7683B6"/>
    <w:rsid w:val="2C79D0FF"/>
    <w:rsid w:val="2C87EC47"/>
    <w:rsid w:val="2C88E350"/>
    <w:rsid w:val="2C89EB26"/>
    <w:rsid w:val="2C8D27C7"/>
    <w:rsid w:val="2C8E3F8C"/>
    <w:rsid w:val="2C9B4F71"/>
    <w:rsid w:val="2C9E4E7E"/>
    <w:rsid w:val="2CA1BF53"/>
    <w:rsid w:val="2CA6A6CC"/>
    <w:rsid w:val="2CA74C9B"/>
    <w:rsid w:val="2CA795FC"/>
    <w:rsid w:val="2CB5D764"/>
    <w:rsid w:val="2CB65032"/>
    <w:rsid w:val="2CB85D1E"/>
    <w:rsid w:val="2CBD152E"/>
    <w:rsid w:val="2CC6F985"/>
    <w:rsid w:val="2CCA9FE0"/>
    <w:rsid w:val="2CCC633F"/>
    <w:rsid w:val="2CD28CCD"/>
    <w:rsid w:val="2CD5BDA9"/>
    <w:rsid w:val="2CE2795E"/>
    <w:rsid w:val="2CE69C19"/>
    <w:rsid w:val="2D098950"/>
    <w:rsid w:val="2D13E0DE"/>
    <w:rsid w:val="2D1A6B35"/>
    <w:rsid w:val="2D1A9017"/>
    <w:rsid w:val="2D307B3D"/>
    <w:rsid w:val="2D3183A1"/>
    <w:rsid w:val="2D3F5168"/>
    <w:rsid w:val="2D41A58B"/>
    <w:rsid w:val="2D4BAC5B"/>
    <w:rsid w:val="2D52DFE5"/>
    <w:rsid w:val="2D5F1F97"/>
    <w:rsid w:val="2D601776"/>
    <w:rsid w:val="2D640255"/>
    <w:rsid w:val="2D67ED2A"/>
    <w:rsid w:val="2D6E916B"/>
    <w:rsid w:val="2D74E3F6"/>
    <w:rsid w:val="2D789B3B"/>
    <w:rsid w:val="2D81784B"/>
    <w:rsid w:val="2D89D9C5"/>
    <w:rsid w:val="2D8D17D8"/>
    <w:rsid w:val="2D94B01F"/>
    <w:rsid w:val="2D957E12"/>
    <w:rsid w:val="2D992489"/>
    <w:rsid w:val="2D9EC1EA"/>
    <w:rsid w:val="2DA09A18"/>
    <w:rsid w:val="2DA239BD"/>
    <w:rsid w:val="2DA2613F"/>
    <w:rsid w:val="2DA7AEAB"/>
    <w:rsid w:val="2DAFD523"/>
    <w:rsid w:val="2DB1F1AF"/>
    <w:rsid w:val="2DB4F39B"/>
    <w:rsid w:val="2DBB0335"/>
    <w:rsid w:val="2DBF4B71"/>
    <w:rsid w:val="2DCBC768"/>
    <w:rsid w:val="2DCEB73A"/>
    <w:rsid w:val="2DD22BD9"/>
    <w:rsid w:val="2DD2DFBD"/>
    <w:rsid w:val="2DD4245D"/>
    <w:rsid w:val="2DE5DCCC"/>
    <w:rsid w:val="2DF03544"/>
    <w:rsid w:val="2DF22FD0"/>
    <w:rsid w:val="2DF4C89A"/>
    <w:rsid w:val="2DF5B59A"/>
    <w:rsid w:val="2DFE9043"/>
    <w:rsid w:val="2DFEC2E7"/>
    <w:rsid w:val="2DFFFC6C"/>
    <w:rsid w:val="2E0A3115"/>
    <w:rsid w:val="2E1FD106"/>
    <w:rsid w:val="2E221BEA"/>
    <w:rsid w:val="2E2D7ABE"/>
    <w:rsid w:val="2E3AFE3F"/>
    <w:rsid w:val="2E3B8A2C"/>
    <w:rsid w:val="2E48B91F"/>
    <w:rsid w:val="2E4AC778"/>
    <w:rsid w:val="2E4E70C7"/>
    <w:rsid w:val="2E4ED9FA"/>
    <w:rsid w:val="2E5A321D"/>
    <w:rsid w:val="2E63F512"/>
    <w:rsid w:val="2E6CE07B"/>
    <w:rsid w:val="2E6D8AA0"/>
    <w:rsid w:val="2E72548F"/>
    <w:rsid w:val="2E7D5310"/>
    <w:rsid w:val="2E8A5826"/>
    <w:rsid w:val="2E8BE419"/>
    <w:rsid w:val="2E99685A"/>
    <w:rsid w:val="2E9A55BE"/>
    <w:rsid w:val="2E9C0B24"/>
    <w:rsid w:val="2EA6BC42"/>
    <w:rsid w:val="2EB75F00"/>
    <w:rsid w:val="2EC20F45"/>
    <w:rsid w:val="2ECD30E7"/>
    <w:rsid w:val="2ECF37F4"/>
    <w:rsid w:val="2EDF6D8C"/>
    <w:rsid w:val="2EE3DBE1"/>
    <w:rsid w:val="2EE45973"/>
    <w:rsid w:val="2EF75B55"/>
    <w:rsid w:val="2F00F360"/>
    <w:rsid w:val="2F075CAB"/>
    <w:rsid w:val="2F09B89E"/>
    <w:rsid w:val="2F1F281C"/>
    <w:rsid w:val="2F2BCA1B"/>
    <w:rsid w:val="2F37DB2D"/>
    <w:rsid w:val="2F3EB607"/>
    <w:rsid w:val="2F496D15"/>
    <w:rsid w:val="2F50AA6F"/>
    <w:rsid w:val="2F54CC88"/>
    <w:rsid w:val="2F5624FB"/>
    <w:rsid w:val="2F5D50B1"/>
    <w:rsid w:val="2F62B2FE"/>
    <w:rsid w:val="2F6DE333"/>
    <w:rsid w:val="2F72B777"/>
    <w:rsid w:val="2F7873A3"/>
    <w:rsid w:val="2F78C34E"/>
    <w:rsid w:val="2F81B9EF"/>
    <w:rsid w:val="2F823DA6"/>
    <w:rsid w:val="2F848ACD"/>
    <w:rsid w:val="2F84CB87"/>
    <w:rsid w:val="2F8EA103"/>
    <w:rsid w:val="2F93EA30"/>
    <w:rsid w:val="2F96D910"/>
    <w:rsid w:val="2F9C919B"/>
    <w:rsid w:val="2FA3A00C"/>
    <w:rsid w:val="2FA3D0C7"/>
    <w:rsid w:val="2FA79F02"/>
    <w:rsid w:val="2FBDAF38"/>
    <w:rsid w:val="2FC8122F"/>
    <w:rsid w:val="2FCA8395"/>
    <w:rsid w:val="2FCF387C"/>
    <w:rsid w:val="2FDAB31D"/>
    <w:rsid w:val="2FE22E47"/>
    <w:rsid w:val="2FE2B310"/>
    <w:rsid w:val="2FE3847E"/>
    <w:rsid w:val="2FEB1ACC"/>
    <w:rsid w:val="2FF52161"/>
    <w:rsid w:val="2FFA1B19"/>
    <w:rsid w:val="30007C29"/>
    <w:rsid w:val="30022B75"/>
    <w:rsid w:val="30041D22"/>
    <w:rsid w:val="300F05B4"/>
    <w:rsid w:val="30247048"/>
    <w:rsid w:val="3051BD72"/>
    <w:rsid w:val="30583617"/>
    <w:rsid w:val="30641F9E"/>
    <w:rsid w:val="30652485"/>
    <w:rsid w:val="307790BB"/>
    <w:rsid w:val="307FCF12"/>
    <w:rsid w:val="308560BA"/>
    <w:rsid w:val="308ADAF7"/>
    <w:rsid w:val="30A00EB9"/>
    <w:rsid w:val="30AC60FC"/>
    <w:rsid w:val="30B3C228"/>
    <w:rsid w:val="30B672DB"/>
    <w:rsid w:val="30B7973D"/>
    <w:rsid w:val="30B9F18C"/>
    <w:rsid w:val="30BC3971"/>
    <w:rsid w:val="30C7B5C2"/>
    <w:rsid w:val="30CFEB4E"/>
    <w:rsid w:val="30D69045"/>
    <w:rsid w:val="30DB7FBE"/>
    <w:rsid w:val="30DE68A3"/>
    <w:rsid w:val="30E5F692"/>
    <w:rsid w:val="30F3CC87"/>
    <w:rsid w:val="30F9821A"/>
    <w:rsid w:val="30FF2D70"/>
    <w:rsid w:val="31051FF5"/>
    <w:rsid w:val="31058735"/>
    <w:rsid w:val="310DE313"/>
    <w:rsid w:val="3133F5F7"/>
    <w:rsid w:val="3147A98C"/>
    <w:rsid w:val="314B588C"/>
    <w:rsid w:val="3153ED5B"/>
    <w:rsid w:val="315AE3E1"/>
    <w:rsid w:val="315D2FEB"/>
    <w:rsid w:val="315F553F"/>
    <w:rsid w:val="316D6CC3"/>
    <w:rsid w:val="316EA6C0"/>
    <w:rsid w:val="3178AF14"/>
    <w:rsid w:val="31844E65"/>
    <w:rsid w:val="3187B7AE"/>
    <w:rsid w:val="3198C694"/>
    <w:rsid w:val="31A4C704"/>
    <w:rsid w:val="31AB48D5"/>
    <w:rsid w:val="31AE5D10"/>
    <w:rsid w:val="31B06EA2"/>
    <w:rsid w:val="31B37DEE"/>
    <w:rsid w:val="31BABA67"/>
    <w:rsid w:val="31BF14C3"/>
    <w:rsid w:val="31C55452"/>
    <w:rsid w:val="31CF7BA4"/>
    <w:rsid w:val="31CFC3F6"/>
    <w:rsid w:val="31DADB3C"/>
    <w:rsid w:val="31DDA652"/>
    <w:rsid w:val="31E34D32"/>
    <w:rsid w:val="31F7D6E8"/>
    <w:rsid w:val="3205C441"/>
    <w:rsid w:val="3210D4B6"/>
    <w:rsid w:val="321C0503"/>
    <w:rsid w:val="321E787D"/>
    <w:rsid w:val="321EEE6D"/>
    <w:rsid w:val="3222E91B"/>
    <w:rsid w:val="3224EAEC"/>
    <w:rsid w:val="3225AC23"/>
    <w:rsid w:val="3237C8C6"/>
    <w:rsid w:val="325195AC"/>
    <w:rsid w:val="325B02D6"/>
    <w:rsid w:val="325FDF1D"/>
    <w:rsid w:val="326030CE"/>
    <w:rsid w:val="326B4B6D"/>
    <w:rsid w:val="327CF1E4"/>
    <w:rsid w:val="327F9428"/>
    <w:rsid w:val="32812236"/>
    <w:rsid w:val="32954A1D"/>
    <w:rsid w:val="3297C5F7"/>
    <w:rsid w:val="329E0339"/>
    <w:rsid w:val="32AB1348"/>
    <w:rsid w:val="32AD1B8C"/>
    <w:rsid w:val="32AD25E5"/>
    <w:rsid w:val="32AEAF35"/>
    <w:rsid w:val="32B0A4AB"/>
    <w:rsid w:val="32BAD490"/>
    <w:rsid w:val="32BC30EB"/>
    <w:rsid w:val="32BD94F2"/>
    <w:rsid w:val="32C2AABE"/>
    <w:rsid w:val="32C86A5B"/>
    <w:rsid w:val="32CE6535"/>
    <w:rsid w:val="32E668F1"/>
    <w:rsid w:val="32E67779"/>
    <w:rsid w:val="32E866DB"/>
    <w:rsid w:val="32E97DC1"/>
    <w:rsid w:val="32FBDB2F"/>
    <w:rsid w:val="33056790"/>
    <w:rsid w:val="332C5990"/>
    <w:rsid w:val="3331653F"/>
    <w:rsid w:val="333B64C1"/>
    <w:rsid w:val="33463ED9"/>
    <w:rsid w:val="33531DC9"/>
    <w:rsid w:val="33541A78"/>
    <w:rsid w:val="33556809"/>
    <w:rsid w:val="3367D3CA"/>
    <w:rsid w:val="336B44F5"/>
    <w:rsid w:val="336B6487"/>
    <w:rsid w:val="336D8C4E"/>
    <w:rsid w:val="337631A5"/>
    <w:rsid w:val="3377CDBC"/>
    <w:rsid w:val="337A187E"/>
    <w:rsid w:val="338FB232"/>
    <w:rsid w:val="33917496"/>
    <w:rsid w:val="339C2B28"/>
    <w:rsid w:val="33A14210"/>
    <w:rsid w:val="33AA8BE6"/>
    <w:rsid w:val="33AD186E"/>
    <w:rsid w:val="33BA9EF5"/>
    <w:rsid w:val="33C07B91"/>
    <w:rsid w:val="33C0D12E"/>
    <w:rsid w:val="33C4EF2C"/>
    <w:rsid w:val="33C8E11C"/>
    <w:rsid w:val="33CD42B1"/>
    <w:rsid w:val="33CF4491"/>
    <w:rsid w:val="33D65A53"/>
    <w:rsid w:val="33DA6324"/>
    <w:rsid w:val="33F1F3EB"/>
    <w:rsid w:val="33FED221"/>
    <w:rsid w:val="33FED63B"/>
    <w:rsid w:val="34120AAD"/>
    <w:rsid w:val="3413EEF4"/>
    <w:rsid w:val="341E7787"/>
    <w:rsid w:val="342BF6F8"/>
    <w:rsid w:val="34390EDF"/>
    <w:rsid w:val="3445D84D"/>
    <w:rsid w:val="344EF3E6"/>
    <w:rsid w:val="34549DD6"/>
    <w:rsid w:val="345B64E3"/>
    <w:rsid w:val="345D3FD3"/>
    <w:rsid w:val="345EF487"/>
    <w:rsid w:val="34608B6F"/>
    <w:rsid w:val="3472A44B"/>
    <w:rsid w:val="347CD738"/>
    <w:rsid w:val="3480337A"/>
    <w:rsid w:val="3480BC85"/>
    <w:rsid w:val="3483A882"/>
    <w:rsid w:val="348AD733"/>
    <w:rsid w:val="348CFD1B"/>
    <w:rsid w:val="348F50F4"/>
    <w:rsid w:val="34947275"/>
    <w:rsid w:val="3495D50B"/>
    <w:rsid w:val="3497BA10"/>
    <w:rsid w:val="34B25E62"/>
    <w:rsid w:val="34BF878F"/>
    <w:rsid w:val="34C5580A"/>
    <w:rsid w:val="34CBDEA0"/>
    <w:rsid w:val="34CE0C1F"/>
    <w:rsid w:val="34D1E120"/>
    <w:rsid w:val="34D2B8FC"/>
    <w:rsid w:val="34D5D96F"/>
    <w:rsid w:val="34D82406"/>
    <w:rsid w:val="34DED9E4"/>
    <w:rsid w:val="34E15F13"/>
    <w:rsid w:val="34E24BBD"/>
    <w:rsid w:val="34E42BF6"/>
    <w:rsid w:val="34E451D7"/>
    <w:rsid w:val="34E63433"/>
    <w:rsid w:val="3506D2FE"/>
    <w:rsid w:val="3514484E"/>
    <w:rsid w:val="35165D83"/>
    <w:rsid w:val="3520A433"/>
    <w:rsid w:val="353D1766"/>
    <w:rsid w:val="35412145"/>
    <w:rsid w:val="3545B997"/>
    <w:rsid w:val="3553E58E"/>
    <w:rsid w:val="355E066C"/>
    <w:rsid w:val="356343DE"/>
    <w:rsid w:val="3563C78A"/>
    <w:rsid w:val="3566D6FD"/>
    <w:rsid w:val="357EDB18"/>
    <w:rsid w:val="358B7D8D"/>
    <w:rsid w:val="35917437"/>
    <w:rsid w:val="3597D49A"/>
    <w:rsid w:val="35998B69"/>
    <w:rsid w:val="359BD236"/>
    <w:rsid w:val="35B30161"/>
    <w:rsid w:val="35B40EF8"/>
    <w:rsid w:val="35B4238D"/>
    <w:rsid w:val="35C876AE"/>
    <w:rsid w:val="35D55851"/>
    <w:rsid w:val="35D6673F"/>
    <w:rsid w:val="35DA155B"/>
    <w:rsid w:val="35DC3F2F"/>
    <w:rsid w:val="35ECA4C0"/>
    <w:rsid w:val="35EE1B43"/>
    <w:rsid w:val="35F02D1D"/>
    <w:rsid w:val="35F7A295"/>
    <w:rsid w:val="360695CB"/>
    <w:rsid w:val="360C73B7"/>
    <w:rsid w:val="360EAC52"/>
    <w:rsid w:val="36101B2E"/>
    <w:rsid w:val="361149A7"/>
    <w:rsid w:val="3615DE5B"/>
    <w:rsid w:val="36275748"/>
    <w:rsid w:val="362B2289"/>
    <w:rsid w:val="362B28C1"/>
    <w:rsid w:val="3632677F"/>
    <w:rsid w:val="363AF066"/>
    <w:rsid w:val="363FADE9"/>
    <w:rsid w:val="36437D50"/>
    <w:rsid w:val="36442371"/>
    <w:rsid w:val="3644CB49"/>
    <w:rsid w:val="36479B6D"/>
    <w:rsid w:val="364A1650"/>
    <w:rsid w:val="3651ACD3"/>
    <w:rsid w:val="3659E341"/>
    <w:rsid w:val="36613AA8"/>
    <w:rsid w:val="36695C3C"/>
    <w:rsid w:val="366C4243"/>
    <w:rsid w:val="367AFA22"/>
    <w:rsid w:val="36816C14"/>
    <w:rsid w:val="36823A25"/>
    <w:rsid w:val="368F62C9"/>
    <w:rsid w:val="36A52351"/>
    <w:rsid w:val="36AD26A3"/>
    <w:rsid w:val="36C39716"/>
    <w:rsid w:val="36D0B76E"/>
    <w:rsid w:val="36E3F7E3"/>
    <w:rsid w:val="36E82A7B"/>
    <w:rsid w:val="36EA44A9"/>
    <w:rsid w:val="36F67E0D"/>
    <w:rsid w:val="36FEA82D"/>
    <w:rsid w:val="37036722"/>
    <w:rsid w:val="370BF281"/>
    <w:rsid w:val="371C8D85"/>
    <w:rsid w:val="371DA572"/>
    <w:rsid w:val="3721C2CA"/>
    <w:rsid w:val="37223204"/>
    <w:rsid w:val="372669DA"/>
    <w:rsid w:val="37295DE4"/>
    <w:rsid w:val="372D20E4"/>
    <w:rsid w:val="372E4330"/>
    <w:rsid w:val="373D3BE0"/>
    <w:rsid w:val="373E3307"/>
    <w:rsid w:val="3753F9A5"/>
    <w:rsid w:val="3764FE8F"/>
    <w:rsid w:val="3772110B"/>
    <w:rsid w:val="37738269"/>
    <w:rsid w:val="3775F5FF"/>
    <w:rsid w:val="3778476D"/>
    <w:rsid w:val="3778D2A3"/>
    <w:rsid w:val="377C8820"/>
    <w:rsid w:val="37871222"/>
    <w:rsid w:val="37A0AF92"/>
    <w:rsid w:val="37A89694"/>
    <w:rsid w:val="37C8E9E7"/>
    <w:rsid w:val="37C905C5"/>
    <w:rsid w:val="37CB20D3"/>
    <w:rsid w:val="37D3A46D"/>
    <w:rsid w:val="37D44CB9"/>
    <w:rsid w:val="37D578C5"/>
    <w:rsid w:val="37D74733"/>
    <w:rsid w:val="37F0D1F7"/>
    <w:rsid w:val="37F1BFE1"/>
    <w:rsid w:val="37F2EB35"/>
    <w:rsid w:val="37F5CBB5"/>
    <w:rsid w:val="37FAFA7A"/>
    <w:rsid w:val="380D4A98"/>
    <w:rsid w:val="3811A104"/>
    <w:rsid w:val="38129649"/>
    <w:rsid w:val="38170E1E"/>
    <w:rsid w:val="381A07E1"/>
    <w:rsid w:val="3822ED96"/>
    <w:rsid w:val="382B27AA"/>
    <w:rsid w:val="383907C7"/>
    <w:rsid w:val="383C04B1"/>
    <w:rsid w:val="383F7D99"/>
    <w:rsid w:val="38416829"/>
    <w:rsid w:val="3853E4FA"/>
    <w:rsid w:val="3855753B"/>
    <w:rsid w:val="3855B3A0"/>
    <w:rsid w:val="386292F1"/>
    <w:rsid w:val="3865725A"/>
    <w:rsid w:val="3871C479"/>
    <w:rsid w:val="387FDCA1"/>
    <w:rsid w:val="38823A6A"/>
    <w:rsid w:val="3890D853"/>
    <w:rsid w:val="38935361"/>
    <w:rsid w:val="38A8C6C1"/>
    <w:rsid w:val="38AA2EBC"/>
    <w:rsid w:val="38AA5E0C"/>
    <w:rsid w:val="38C2C693"/>
    <w:rsid w:val="38C653BA"/>
    <w:rsid w:val="38D3561F"/>
    <w:rsid w:val="38D9C50B"/>
    <w:rsid w:val="38E3C13C"/>
    <w:rsid w:val="38E9FAC0"/>
    <w:rsid w:val="38F51B74"/>
    <w:rsid w:val="38FA2E7A"/>
    <w:rsid w:val="390127A1"/>
    <w:rsid w:val="3902BD91"/>
    <w:rsid w:val="39047369"/>
    <w:rsid w:val="39055D55"/>
    <w:rsid w:val="39088909"/>
    <w:rsid w:val="390DF7BF"/>
    <w:rsid w:val="390FC13B"/>
    <w:rsid w:val="3913E64E"/>
    <w:rsid w:val="391FF23C"/>
    <w:rsid w:val="392B21A5"/>
    <w:rsid w:val="39347110"/>
    <w:rsid w:val="39363098"/>
    <w:rsid w:val="3937865E"/>
    <w:rsid w:val="393B8118"/>
    <w:rsid w:val="3941CA68"/>
    <w:rsid w:val="3945BC0D"/>
    <w:rsid w:val="39542530"/>
    <w:rsid w:val="395CC061"/>
    <w:rsid w:val="395F0D2C"/>
    <w:rsid w:val="39604027"/>
    <w:rsid w:val="3964B4E0"/>
    <w:rsid w:val="396D7AB3"/>
    <w:rsid w:val="399C2878"/>
    <w:rsid w:val="399E64EC"/>
    <w:rsid w:val="39A39B13"/>
    <w:rsid w:val="39AF1C17"/>
    <w:rsid w:val="39B675BB"/>
    <w:rsid w:val="39C007DC"/>
    <w:rsid w:val="39C2BDD3"/>
    <w:rsid w:val="39C5329F"/>
    <w:rsid w:val="39D20A5E"/>
    <w:rsid w:val="39D6AA96"/>
    <w:rsid w:val="39D73F9E"/>
    <w:rsid w:val="39D781AA"/>
    <w:rsid w:val="39D9BFB5"/>
    <w:rsid w:val="39DBC27E"/>
    <w:rsid w:val="39DC7421"/>
    <w:rsid w:val="39EA6D66"/>
    <w:rsid w:val="39F431EC"/>
    <w:rsid w:val="3A01B449"/>
    <w:rsid w:val="3A16F454"/>
    <w:rsid w:val="3A1721C2"/>
    <w:rsid w:val="3A1BA12D"/>
    <w:rsid w:val="3A263E55"/>
    <w:rsid w:val="3A2E2955"/>
    <w:rsid w:val="3A2F5128"/>
    <w:rsid w:val="3A30757B"/>
    <w:rsid w:val="3A3080A7"/>
    <w:rsid w:val="3A38E0A0"/>
    <w:rsid w:val="3A3937B8"/>
    <w:rsid w:val="3A3A1B30"/>
    <w:rsid w:val="3A3D6502"/>
    <w:rsid w:val="3A40F1E6"/>
    <w:rsid w:val="3A485370"/>
    <w:rsid w:val="3A5680EA"/>
    <w:rsid w:val="3A56A5AC"/>
    <w:rsid w:val="3A5C417D"/>
    <w:rsid w:val="3A68DF0B"/>
    <w:rsid w:val="3A69451B"/>
    <w:rsid w:val="3A6C4612"/>
    <w:rsid w:val="3A70EC7F"/>
    <w:rsid w:val="3A75DA4B"/>
    <w:rsid w:val="3A7FCD1C"/>
    <w:rsid w:val="3A80E887"/>
    <w:rsid w:val="3A853C93"/>
    <w:rsid w:val="3A88BE16"/>
    <w:rsid w:val="3A8C67AD"/>
    <w:rsid w:val="3A8F0277"/>
    <w:rsid w:val="3A92B5FD"/>
    <w:rsid w:val="3A951028"/>
    <w:rsid w:val="3A967156"/>
    <w:rsid w:val="3AA61D3C"/>
    <w:rsid w:val="3AB5B621"/>
    <w:rsid w:val="3ABC6159"/>
    <w:rsid w:val="3ABDF858"/>
    <w:rsid w:val="3AC0D7AA"/>
    <w:rsid w:val="3AD3074A"/>
    <w:rsid w:val="3AD7E37F"/>
    <w:rsid w:val="3AD85EE3"/>
    <w:rsid w:val="3ADFCBC0"/>
    <w:rsid w:val="3AE37978"/>
    <w:rsid w:val="3AEDAD21"/>
    <w:rsid w:val="3AEDFF5D"/>
    <w:rsid w:val="3B0341D2"/>
    <w:rsid w:val="3B0613B8"/>
    <w:rsid w:val="3B0E3360"/>
    <w:rsid w:val="3B1EBADC"/>
    <w:rsid w:val="3B29C1F3"/>
    <w:rsid w:val="3B3493A4"/>
    <w:rsid w:val="3B3736E1"/>
    <w:rsid w:val="3B3A89AD"/>
    <w:rsid w:val="3B3E316A"/>
    <w:rsid w:val="3B4C6DD2"/>
    <w:rsid w:val="3B66FA51"/>
    <w:rsid w:val="3B88DED2"/>
    <w:rsid w:val="3B8D34B4"/>
    <w:rsid w:val="3B962909"/>
    <w:rsid w:val="3BAD5326"/>
    <w:rsid w:val="3BAFD553"/>
    <w:rsid w:val="3BB74BF6"/>
    <w:rsid w:val="3BB85E62"/>
    <w:rsid w:val="3BB898AE"/>
    <w:rsid w:val="3BBB45A8"/>
    <w:rsid w:val="3BC24F55"/>
    <w:rsid w:val="3BC3F5DA"/>
    <w:rsid w:val="3BC6E7B6"/>
    <w:rsid w:val="3BC80584"/>
    <w:rsid w:val="3BC929BB"/>
    <w:rsid w:val="3BD5D559"/>
    <w:rsid w:val="3BE30D7B"/>
    <w:rsid w:val="3BEF5564"/>
    <w:rsid w:val="3BF01D52"/>
    <w:rsid w:val="3C017F31"/>
    <w:rsid w:val="3C02BB22"/>
    <w:rsid w:val="3C05AC9C"/>
    <w:rsid w:val="3C106DA8"/>
    <w:rsid w:val="3C132A2E"/>
    <w:rsid w:val="3C149F81"/>
    <w:rsid w:val="3C19E490"/>
    <w:rsid w:val="3C375812"/>
    <w:rsid w:val="3C3AEA88"/>
    <w:rsid w:val="3C438A82"/>
    <w:rsid w:val="3C738779"/>
    <w:rsid w:val="3C81BE37"/>
    <w:rsid w:val="3C84EDD5"/>
    <w:rsid w:val="3C8EC8A0"/>
    <w:rsid w:val="3CB054A3"/>
    <w:rsid w:val="3CB6A7FD"/>
    <w:rsid w:val="3CB9D486"/>
    <w:rsid w:val="3CBD09AB"/>
    <w:rsid w:val="3CBE1C7E"/>
    <w:rsid w:val="3CC5705D"/>
    <w:rsid w:val="3CD07E68"/>
    <w:rsid w:val="3CD223D7"/>
    <w:rsid w:val="3CD32AF8"/>
    <w:rsid w:val="3CE0C83C"/>
    <w:rsid w:val="3CE2B124"/>
    <w:rsid w:val="3CE40049"/>
    <w:rsid w:val="3CE54923"/>
    <w:rsid w:val="3CE6EB67"/>
    <w:rsid w:val="3CE868C3"/>
    <w:rsid w:val="3CED169C"/>
    <w:rsid w:val="3CFBCE49"/>
    <w:rsid w:val="3D00A2A2"/>
    <w:rsid w:val="3D070439"/>
    <w:rsid w:val="3D0C3578"/>
    <w:rsid w:val="3D0EDE76"/>
    <w:rsid w:val="3D27C5D4"/>
    <w:rsid w:val="3D321EC7"/>
    <w:rsid w:val="3D3361D3"/>
    <w:rsid w:val="3D33BCDE"/>
    <w:rsid w:val="3D34E287"/>
    <w:rsid w:val="3D5E5314"/>
    <w:rsid w:val="3D6AA540"/>
    <w:rsid w:val="3D6C1109"/>
    <w:rsid w:val="3D7CEE2A"/>
    <w:rsid w:val="3D89CED9"/>
    <w:rsid w:val="3D90D84B"/>
    <w:rsid w:val="3D95EDDB"/>
    <w:rsid w:val="3D98E13D"/>
    <w:rsid w:val="3D9BA830"/>
    <w:rsid w:val="3D9DC48A"/>
    <w:rsid w:val="3DA414B5"/>
    <w:rsid w:val="3DA82D9A"/>
    <w:rsid w:val="3DAAE010"/>
    <w:rsid w:val="3DAAFB3F"/>
    <w:rsid w:val="3DBA5F7E"/>
    <w:rsid w:val="3DBABD90"/>
    <w:rsid w:val="3DBAFE16"/>
    <w:rsid w:val="3DBC867B"/>
    <w:rsid w:val="3DBE0871"/>
    <w:rsid w:val="3DBF01C9"/>
    <w:rsid w:val="3DC5DD61"/>
    <w:rsid w:val="3DCE78F9"/>
    <w:rsid w:val="3DD7D42E"/>
    <w:rsid w:val="3DD81FFD"/>
    <w:rsid w:val="3DD8A695"/>
    <w:rsid w:val="3DE297AF"/>
    <w:rsid w:val="3DEEC5AB"/>
    <w:rsid w:val="3DF7D188"/>
    <w:rsid w:val="3DFE8C61"/>
    <w:rsid w:val="3E0CA6D4"/>
    <w:rsid w:val="3E11C0F5"/>
    <w:rsid w:val="3E13A634"/>
    <w:rsid w:val="3E171B66"/>
    <w:rsid w:val="3E1B35B6"/>
    <w:rsid w:val="3E1CB7DB"/>
    <w:rsid w:val="3E2383CE"/>
    <w:rsid w:val="3E25D45B"/>
    <w:rsid w:val="3E2F4CAB"/>
    <w:rsid w:val="3E39B69C"/>
    <w:rsid w:val="3E39D5B9"/>
    <w:rsid w:val="3E3EC743"/>
    <w:rsid w:val="3E3EF8FB"/>
    <w:rsid w:val="3E50110A"/>
    <w:rsid w:val="3E502BF2"/>
    <w:rsid w:val="3E575640"/>
    <w:rsid w:val="3E5840B8"/>
    <w:rsid w:val="3E5993D6"/>
    <w:rsid w:val="3E5A0206"/>
    <w:rsid w:val="3E7F7F8E"/>
    <w:rsid w:val="3E814C95"/>
    <w:rsid w:val="3E82F5A4"/>
    <w:rsid w:val="3E8D8DB7"/>
    <w:rsid w:val="3E91CF51"/>
    <w:rsid w:val="3E93B3D5"/>
    <w:rsid w:val="3E954071"/>
    <w:rsid w:val="3E9A5742"/>
    <w:rsid w:val="3EB130BB"/>
    <w:rsid w:val="3EB72238"/>
    <w:rsid w:val="3EC1E41E"/>
    <w:rsid w:val="3EC5F92C"/>
    <w:rsid w:val="3ED3B092"/>
    <w:rsid w:val="3ED5DB66"/>
    <w:rsid w:val="3ED69585"/>
    <w:rsid w:val="3ED914A0"/>
    <w:rsid w:val="3EDF560B"/>
    <w:rsid w:val="3EDF62D4"/>
    <w:rsid w:val="3EE2ADC0"/>
    <w:rsid w:val="3EE2CD45"/>
    <w:rsid w:val="3EE35736"/>
    <w:rsid w:val="3EE82200"/>
    <w:rsid w:val="3EF42908"/>
    <w:rsid w:val="3F044E75"/>
    <w:rsid w:val="3F0F2F3F"/>
    <w:rsid w:val="3F1B235A"/>
    <w:rsid w:val="3F271DC5"/>
    <w:rsid w:val="3F2D6DA5"/>
    <w:rsid w:val="3F3BC4A1"/>
    <w:rsid w:val="3F3EE8B6"/>
    <w:rsid w:val="3F438A22"/>
    <w:rsid w:val="3F4BAF56"/>
    <w:rsid w:val="3F5055EE"/>
    <w:rsid w:val="3F516DB8"/>
    <w:rsid w:val="3F60193F"/>
    <w:rsid w:val="3F6132B4"/>
    <w:rsid w:val="3F66A649"/>
    <w:rsid w:val="3F70D0E7"/>
    <w:rsid w:val="3F717527"/>
    <w:rsid w:val="3F75F97B"/>
    <w:rsid w:val="3F771CBE"/>
    <w:rsid w:val="3F79C244"/>
    <w:rsid w:val="3F7A3D78"/>
    <w:rsid w:val="3F7D3C9F"/>
    <w:rsid w:val="3F8DB443"/>
    <w:rsid w:val="3FAC6284"/>
    <w:rsid w:val="3FAE992F"/>
    <w:rsid w:val="3FB56EDC"/>
    <w:rsid w:val="3FC6A6B2"/>
    <w:rsid w:val="3FC94852"/>
    <w:rsid w:val="3FD2E593"/>
    <w:rsid w:val="3FD70D6D"/>
    <w:rsid w:val="3FDAED2C"/>
    <w:rsid w:val="3FDE0C13"/>
    <w:rsid w:val="3FDF0532"/>
    <w:rsid w:val="3FE0507E"/>
    <w:rsid w:val="3FE1C293"/>
    <w:rsid w:val="3FF935DE"/>
    <w:rsid w:val="400F27C7"/>
    <w:rsid w:val="4016AAD2"/>
    <w:rsid w:val="401D8814"/>
    <w:rsid w:val="402436C5"/>
    <w:rsid w:val="4029E089"/>
    <w:rsid w:val="403FD3D5"/>
    <w:rsid w:val="4046D15B"/>
    <w:rsid w:val="40584A55"/>
    <w:rsid w:val="405AEB57"/>
    <w:rsid w:val="406B2ECC"/>
    <w:rsid w:val="406C4EF0"/>
    <w:rsid w:val="4078B995"/>
    <w:rsid w:val="407F46D2"/>
    <w:rsid w:val="40889503"/>
    <w:rsid w:val="408A33C0"/>
    <w:rsid w:val="408D7965"/>
    <w:rsid w:val="40929B37"/>
    <w:rsid w:val="40965397"/>
    <w:rsid w:val="4099FA6D"/>
    <w:rsid w:val="40A05948"/>
    <w:rsid w:val="40A716D1"/>
    <w:rsid w:val="40AEA23A"/>
    <w:rsid w:val="40B975BE"/>
    <w:rsid w:val="40C7E680"/>
    <w:rsid w:val="40CC0FC5"/>
    <w:rsid w:val="40D3C068"/>
    <w:rsid w:val="40DA69A3"/>
    <w:rsid w:val="40E4D177"/>
    <w:rsid w:val="40ECFBF5"/>
    <w:rsid w:val="40F83BEA"/>
    <w:rsid w:val="40FB2C74"/>
    <w:rsid w:val="40FFF481"/>
    <w:rsid w:val="410785CC"/>
    <w:rsid w:val="411C4FD6"/>
    <w:rsid w:val="411E738D"/>
    <w:rsid w:val="4129895E"/>
    <w:rsid w:val="412CE971"/>
    <w:rsid w:val="412F461D"/>
    <w:rsid w:val="41304DE2"/>
    <w:rsid w:val="41306411"/>
    <w:rsid w:val="413870B0"/>
    <w:rsid w:val="4140C467"/>
    <w:rsid w:val="414126C5"/>
    <w:rsid w:val="415A2FA1"/>
    <w:rsid w:val="416072A2"/>
    <w:rsid w:val="4167CE8D"/>
    <w:rsid w:val="41716831"/>
    <w:rsid w:val="41718B5C"/>
    <w:rsid w:val="417224F9"/>
    <w:rsid w:val="417966A5"/>
    <w:rsid w:val="417B6AF3"/>
    <w:rsid w:val="4183E8BB"/>
    <w:rsid w:val="41857871"/>
    <w:rsid w:val="418D52D1"/>
    <w:rsid w:val="418F98F4"/>
    <w:rsid w:val="41948957"/>
    <w:rsid w:val="41987B22"/>
    <w:rsid w:val="419B9907"/>
    <w:rsid w:val="419D8249"/>
    <w:rsid w:val="41A8932A"/>
    <w:rsid w:val="41AD8F6B"/>
    <w:rsid w:val="41BA8CFF"/>
    <w:rsid w:val="41CBCB8F"/>
    <w:rsid w:val="41D1434E"/>
    <w:rsid w:val="41D282ED"/>
    <w:rsid w:val="41D739B9"/>
    <w:rsid w:val="41D8AA4F"/>
    <w:rsid w:val="421AA2CE"/>
    <w:rsid w:val="4231115A"/>
    <w:rsid w:val="4233E971"/>
    <w:rsid w:val="423486D5"/>
    <w:rsid w:val="4240EA52"/>
    <w:rsid w:val="42582E06"/>
    <w:rsid w:val="4266E489"/>
    <w:rsid w:val="426D9A2E"/>
    <w:rsid w:val="42717CE8"/>
    <w:rsid w:val="427778CC"/>
    <w:rsid w:val="427AD951"/>
    <w:rsid w:val="42811370"/>
    <w:rsid w:val="428C4E98"/>
    <w:rsid w:val="428EFA4E"/>
    <w:rsid w:val="429930FF"/>
    <w:rsid w:val="42A94076"/>
    <w:rsid w:val="42D256C5"/>
    <w:rsid w:val="42D54DD2"/>
    <w:rsid w:val="42D8B0EE"/>
    <w:rsid w:val="42DACAF8"/>
    <w:rsid w:val="42EC7DC2"/>
    <w:rsid w:val="42ED79F6"/>
    <w:rsid w:val="42EF9519"/>
    <w:rsid w:val="42F0BC4D"/>
    <w:rsid w:val="4301B482"/>
    <w:rsid w:val="430E94C9"/>
    <w:rsid w:val="43153172"/>
    <w:rsid w:val="431BF3FD"/>
    <w:rsid w:val="431E0FAA"/>
    <w:rsid w:val="4324639C"/>
    <w:rsid w:val="432583B7"/>
    <w:rsid w:val="4326A690"/>
    <w:rsid w:val="432BC6D1"/>
    <w:rsid w:val="432EAC6F"/>
    <w:rsid w:val="43335C77"/>
    <w:rsid w:val="4338DDF6"/>
    <w:rsid w:val="43397068"/>
    <w:rsid w:val="43460753"/>
    <w:rsid w:val="4348AA1A"/>
    <w:rsid w:val="4354836A"/>
    <w:rsid w:val="435B7383"/>
    <w:rsid w:val="437104FD"/>
    <w:rsid w:val="437707E6"/>
    <w:rsid w:val="437B2ED9"/>
    <w:rsid w:val="43978B0D"/>
    <w:rsid w:val="439827AB"/>
    <w:rsid w:val="439CA76F"/>
    <w:rsid w:val="439D3F5F"/>
    <w:rsid w:val="43A0BDBD"/>
    <w:rsid w:val="43A6870D"/>
    <w:rsid w:val="43A6FB2D"/>
    <w:rsid w:val="43AA6DDB"/>
    <w:rsid w:val="43B84D4C"/>
    <w:rsid w:val="43BC4E44"/>
    <w:rsid w:val="43C2757A"/>
    <w:rsid w:val="43C3A3CA"/>
    <w:rsid w:val="43CAD82C"/>
    <w:rsid w:val="43D7B85C"/>
    <w:rsid w:val="43DAD3D5"/>
    <w:rsid w:val="43EB98FC"/>
    <w:rsid w:val="43F229FB"/>
    <w:rsid w:val="43F6CED7"/>
    <w:rsid w:val="43FA6627"/>
    <w:rsid w:val="43FCA9F3"/>
    <w:rsid w:val="440C6CDE"/>
    <w:rsid w:val="441FA212"/>
    <w:rsid w:val="44232BE1"/>
    <w:rsid w:val="44304D06"/>
    <w:rsid w:val="4433267E"/>
    <w:rsid w:val="4436FFC0"/>
    <w:rsid w:val="44437560"/>
    <w:rsid w:val="44438ED2"/>
    <w:rsid w:val="4444CE67"/>
    <w:rsid w:val="444C94AC"/>
    <w:rsid w:val="44505248"/>
    <w:rsid w:val="4450CD68"/>
    <w:rsid w:val="44536252"/>
    <w:rsid w:val="445B40E8"/>
    <w:rsid w:val="4462A34F"/>
    <w:rsid w:val="44668771"/>
    <w:rsid w:val="446FECC8"/>
    <w:rsid w:val="4472D5E6"/>
    <w:rsid w:val="4473B0A4"/>
    <w:rsid w:val="447594E1"/>
    <w:rsid w:val="447E24F5"/>
    <w:rsid w:val="449175C7"/>
    <w:rsid w:val="449393CE"/>
    <w:rsid w:val="449C0A78"/>
    <w:rsid w:val="44A7BFFA"/>
    <w:rsid w:val="44A8AB54"/>
    <w:rsid w:val="44ABDD25"/>
    <w:rsid w:val="44AD26DD"/>
    <w:rsid w:val="44B16E1D"/>
    <w:rsid w:val="44B904F6"/>
    <w:rsid w:val="44B90C26"/>
    <w:rsid w:val="44C332C2"/>
    <w:rsid w:val="44C8B6E5"/>
    <w:rsid w:val="44D42497"/>
    <w:rsid w:val="44DBB7A1"/>
    <w:rsid w:val="44ED52EA"/>
    <w:rsid w:val="44F00B55"/>
    <w:rsid w:val="44FFACFB"/>
    <w:rsid w:val="451635D1"/>
    <w:rsid w:val="45168DA7"/>
    <w:rsid w:val="452436C4"/>
    <w:rsid w:val="4528007F"/>
    <w:rsid w:val="452F18BB"/>
    <w:rsid w:val="453DC9D1"/>
    <w:rsid w:val="454AC141"/>
    <w:rsid w:val="45680196"/>
    <w:rsid w:val="45719B57"/>
    <w:rsid w:val="45720C35"/>
    <w:rsid w:val="45823EA4"/>
    <w:rsid w:val="458370C7"/>
    <w:rsid w:val="4593C483"/>
    <w:rsid w:val="459DC954"/>
    <w:rsid w:val="45A493A6"/>
    <w:rsid w:val="45CEF6AF"/>
    <w:rsid w:val="45DC95F0"/>
    <w:rsid w:val="45E8D50A"/>
    <w:rsid w:val="45F3B405"/>
    <w:rsid w:val="460AD30E"/>
    <w:rsid w:val="460C5676"/>
    <w:rsid w:val="460FD39E"/>
    <w:rsid w:val="4612705E"/>
    <w:rsid w:val="4615A1EC"/>
    <w:rsid w:val="4615BE0A"/>
    <w:rsid w:val="4618659A"/>
    <w:rsid w:val="4619CB57"/>
    <w:rsid w:val="462098A5"/>
    <w:rsid w:val="463C40AF"/>
    <w:rsid w:val="463F7FCC"/>
    <w:rsid w:val="463FE686"/>
    <w:rsid w:val="4645FE5F"/>
    <w:rsid w:val="464B8929"/>
    <w:rsid w:val="464D86C3"/>
    <w:rsid w:val="464F5F63"/>
    <w:rsid w:val="465270C8"/>
    <w:rsid w:val="466D386D"/>
    <w:rsid w:val="4672FBB0"/>
    <w:rsid w:val="467909BF"/>
    <w:rsid w:val="467E763C"/>
    <w:rsid w:val="467FDA49"/>
    <w:rsid w:val="4687992B"/>
    <w:rsid w:val="46922335"/>
    <w:rsid w:val="469429E9"/>
    <w:rsid w:val="46A0C8BB"/>
    <w:rsid w:val="46BA2335"/>
    <w:rsid w:val="46BF079C"/>
    <w:rsid w:val="46BFAB08"/>
    <w:rsid w:val="46CCE49D"/>
    <w:rsid w:val="46D36424"/>
    <w:rsid w:val="46D6B9D1"/>
    <w:rsid w:val="46D7EFAC"/>
    <w:rsid w:val="46D9C5C2"/>
    <w:rsid w:val="46DB2651"/>
    <w:rsid w:val="46DCBAD8"/>
    <w:rsid w:val="46DCCC65"/>
    <w:rsid w:val="46E1419E"/>
    <w:rsid w:val="46F07AE0"/>
    <w:rsid w:val="46FB0C22"/>
    <w:rsid w:val="47064A1E"/>
    <w:rsid w:val="4707FE5F"/>
    <w:rsid w:val="4711F40E"/>
    <w:rsid w:val="47138A81"/>
    <w:rsid w:val="471904AF"/>
    <w:rsid w:val="471CFB57"/>
    <w:rsid w:val="471E2427"/>
    <w:rsid w:val="4723268D"/>
    <w:rsid w:val="47233CAB"/>
    <w:rsid w:val="472626AA"/>
    <w:rsid w:val="47297541"/>
    <w:rsid w:val="4730AFAF"/>
    <w:rsid w:val="47320F7D"/>
    <w:rsid w:val="473E36CF"/>
    <w:rsid w:val="4749E340"/>
    <w:rsid w:val="474A8E6B"/>
    <w:rsid w:val="474D1C58"/>
    <w:rsid w:val="4753C9E2"/>
    <w:rsid w:val="475A34B9"/>
    <w:rsid w:val="476680F3"/>
    <w:rsid w:val="47731F7D"/>
    <w:rsid w:val="4775BE1B"/>
    <w:rsid w:val="4776A164"/>
    <w:rsid w:val="477CB319"/>
    <w:rsid w:val="47805055"/>
    <w:rsid w:val="4795DACD"/>
    <w:rsid w:val="479A37F4"/>
    <w:rsid w:val="479AC4E7"/>
    <w:rsid w:val="47AB665C"/>
    <w:rsid w:val="47B53253"/>
    <w:rsid w:val="47B9D37C"/>
    <w:rsid w:val="47BB2C3B"/>
    <w:rsid w:val="47C58EE7"/>
    <w:rsid w:val="47CA62BA"/>
    <w:rsid w:val="47E1E86A"/>
    <w:rsid w:val="47E2BA0D"/>
    <w:rsid w:val="47F8B4C1"/>
    <w:rsid w:val="47F94A0D"/>
    <w:rsid w:val="480602E3"/>
    <w:rsid w:val="480B871C"/>
    <w:rsid w:val="480D9D6B"/>
    <w:rsid w:val="4810FDDA"/>
    <w:rsid w:val="48184543"/>
    <w:rsid w:val="481A223D"/>
    <w:rsid w:val="481A4E30"/>
    <w:rsid w:val="481B6A0C"/>
    <w:rsid w:val="481BC72F"/>
    <w:rsid w:val="481C75C1"/>
    <w:rsid w:val="481E1E05"/>
    <w:rsid w:val="481E3E5A"/>
    <w:rsid w:val="482CD1E2"/>
    <w:rsid w:val="4833DBC2"/>
    <w:rsid w:val="483A96FB"/>
    <w:rsid w:val="483C945B"/>
    <w:rsid w:val="483EF242"/>
    <w:rsid w:val="48440884"/>
    <w:rsid w:val="4845748F"/>
    <w:rsid w:val="484B4CF8"/>
    <w:rsid w:val="484BF46C"/>
    <w:rsid w:val="4853C261"/>
    <w:rsid w:val="486766AD"/>
    <w:rsid w:val="48806356"/>
    <w:rsid w:val="48824372"/>
    <w:rsid w:val="488729AF"/>
    <w:rsid w:val="4897FB57"/>
    <w:rsid w:val="48AAD08C"/>
    <w:rsid w:val="48AC48B7"/>
    <w:rsid w:val="48B4BE2E"/>
    <w:rsid w:val="48B4D6E1"/>
    <w:rsid w:val="48B7AA2D"/>
    <w:rsid w:val="48CDE96E"/>
    <w:rsid w:val="48D53C53"/>
    <w:rsid w:val="48F0E92A"/>
    <w:rsid w:val="48FE3CA9"/>
    <w:rsid w:val="49082381"/>
    <w:rsid w:val="4909CF0B"/>
    <w:rsid w:val="490B8B5E"/>
    <w:rsid w:val="4911C3E6"/>
    <w:rsid w:val="491463DA"/>
    <w:rsid w:val="491C9A17"/>
    <w:rsid w:val="491DACFC"/>
    <w:rsid w:val="49248D3F"/>
    <w:rsid w:val="492B021C"/>
    <w:rsid w:val="49343CC0"/>
    <w:rsid w:val="4934C2AE"/>
    <w:rsid w:val="493FDC6A"/>
    <w:rsid w:val="494447FE"/>
    <w:rsid w:val="4952B429"/>
    <w:rsid w:val="49608EC3"/>
    <w:rsid w:val="49782148"/>
    <w:rsid w:val="497A2B1E"/>
    <w:rsid w:val="497B9EB8"/>
    <w:rsid w:val="4982D179"/>
    <w:rsid w:val="49A7D293"/>
    <w:rsid w:val="49B2AA5C"/>
    <w:rsid w:val="49BF9CF0"/>
    <w:rsid w:val="49C1F86A"/>
    <w:rsid w:val="49C7E1DE"/>
    <w:rsid w:val="49CE4D93"/>
    <w:rsid w:val="49D2806D"/>
    <w:rsid w:val="49DC8D1D"/>
    <w:rsid w:val="49DDD656"/>
    <w:rsid w:val="49E03F9B"/>
    <w:rsid w:val="49E2D024"/>
    <w:rsid w:val="49E371A5"/>
    <w:rsid w:val="49E97D9B"/>
    <w:rsid w:val="49EA8835"/>
    <w:rsid w:val="49EE304D"/>
    <w:rsid w:val="49F51A15"/>
    <w:rsid w:val="4A072BE2"/>
    <w:rsid w:val="4A102E09"/>
    <w:rsid w:val="4A174B97"/>
    <w:rsid w:val="4A2092D2"/>
    <w:rsid w:val="4A215DEC"/>
    <w:rsid w:val="4A23F497"/>
    <w:rsid w:val="4A2C0D37"/>
    <w:rsid w:val="4A41B1B8"/>
    <w:rsid w:val="4A439888"/>
    <w:rsid w:val="4A46FEAB"/>
    <w:rsid w:val="4A486C1E"/>
    <w:rsid w:val="4A4B4535"/>
    <w:rsid w:val="4A60956C"/>
    <w:rsid w:val="4A68A497"/>
    <w:rsid w:val="4A745EEF"/>
    <w:rsid w:val="4A793A49"/>
    <w:rsid w:val="4A817DA8"/>
    <w:rsid w:val="4A8FDE28"/>
    <w:rsid w:val="4A910A01"/>
    <w:rsid w:val="4A921125"/>
    <w:rsid w:val="4A9B6672"/>
    <w:rsid w:val="4AAB2BB8"/>
    <w:rsid w:val="4AB91A54"/>
    <w:rsid w:val="4ABAAB64"/>
    <w:rsid w:val="4ABCEE56"/>
    <w:rsid w:val="4ABE5D15"/>
    <w:rsid w:val="4AC970E2"/>
    <w:rsid w:val="4ACD9C41"/>
    <w:rsid w:val="4AD18CEB"/>
    <w:rsid w:val="4AD1F0CB"/>
    <w:rsid w:val="4ADB28BA"/>
    <w:rsid w:val="4ADEBFFD"/>
    <w:rsid w:val="4ADF2F6B"/>
    <w:rsid w:val="4AF14280"/>
    <w:rsid w:val="4AF4D3FA"/>
    <w:rsid w:val="4AF95AA4"/>
    <w:rsid w:val="4AFD9988"/>
    <w:rsid w:val="4B00D901"/>
    <w:rsid w:val="4B103FC8"/>
    <w:rsid w:val="4B1713EA"/>
    <w:rsid w:val="4B198493"/>
    <w:rsid w:val="4B3C139A"/>
    <w:rsid w:val="4B3F564F"/>
    <w:rsid w:val="4B4D2E2E"/>
    <w:rsid w:val="4B4E9653"/>
    <w:rsid w:val="4B5B5EF0"/>
    <w:rsid w:val="4B5B99C7"/>
    <w:rsid w:val="4B68645E"/>
    <w:rsid w:val="4B69D0D4"/>
    <w:rsid w:val="4B6C9DE0"/>
    <w:rsid w:val="4B70D8C5"/>
    <w:rsid w:val="4B8016D5"/>
    <w:rsid w:val="4B864568"/>
    <w:rsid w:val="4B8CED97"/>
    <w:rsid w:val="4B8E572B"/>
    <w:rsid w:val="4B91FEF5"/>
    <w:rsid w:val="4B935AF1"/>
    <w:rsid w:val="4B93866E"/>
    <w:rsid w:val="4BA2B847"/>
    <w:rsid w:val="4BABC58A"/>
    <w:rsid w:val="4BAC74BA"/>
    <w:rsid w:val="4BB2A3CA"/>
    <w:rsid w:val="4BB7AFF1"/>
    <w:rsid w:val="4BB8C724"/>
    <w:rsid w:val="4BC70903"/>
    <w:rsid w:val="4BC971AB"/>
    <w:rsid w:val="4BC9DBE1"/>
    <w:rsid w:val="4BCA0060"/>
    <w:rsid w:val="4BCBB224"/>
    <w:rsid w:val="4BD0591C"/>
    <w:rsid w:val="4BD25A34"/>
    <w:rsid w:val="4BD446A7"/>
    <w:rsid w:val="4BD52ACE"/>
    <w:rsid w:val="4BDF6499"/>
    <w:rsid w:val="4BE0941B"/>
    <w:rsid w:val="4BF67F45"/>
    <w:rsid w:val="4C050876"/>
    <w:rsid w:val="4C276E66"/>
    <w:rsid w:val="4C3AD34C"/>
    <w:rsid w:val="4C432FDE"/>
    <w:rsid w:val="4C45C729"/>
    <w:rsid w:val="4C4877F6"/>
    <w:rsid w:val="4C5C85FF"/>
    <w:rsid w:val="4C5CC788"/>
    <w:rsid w:val="4C68EC98"/>
    <w:rsid w:val="4C6A9C16"/>
    <w:rsid w:val="4C6AEF42"/>
    <w:rsid w:val="4C742813"/>
    <w:rsid w:val="4C742D84"/>
    <w:rsid w:val="4C883317"/>
    <w:rsid w:val="4C93CE91"/>
    <w:rsid w:val="4C992B50"/>
    <w:rsid w:val="4CA125BD"/>
    <w:rsid w:val="4CA1AB5C"/>
    <w:rsid w:val="4CA50457"/>
    <w:rsid w:val="4CB38AEE"/>
    <w:rsid w:val="4CB87D78"/>
    <w:rsid w:val="4CB9FC8D"/>
    <w:rsid w:val="4CC024B9"/>
    <w:rsid w:val="4CC2C33C"/>
    <w:rsid w:val="4CCDB598"/>
    <w:rsid w:val="4CCE8CDA"/>
    <w:rsid w:val="4CD74590"/>
    <w:rsid w:val="4CE5F687"/>
    <w:rsid w:val="4CF7ED18"/>
    <w:rsid w:val="4CFAB965"/>
    <w:rsid w:val="4D0691FD"/>
    <w:rsid w:val="4D1F0221"/>
    <w:rsid w:val="4D1FC3AF"/>
    <w:rsid w:val="4D3D8409"/>
    <w:rsid w:val="4D436005"/>
    <w:rsid w:val="4D4616C5"/>
    <w:rsid w:val="4D4EE2DE"/>
    <w:rsid w:val="4D5107A5"/>
    <w:rsid w:val="4D656BF9"/>
    <w:rsid w:val="4D799A72"/>
    <w:rsid w:val="4D7B1F15"/>
    <w:rsid w:val="4D7C6463"/>
    <w:rsid w:val="4D804583"/>
    <w:rsid w:val="4D828D41"/>
    <w:rsid w:val="4D86018A"/>
    <w:rsid w:val="4D8C4621"/>
    <w:rsid w:val="4D8CDCF1"/>
    <w:rsid w:val="4D8DE6F0"/>
    <w:rsid w:val="4D90351C"/>
    <w:rsid w:val="4D9C78EE"/>
    <w:rsid w:val="4DA9E847"/>
    <w:rsid w:val="4DAC1C81"/>
    <w:rsid w:val="4DBB314E"/>
    <w:rsid w:val="4DBF81D2"/>
    <w:rsid w:val="4DCA6261"/>
    <w:rsid w:val="4DD0437B"/>
    <w:rsid w:val="4DD5B9FB"/>
    <w:rsid w:val="4DD70678"/>
    <w:rsid w:val="4DE303B2"/>
    <w:rsid w:val="4DEB5788"/>
    <w:rsid w:val="4DF661BC"/>
    <w:rsid w:val="4E013E6D"/>
    <w:rsid w:val="4E219163"/>
    <w:rsid w:val="4E290304"/>
    <w:rsid w:val="4E2E2E87"/>
    <w:rsid w:val="4E2F0BE5"/>
    <w:rsid w:val="4E42A704"/>
    <w:rsid w:val="4E4B53C7"/>
    <w:rsid w:val="4E581F28"/>
    <w:rsid w:val="4E5976A4"/>
    <w:rsid w:val="4E5992CE"/>
    <w:rsid w:val="4E61ADEC"/>
    <w:rsid w:val="4E6FB112"/>
    <w:rsid w:val="4E76E983"/>
    <w:rsid w:val="4E889F1F"/>
    <w:rsid w:val="4E8B3CA5"/>
    <w:rsid w:val="4E922600"/>
    <w:rsid w:val="4E942D46"/>
    <w:rsid w:val="4E9494B4"/>
    <w:rsid w:val="4E9FC216"/>
    <w:rsid w:val="4EA89A29"/>
    <w:rsid w:val="4EB0ED8F"/>
    <w:rsid w:val="4ED207AC"/>
    <w:rsid w:val="4ED9C266"/>
    <w:rsid w:val="4EDD6217"/>
    <w:rsid w:val="4EE16AC1"/>
    <w:rsid w:val="4EEB035B"/>
    <w:rsid w:val="4EF3E7C7"/>
    <w:rsid w:val="4EF6230E"/>
    <w:rsid w:val="4F053491"/>
    <w:rsid w:val="4F083CA5"/>
    <w:rsid w:val="4F0840CA"/>
    <w:rsid w:val="4F0C6CB1"/>
    <w:rsid w:val="4F177452"/>
    <w:rsid w:val="4F1C6C67"/>
    <w:rsid w:val="4F21B613"/>
    <w:rsid w:val="4F23AF86"/>
    <w:rsid w:val="4F45C1C3"/>
    <w:rsid w:val="4F4B02C9"/>
    <w:rsid w:val="4F4F5F13"/>
    <w:rsid w:val="4F5C0BFE"/>
    <w:rsid w:val="4F5C5D77"/>
    <w:rsid w:val="4F5F4DC7"/>
    <w:rsid w:val="4F686365"/>
    <w:rsid w:val="4F6EE65D"/>
    <w:rsid w:val="4F71009C"/>
    <w:rsid w:val="4F7432D6"/>
    <w:rsid w:val="4F7BA67E"/>
    <w:rsid w:val="4F7C555C"/>
    <w:rsid w:val="4F7E0807"/>
    <w:rsid w:val="4F85D42D"/>
    <w:rsid w:val="4F89B685"/>
    <w:rsid w:val="4F977F2B"/>
    <w:rsid w:val="4FAD419A"/>
    <w:rsid w:val="4FB3C16E"/>
    <w:rsid w:val="4FBA1C6E"/>
    <w:rsid w:val="4FBEB2F1"/>
    <w:rsid w:val="4FCCBE82"/>
    <w:rsid w:val="4FD76892"/>
    <w:rsid w:val="4FD8B955"/>
    <w:rsid w:val="4FD9A994"/>
    <w:rsid w:val="4FDC8FDC"/>
    <w:rsid w:val="4FDE73F1"/>
    <w:rsid w:val="4FE32B52"/>
    <w:rsid w:val="4FFE65CB"/>
    <w:rsid w:val="5000EE34"/>
    <w:rsid w:val="500ADD6B"/>
    <w:rsid w:val="500BE08A"/>
    <w:rsid w:val="50218935"/>
    <w:rsid w:val="502E5D99"/>
    <w:rsid w:val="502F33A5"/>
    <w:rsid w:val="503539B4"/>
    <w:rsid w:val="50386AC4"/>
    <w:rsid w:val="503E7CE8"/>
    <w:rsid w:val="503EAFE5"/>
    <w:rsid w:val="5041B49E"/>
    <w:rsid w:val="50426744"/>
    <w:rsid w:val="50492FE5"/>
    <w:rsid w:val="50507485"/>
    <w:rsid w:val="505EF948"/>
    <w:rsid w:val="5066901E"/>
    <w:rsid w:val="506BAA8D"/>
    <w:rsid w:val="5070711A"/>
    <w:rsid w:val="508CBE8A"/>
    <w:rsid w:val="508F5498"/>
    <w:rsid w:val="509009D6"/>
    <w:rsid w:val="5093209B"/>
    <w:rsid w:val="5096F805"/>
    <w:rsid w:val="5097455A"/>
    <w:rsid w:val="50B28D84"/>
    <w:rsid w:val="50C1FA3E"/>
    <w:rsid w:val="50C5F2D4"/>
    <w:rsid w:val="50CDA657"/>
    <w:rsid w:val="50F71A4B"/>
    <w:rsid w:val="50F75FD8"/>
    <w:rsid w:val="50FC9D25"/>
    <w:rsid w:val="51033B73"/>
    <w:rsid w:val="51066450"/>
    <w:rsid w:val="51071686"/>
    <w:rsid w:val="51104789"/>
    <w:rsid w:val="5115190A"/>
    <w:rsid w:val="5115BC7C"/>
    <w:rsid w:val="51174574"/>
    <w:rsid w:val="5123D718"/>
    <w:rsid w:val="51257717"/>
    <w:rsid w:val="51271138"/>
    <w:rsid w:val="5158DEED"/>
    <w:rsid w:val="51659186"/>
    <w:rsid w:val="517AC829"/>
    <w:rsid w:val="517BF8A1"/>
    <w:rsid w:val="517CBF90"/>
    <w:rsid w:val="51906462"/>
    <w:rsid w:val="51919158"/>
    <w:rsid w:val="5192C57D"/>
    <w:rsid w:val="51950A4B"/>
    <w:rsid w:val="519C6175"/>
    <w:rsid w:val="51A28C88"/>
    <w:rsid w:val="51B44DCC"/>
    <w:rsid w:val="51C3AEB0"/>
    <w:rsid w:val="51CE32C6"/>
    <w:rsid w:val="51D69C96"/>
    <w:rsid w:val="51DBCE02"/>
    <w:rsid w:val="51ED38FD"/>
    <w:rsid w:val="51FCB4F9"/>
    <w:rsid w:val="51FE7FD2"/>
    <w:rsid w:val="5205BA5F"/>
    <w:rsid w:val="5205BA79"/>
    <w:rsid w:val="5205EE3D"/>
    <w:rsid w:val="52131319"/>
    <w:rsid w:val="521AFA58"/>
    <w:rsid w:val="521D1658"/>
    <w:rsid w:val="522EE038"/>
    <w:rsid w:val="5231D096"/>
    <w:rsid w:val="523C2F18"/>
    <w:rsid w:val="523FB66E"/>
    <w:rsid w:val="5251AF8E"/>
    <w:rsid w:val="52660478"/>
    <w:rsid w:val="5268FB16"/>
    <w:rsid w:val="5273DDF3"/>
    <w:rsid w:val="527B79F1"/>
    <w:rsid w:val="52976ABD"/>
    <w:rsid w:val="52982544"/>
    <w:rsid w:val="529B4ADF"/>
    <w:rsid w:val="52A9AF47"/>
    <w:rsid w:val="52ACD72A"/>
    <w:rsid w:val="52BA7B31"/>
    <w:rsid w:val="52BF1E22"/>
    <w:rsid w:val="52C5489F"/>
    <w:rsid w:val="52C5B34C"/>
    <w:rsid w:val="52C707BF"/>
    <w:rsid w:val="52C7091C"/>
    <w:rsid w:val="52C908C8"/>
    <w:rsid w:val="52D28CB4"/>
    <w:rsid w:val="52D880D6"/>
    <w:rsid w:val="52E734E0"/>
    <w:rsid w:val="52F6E530"/>
    <w:rsid w:val="5303339E"/>
    <w:rsid w:val="5318C703"/>
    <w:rsid w:val="53233154"/>
    <w:rsid w:val="532FDC24"/>
    <w:rsid w:val="5341E36A"/>
    <w:rsid w:val="5346A512"/>
    <w:rsid w:val="53475B9A"/>
    <w:rsid w:val="534E2242"/>
    <w:rsid w:val="53599640"/>
    <w:rsid w:val="535AFD14"/>
    <w:rsid w:val="5360B5B4"/>
    <w:rsid w:val="5364E401"/>
    <w:rsid w:val="536AE849"/>
    <w:rsid w:val="5372B6C4"/>
    <w:rsid w:val="538B23B2"/>
    <w:rsid w:val="538DFB01"/>
    <w:rsid w:val="53900EB1"/>
    <w:rsid w:val="539555B9"/>
    <w:rsid w:val="539581AE"/>
    <w:rsid w:val="53AA5D37"/>
    <w:rsid w:val="53C06C6D"/>
    <w:rsid w:val="53C13F08"/>
    <w:rsid w:val="53CC51FE"/>
    <w:rsid w:val="53CF68DB"/>
    <w:rsid w:val="53D1C3CB"/>
    <w:rsid w:val="53D2888F"/>
    <w:rsid w:val="53DD2D19"/>
    <w:rsid w:val="53E2F2E6"/>
    <w:rsid w:val="53EC8D97"/>
    <w:rsid w:val="53ED0E66"/>
    <w:rsid w:val="53ED1B20"/>
    <w:rsid w:val="53EE7FC0"/>
    <w:rsid w:val="53F09305"/>
    <w:rsid w:val="53F92566"/>
    <w:rsid w:val="53FC79B6"/>
    <w:rsid w:val="53FFF473"/>
    <w:rsid w:val="5412FB25"/>
    <w:rsid w:val="54135EE2"/>
    <w:rsid w:val="5418809D"/>
    <w:rsid w:val="5419A574"/>
    <w:rsid w:val="5419C6A9"/>
    <w:rsid w:val="541C60B1"/>
    <w:rsid w:val="541E13C5"/>
    <w:rsid w:val="5420EEF3"/>
    <w:rsid w:val="5422FACE"/>
    <w:rsid w:val="54242E5C"/>
    <w:rsid w:val="542695FE"/>
    <w:rsid w:val="5428C5F8"/>
    <w:rsid w:val="5432F2DD"/>
    <w:rsid w:val="5437D3A0"/>
    <w:rsid w:val="54384728"/>
    <w:rsid w:val="54386E40"/>
    <w:rsid w:val="5438BF1B"/>
    <w:rsid w:val="54400E45"/>
    <w:rsid w:val="54513F93"/>
    <w:rsid w:val="545243D1"/>
    <w:rsid w:val="5458F011"/>
    <w:rsid w:val="54635FAE"/>
    <w:rsid w:val="54640ED0"/>
    <w:rsid w:val="54778FF3"/>
    <w:rsid w:val="547F72B0"/>
    <w:rsid w:val="54820EF7"/>
    <w:rsid w:val="54863CAF"/>
    <w:rsid w:val="548A45BE"/>
    <w:rsid w:val="548CF8E7"/>
    <w:rsid w:val="5498F57F"/>
    <w:rsid w:val="549C4FBC"/>
    <w:rsid w:val="549CE0BD"/>
    <w:rsid w:val="54AEF333"/>
    <w:rsid w:val="54B566E4"/>
    <w:rsid w:val="54BC0930"/>
    <w:rsid w:val="54C43688"/>
    <w:rsid w:val="54C652A4"/>
    <w:rsid w:val="54D1F618"/>
    <w:rsid w:val="54D5566B"/>
    <w:rsid w:val="54DFCE3C"/>
    <w:rsid w:val="54E40844"/>
    <w:rsid w:val="54F6AD3C"/>
    <w:rsid w:val="54FFC377"/>
    <w:rsid w:val="55059C0E"/>
    <w:rsid w:val="5508723F"/>
    <w:rsid w:val="5508A05E"/>
    <w:rsid w:val="5511E7A5"/>
    <w:rsid w:val="5517BC8C"/>
    <w:rsid w:val="5535009B"/>
    <w:rsid w:val="55363788"/>
    <w:rsid w:val="55439C62"/>
    <w:rsid w:val="5547D93E"/>
    <w:rsid w:val="554FA6FD"/>
    <w:rsid w:val="554FCCE9"/>
    <w:rsid w:val="55661B6B"/>
    <w:rsid w:val="55683482"/>
    <w:rsid w:val="5570900A"/>
    <w:rsid w:val="55741727"/>
    <w:rsid w:val="557F6D6F"/>
    <w:rsid w:val="5585386F"/>
    <w:rsid w:val="5589529C"/>
    <w:rsid w:val="5594FBB6"/>
    <w:rsid w:val="5597F1D9"/>
    <w:rsid w:val="559921EF"/>
    <w:rsid w:val="55A1D900"/>
    <w:rsid w:val="55AC172F"/>
    <w:rsid w:val="55B432AB"/>
    <w:rsid w:val="55C33B20"/>
    <w:rsid w:val="55CBA084"/>
    <w:rsid w:val="55CBCF78"/>
    <w:rsid w:val="55D3600C"/>
    <w:rsid w:val="55DF2EF7"/>
    <w:rsid w:val="55E47424"/>
    <w:rsid w:val="55F2F07A"/>
    <w:rsid w:val="55F4E0D9"/>
    <w:rsid w:val="55F7117F"/>
    <w:rsid w:val="55FD227A"/>
    <w:rsid w:val="5607A00B"/>
    <w:rsid w:val="560E78FC"/>
    <w:rsid w:val="561A5850"/>
    <w:rsid w:val="561F36DF"/>
    <w:rsid w:val="56256576"/>
    <w:rsid w:val="5629BFF6"/>
    <w:rsid w:val="563057D5"/>
    <w:rsid w:val="5632E967"/>
    <w:rsid w:val="564AE3E1"/>
    <w:rsid w:val="564BF8EA"/>
    <w:rsid w:val="5650125C"/>
    <w:rsid w:val="5656C393"/>
    <w:rsid w:val="565B79CC"/>
    <w:rsid w:val="565CE119"/>
    <w:rsid w:val="567103D0"/>
    <w:rsid w:val="569D5330"/>
    <w:rsid w:val="56AE987B"/>
    <w:rsid w:val="56BD0D58"/>
    <w:rsid w:val="56BE285C"/>
    <w:rsid w:val="56BF466F"/>
    <w:rsid w:val="56C4E353"/>
    <w:rsid w:val="56C904AD"/>
    <w:rsid w:val="56CC2BE4"/>
    <w:rsid w:val="56CDA214"/>
    <w:rsid w:val="56D52F2B"/>
    <w:rsid w:val="56DE8818"/>
    <w:rsid w:val="56E20641"/>
    <w:rsid w:val="56E3268B"/>
    <w:rsid w:val="56F94B4E"/>
    <w:rsid w:val="56FF1A84"/>
    <w:rsid w:val="5702ED56"/>
    <w:rsid w:val="5706F082"/>
    <w:rsid w:val="570AD135"/>
    <w:rsid w:val="57175EDC"/>
    <w:rsid w:val="5719798E"/>
    <w:rsid w:val="572C2896"/>
    <w:rsid w:val="57420660"/>
    <w:rsid w:val="57430913"/>
    <w:rsid w:val="5752F8B7"/>
    <w:rsid w:val="57564BFD"/>
    <w:rsid w:val="57566E90"/>
    <w:rsid w:val="5757B9C0"/>
    <w:rsid w:val="5758FA64"/>
    <w:rsid w:val="5759351B"/>
    <w:rsid w:val="575E0391"/>
    <w:rsid w:val="5760F624"/>
    <w:rsid w:val="576F4090"/>
    <w:rsid w:val="57721863"/>
    <w:rsid w:val="5779F856"/>
    <w:rsid w:val="5788536F"/>
    <w:rsid w:val="57886EE6"/>
    <w:rsid w:val="578C11B7"/>
    <w:rsid w:val="57B04D5A"/>
    <w:rsid w:val="57B30604"/>
    <w:rsid w:val="57BC868F"/>
    <w:rsid w:val="57BC9D3D"/>
    <w:rsid w:val="57C055DE"/>
    <w:rsid w:val="57C59C58"/>
    <w:rsid w:val="57C61930"/>
    <w:rsid w:val="57D2DC5D"/>
    <w:rsid w:val="57DB4BC6"/>
    <w:rsid w:val="57E71660"/>
    <w:rsid w:val="58039F5B"/>
    <w:rsid w:val="580B34A3"/>
    <w:rsid w:val="580ECB0B"/>
    <w:rsid w:val="58100837"/>
    <w:rsid w:val="581C792A"/>
    <w:rsid w:val="5825884F"/>
    <w:rsid w:val="582C4C7F"/>
    <w:rsid w:val="58399E02"/>
    <w:rsid w:val="583CB28D"/>
    <w:rsid w:val="58414AB5"/>
    <w:rsid w:val="58438028"/>
    <w:rsid w:val="58438CB1"/>
    <w:rsid w:val="584CDECF"/>
    <w:rsid w:val="58530359"/>
    <w:rsid w:val="5856170E"/>
    <w:rsid w:val="5862F9D5"/>
    <w:rsid w:val="5866F09D"/>
    <w:rsid w:val="586A0228"/>
    <w:rsid w:val="58734D2D"/>
    <w:rsid w:val="58749F1B"/>
    <w:rsid w:val="5877FF29"/>
    <w:rsid w:val="5882BF9D"/>
    <w:rsid w:val="58947E0E"/>
    <w:rsid w:val="58961F8B"/>
    <w:rsid w:val="58996D61"/>
    <w:rsid w:val="58AA3353"/>
    <w:rsid w:val="58B9E117"/>
    <w:rsid w:val="58BADF94"/>
    <w:rsid w:val="58BFB0D5"/>
    <w:rsid w:val="58C158D5"/>
    <w:rsid w:val="58C7AE81"/>
    <w:rsid w:val="58CA0CC6"/>
    <w:rsid w:val="58D0A173"/>
    <w:rsid w:val="58D10ADC"/>
    <w:rsid w:val="58D14D31"/>
    <w:rsid w:val="58E5A520"/>
    <w:rsid w:val="58E69652"/>
    <w:rsid w:val="58ED6731"/>
    <w:rsid w:val="58F21462"/>
    <w:rsid w:val="58FA2C72"/>
    <w:rsid w:val="58FE7D2F"/>
    <w:rsid w:val="59038D7B"/>
    <w:rsid w:val="5904F587"/>
    <w:rsid w:val="59073562"/>
    <w:rsid w:val="590F8726"/>
    <w:rsid w:val="591976F0"/>
    <w:rsid w:val="591BE3B3"/>
    <w:rsid w:val="59239DEB"/>
    <w:rsid w:val="59286108"/>
    <w:rsid w:val="59446D78"/>
    <w:rsid w:val="5955B165"/>
    <w:rsid w:val="595ECAFF"/>
    <w:rsid w:val="59662186"/>
    <w:rsid w:val="59698ABC"/>
    <w:rsid w:val="596A685F"/>
    <w:rsid w:val="5974486A"/>
    <w:rsid w:val="598162FA"/>
    <w:rsid w:val="5990286F"/>
    <w:rsid w:val="59905435"/>
    <w:rsid w:val="5991C4E3"/>
    <w:rsid w:val="599DE981"/>
    <w:rsid w:val="599E6322"/>
    <w:rsid w:val="59ABCC67"/>
    <w:rsid w:val="59B07D0D"/>
    <w:rsid w:val="59B0C7EA"/>
    <w:rsid w:val="59BF7360"/>
    <w:rsid w:val="59C01EB4"/>
    <w:rsid w:val="59CED185"/>
    <w:rsid w:val="59D503B8"/>
    <w:rsid w:val="59D6B53E"/>
    <w:rsid w:val="59D8439F"/>
    <w:rsid w:val="59E1EF6D"/>
    <w:rsid w:val="59EE566B"/>
    <w:rsid w:val="59F623BE"/>
    <w:rsid w:val="59FDC558"/>
    <w:rsid w:val="5A0B0FB5"/>
    <w:rsid w:val="5A0CF0E2"/>
    <w:rsid w:val="5A0D86B4"/>
    <w:rsid w:val="5A1224D6"/>
    <w:rsid w:val="5A29556D"/>
    <w:rsid w:val="5A2A3E21"/>
    <w:rsid w:val="5A2C3F66"/>
    <w:rsid w:val="5A2E1BB1"/>
    <w:rsid w:val="5A35637C"/>
    <w:rsid w:val="5A363317"/>
    <w:rsid w:val="5A383380"/>
    <w:rsid w:val="5A3B9169"/>
    <w:rsid w:val="5A3FCA88"/>
    <w:rsid w:val="5A41A073"/>
    <w:rsid w:val="5A4E8BD1"/>
    <w:rsid w:val="5A4FFA8B"/>
    <w:rsid w:val="5A541094"/>
    <w:rsid w:val="5A65C91B"/>
    <w:rsid w:val="5A6AEF07"/>
    <w:rsid w:val="5A72C3C0"/>
    <w:rsid w:val="5A8C61BF"/>
    <w:rsid w:val="5A947B8E"/>
    <w:rsid w:val="5A9E9651"/>
    <w:rsid w:val="5AAEFC2E"/>
    <w:rsid w:val="5AB34A75"/>
    <w:rsid w:val="5AB4AB03"/>
    <w:rsid w:val="5ABF989D"/>
    <w:rsid w:val="5ACAA302"/>
    <w:rsid w:val="5AD3A618"/>
    <w:rsid w:val="5AD990D7"/>
    <w:rsid w:val="5AD9F966"/>
    <w:rsid w:val="5ADB2704"/>
    <w:rsid w:val="5AF60C48"/>
    <w:rsid w:val="5B062F1E"/>
    <w:rsid w:val="5B0F74F8"/>
    <w:rsid w:val="5B17015D"/>
    <w:rsid w:val="5B1E6E5B"/>
    <w:rsid w:val="5B2C6F84"/>
    <w:rsid w:val="5B340F1E"/>
    <w:rsid w:val="5B3EBCEF"/>
    <w:rsid w:val="5B53ED7D"/>
    <w:rsid w:val="5B5535E1"/>
    <w:rsid w:val="5B5594A9"/>
    <w:rsid w:val="5B5D089C"/>
    <w:rsid w:val="5B65B56C"/>
    <w:rsid w:val="5B6A61A3"/>
    <w:rsid w:val="5B6D7946"/>
    <w:rsid w:val="5B864B23"/>
    <w:rsid w:val="5B86680F"/>
    <w:rsid w:val="5B8C6D67"/>
    <w:rsid w:val="5B8E0FE0"/>
    <w:rsid w:val="5B8E5387"/>
    <w:rsid w:val="5B907FD6"/>
    <w:rsid w:val="5B92FDC5"/>
    <w:rsid w:val="5B940B32"/>
    <w:rsid w:val="5B9D0654"/>
    <w:rsid w:val="5BB18DCC"/>
    <w:rsid w:val="5BB25DA8"/>
    <w:rsid w:val="5BC6D689"/>
    <w:rsid w:val="5BCBFB79"/>
    <w:rsid w:val="5BCE66CB"/>
    <w:rsid w:val="5BD14AF7"/>
    <w:rsid w:val="5BE351B9"/>
    <w:rsid w:val="5BE6953F"/>
    <w:rsid w:val="5BEC8A9A"/>
    <w:rsid w:val="5BF480D3"/>
    <w:rsid w:val="5BF5BEAF"/>
    <w:rsid w:val="5BF764C4"/>
    <w:rsid w:val="5C074E95"/>
    <w:rsid w:val="5C0D251A"/>
    <w:rsid w:val="5C0E1FE8"/>
    <w:rsid w:val="5C124817"/>
    <w:rsid w:val="5C27BC71"/>
    <w:rsid w:val="5C3094C4"/>
    <w:rsid w:val="5C3A21C0"/>
    <w:rsid w:val="5C4CA1D9"/>
    <w:rsid w:val="5C4DB145"/>
    <w:rsid w:val="5C506AA6"/>
    <w:rsid w:val="5C536678"/>
    <w:rsid w:val="5C5C91E7"/>
    <w:rsid w:val="5C69E64A"/>
    <w:rsid w:val="5C6A86F5"/>
    <w:rsid w:val="5C734890"/>
    <w:rsid w:val="5C7D8C16"/>
    <w:rsid w:val="5C81A637"/>
    <w:rsid w:val="5C8D309C"/>
    <w:rsid w:val="5C90FA7F"/>
    <w:rsid w:val="5C929C03"/>
    <w:rsid w:val="5C938718"/>
    <w:rsid w:val="5CB10CF8"/>
    <w:rsid w:val="5CBAE6D3"/>
    <w:rsid w:val="5CBC5F4C"/>
    <w:rsid w:val="5CCA29B1"/>
    <w:rsid w:val="5CCAA577"/>
    <w:rsid w:val="5CCADFEE"/>
    <w:rsid w:val="5CCCC239"/>
    <w:rsid w:val="5CD0177F"/>
    <w:rsid w:val="5CD2D216"/>
    <w:rsid w:val="5CD71E69"/>
    <w:rsid w:val="5CDCC4CD"/>
    <w:rsid w:val="5CE8040E"/>
    <w:rsid w:val="5CEDE21A"/>
    <w:rsid w:val="5CF72AEE"/>
    <w:rsid w:val="5CFB4BDC"/>
    <w:rsid w:val="5D011142"/>
    <w:rsid w:val="5D0686AD"/>
    <w:rsid w:val="5D14B14E"/>
    <w:rsid w:val="5D152597"/>
    <w:rsid w:val="5D17BA48"/>
    <w:rsid w:val="5D25C033"/>
    <w:rsid w:val="5D2945CC"/>
    <w:rsid w:val="5D2AF77B"/>
    <w:rsid w:val="5D3F6766"/>
    <w:rsid w:val="5D451CC9"/>
    <w:rsid w:val="5D523B44"/>
    <w:rsid w:val="5D52CFBA"/>
    <w:rsid w:val="5D53AF05"/>
    <w:rsid w:val="5D5A4E02"/>
    <w:rsid w:val="5D64F820"/>
    <w:rsid w:val="5D699380"/>
    <w:rsid w:val="5D784734"/>
    <w:rsid w:val="5D8205E0"/>
    <w:rsid w:val="5D8ACA79"/>
    <w:rsid w:val="5D8EEF69"/>
    <w:rsid w:val="5D8F6C0D"/>
    <w:rsid w:val="5D945204"/>
    <w:rsid w:val="5D9FBA6E"/>
    <w:rsid w:val="5DA3A960"/>
    <w:rsid w:val="5DA688D1"/>
    <w:rsid w:val="5DAF0881"/>
    <w:rsid w:val="5DB14D95"/>
    <w:rsid w:val="5DB17E83"/>
    <w:rsid w:val="5DC28797"/>
    <w:rsid w:val="5DCD0E2E"/>
    <w:rsid w:val="5DD3CC12"/>
    <w:rsid w:val="5DD9A974"/>
    <w:rsid w:val="5DDD43A2"/>
    <w:rsid w:val="5DDD9B94"/>
    <w:rsid w:val="5DE30C35"/>
    <w:rsid w:val="5DE392F4"/>
    <w:rsid w:val="5DE859FA"/>
    <w:rsid w:val="5DEC3A31"/>
    <w:rsid w:val="5DFB887F"/>
    <w:rsid w:val="5DFE579F"/>
    <w:rsid w:val="5DFF7427"/>
    <w:rsid w:val="5E0EB555"/>
    <w:rsid w:val="5E0FBE3B"/>
    <w:rsid w:val="5E151793"/>
    <w:rsid w:val="5E18E143"/>
    <w:rsid w:val="5E1B0CBD"/>
    <w:rsid w:val="5E2C6927"/>
    <w:rsid w:val="5E34A011"/>
    <w:rsid w:val="5E36E0B1"/>
    <w:rsid w:val="5E389871"/>
    <w:rsid w:val="5E534C9A"/>
    <w:rsid w:val="5E562FF6"/>
    <w:rsid w:val="5E5A2462"/>
    <w:rsid w:val="5E6361CD"/>
    <w:rsid w:val="5E685F5F"/>
    <w:rsid w:val="5E6910DF"/>
    <w:rsid w:val="5E6BBE57"/>
    <w:rsid w:val="5E6C03C5"/>
    <w:rsid w:val="5E7995B7"/>
    <w:rsid w:val="5E7E1ADE"/>
    <w:rsid w:val="5E7F6470"/>
    <w:rsid w:val="5E8910A4"/>
    <w:rsid w:val="5E9124C0"/>
    <w:rsid w:val="5E98B81D"/>
    <w:rsid w:val="5E99B1F4"/>
    <w:rsid w:val="5E9F0F94"/>
    <w:rsid w:val="5EB0137F"/>
    <w:rsid w:val="5EB325F7"/>
    <w:rsid w:val="5EC36B91"/>
    <w:rsid w:val="5ED8F0F4"/>
    <w:rsid w:val="5ED9B698"/>
    <w:rsid w:val="5EDFEE67"/>
    <w:rsid w:val="5EEF9FAB"/>
    <w:rsid w:val="5EF2F4D4"/>
    <w:rsid w:val="5EF46A19"/>
    <w:rsid w:val="5F0167E7"/>
    <w:rsid w:val="5F0CF3E5"/>
    <w:rsid w:val="5F163439"/>
    <w:rsid w:val="5F1B14EE"/>
    <w:rsid w:val="5F2218B8"/>
    <w:rsid w:val="5F3B7B4F"/>
    <w:rsid w:val="5F3C55DE"/>
    <w:rsid w:val="5F47F79D"/>
    <w:rsid w:val="5F4D2AE1"/>
    <w:rsid w:val="5F5147A7"/>
    <w:rsid w:val="5F692E9F"/>
    <w:rsid w:val="5F6E4719"/>
    <w:rsid w:val="5F740480"/>
    <w:rsid w:val="5F8784B7"/>
    <w:rsid w:val="5F8A28D0"/>
    <w:rsid w:val="5F8D68CD"/>
    <w:rsid w:val="5F96DD4C"/>
    <w:rsid w:val="5F9F68A0"/>
    <w:rsid w:val="5FA27C54"/>
    <w:rsid w:val="5FA76D9B"/>
    <w:rsid w:val="5FAA99B8"/>
    <w:rsid w:val="5FB02546"/>
    <w:rsid w:val="5FB1FCA4"/>
    <w:rsid w:val="5FBD4DB5"/>
    <w:rsid w:val="5FC03E21"/>
    <w:rsid w:val="5FC33A4F"/>
    <w:rsid w:val="5FC5B708"/>
    <w:rsid w:val="5FCFBF0A"/>
    <w:rsid w:val="5FD1678D"/>
    <w:rsid w:val="5FD405AC"/>
    <w:rsid w:val="5FD626C4"/>
    <w:rsid w:val="5FDDD155"/>
    <w:rsid w:val="5FE33C6D"/>
    <w:rsid w:val="5FE7EFF5"/>
    <w:rsid w:val="5FF1AB5C"/>
    <w:rsid w:val="5FFAF018"/>
    <w:rsid w:val="60004B7D"/>
    <w:rsid w:val="600B014F"/>
    <w:rsid w:val="601B548A"/>
    <w:rsid w:val="602DCA54"/>
    <w:rsid w:val="6033713E"/>
    <w:rsid w:val="603DA255"/>
    <w:rsid w:val="6042C048"/>
    <w:rsid w:val="604A71D2"/>
    <w:rsid w:val="6056F4B5"/>
    <w:rsid w:val="6074E3B7"/>
    <w:rsid w:val="60798F31"/>
    <w:rsid w:val="607D1214"/>
    <w:rsid w:val="607ED561"/>
    <w:rsid w:val="607FCF36"/>
    <w:rsid w:val="60809ED5"/>
    <w:rsid w:val="6081F0BA"/>
    <w:rsid w:val="6083E814"/>
    <w:rsid w:val="609A5086"/>
    <w:rsid w:val="60A71745"/>
    <w:rsid w:val="60AABBA9"/>
    <w:rsid w:val="60ADB6C2"/>
    <w:rsid w:val="60AF06C2"/>
    <w:rsid w:val="60B5AB47"/>
    <w:rsid w:val="60B671B9"/>
    <w:rsid w:val="60B746EC"/>
    <w:rsid w:val="60BC6064"/>
    <w:rsid w:val="60C88066"/>
    <w:rsid w:val="60D7A22A"/>
    <w:rsid w:val="60DD403D"/>
    <w:rsid w:val="60E0EB4E"/>
    <w:rsid w:val="60E5ACF1"/>
    <w:rsid w:val="60EA03BF"/>
    <w:rsid w:val="60F4B7A5"/>
    <w:rsid w:val="61072EB3"/>
    <w:rsid w:val="61076F65"/>
    <w:rsid w:val="610D0C5A"/>
    <w:rsid w:val="612DDB4C"/>
    <w:rsid w:val="61383612"/>
    <w:rsid w:val="61397261"/>
    <w:rsid w:val="614E44CC"/>
    <w:rsid w:val="61617EA8"/>
    <w:rsid w:val="6161804E"/>
    <w:rsid w:val="6163DCF0"/>
    <w:rsid w:val="61681F49"/>
    <w:rsid w:val="616AB055"/>
    <w:rsid w:val="61783119"/>
    <w:rsid w:val="617C3DF1"/>
    <w:rsid w:val="61857045"/>
    <w:rsid w:val="61873757"/>
    <w:rsid w:val="618D7310"/>
    <w:rsid w:val="6192A6AB"/>
    <w:rsid w:val="61A94E4B"/>
    <w:rsid w:val="61AA5838"/>
    <w:rsid w:val="61B49B17"/>
    <w:rsid w:val="61BE85AB"/>
    <w:rsid w:val="61CCB713"/>
    <w:rsid w:val="61D07D93"/>
    <w:rsid w:val="61D59554"/>
    <w:rsid w:val="61ECA83B"/>
    <w:rsid w:val="61ECE245"/>
    <w:rsid w:val="61EE463C"/>
    <w:rsid w:val="61F4502B"/>
    <w:rsid w:val="61FBA322"/>
    <w:rsid w:val="6206E853"/>
    <w:rsid w:val="62072E6C"/>
    <w:rsid w:val="6207CE39"/>
    <w:rsid w:val="620817E9"/>
    <w:rsid w:val="620CD6EC"/>
    <w:rsid w:val="62114F95"/>
    <w:rsid w:val="62216B53"/>
    <w:rsid w:val="6226ECBC"/>
    <w:rsid w:val="62274B3B"/>
    <w:rsid w:val="622F2446"/>
    <w:rsid w:val="6230AC7D"/>
    <w:rsid w:val="6232E1EB"/>
    <w:rsid w:val="62364270"/>
    <w:rsid w:val="6236F0F1"/>
    <w:rsid w:val="62421D1C"/>
    <w:rsid w:val="62451084"/>
    <w:rsid w:val="624648C7"/>
    <w:rsid w:val="62471FFE"/>
    <w:rsid w:val="62592658"/>
    <w:rsid w:val="625AEBC3"/>
    <w:rsid w:val="6269C257"/>
    <w:rsid w:val="62718E74"/>
    <w:rsid w:val="627B4E8B"/>
    <w:rsid w:val="628220FE"/>
    <w:rsid w:val="628A62D1"/>
    <w:rsid w:val="628E4E5C"/>
    <w:rsid w:val="62991071"/>
    <w:rsid w:val="629DA21A"/>
    <w:rsid w:val="629E6B08"/>
    <w:rsid w:val="629ED2DD"/>
    <w:rsid w:val="62A21830"/>
    <w:rsid w:val="62A44218"/>
    <w:rsid w:val="62B3BE4D"/>
    <w:rsid w:val="62B430B0"/>
    <w:rsid w:val="62B9A6CD"/>
    <w:rsid w:val="62BF0BE3"/>
    <w:rsid w:val="62C81955"/>
    <w:rsid w:val="62D21403"/>
    <w:rsid w:val="62DA5A44"/>
    <w:rsid w:val="62E2ED5B"/>
    <w:rsid w:val="62EA37B0"/>
    <w:rsid w:val="62ED266C"/>
    <w:rsid w:val="62F4294D"/>
    <w:rsid w:val="6309CA00"/>
    <w:rsid w:val="6309DE94"/>
    <w:rsid w:val="630D8E2C"/>
    <w:rsid w:val="630F7186"/>
    <w:rsid w:val="6316AA6A"/>
    <w:rsid w:val="634A90FB"/>
    <w:rsid w:val="635650ED"/>
    <w:rsid w:val="6356ACD0"/>
    <w:rsid w:val="636186FB"/>
    <w:rsid w:val="636FF563"/>
    <w:rsid w:val="63733DAA"/>
    <w:rsid w:val="63734059"/>
    <w:rsid w:val="637C70B0"/>
    <w:rsid w:val="637C7E45"/>
    <w:rsid w:val="63809A64"/>
    <w:rsid w:val="638CE1EA"/>
    <w:rsid w:val="638EABC5"/>
    <w:rsid w:val="63919816"/>
    <w:rsid w:val="639C5776"/>
    <w:rsid w:val="63A6E2BF"/>
    <w:rsid w:val="63A923D6"/>
    <w:rsid w:val="63BF2FC7"/>
    <w:rsid w:val="63C87923"/>
    <w:rsid w:val="63C9813D"/>
    <w:rsid w:val="63D62D22"/>
    <w:rsid w:val="63D787B3"/>
    <w:rsid w:val="63E1D7F1"/>
    <w:rsid w:val="63E64BB7"/>
    <w:rsid w:val="63F413A0"/>
    <w:rsid w:val="63F4CEE8"/>
    <w:rsid w:val="63F6EBC4"/>
    <w:rsid w:val="6408B288"/>
    <w:rsid w:val="641371F3"/>
    <w:rsid w:val="64182058"/>
    <w:rsid w:val="6419E879"/>
    <w:rsid w:val="641A5789"/>
    <w:rsid w:val="64300066"/>
    <w:rsid w:val="6454F15A"/>
    <w:rsid w:val="6455A45A"/>
    <w:rsid w:val="64595186"/>
    <w:rsid w:val="645CC32B"/>
    <w:rsid w:val="6460A6FA"/>
    <w:rsid w:val="646596CD"/>
    <w:rsid w:val="646B80F5"/>
    <w:rsid w:val="646CA7F9"/>
    <w:rsid w:val="646E1397"/>
    <w:rsid w:val="64705BDD"/>
    <w:rsid w:val="6479FDAB"/>
    <w:rsid w:val="647C2C5D"/>
    <w:rsid w:val="647CB181"/>
    <w:rsid w:val="647D66F6"/>
    <w:rsid w:val="647DF870"/>
    <w:rsid w:val="6488C1E0"/>
    <w:rsid w:val="648FDF16"/>
    <w:rsid w:val="649889CF"/>
    <w:rsid w:val="649976FE"/>
    <w:rsid w:val="649B6CC1"/>
    <w:rsid w:val="649C7DF3"/>
    <w:rsid w:val="649DD293"/>
    <w:rsid w:val="649DE1C2"/>
    <w:rsid w:val="64A209F8"/>
    <w:rsid w:val="64A40F0E"/>
    <w:rsid w:val="64A74CEA"/>
    <w:rsid w:val="64A89537"/>
    <w:rsid w:val="64AFCBC8"/>
    <w:rsid w:val="64B3F9DE"/>
    <w:rsid w:val="64B5133C"/>
    <w:rsid w:val="64BB3CCD"/>
    <w:rsid w:val="64BC91C8"/>
    <w:rsid w:val="64C08CC5"/>
    <w:rsid w:val="64C4CF2B"/>
    <w:rsid w:val="64C597D4"/>
    <w:rsid w:val="64C7AFF7"/>
    <w:rsid w:val="64CA475F"/>
    <w:rsid w:val="64D1D1CD"/>
    <w:rsid w:val="64D2562B"/>
    <w:rsid w:val="64D576EC"/>
    <w:rsid w:val="64D80F00"/>
    <w:rsid w:val="64E6FB08"/>
    <w:rsid w:val="64E8C6BE"/>
    <w:rsid w:val="64EB248D"/>
    <w:rsid w:val="64EC05D9"/>
    <w:rsid w:val="64F371D8"/>
    <w:rsid w:val="64F62446"/>
    <w:rsid w:val="64F84ED2"/>
    <w:rsid w:val="64FD9BCE"/>
    <w:rsid w:val="64FE829B"/>
    <w:rsid w:val="65052CC7"/>
    <w:rsid w:val="651581C4"/>
    <w:rsid w:val="652C396E"/>
    <w:rsid w:val="65325C0F"/>
    <w:rsid w:val="653E238B"/>
    <w:rsid w:val="6557D3C7"/>
    <w:rsid w:val="6560652C"/>
    <w:rsid w:val="65632F81"/>
    <w:rsid w:val="6564E805"/>
    <w:rsid w:val="657DA740"/>
    <w:rsid w:val="6584F5DD"/>
    <w:rsid w:val="658942AA"/>
    <w:rsid w:val="6590E63C"/>
    <w:rsid w:val="659FF3CF"/>
    <w:rsid w:val="65A0E40D"/>
    <w:rsid w:val="65A5D3D7"/>
    <w:rsid w:val="65AA9ABC"/>
    <w:rsid w:val="65AB9D82"/>
    <w:rsid w:val="65ABA4FD"/>
    <w:rsid w:val="65B01118"/>
    <w:rsid w:val="65B4C428"/>
    <w:rsid w:val="65C2ADA4"/>
    <w:rsid w:val="65C60EFC"/>
    <w:rsid w:val="65D014EB"/>
    <w:rsid w:val="65D18102"/>
    <w:rsid w:val="65E2A599"/>
    <w:rsid w:val="65E2A943"/>
    <w:rsid w:val="65E2DC21"/>
    <w:rsid w:val="65E334A8"/>
    <w:rsid w:val="65E41320"/>
    <w:rsid w:val="65E41796"/>
    <w:rsid w:val="66074283"/>
    <w:rsid w:val="66136689"/>
    <w:rsid w:val="6614C67A"/>
    <w:rsid w:val="661E52EC"/>
    <w:rsid w:val="661E5C44"/>
    <w:rsid w:val="66359EE7"/>
    <w:rsid w:val="6635C26C"/>
    <w:rsid w:val="663727DB"/>
    <w:rsid w:val="663C2E80"/>
    <w:rsid w:val="664F7766"/>
    <w:rsid w:val="66536C24"/>
    <w:rsid w:val="665F6929"/>
    <w:rsid w:val="666247E9"/>
    <w:rsid w:val="66631C1A"/>
    <w:rsid w:val="66644DA9"/>
    <w:rsid w:val="6694751E"/>
    <w:rsid w:val="66AD4B05"/>
    <w:rsid w:val="66B568D1"/>
    <w:rsid w:val="66D952AE"/>
    <w:rsid w:val="66E000EA"/>
    <w:rsid w:val="66EF854A"/>
    <w:rsid w:val="66F96F78"/>
    <w:rsid w:val="66FC13FF"/>
    <w:rsid w:val="66FCD964"/>
    <w:rsid w:val="6700A1A3"/>
    <w:rsid w:val="6709DD4A"/>
    <w:rsid w:val="671B3BD3"/>
    <w:rsid w:val="671FC5D6"/>
    <w:rsid w:val="6725581A"/>
    <w:rsid w:val="6728586A"/>
    <w:rsid w:val="6730B8E3"/>
    <w:rsid w:val="67334DB3"/>
    <w:rsid w:val="67335B4E"/>
    <w:rsid w:val="6734CB4C"/>
    <w:rsid w:val="673F9A1A"/>
    <w:rsid w:val="674E2052"/>
    <w:rsid w:val="675239BE"/>
    <w:rsid w:val="675E4378"/>
    <w:rsid w:val="6764690E"/>
    <w:rsid w:val="676E42F2"/>
    <w:rsid w:val="677B24FD"/>
    <w:rsid w:val="67954386"/>
    <w:rsid w:val="6799CEF8"/>
    <w:rsid w:val="67A12BE1"/>
    <w:rsid w:val="67A8C6CC"/>
    <w:rsid w:val="67BB0B46"/>
    <w:rsid w:val="67CBB46F"/>
    <w:rsid w:val="67CC2347"/>
    <w:rsid w:val="67D2B8FF"/>
    <w:rsid w:val="67DE3CA4"/>
    <w:rsid w:val="67E41560"/>
    <w:rsid w:val="67EF95D8"/>
    <w:rsid w:val="67F3BC46"/>
    <w:rsid w:val="67F4C0E1"/>
    <w:rsid w:val="6803068F"/>
    <w:rsid w:val="68073049"/>
    <w:rsid w:val="680B52BA"/>
    <w:rsid w:val="6814BEDE"/>
    <w:rsid w:val="68187547"/>
    <w:rsid w:val="68287DFA"/>
    <w:rsid w:val="683D1264"/>
    <w:rsid w:val="684B72C0"/>
    <w:rsid w:val="684C6287"/>
    <w:rsid w:val="68696BF4"/>
    <w:rsid w:val="687FDB2D"/>
    <w:rsid w:val="68826CDC"/>
    <w:rsid w:val="68837891"/>
    <w:rsid w:val="68A967F2"/>
    <w:rsid w:val="68BFD6D4"/>
    <w:rsid w:val="68C3DF6F"/>
    <w:rsid w:val="68CF225C"/>
    <w:rsid w:val="68D85CFF"/>
    <w:rsid w:val="68E38D32"/>
    <w:rsid w:val="68EB1300"/>
    <w:rsid w:val="68F31108"/>
    <w:rsid w:val="68F39CDE"/>
    <w:rsid w:val="68FA10B9"/>
    <w:rsid w:val="69003387"/>
    <w:rsid w:val="690A9A79"/>
    <w:rsid w:val="690ABF69"/>
    <w:rsid w:val="6916CC21"/>
    <w:rsid w:val="691D6994"/>
    <w:rsid w:val="69240A38"/>
    <w:rsid w:val="692A92AB"/>
    <w:rsid w:val="692F84A0"/>
    <w:rsid w:val="69322443"/>
    <w:rsid w:val="693B3CEE"/>
    <w:rsid w:val="693F5578"/>
    <w:rsid w:val="69491A4A"/>
    <w:rsid w:val="694DF518"/>
    <w:rsid w:val="694E0C3A"/>
    <w:rsid w:val="695A1DF6"/>
    <w:rsid w:val="6964090B"/>
    <w:rsid w:val="696DC5ED"/>
    <w:rsid w:val="698DAB34"/>
    <w:rsid w:val="69927DB2"/>
    <w:rsid w:val="6994BE3E"/>
    <w:rsid w:val="69986B92"/>
    <w:rsid w:val="699D3933"/>
    <w:rsid w:val="69B42A20"/>
    <w:rsid w:val="69BCE711"/>
    <w:rsid w:val="69BFF98B"/>
    <w:rsid w:val="69C5B0F1"/>
    <w:rsid w:val="69D2D12E"/>
    <w:rsid w:val="69DB56F5"/>
    <w:rsid w:val="69DECDCD"/>
    <w:rsid w:val="69E12E0E"/>
    <w:rsid w:val="69E227D1"/>
    <w:rsid w:val="69ED1FC4"/>
    <w:rsid w:val="69FC673A"/>
    <w:rsid w:val="69FD9E82"/>
    <w:rsid w:val="6A09F7B7"/>
    <w:rsid w:val="6A0B0FA5"/>
    <w:rsid w:val="6A34D6F0"/>
    <w:rsid w:val="6A404666"/>
    <w:rsid w:val="6A40675F"/>
    <w:rsid w:val="6A4BEA2F"/>
    <w:rsid w:val="6A4CB4BB"/>
    <w:rsid w:val="6A5245CE"/>
    <w:rsid w:val="6A57B440"/>
    <w:rsid w:val="6A5E583A"/>
    <w:rsid w:val="6A8798B4"/>
    <w:rsid w:val="6A8A8B7B"/>
    <w:rsid w:val="6A8E2253"/>
    <w:rsid w:val="6A979BFA"/>
    <w:rsid w:val="6A9CBDA9"/>
    <w:rsid w:val="6AA1C5D0"/>
    <w:rsid w:val="6AAF8D34"/>
    <w:rsid w:val="6AB9C634"/>
    <w:rsid w:val="6ABC5231"/>
    <w:rsid w:val="6ABE77B1"/>
    <w:rsid w:val="6AC065B2"/>
    <w:rsid w:val="6AD40B6B"/>
    <w:rsid w:val="6AD4C15B"/>
    <w:rsid w:val="6AD830BD"/>
    <w:rsid w:val="6ADA4E08"/>
    <w:rsid w:val="6AE2C1F2"/>
    <w:rsid w:val="6AE4986E"/>
    <w:rsid w:val="6AE84FFB"/>
    <w:rsid w:val="6AE8DB26"/>
    <w:rsid w:val="6AF82477"/>
    <w:rsid w:val="6AFEF5DE"/>
    <w:rsid w:val="6B066E64"/>
    <w:rsid w:val="6B0F24D1"/>
    <w:rsid w:val="6B0F635B"/>
    <w:rsid w:val="6B12E5D5"/>
    <w:rsid w:val="6B15F121"/>
    <w:rsid w:val="6B172502"/>
    <w:rsid w:val="6B23292C"/>
    <w:rsid w:val="6B234011"/>
    <w:rsid w:val="6B27891D"/>
    <w:rsid w:val="6B3E80EF"/>
    <w:rsid w:val="6B3F9B43"/>
    <w:rsid w:val="6B414C59"/>
    <w:rsid w:val="6B46756D"/>
    <w:rsid w:val="6B5263ED"/>
    <w:rsid w:val="6B5B27D4"/>
    <w:rsid w:val="6B681C61"/>
    <w:rsid w:val="6B722656"/>
    <w:rsid w:val="6B76DCBE"/>
    <w:rsid w:val="6B7F393E"/>
    <w:rsid w:val="6B9067EB"/>
    <w:rsid w:val="6B90F03A"/>
    <w:rsid w:val="6B938411"/>
    <w:rsid w:val="6B95CE83"/>
    <w:rsid w:val="6BA0A140"/>
    <w:rsid w:val="6BA47893"/>
    <w:rsid w:val="6BA85542"/>
    <w:rsid w:val="6BABE20A"/>
    <w:rsid w:val="6BAC6177"/>
    <w:rsid w:val="6BAFEBF7"/>
    <w:rsid w:val="6BB2DCB6"/>
    <w:rsid w:val="6BB3B996"/>
    <w:rsid w:val="6BB45EBB"/>
    <w:rsid w:val="6BB915EF"/>
    <w:rsid w:val="6BC22DE2"/>
    <w:rsid w:val="6BC8D642"/>
    <w:rsid w:val="6BD4B452"/>
    <w:rsid w:val="6BE17C09"/>
    <w:rsid w:val="6BE7BB4D"/>
    <w:rsid w:val="6BEF3A65"/>
    <w:rsid w:val="6BF144BC"/>
    <w:rsid w:val="6BF96172"/>
    <w:rsid w:val="6C065484"/>
    <w:rsid w:val="6C0E9C5A"/>
    <w:rsid w:val="6C13EEDA"/>
    <w:rsid w:val="6C153411"/>
    <w:rsid w:val="6C1A6989"/>
    <w:rsid w:val="6C1B0B84"/>
    <w:rsid w:val="6C1C5A33"/>
    <w:rsid w:val="6C26044D"/>
    <w:rsid w:val="6C27B883"/>
    <w:rsid w:val="6C2A3315"/>
    <w:rsid w:val="6C2AE301"/>
    <w:rsid w:val="6C2BD957"/>
    <w:rsid w:val="6C3357DF"/>
    <w:rsid w:val="6C3B06CE"/>
    <w:rsid w:val="6C47C0FE"/>
    <w:rsid w:val="6C537B41"/>
    <w:rsid w:val="6C588767"/>
    <w:rsid w:val="6C5A3A86"/>
    <w:rsid w:val="6C625BE2"/>
    <w:rsid w:val="6C6622D3"/>
    <w:rsid w:val="6C710E58"/>
    <w:rsid w:val="6C789486"/>
    <w:rsid w:val="6C78F186"/>
    <w:rsid w:val="6C793E48"/>
    <w:rsid w:val="6C7A1938"/>
    <w:rsid w:val="6C8268C4"/>
    <w:rsid w:val="6C91ED35"/>
    <w:rsid w:val="6CB3E68B"/>
    <w:rsid w:val="6CBB8EBA"/>
    <w:rsid w:val="6CCB631D"/>
    <w:rsid w:val="6CCBFFBF"/>
    <w:rsid w:val="6CCE2658"/>
    <w:rsid w:val="6CCF77B4"/>
    <w:rsid w:val="6CDA6035"/>
    <w:rsid w:val="6CE6E7E2"/>
    <w:rsid w:val="6CE950D5"/>
    <w:rsid w:val="6CED8704"/>
    <w:rsid w:val="6CF1A665"/>
    <w:rsid w:val="6CF6925A"/>
    <w:rsid w:val="6CFF912B"/>
    <w:rsid w:val="6D0BCE6C"/>
    <w:rsid w:val="6D249BCF"/>
    <w:rsid w:val="6D2520D3"/>
    <w:rsid w:val="6D29C356"/>
    <w:rsid w:val="6D3069F2"/>
    <w:rsid w:val="6D33DBFD"/>
    <w:rsid w:val="6D4BF1AF"/>
    <w:rsid w:val="6D538556"/>
    <w:rsid w:val="6D53C868"/>
    <w:rsid w:val="6D5EDAC2"/>
    <w:rsid w:val="6D5F9509"/>
    <w:rsid w:val="6D6815F6"/>
    <w:rsid w:val="6D6EBCE4"/>
    <w:rsid w:val="6D891CA9"/>
    <w:rsid w:val="6D905642"/>
    <w:rsid w:val="6D909C08"/>
    <w:rsid w:val="6DA638A2"/>
    <w:rsid w:val="6DAD45D2"/>
    <w:rsid w:val="6DB60EA3"/>
    <w:rsid w:val="6DB662EC"/>
    <w:rsid w:val="6DB9B954"/>
    <w:rsid w:val="6DC0DA93"/>
    <w:rsid w:val="6DC5DBF8"/>
    <w:rsid w:val="6DCCBDC2"/>
    <w:rsid w:val="6DD336F3"/>
    <w:rsid w:val="6DDECD80"/>
    <w:rsid w:val="6DDF6A23"/>
    <w:rsid w:val="6DE2D423"/>
    <w:rsid w:val="6DE5DB66"/>
    <w:rsid w:val="6DE72519"/>
    <w:rsid w:val="6DE95E25"/>
    <w:rsid w:val="6DE9E293"/>
    <w:rsid w:val="6DF7454D"/>
    <w:rsid w:val="6DFA34FD"/>
    <w:rsid w:val="6E17EC6A"/>
    <w:rsid w:val="6E1C3FBE"/>
    <w:rsid w:val="6E246168"/>
    <w:rsid w:val="6E25F6D0"/>
    <w:rsid w:val="6E28F749"/>
    <w:rsid w:val="6E2F1E30"/>
    <w:rsid w:val="6E2FAEA8"/>
    <w:rsid w:val="6E3B7972"/>
    <w:rsid w:val="6E40D379"/>
    <w:rsid w:val="6E456108"/>
    <w:rsid w:val="6E4595BF"/>
    <w:rsid w:val="6E4DDB0F"/>
    <w:rsid w:val="6E5532C3"/>
    <w:rsid w:val="6E5774F1"/>
    <w:rsid w:val="6E5BAE1F"/>
    <w:rsid w:val="6E5E6CE2"/>
    <w:rsid w:val="6E61D24B"/>
    <w:rsid w:val="6E6B4381"/>
    <w:rsid w:val="6E6F4B2A"/>
    <w:rsid w:val="6E729218"/>
    <w:rsid w:val="6E760EDE"/>
    <w:rsid w:val="6E7997B3"/>
    <w:rsid w:val="6E7BAAEB"/>
    <w:rsid w:val="6E80275A"/>
    <w:rsid w:val="6E8448D5"/>
    <w:rsid w:val="6E8726D9"/>
    <w:rsid w:val="6E884D39"/>
    <w:rsid w:val="6E8AF8C6"/>
    <w:rsid w:val="6E8E3642"/>
    <w:rsid w:val="6E9A5D5B"/>
    <w:rsid w:val="6EA33147"/>
    <w:rsid w:val="6EAD17ED"/>
    <w:rsid w:val="6EBD9BE1"/>
    <w:rsid w:val="6EC30F7B"/>
    <w:rsid w:val="6EC50E85"/>
    <w:rsid w:val="6EC97109"/>
    <w:rsid w:val="6ED1F9F7"/>
    <w:rsid w:val="6EDC5819"/>
    <w:rsid w:val="6EEA5D0B"/>
    <w:rsid w:val="6F000760"/>
    <w:rsid w:val="6F004E41"/>
    <w:rsid w:val="6F077F96"/>
    <w:rsid w:val="6F10597E"/>
    <w:rsid w:val="6F12B13D"/>
    <w:rsid w:val="6F194BF5"/>
    <w:rsid w:val="6F1E8E8E"/>
    <w:rsid w:val="6F23F118"/>
    <w:rsid w:val="6F2BEC6F"/>
    <w:rsid w:val="6F317DE0"/>
    <w:rsid w:val="6F31C937"/>
    <w:rsid w:val="6F364774"/>
    <w:rsid w:val="6F36DEE5"/>
    <w:rsid w:val="6F38657D"/>
    <w:rsid w:val="6F3C4567"/>
    <w:rsid w:val="6F4385C3"/>
    <w:rsid w:val="6F51F0E9"/>
    <w:rsid w:val="6F5EFB03"/>
    <w:rsid w:val="6F613E63"/>
    <w:rsid w:val="6F71D5AD"/>
    <w:rsid w:val="6F765E69"/>
    <w:rsid w:val="6F784630"/>
    <w:rsid w:val="6F8729ED"/>
    <w:rsid w:val="6FA7B39A"/>
    <w:rsid w:val="6FA7F3E9"/>
    <w:rsid w:val="6FA90FF2"/>
    <w:rsid w:val="6FAE8477"/>
    <w:rsid w:val="6FB4756E"/>
    <w:rsid w:val="6FB51BB5"/>
    <w:rsid w:val="6FBF132B"/>
    <w:rsid w:val="6FC106B1"/>
    <w:rsid w:val="6FC3A6DC"/>
    <w:rsid w:val="6FC4CA58"/>
    <w:rsid w:val="6FC72F1B"/>
    <w:rsid w:val="6FD9DC91"/>
    <w:rsid w:val="6FDFFF1F"/>
    <w:rsid w:val="6FEE1D80"/>
    <w:rsid w:val="6FF00736"/>
    <w:rsid w:val="70047D82"/>
    <w:rsid w:val="7017FF66"/>
    <w:rsid w:val="701FF6D8"/>
    <w:rsid w:val="7028B1BB"/>
    <w:rsid w:val="70381E7D"/>
    <w:rsid w:val="7039162F"/>
    <w:rsid w:val="7039CDFF"/>
    <w:rsid w:val="703B211F"/>
    <w:rsid w:val="703FB08B"/>
    <w:rsid w:val="704941E8"/>
    <w:rsid w:val="7052890F"/>
    <w:rsid w:val="705F6200"/>
    <w:rsid w:val="70627B07"/>
    <w:rsid w:val="7065954B"/>
    <w:rsid w:val="706AE5BA"/>
    <w:rsid w:val="70721AB3"/>
    <w:rsid w:val="707D98F0"/>
    <w:rsid w:val="708614E0"/>
    <w:rsid w:val="708B8AE9"/>
    <w:rsid w:val="709FCD8E"/>
    <w:rsid w:val="70AAC740"/>
    <w:rsid w:val="70B12019"/>
    <w:rsid w:val="70B574CF"/>
    <w:rsid w:val="70BDA28C"/>
    <w:rsid w:val="70C0BA0A"/>
    <w:rsid w:val="70CFCA34"/>
    <w:rsid w:val="70D58918"/>
    <w:rsid w:val="70DB8E50"/>
    <w:rsid w:val="70DD58C2"/>
    <w:rsid w:val="70E1F218"/>
    <w:rsid w:val="70E60321"/>
    <w:rsid w:val="70E78395"/>
    <w:rsid w:val="70F43AFB"/>
    <w:rsid w:val="70F97613"/>
    <w:rsid w:val="70FFCF02"/>
    <w:rsid w:val="710371F8"/>
    <w:rsid w:val="710C4903"/>
    <w:rsid w:val="711748B8"/>
    <w:rsid w:val="711B4C85"/>
    <w:rsid w:val="7130438D"/>
    <w:rsid w:val="7140B37A"/>
    <w:rsid w:val="71482820"/>
    <w:rsid w:val="71653353"/>
    <w:rsid w:val="7172D703"/>
    <w:rsid w:val="7177F8D5"/>
    <w:rsid w:val="717E7233"/>
    <w:rsid w:val="717F9F36"/>
    <w:rsid w:val="71876237"/>
    <w:rsid w:val="7189A7CF"/>
    <w:rsid w:val="71926ECA"/>
    <w:rsid w:val="71946EA5"/>
    <w:rsid w:val="7194D856"/>
    <w:rsid w:val="7199E748"/>
    <w:rsid w:val="71A5A345"/>
    <w:rsid w:val="71ACA177"/>
    <w:rsid w:val="71AD9886"/>
    <w:rsid w:val="71B9A7EF"/>
    <w:rsid w:val="71BAEF4B"/>
    <w:rsid w:val="71C4E482"/>
    <w:rsid w:val="71D02BC4"/>
    <w:rsid w:val="71DF9A69"/>
    <w:rsid w:val="71E51F4F"/>
    <w:rsid w:val="71E780A5"/>
    <w:rsid w:val="71F7008B"/>
    <w:rsid w:val="71F9B923"/>
    <w:rsid w:val="720E81B0"/>
    <w:rsid w:val="72144106"/>
    <w:rsid w:val="7214B8CB"/>
    <w:rsid w:val="721F910F"/>
    <w:rsid w:val="7236A85B"/>
    <w:rsid w:val="723DF0DF"/>
    <w:rsid w:val="723FBFB4"/>
    <w:rsid w:val="7249F362"/>
    <w:rsid w:val="7252B395"/>
    <w:rsid w:val="72534FC8"/>
    <w:rsid w:val="7260297D"/>
    <w:rsid w:val="72682176"/>
    <w:rsid w:val="726824CE"/>
    <w:rsid w:val="72693ED8"/>
    <w:rsid w:val="726BE396"/>
    <w:rsid w:val="726DBA50"/>
    <w:rsid w:val="727280B7"/>
    <w:rsid w:val="727B9A0A"/>
    <w:rsid w:val="727C05B9"/>
    <w:rsid w:val="727FBA98"/>
    <w:rsid w:val="72849ED5"/>
    <w:rsid w:val="72858C11"/>
    <w:rsid w:val="7285F74C"/>
    <w:rsid w:val="72883C05"/>
    <w:rsid w:val="728FBA82"/>
    <w:rsid w:val="7295CE0A"/>
    <w:rsid w:val="72A0C90A"/>
    <w:rsid w:val="72A430CB"/>
    <w:rsid w:val="72AC510C"/>
    <w:rsid w:val="72B068A8"/>
    <w:rsid w:val="72B6F22D"/>
    <w:rsid w:val="72B98DE9"/>
    <w:rsid w:val="72C4F91C"/>
    <w:rsid w:val="72D485E7"/>
    <w:rsid w:val="72D495DC"/>
    <w:rsid w:val="72D95C22"/>
    <w:rsid w:val="72DB2168"/>
    <w:rsid w:val="72DDF1D5"/>
    <w:rsid w:val="72F570A5"/>
    <w:rsid w:val="72FECC93"/>
    <w:rsid w:val="7301FC38"/>
    <w:rsid w:val="7303B943"/>
    <w:rsid w:val="730495EA"/>
    <w:rsid w:val="730A227D"/>
    <w:rsid w:val="7310351D"/>
    <w:rsid w:val="731C4B60"/>
    <w:rsid w:val="732A62F2"/>
    <w:rsid w:val="732ADBCF"/>
    <w:rsid w:val="73333ED4"/>
    <w:rsid w:val="73418F8A"/>
    <w:rsid w:val="734262F1"/>
    <w:rsid w:val="734278F9"/>
    <w:rsid w:val="734302C2"/>
    <w:rsid w:val="7347CD5D"/>
    <w:rsid w:val="73496A4B"/>
    <w:rsid w:val="734D97E4"/>
    <w:rsid w:val="734EB567"/>
    <w:rsid w:val="73593E02"/>
    <w:rsid w:val="735B8E06"/>
    <w:rsid w:val="735D20F5"/>
    <w:rsid w:val="735D25BE"/>
    <w:rsid w:val="736AD325"/>
    <w:rsid w:val="736B9741"/>
    <w:rsid w:val="736D9896"/>
    <w:rsid w:val="736F57E1"/>
    <w:rsid w:val="73706F31"/>
    <w:rsid w:val="73736082"/>
    <w:rsid w:val="73799A59"/>
    <w:rsid w:val="737AA26E"/>
    <w:rsid w:val="7387985B"/>
    <w:rsid w:val="738B85F4"/>
    <w:rsid w:val="738CCD9C"/>
    <w:rsid w:val="73B185DF"/>
    <w:rsid w:val="73BA665D"/>
    <w:rsid w:val="73CBA794"/>
    <w:rsid w:val="73CCC53D"/>
    <w:rsid w:val="73F7E550"/>
    <w:rsid w:val="74016F32"/>
    <w:rsid w:val="7401F4AD"/>
    <w:rsid w:val="74140BF0"/>
    <w:rsid w:val="74171207"/>
    <w:rsid w:val="74179008"/>
    <w:rsid w:val="7420208B"/>
    <w:rsid w:val="7422CA87"/>
    <w:rsid w:val="74448F39"/>
    <w:rsid w:val="7444CE7B"/>
    <w:rsid w:val="744CA904"/>
    <w:rsid w:val="745A79E5"/>
    <w:rsid w:val="745B9868"/>
    <w:rsid w:val="746DF90F"/>
    <w:rsid w:val="746E7FF7"/>
    <w:rsid w:val="748ACC2E"/>
    <w:rsid w:val="749E0DFD"/>
    <w:rsid w:val="74A2553F"/>
    <w:rsid w:val="74ADBB81"/>
    <w:rsid w:val="74C4D323"/>
    <w:rsid w:val="74C8F893"/>
    <w:rsid w:val="74CA7F15"/>
    <w:rsid w:val="74CA8D63"/>
    <w:rsid w:val="74CA9BCF"/>
    <w:rsid w:val="74D62925"/>
    <w:rsid w:val="74DBBEE4"/>
    <w:rsid w:val="74DCD4B2"/>
    <w:rsid w:val="74DD123E"/>
    <w:rsid w:val="74E14899"/>
    <w:rsid w:val="74E71E63"/>
    <w:rsid w:val="74E8B696"/>
    <w:rsid w:val="74ED0B02"/>
    <w:rsid w:val="74F035A8"/>
    <w:rsid w:val="74F5A943"/>
    <w:rsid w:val="74FB017C"/>
    <w:rsid w:val="75028DA3"/>
    <w:rsid w:val="75043C00"/>
    <w:rsid w:val="7504B36D"/>
    <w:rsid w:val="75084145"/>
    <w:rsid w:val="750CA744"/>
    <w:rsid w:val="7514FA48"/>
    <w:rsid w:val="751A032B"/>
    <w:rsid w:val="752115E8"/>
    <w:rsid w:val="752A0173"/>
    <w:rsid w:val="752AEA02"/>
    <w:rsid w:val="752F1468"/>
    <w:rsid w:val="7530E7EF"/>
    <w:rsid w:val="7531BA3F"/>
    <w:rsid w:val="75348895"/>
    <w:rsid w:val="7543F304"/>
    <w:rsid w:val="754870E7"/>
    <w:rsid w:val="754AB03A"/>
    <w:rsid w:val="7553A95E"/>
    <w:rsid w:val="755783C6"/>
    <w:rsid w:val="755F196D"/>
    <w:rsid w:val="757DEE96"/>
    <w:rsid w:val="7583DE04"/>
    <w:rsid w:val="758C1A82"/>
    <w:rsid w:val="7595EB06"/>
    <w:rsid w:val="759B2BFA"/>
    <w:rsid w:val="75A0FBFF"/>
    <w:rsid w:val="75A649D7"/>
    <w:rsid w:val="75A9AC18"/>
    <w:rsid w:val="75A9EB3A"/>
    <w:rsid w:val="75ABD9F0"/>
    <w:rsid w:val="75AF3731"/>
    <w:rsid w:val="75C0338E"/>
    <w:rsid w:val="75C30449"/>
    <w:rsid w:val="75C76EA2"/>
    <w:rsid w:val="75C92453"/>
    <w:rsid w:val="75CD76D6"/>
    <w:rsid w:val="75CF3156"/>
    <w:rsid w:val="75DC0ABC"/>
    <w:rsid w:val="75DD5314"/>
    <w:rsid w:val="75E8FF18"/>
    <w:rsid w:val="75ED5332"/>
    <w:rsid w:val="75F49647"/>
    <w:rsid w:val="75F584DF"/>
    <w:rsid w:val="75F63671"/>
    <w:rsid w:val="75F7A929"/>
    <w:rsid w:val="75FD8540"/>
    <w:rsid w:val="75FE834C"/>
    <w:rsid w:val="760B916D"/>
    <w:rsid w:val="7617C5C5"/>
    <w:rsid w:val="7617DC1E"/>
    <w:rsid w:val="76252712"/>
    <w:rsid w:val="764525C6"/>
    <w:rsid w:val="7649EB3C"/>
    <w:rsid w:val="76514C46"/>
    <w:rsid w:val="766C580C"/>
    <w:rsid w:val="766ED3CB"/>
    <w:rsid w:val="76858F29"/>
    <w:rsid w:val="7693519A"/>
    <w:rsid w:val="769E2A7E"/>
    <w:rsid w:val="76A0CED2"/>
    <w:rsid w:val="76A2F2FA"/>
    <w:rsid w:val="76AC5A64"/>
    <w:rsid w:val="76B956C1"/>
    <w:rsid w:val="76D94A38"/>
    <w:rsid w:val="76D959FA"/>
    <w:rsid w:val="76DFC266"/>
    <w:rsid w:val="76E5761A"/>
    <w:rsid w:val="76E64FAB"/>
    <w:rsid w:val="76EA81A2"/>
    <w:rsid w:val="76F26DE5"/>
    <w:rsid w:val="76F6636A"/>
    <w:rsid w:val="76F73DA7"/>
    <w:rsid w:val="76FE2D4F"/>
    <w:rsid w:val="77064C09"/>
    <w:rsid w:val="7709FFE1"/>
    <w:rsid w:val="770CFBF3"/>
    <w:rsid w:val="770E729A"/>
    <w:rsid w:val="7710938A"/>
    <w:rsid w:val="7737E98B"/>
    <w:rsid w:val="773A5D5E"/>
    <w:rsid w:val="77402FFC"/>
    <w:rsid w:val="77457E03"/>
    <w:rsid w:val="775496EC"/>
    <w:rsid w:val="77553B8B"/>
    <w:rsid w:val="77564D72"/>
    <w:rsid w:val="775A841A"/>
    <w:rsid w:val="775C9268"/>
    <w:rsid w:val="775F00BA"/>
    <w:rsid w:val="7762E21B"/>
    <w:rsid w:val="77634923"/>
    <w:rsid w:val="7764CC43"/>
    <w:rsid w:val="77672410"/>
    <w:rsid w:val="776D89C6"/>
    <w:rsid w:val="77715F6B"/>
    <w:rsid w:val="7774D7C8"/>
    <w:rsid w:val="77760E7C"/>
    <w:rsid w:val="777F73E0"/>
    <w:rsid w:val="7782703F"/>
    <w:rsid w:val="7785A5EF"/>
    <w:rsid w:val="77971398"/>
    <w:rsid w:val="779EABC9"/>
    <w:rsid w:val="77A52AA3"/>
    <w:rsid w:val="77B3E983"/>
    <w:rsid w:val="77B47791"/>
    <w:rsid w:val="77B6EDB4"/>
    <w:rsid w:val="77BCFE65"/>
    <w:rsid w:val="77D68B4A"/>
    <w:rsid w:val="77E204B4"/>
    <w:rsid w:val="77E2197B"/>
    <w:rsid w:val="77E5FCE9"/>
    <w:rsid w:val="77ECF2BD"/>
    <w:rsid w:val="77ED0015"/>
    <w:rsid w:val="77F3D8C0"/>
    <w:rsid w:val="77F463CC"/>
    <w:rsid w:val="77F99609"/>
    <w:rsid w:val="77FF56E4"/>
    <w:rsid w:val="7804FB9E"/>
    <w:rsid w:val="781A656F"/>
    <w:rsid w:val="78216360"/>
    <w:rsid w:val="7827EBB5"/>
    <w:rsid w:val="78369667"/>
    <w:rsid w:val="783BDF72"/>
    <w:rsid w:val="784314D1"/>
    <w:rsid w:val="78454985"/>
    <w:rsid w:val="784E230F"/>
    <w:rsid w:val="785010FF"/>
    <w:rsid w:val="785E8E82"/>
    <w:rsid w:val="785F0CA2"/>
    <w:rsid w:val="78631EBA"/>
    <w:rsid w:val="786CCF0A"/>
    <w:rsid w:val="78719120"/>
    <w:rsid w:val="787261B6"/>
    <w:rsid w:val="787A3A3C"/>
    <w:rsid w:val="78833610"/>
    <w:rsid w:val="7891A7E7"/>
    <w:rsid w:val="78A57D86"/>
    <w:rsid w:val="78B715D0"/>
    <w:rsid w:val="78B73236"/>
    <w:rsid w:val="78C77EB6"/>
    <w:rsid w:val="78C7E860"/>
    <w:rsid w:val="78CC59C3"/>
    <w:rsid w:val="78D2503F"/>
    <w:rsid w:val="78D4639B"/>
    <w:rsid w:val="78DC65B4"/>
    <w:rsid w:val="78E5B759"/>
    <w:rsid w:val="78F3D3C0"/>
    <w:rsid w:val="78FF32D2"/>
    <w:rsid w:val="790E651F"/>
    <w:rsid w:val="79110C0C"/>
    <w:rsid w:val="791451E5"/>
    <w:rsid w:val="79172833"/>
    <w:rsid w:val="792CCA5B"/>
    <w:rsid w:val="792D254C"/>
    <w:rsid w:val="7932CABC"/>
    <w:rsid w:val="7933C39A"/>
    <w:rsid w:val="793462C8"/>
    <w:rsid w:val="793951E0"/>
    <w:rsid w:val="793E7E8A"/>
    <w:rsid w:val="794876A8"/>
    <w:rsid w:val="7952ED69"/>
    <w:rsid w:val="79547917"/>
    <w:rsid w:val="795BE3DA"/>
    <w:rsid w:val="795DB4C4"/>
    <w:rsid w:val="795FB1D6"/>
    <w:rsid w:val="79633F6D"/>
    <w:rsid w:val="797483BA"/>
    <w:rsid w:val="7991E66C"/>
    <w:rsid w:val="79A11450"/>
    <w:rsid w:val="79A246CC"/>
    <w:rsid w:val="79ADDAE7"/>
    <w:rsid w:val="79B02CB7"/>
    <w:rsid w:val="79BF94CD"/>
    <w:rsid w:val="79C6C3AA"/>
    <w:rsid w:val="79D75CC4"/>
    <w:rsid w:val="79DA709E"/>
    <w:rsid w:val="79DC3BF0"/>
    <w:rsid w:val="79E1A311"/>
    <w:rsid w:val="79E6802E"/>
    <w:rsid w:val="79EF5308"/>
    <w:rsid w:val="79F3B605"/>
    <w:rsid w:val="7A00F647"/>
    <w:rsid w:val="7A03871E"/>
    <w:rsid w:val="7A03F11D"/>
    <w:rsid w:val="7A08E2F1"/>
    <w:rsid w:val="7A1C2857"/>
    <w:rsid w:val="7A1E7D45"/>
    <w:rsid w:val="7A212212"/>
    <w:rsid w:val="7A2B19DF"/>
    <w:rsid w:val="7A2CD2F4"/>
    <w:rsid w:val="7A43F2AD"/>
    <w:rsid w:val="7A495D3F"/>
    <w:rsid w:val="7A63207E"/>
    <w:rsid w:val="7A666D8D"/>
    <w:rsid w:val="7A67BEBF"/>
    <w:rsid w:val="7A6A4F48"/>
    <w:rsid w:val="7A6F9E4B"/>
    <w:rsid w:val="7A713843"/>
    <w:rsid w:val="7A76AEEB"/>
    <w:rsid w:val="7A822011"/>
    <w:rsid w:val="7A826124"/>
    <w:rsid w:val="7A85335B"/>
    <w:rsid w:val="7A8AFE28"/>
    <w:rsid w:val="7A91068F"/>
    <w:rsid w:val="7A95C0CA"/>
    <w:rsid w:val="7A95FB61"/>
    <w:rsid w:val="7A97ED4C"/>
    <w:rsid w:val="7A9AAC6D"/>
    <w:rsid w:val="7AA04F3A"/>
    <w:rsid w:val="7AA202B6"/>
    <w:rsid w:val="7AB23C89"/>
    <w:rsid w:val="7ACC854B"/>
    <w:rsid w:val="7ACCC6F5"/>
    <w:rsid w:val="7AD2B8CF"/>
    <w:rsid w:val="7ADD001A"/>
    <w:rsid w:val="7AE02270"/>
    <w:rsid w:val="7AE06E2F"/>
    <w:rsid w:val="7AE6B89A"/>
    <w:rsid w:val="7AECE222"/>
    <w:rsid w:val="7AEFF5C1"/>
    <w:rsid w:val="7AF91CA6"/>
    <w:rsid w:val="7B022DDE"/>
    <w:rsid w:val="7B1CB2F1"/>
    <w:rsid w:val="7B24DFF6"/>
    <w:rsid w:val="7B2BA5BF"/>
    <w:rsid w:val="7B328D01"/>
    <w:rsid w:val="7B3A6AA1"/>
    <w:rsid w:val="7B461443"/>
    <w:rsid w:val="7B4BE226"/>
    <w:rsid w:val="7B528FF6"/>
    <w:rsid w:val="7B5498B6"/>
    <w:rsid w:val="7B57490C"/>
    <w:rsid w:val="7B5C1586"/>
    <w:rsid w:val="7B5C45DA"/>
    <w:rsid w:val="7B6188A2"/>
    <w:rsid w:val="7B667069"/>
    <w:rsid w:val="7B701BE6"/>
    <w:rsid w:val="7B707248"/>
    <w:rsid w:val="7B731F61"/>
    <w:rsid w:val="7B759C76"/>
    <w:rsid w:val="7B856A25"/>
    <w:rsid w:val="7B930B97"/>
    <w:rsid w:val="7B9610B7"/>
    <w:rsid w:val="7B9AAADC"/>
    <w:rsid w:val="7BA2E6C5"/>
    <w:rsid w:val="7BC1178E"/>
    <w:rsid w:val="7BCE0FE0"/>
    <w:rsid w:val="7BED8A91"/>
    <w:rsid w:val="7BF21ADC"/>
    <w:rsid w:val="7BF2FE21"/>
    <w:rsid w:val="7BF5BA7F"/>
    <w:rsid w:val="7BF8AE5F"/>
    <w:rsid w:val="7BFDA6F9"/>
    <w:rsid w:val="7C05A647"/>
    <w:rsid w:val="7C0C5C8F"/>
    <w:rsid w:val="7C0DEAD3"/>
    <w:rsid w:val="7C1F8DD4"/>
    <w:rsid w:val="7C2ABD20"/>
    <w:rsid w:val="7C3F6438"/>
    <w:rsid w:val="7C46166E"/>
    <w:rsid w:val="7C468F63"/>
    <w:rsid w:val="7C46E7F0"/>
    <w:rsid w:val="7C686E6F"/>
    <w:rsid w:val="7C85B6C0"/>
    <w:rsid w:val="7C860180"/>
    <w:rsid w:val="7C8640B7"/>
    <w:rsid w:val="7C910A36"/>
    <w:rsid w:val="7C95A3D4"/>
    <w:rsid w:val="7C9C7338"/>
    <w:rsid w:val="7C9D4CEB"/>
    <w:rsid w:val="7CA284F1"/>
    <w:rsid w:val="7CA36465"/>
    <w:rsid w:val="7CA8C36B"/>
    <w:rsid w:val="7CB2EABF"/>
    <w:rsid w:val="7CB8B9D8"/>
    <w:rsid w:val="7CBA78E7"/>
    <w:rsid w:val="7CC18463"/>
    <w:rsid w:val="7CC44A50"/>
    <w:rsid w:val="7CC840E1"/>
    <w:rsid w:val="7CCE8881"/>
    <w:rsid w:val="7CD774E4"/>
    <w:rsid w:val="7CD78193"/>
    <w:rsid w:val="7CDA9FDC"/>
    <w:rsid w:val="7CDAB798"/>
    <w:rsid w:val="7CDF7A6A"/>
    <w:rsid w:val="7CE142FE"/>
    <w:rsid w:val="7CE1F960"/>
    <w:rsid w:val="7CE74C1F"/>
    <w:rsid w:val="7CF2E1CB"/>
    <w:rsid w:val="7CF9827B"/>
    <w:rsid w:val="7CFF9AD9"/>
    <w:rsid w:val="7D057EA1"/>
    <w:rsid w:val="7D07C795"/>
    <w:rsid w:val="7D07E5D3"/>
    <w:rsid w:val="7D09C285"/>
    <w:rsid w:val="7D0E51CF"/>
    <w:rsid w:val="7D1171D0"/>
    <w:rsid w:val="7D13D328"/>
    <w:rsid w:val="7D174640"/>
    <w:rsid w:val="7D1D26A6"/>
    <w:rsid w:val="7D265960"/>
    <w:rsid w:val="7D3742F8"/>
    <w:rsid w:val="7D41CAE5"/>
    <w:rsid w:val="7D6FEB37"/>
    <w:rsid w:val="7D7134A1"/>
    <w:rsid w:val="7D7745FC"/>
    <w:rsid w:val="7D79B4A9"/>
    <w:rsid w:val="7D8230D7"/>
    <w:rsid w:val="7D869570"/>
    <w:rsid w:val="7D86CEEC"/>
    <w:rsid w:val="7D87E34F"/>
    <w:rsid w:val="7D8D3470"/>
    <w:rsid w:val="7D921B1D"/>
    <w:rsid w:val="7DA9ED05"/>
    <w:rsid w:val="7DACD433"/>
    <w:rsid w:val="7DB18144"/>
    <w:rsid w:val="7DB2ADE1"/>
    <w:rsid w:val="7DB69676"/>
    <w:rsid w:val="7DCDD3D3"/>
    <w:rsid w:val="7DD129D2"/>
    <w:rsid w:val="7DD83E72"/>
    <w:rsid w:val="7DE39BF2"/>
    <w:rsid w:val="7DEA1BF3"/>
    <w:rsid w:val="7DED76D0"/>
    <w:rsid w:val="7DF5D45E"/>
    <w:rsid w:val="7DF86887"/>
    <w:rsid w:val="7DF9B89F"/>
    <w:rsid w:val="7DFF63CB"/>
    <w:rsid w:val="7E004C1D"/>
    <w:rsid w:val="7E13D87B"/>
    <w:rsid w:val="7E1BED9C"/>
    <w:rsid w:val="7E1C8852"/>
    <w:rsid w:val="7E2070FD"/>
    <w:rsid w:val="7E46F45F"/>
    <w:rsid w:val="7E4FBA7A"/>
    <w:rsid w:val="7E514628"/>
    <w:rsid w:val="7E514BAF"/>
    <w:rsid w:val="7E521232"/>
    <w:rsid w:val="7E63DE71"/>
    <w:rsid w:val="7E6CA9EB"/>
    <w:rsid w:val="7E6FEE52"/>
    <w:rsid w:val="7E8B7141"/>
    <w:rsid w:val="7E8D8AC4"/>
    <w:rsid w:val="7E97821B"/>
    <w:rsid w:val="7E9D911A"/>
    <w:rsid w:val="7E9DD9AE"/>
    <w:rsid w:val="7EA90941"/>
    <w:rsid w:val="7EBCA2BF"/>
    <w:rsid w:val="7EC56F59"/>
    <w:rsid w:val="7ED9D792"/>
    <w:rsid w:val="7EDCED11"/>
    <w:rsid w:val="7EEDFF70"/>
    <w:rsid w:val="7EF234C4"/>
    <w:rsid w:val="7F07B358"/>
    <w:rsid w:val="7F0EDD49"/>
    <w:rsid w:val="7F0EE906"/>
    <w:rsid w:val="7F111A09"/>
    <w:rsid w:val="7F141E8B"/>
    <w:rsid w:val="7F225C07"/>
    <w:rsid w:val="7F31B031"/>
    <w:rsid w:val="7F3564E2"/>
    <w:rsid w:val="7F3B8B91"/>
    <w:rsid w:val="7F3DABDC"/>
    <w:rsid w:val="7F3EA226"/>
    <w:rsid w:val="7F444E4F"/>
    <w:rsid w:val="7F4A7246"/>
    <w:rsid w:val="7F4DB6F0"/>
    <w:rsid w:val="7F5702F9"/>
    <w:rsid w:val="7F69FBC9"/>
    <w:rsid w:val="7F849C01"/>
    <w:rsid w:val="7F887F3D"/>
    <w:rsid w:val="7F8B887B"/>
    <w:rsid w:val="7F916A9C"/>
    <w:rsid w:val="7F98F050"/>
    <w:rsid w:val="7FA052F0"/>
    <w:rsid w:val="7FA132D9"/>
    <w:rsid w:val="7FA3E1F9"/>
    <w:rsid w:val="7FA402F7"/>
    <w:rsid w:val="7FB96988"/>
    <w:rsid w:val="7FBE35DB"/>
    <w:rsid w:val="7FBEAA9B"/>
    <w:rsid w:val="7FC582A6"/>
    <w:rsid w:val="7FE0C83D"/>
    <w:rsid w:val="7FE135D9"/>
    <w:rsid w:val="7FE7CC41"/>
    <w:rsid w:val="7FF01EFC"/>
    <w:rsid w:val="7FFF78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3FE5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E50"/>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6C7479"/>
    <w:pPr>
      <w:keepNext/>
      <w:keepLines/>
      <w:numPr>
        <w:numId w:val="47"/>
      </w:numPr>
      <w:ind w:left="360"/>
      <w:outlineLvl w:val="0"/>
    </w:pPr>
    <w:rPr>
      <w:rFonts w:asciiTheme="majorHAnsi" w:eastAsiaTheme="majorEastAsia" w:hAnsiTheme="majorHAnsi" w:cstheme="majorBidi"/>
      <w:b/>
      <w:color w:val="365F91" w:themeColor="accent1" w:themeShade="BF"/>
      <w:szCs w:val="32"/>
    </w:rPr>
  </w:style>
  <w:style w:type="paragraph" w:styleId="Heading2">
    <w:name w:val="heading 2"/>
    <w:basedOn w:val="Normal"/>
    <w:next w:val="Normal"/>
    <w:link w:val="Heading2Char"/>
    <w:uiPriority w:val="9"/>
    <w:unhideWhenUsed/>
    <w:qFormat/>
    <w:rsid w:val="009A61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A61B3"/>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6C7479"/>
    <w:pPr>
      <w:keepNext/>
      <w:keepLines/>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B79"/>
    <w:pPr>
      <w:ind w:left="720"/>
      <w:contextualSpacing/>
    </w:pPr>
  </w:style>
  <w:style w:type="paragraph" w:styleId="ListNumber">
    <w:name w:val="List Number"/>
    <w:basedOn w:val="Normal"/>
    <w:uiPriority w:val="30"/>
    <w:unhideWhenUsed/>
    <w:rsid w:val="00667227"/>
    <w:pPr>
      <w:numPr>
        <w:numId w:val="14"/>
      </w:numPr>
    </w:pPr>
    <w:rPr>
      <w:rFonts w:eastAsia="Times New Roman" w:cs="Times New Roman"/>
      <w:kern w:val="0"/>
      <w:szCs w:val="20"/>
      <w:lang w:eastAsia="en-IE"/>
    </w:rPr>
  </w:style>
  <w:style w:type="paragraph" w:customStyle="1" w:styleId="ListNumberLevel2">
    <w:name w:val="List Number (Level 2)"/>
    <w:basedOn w:val="Normal"/>
    <w:uiPriority w:val="30"/>
    <w:rsid w:val="00667227"/>
    <w:pPr>
      <w:numPr>
        <w:ilvl w:val="1"/>
        <w:numId w:val="14"/>
      </w:numPr>
    </w:pPr>
    <w:rPr>
      <w:rFonts w:eastAsia="Times New Roman" w:cs="Times New Roman"/>
      <w:kern w:val="0"/>
      <w:szCs w:val="20"/>
      <w:lang w:eastAsia="en-IE"/>
    </w:rPr>
  </w:style>
  <w:style w:type="paragraph" w:customStyle="1" w:styleId="ListNumberLevel3">
    <w:name w:val="List Number (Level 3)"/>
    <w:basedOn w:val="Normal"/>
    <w:uiPriority w:val="30"/>
    <w:rsid w:val="00667227"/>
    <w:pPr>
      <w:numPr>
        <w:ilvl w:val="2"/>
        <w:numId w:val="14"/>
      </w:numPr>
    </w:pPr>
    <w:rPr>
      <w:rFonts w:eastAsia="Times New Roman" w:cs="Times New Roman"/>
      <w:kern w:val="0"/>
      <w:szCs w:val="20"/>
      <w:lang w:eastAsia="en-IE"/>
    </w:rPr>
  </w:style>
  <w:style w:type="paragraph" w:customStyle="1" w:styleId="ListNumberLevel4">
    <w:name w:val="List Number (Level 4)"/>
    <w:basedOn w:val="Normal"/>
    <w:uiPriority w:val="30"/>
    <w:rsid w:val="00667227"/>
    <w:pPr>
      <w:numPr>
        <w:ilvl w:val="3"/>
        <w:numId w:val="14"/>
      </w:numPr>
    </w:pPr>
    <w:rPr>
      <w:rFonts w:eastAsia="Times New Roman" w:cs="Times New Roman"/>
      <w:kern w:val="0"/>
      <w:szCs w:val="20"/>
      <w:lang w:eastAsia="en-IE"/>
    </w:rPr>
  </w:style>
  <w:style w:type="paragraph" w:customStyle="1" w:styleId="Text1">
    <w:name w:val="Text 1"/>
    <w:basedOn w:val="Normal"/>
    <w:qFormat/>
    <w:rsid w:val="00667227"/>
    <w:pPr>
      <w:ind w:left="482"/>
    </w:pPr>
    <w:rPr>
      <w:rFonts w:eastAsia="Times New Roman" w:cs="Times New Roman"/>
      <w:kern w:val="0"/>
      <w:szCs w:val="20"/>
      <w:lang w:eastAsia="en-IE"/>
    </w:rPr>
  </w:style>
  <w:style w:type="paragraph" w:styleId="Header">
    <w:name w:val="header"/>
    <w:basedOn w:val="Normal"/>
    <w:link w:val="HeaderChar"/>
    <w:uiPriority w:val="99"/>
    <w:unhideWhenUsed/>
    <w:rsid w:val="002779E1"/>
    <w:pPr>
      <w:tabs>
        <w:tab w:val="center" w:pos="4513"/>
        <w:tab w:val="right" w:pos="9026"/>
      </w:tabs>
      <w:spacing w:after="0"/>
    </w:pPr>
  </w:style>
  <w:style w:type="character" w:customStyle="1" w:styleId="HeaderChar">
    <w:name w:val="Header Char"/>
    <w:basedOn w:val="DefaultParagraphFont"/>
    <w:link w:val="Header"/>
    <w:uiPriority w:val="99"/>
    <w:rsid w:val="002779E1"/>
    <w:rPr>
      <w:rFonts w:ascii="Times New Roman" w:hAnsi="Times New Roman"/>
      <w:sz w:val="24"/>
    </w:rPr>
  </w:style>
  <w:style w:type="paragraph" w:styleId="Footer">
    <w:name w:val="footer"/>
    <w:basedOn w:val="Normal"/>
    <w:link w:val="FooterChar"/>
    <w:uiPriority w:val="99"/>
    <w:unhideWhenUsed/>
    <w:rsid w:val="002779E1"/>
    <w:pPr>
      <w:tabs>
        <w:tab w:val="center" w:pos="4513"/>
        <w:tab w:val="right" w:pos="9026"/>
      </w:tabs>
      <w:spacing w:after="0"/>
    </w:pPr>
  </w:style>
  <w:style w:type="character" w:customStyle="1" w:styleId="FooterChar">
    <w:name w:val="Footer Char"/>
    <w:basedOn w:val="DefaultParagraphFont"/>
    <w:link w:val="Footer"/>
    <w:uiPriority w:val="99"/>
    <w:rsid w:val="002779E1"/>
    <w:rPr>
      <w:rFonts w:ascii="Times New Roman" w:hAnsi="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5D3A5E"/>
    <w:pPr>
      <w:spacing w:after="0"/>
      <w:ind w:left="357" w:hanging="357"/>
    </w:pPr>
    <w:rPr>
      <w:rFonts w:eastAsia="Times New Roman" w:cs="Times New Roman"/>
      <w:kern w:val="0"/>
      <w:sz w:val="18"/>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D3A5E"/>
    <w:rPr>
      <w:rFonts w:ascii="Times New Roman" w:eastAsia="Times New Roman" w:hAnsi="Times New Roman" w:cs="Times New Roman"/>
      <w:kern w:val="0"/>
      <w:sz w:val="18"/>
      <w:szCs w:val="20"/>
    </w:rPr>
  </w:style>
  <w:style w:type="character" w:styleId="Hyperlink">
    <w:name w:val="Hyperlink"/>
    <w:basedOn w:val="DefaultParagraphFont"/>
    <w:uiPriority w:val="99"/>
    <w:unhideWhenUsed/>
    <w:rsid w:val="005D3A5E"/>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arZchn"/>
    <w:uiPriority w:val="99"/>
    <w:unhideWhenUsed/>
    <w:qFormat/>
    <w:rsid w:val="005D3A5E"/>
    <w:rPr>
      <w:rFonts w:ascii="Times New Roman" w:hAnsi="Times New Roman"/>
      <w:sz w:val="24"/>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5D3A5E"/>
    <w:pPr>
      <w:spacing w:line="240" w:lineRule="exact"/>
    </w:pPr>
    <w:rPr>
      <w:vertAlign w:val="superscript"/>
    </w:rPr>
  </w:style>
  <w:style w:type="paragraph" w:styleId="Caption">
    <w:name w:val="caption"/>
    <w:basedOn w:val="Normal"/>
    <w:next w:val="Normal"/>
    <w:uiPriority w:val="35"/>
    <w:unhideWhenUsed/>
    <w:qFormat/>
    <w:rsid w:val="005D3A5E"/>
    <w:pPr>
      <w:keepNext/>
      <w:spacing w:after="0"/>
    </w:pPr>
    <w:rPr>
      <w:i/>
      <w:iCs/>
      <w:color w:val="1F497D" w:themeColor="text2"/>
      <w:kern w:val="0"/>
      <w:sz w:val="18"/>
      <w:szCs w:val="18"/>
    </w:rPr>
  </w:style>
  <w:style w:type="paragraph" w:customStyle="1" w:styleId="Figurenote">
    <w:name w:val="Figure_note"/>
    <w:basedOn w:val="Normal"/>
    <w:qFormat/>
    <w:rsid w:val="005D3A5E"/>
    <w:pPr>
      <w:tabs>
        <w:tab w:val="num" w:pos="0"/>
      </w:tabs>
      <w:autoSpaceDE w:val="0"/>
      <w:autoSpaceDN w:val="0"/>
      <w:adjustRightInd w:val="0"/>
      <w:spacing w:after="120" w:line="276" w:lineRule="auto"/>
    </w:pPr>
    <w:rPr>
      <w:rFonts w:eastAsia="Times New Roman" w:cs="Times New Roman"/>
      <w:i/>
      <w:iCs/>
      <w:kern w:val="0"/>
      <w:sz w:val="18"/>
      <w:szCs w:val="14"/>
    </w:rPr>
  </w:style>
  <w:style w:type="character" w:customStyle="1" w:styleId="Heading1Char">
    <w:name w:val="Heading 1 Char"/>
    <w:basedOn w:val="DefaultParagraphFont"/>
    <w:link w:val="Heading1"/>
    <w:uiPriority w:val="9"/>
    <w:rsid w:val="006C7479"/>
    <w:rPr>
      <w:rFonts w:asciiTheme="majorHAnsi" w:eastAsiaTheme="majorEastAsia" w:hAnsiTheme="majorHAnsi" w:cstheme="majorBidi"/>
      <w:b/>
      <w:color w:val="365F91" w:themeColor="accent1" w:themeShade="BF"/>
      <w:sz w:val="24"/>
      <w:szCs w:val="32"/>
    </w:rPr>
  </w:style>
  <w:style w:type="paragraph" w:styleId="Title">
    <w:name w:val="Title"/>
    <w:basedOn w:val="Normal"/>
    <w:next w:val="Normal"/>
    <w:link w:val="TitleChar"/>
    <w:uiPriority w:val="10"/>
    <w:qFormat/>
    <w:rsid w:val="009A61B3"/>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B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A61B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A61B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C7479"/>
    <w:rPr>
      <w:rFonts w:asciiTheme="majorHAnsi" w:eastAsiaTheme="majorEastAsia" w:hAnsiTheme="majorHAnsi" w:cstheme="majorBidi"/>
      <w:i/>
      <w:iCs/>
      <w:color w:val="365F91" w:themeColor="accent1" w:themeShade="BF"/>
      <w:sz w:val="24"/>
    </w:rPr>
  </w:style>
  <w:style w:type="paragraph" w:styleId="Revision">
    <w:name w:val="Revision"/>
    <w:hidden/>
    <w:uiPriority w:val="99"/>
    <w:semiHidden/>
    <w:rsid w:val="00721862"/>
    <w:pPr>
      <w:spacing w:after="0" w:line="240" w:lineRule="auto"/>
    </w:pPr>
  </w:style>
  <w:style w:type="character" w:styleId="CommentReference">
    <w:name w:val="annotation reference"/>
    <w:basedOn w:val="DefaultParagraphFont"/>
    <w:uiPriority w:val="99"/>
    <w:unhideWhenUsed/>
    <w:rsid w:val="00FB69AB"/>
    <w:rPr>
      <w:sz w:val="16"/>
      <w:szCs w:val="16"/>
    </w:rPr>
  </w:style>
  <w:style w:type="paragraph" w:styleId="CommentText">
    <w:name w:val="annotation text"/>
    <w:basedOn w:val="Normal"/>
    <w:link w:val="CommentTextChar"/>
    <w:uiPriority w:val="99"/>
    <w:unhideWhenUsed/>
    <w:rsid w:val="00E10E5A"/>
    <w:rPr>
      <w:sz w:val="20"/>
      <w:szCs w:val="20"/>
    </w:rPr>
  </w:style>
  <w:style w:type="character" w:customStyle="1" w:styleId="CommentTextChar">
    <w:name w:val="Comment Text Char"/>
    <w:basedOn w:val="DefaultParagraphFont"/>
    <w:link w:val="CommentText"/>
    <w:uiPriority w:val="99"/>
    <w:rsid w:val="00E10E5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10E5A"/>
    <w:rPr>
      <w:b/>
      <w:bCs/>
    </w:rPr>
  </w:style>
  <w:style w:type="character" w:customStyle="1" w:styleId="CommentSubjectChar">
    <w:name w:val="Comment Subject Char"/>
    <w:basedOn w:val="CommentTextChar"/>
    <w:link w:val="CommentSubject"/>
    <w:uiPriority w:val="99"/>
    <w:semiHidden/>
    <w:rsid w:val="00E10E5A"/>
    <w:rPr>
      <w:rFonts w:ascii="Times New Roman" w:hAnsi="Times New Roman"/>
      <w:b/>
      <w:bCs/>
      <w:sz w:val="20"/>
      <w:szCs w:val="20"/>
    </w:rPr>
  </w:style>
  <w:style w:type="table" w:styleId="TableGrid">
    <w:name w:val="Table Grid"/>
    <w:basedOn w:val="TableNormal"/>
    <w:uiPriority w:val="59"/>
    <w:rsid w:val="00B46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87440"/>
    <w:pPr>
      <w:spacing w:before="100" w:beforeAutospacing="1" w:after="100" w:afterAutospacing="1"/>
    </w:pPr>
    <w:rPr>
      <w:rFonts w:eastAsia="Times New Roman" w:cs="Times New Roman"/>
      <w:kern w:val="0"/>
      <w:szCs w:val="24"/>
      <w:lang w:eastAsia="en-IE"/>
    </w:rPr>
  </w:style>
  <w:style w:type="character" w:customStyle="1" w:styleId="eop">
    <w:name w:val="eop"/>
    <w:basedOn w:val="DefaultParagraphFont"/>
    <w:rsid w:val="00087440"/>
  </w:style>
  <w:style w:type="character" w:customStyle="1" w:styleId="Mention1">
    <w:name w:val="Mention1"/>
    <w:basedOn w:val="DefaultParagraphFont"/>
    <w:uiPriority w:val="99"/>
    <w:unhideWhenUsed/>
    <w:rsid w:val="001A1002"/>
    <w:rPr>
      <w:color w:val="2B579A"/>
      <w:shd w:val="clear" w:color="auto" w:fill="E1DFDD"/>
    </w:rPr>
  </w:style>
  <w:style w:type="paragraph" w:customStyle="1" w:styleId="Tiret0">
    <w:name w:val="Tiret 0"/>
    <w:basedOn w:val="Normal"/>
    <w:uiPriority w:val="1"/>
    <w:rsid w:val="11AA69B5"/>
    <w:pPr>
      <w:spacing w:before="120" w:after="120"/>
      <w:ind w:left="850" w:hanging="850"/>
    </w:pPr>
    <w:rPr>
      <w:rFonts w:eastAsiaTheme="minorEastAsia"/>
      <w:szCs w:val="24"/>
    </w:rPr>
  </w:style>
  <w:style w:type="character" w:customStyle="1" w:styleId="Marker">
    <w:name w:val="Marker"/>
    <w:basedOn w:val="DefaultParagraphFont"/>
    <w:rsid w:val="00D21D4C"/>
    <w:rPr>
      <w:color w:val="0000FF"/>
      <w:shd w:val="clear" w:color="auto" w:fill="auto"/>
    </w:rPr>
  </w:style>
  <w:style w:type="paragraph" w:customStyle="1" w:styleId="Pagedecouverture">
    <w:name w:val="Page de couverture"/>
    <w:basedOn w:val="Normal"/>
    <w:next w:val="Normal"/>
    <w:link w:val="PagedecouvertureChar"/>
    <w:rsid w:val="00C05E9D"/>
    <w:pPr>
      <w:spacing w:after="0"/>
    </w:pPr>
    <w:rPr>
      <w:rFonts w:cs="Times New Roman"/>
      <w:kern w:val="0"/>
    </w:rPr>
  </w:style>
  <w:style w:type="paragraph" w:customStyle="1" w:styleId="Typedudocument">
    <w:name w:val="Type du document"/>
    <w:basedOn w:val="Normal"/>
    <w:next w:val="Normal"/>
    <w:rsid w:val="00C61657"/>
    <w:pPr>
      <w:spacing w:before="360" w:after="0"/>
      <w:jc w:val="center"/>
    </w:pPr>
    <w:rPr>
      <w:rFonts w:cs="Times New Roman"/>
      <w:b/>
      <w:kern w:val="0"/>
    </w:rPr>
  </w:style>
  <w:style w:type="paragraph" w:customStyle="1" w:styleId="Titreobjet">
    <w:name w:val="Titre objet"/>
    <w:basedOn w:val="Normal"/>
    <w:next w:val="Normal"/>
    <w:rsid w:val="00C61657"/>
    <w:pPr>
      <w:spacing w:before="360" w:after="360"/>
      <w:jc w:val="center"/>
    </w:pPr>
    <w:rPr>
      <w:rFonts w:cs="Times New Roman"/>
      <w:b/>
      <w:kern w:val="0"/>
    </w:rPr>
  </w:style>
  <w:style w:type="paragraph" w:customStyle="1" w:styleId="FooterCoverPage">
    <w:name w:val="Footer Cover Page"/>
    <w:basedOn w:val="Normal"/>
    <w:link w:val="FooterCoverPageChar"/>
    <w:rsid w:val="00C6165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C61657"/>
    <w:rPr>
      <w:rFonts w:ascii="Times New Roman" w:hAnsi="Times New Roman" w:cs="Times New Roman"/>
      <w:kern w:val="0"/>
      <w:sz w:val="24"/>
    </w:rPr>
  </w:style>
  <w:style w:type="character" w:customStyle="1" w:styleId="FooterCoverPageChar">
    <w:name w:val="Footer Cover Page Char"/>
    <w:basedOn w:val="PagedecouvertureChar"/>
    <w:link w:val="FooterCoverPage"/>
    <w:rsid w:val="00C61657"/>
    <w:rPr>
      <w:rFonts w:ascii="Times New Roman" w:hAnsi="Times New Roman" w:cs="Times New Roman"/>
      <w:kern w:val="0"/>
      <w:sz w:val="24"/>
    </w:rPr>
  </w:style>
  <w:style w:type="paragraph" w:customStyle="1" w:styleId="FooterSensitivity">
    <w:name w:val="Footer Sensitivity"/>
    <w:basedOn w:val="Normal"/>
    <w:link w:val="FooterSensitivityChar"/>
    <w:rsid w:val="00C6165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C61657"/>
    <w:rPr>
      <w:rFonts w:ascii="Times New Roman" w:hAnsi="Times New Roman" w:cs="Times New Roman"/>
      <w:b/>
      <w:kern w:val="0"/>
      <w:sz w:val="32"/>
    </w:rPr>
  </w:style>
  <w:style w:type="paragraph" w:customStyle="1" w:styleId="HeaderCoverPage">
    <w:name w:val="Header Cover Page"/>
    <w:basedOn w:val="Normal"/>
    <w:link w:val="HeaderCoverPageChar"/>
    <w:rsid w:val="00C61657"/>
    <w:pPr>
      <w:tabs>
        <w:tab w:val="center" w:pos="4535"/>
        <w:tab w:val="right" w:pos="9071"/>
      </w:tabs>
      <w:spacing w:after="120"/>
    </w:pPr>
  </w:style>
  <w:style w:type="character" w:customStyle="1" w:styleId="HeaderCoverPageChar">
    <w:name w:val="Header Cover Page Char"/>
    <w:basedOn w:val="PagedecouvertureChar"/>
    <w:link w:val="HeaderCoverPage"/>
    <w:rsid w:val="00C61657"/>
    <w:rPr>
      <w:rFonts w:ascii="Times New Roman" w:hAnsi="Times New Roman" w:cs="Times New Roman"/>
      <w:kern w:val="0"/>
      <w:sz w:val="24"/>
    </w:rPr>
  </w:style>
  <w:style w:type="paragraph" w:customStyle="1" w:styleId="HeaderSensitivity">
    <w:name w:val="Header Sensitivity"/>
    <w:basedOn w:val="Normal"/>
    <w:link w:val="HeaderSensitivityChar"/>
    <w:rsid w:val="00C6165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C61657"/>
    <w:rPr>
      <w:rFonts w:ascii="Times New Roman" w:hAnsi="Times New Roman" w:cs="Times New Roman"/>
      <w:b/>
      <w:kern w:val="0"/>
      <w:sz w:val="32"/>
    </w:rPr>
  </w:style>
  <w:style w:type="paragraph" w:customStyle="1" w:styleId="HeaderSensitivityRight">
    <w:name w:val="Header Sensitivity Right"/>
    <w:basedOn w:val="Normal"/>
    <w:link w:val="HeaderSensitivityRightChar"/>
    <w:rsid w:val="00C61657"/>
    <w:pPr>
      <w:spacing w:after="120"/>
      <w:jc w:val="right"/>
    </w:pPr>
    <w:rPr>
      <w:sz w:val="28"/>
    </w:rPr>
  </w:style>
  <w:style w:type="character" w:customStyle="1" w:styleId="HeaderSensitivityRightChar">
    <w:name w:val="Header Sensitivity Right Char"/>
    <w:basedOn w:val="PagedecouvertureChar"/>
    <w:link w:val="HeaderSensitivityRight"/>
    <w:rsid w:val="00C61657"/>
    <w:rPr>
      <w:rFonts w:ascii="Times New Roman" w:hAnsi="Times New Roman" w:cs="Times New Roman"/>
      <w:kern w:val="0"/>
      <w:sz w:val="28"/>
    </w:rPr>
  </w:style>
  <w:style w:type="character" w:customStyle="1" w:styleId="UnresolvedMention1">
    <w:name w:val="Unresolved Mention1"/>
    <w:basedOn w:val="DefaultParagraphFont"/>
    <w:uiPriority w:val="99"/>
    <w:semiHidden/>
    <w:unhideWhenUsed/>
    <w:rsid w:val="00C2590C"/>
    <w:rPr>
      <w:color w:val="605E5C"/>
      <w:shd w:val="clear" w:color="auto" w:fill="E1DFDD"/>
    </w:rPr>
  </w:style>
  <w:style w:type="paragraph" w:customStyle="1" w:styleId="Considrant">
    <w:name w:val="Considérant"/>
    <w:basedOn w:val="Normal"/>
    <w:rsid w:val="00092ED9"/>
    <w:pPr>
      <w:numPr>
        <w:numId w:val="49"/>
      </w:numPr>
      <w:tabs>
        <w:tab w:val="clear" w:pos="709"/>
      </w:tabs>
      <w:spacing w:before="120" w:after="120"/>
      <w:ind w:left="720" w:hanging="360"/>
    </w:pPr>
    <w:rPr>
      <w:rFonts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05081">
      <w:bodyDiv w:val="1"/>
      <w:marLeft w:val="0"/>
      <w:marRight w:val="0"/>
      <w:marTop w:val="0"/>
      <w:marBottom w:val="0"/>
      <w:divBdr>
        <w:top w:val="none" w:sz="0" w:space="0" w:color="auto"/>
        <w:left w:val="none" w:sz="0" w:space="0" w:color="auto"/>
        <w:bottom w:val="none" w:sz="0" w:space="0" w:color="auto"/>
        <w:right w:val="none" w:sz="0" w:space="0" w:color="auto"/>
      </w:divBdr>
    </w:div>
    <w:div w:id="333991047">
      <w:bodyDiv w:val="1"/>
      <w:marLeft w:val="0"/>
      <w:marRight w:val="0"/>
      <w:marTop w:val="0"/>
      <w:marBottom w:val="0"/>
      <w:divBdr>
        <w:top w:val="none" w:sz="0" w:space="0" w:color="auto"/>
        <w:left w:val="none" w:sz="0" w:space="0" w:color="auto"/>
        <w:bottom w:val="none" w:sz="0" w:space="0" w:color="auto"/>
        <w:right w:val="none" w:sz="0" w:space="0" w:color="auto"/>
      </w:divBdr>
    </w:div>
    <w:div w:id="368073695">
      <w:bodyDiv w:val="1"/>
      <w:marLeft w:val="0"/>
      <w:marRight w:val="0"/>
      <w:marTop w:val="0"/>
      <w:marBottom w:val="0"/>
      <w:divBdr>
        <w:top w:val="none" w:sz="0" w:space="0" w:color="auto"/>
        <w:left w:val="none" w:sz="0" w:space="0" w:color="auto"/>
        <w:bottom w:val="none" w:sz="0" w:space="0" w:color="auto"/>
        <w:right w:val="none" w:sz="0" w:space="0" w:color="auto"/>
      </w:divBdr>
    </w:div>
    <w:div w:id="489906931">
      <w:bodyDiv w:val="1"/>
      <w:marLeft w:val="0"/>
      <w:marRight w:val="0"/>
      <w:marTop w:val="0"/>
      <w:marBottom w:val="0"/>
      <w:divBdr>
        <w:top w:val="none" w:sz="0" w:space="0" w:color="auto"/>
        <w:left w:val="none" w:sz="0" w:space="0" w:color="auto"/>
        <w:bottom w:val="none" w:sz="0" w:space="0" w:color="auto"/>
        <w:right w:val="none" w:sz="0" w:space="0" w:color="auto"/>
      </w:divBdr>
    </w:div>
    <w:div w:id="643855591">
      <w:bodyDiv w:val="1"/>
      <w:marLeft w:val="0"/>
      <w:marRight w:val="0"/>
      <w:marTop w:val="0"/>
      <w:marBottom w:val="0"/>
      <w:divBdr>
        <w:top w:val="none" w:sz="0" w:space="0" w:color="auto"/>
        <w:left w:val="none" w:sz="0" w:space="0" w:color="auto"/>
        <w:bottom w:val="none" w:sz="0" w:space="0" w:color="auto"/>
        <w:right w:val="none" w:sz="0" w:space="0" w:color="auto"/>
      </w:divBdr>
    </w:div>
    <w:div w:id="739788921">
      <w:bodyDiv w:val="1"/>
      <w:marLeft w:val="0"/>
      <w:marRight w:val="0"/>
      <w:marTop w:val="0"/>
      <w:marBottom w:val="0"/>
      <w:divBdr>
        <w:top w:val="none" w:sz="0" w:space="0" w:color="auto"/>
        <w:left w:val="none" w:sz="0" w:space="0" w:color="auto"/>
        <w:bottom w:val="none" w:sz="0" w:space="0" w:color="auto"/>
        <w:right w:val="none" w:sz="0" w:space="0" w:color="auto"/>
      </w:divBdr>
    </w:div>
    <w:div w:id="852644987">
      <w:bodyDiv w:val="1"/>
      <w:marLeft w:val="0"/>
      <w:marRight w:val="0"/>
      <w:marTop w:val="0"/>
      <w:marBottom w:val="0"/>
      <w:divBdr>
        <w:top w:val="none" w:sz="0" w:space="0" w:color="auto"/>
        <w:left w:val="none" w:sz="0" w:space="0" w:color="auto"/>
        <w:bottom w:val="none" w:sz="0" w:space="0" w:color="auto"/>
        <w:right w:val="none" w:sz="0" w:space="0" w:color="auto"/>
      </w:divBdr>
    </w:div>
    <w:div w:id="902910596">
      <w:bodyDiv w:val="1"/>
      <w:marLeft w:val="0"/>
      <w:marRight w:val="0"/>
      <w:marTop w:val="0"/>
      <w:marBottom w:val="0"/>
      <w:divBdr>
        <w:top w:val="none" w:sz="0" w:space="0" w:color="auto"/>
        <w:left w:val="none" w:sz="0" w:space="0" w:color="auto"/>
        <w:bottom w:val="none" w:sz="0" w:space="0" w:color="auto"/>
        <w:right w:val="none" w:sz="0" w:space="0" w:color="auto"/>
      </w:divBdr>
    </w:div>
    <w:div w:id="913780365">
      <w:bodyDiv w:val="1"/>
      <w:marLeft w:val="0"/>
      <w:marRight w:val="0"/>
      <w:marTop w:val="0"/>
      <w:marBottom w:val="0"/>
      <w:divBdr>
        <w:top w:val="none" w:sz="0" w:space="0" w:color="auto"/>
        <w:left w:val="none" w:sz="0" w:space="0" w:color="auto"/>
        <w:bottom w:val="none" w:sz="0" w:space="0" w:color="auto"/>
        <w:right w:val="none" w:sz="0" w:space="0" w:color="auto"/>
      </w:divBdr>
    </w:div>
    <w:div w:id="935136385">
      <w:bodyDiv w:val="1"/>
      <w:marLeft w:val="0"/>
      <w:marRight w:val="0"/>
      <w:marTop w:val="0"/>
      <w:marBottom w:val="0"/>
      <w:divBdr>
        <w:top w:val="none" w:sz="0" w:space="0" w:color="auto"/>
        <w:left w:val="none" w:sz="0" w:space="0" w:color="auto"/>
        <w:bottom w:val="none" w:sz="0" w:space="0" w:color="auto"/>
        <w:right w:val="none" w:sz="0" w:space="0" w:color="auto"/>
      </w:divBdr>
    </w:div>
    <w:div w:id="1069115245">
      <w:bodyDiv w:val="1"/>
      <w:marLeft w:val="0"/>
      <w:marRight w:val="0"/>
      <w:marTop w:val="0"/>
      <w:marBottom w:val="0"/>
      <w:divBdr>
        <w:top w:val="none" w:sz="0" w:space="0" w:color="auto"/>
        <w:left w:val="none" w:sz="0" w:space="0" w:color="auto"/>
        <w:bottom w:val="none" w:sz="0" w:space="0" w:color="auto"/>
        <w:right w:val="none" w:sz="0" w:space="0" w:color="auto"/>
      </w:divBdr>
    </w:div>
    <w:div w:id="1121260981">
      <w:bodyDiv w:val="1"/>
      <w:marLeft w:val="0"/>
      <w:marRight w:val="0"/>
      <w:marTop w:val="0"/>
      <w:marBottom w:val="0"/>
      <w:divBdr>
        <w:top w:val="none" w:sz="0" w:space="0" w:color="auto"/>
        <w:left w:val="none" w:sz="0" w:space="0" w:color="auto"/>
        <w:bottom w:val="none" w:sz="0" w:space="0" w:color="auto"/>
        <w:right w:val="none" w:sz="0" w:space="0" w:color="auto"/>
      </w:divBdr>
    </w:div>
    <w:div w:id="1147092878">
      <w:bodyDiv w:val="1"/>
      <w:marLeft w:val="0"/>
      <w:marRight w:val="0"/>
      <w:marTop w:val="0"/>
      <w:marBottom w:val="0"/>
      <w:divBdr>
        <w:top w:val="none" w:sz="0" w:space="0" w:color="auto"/>
        <w:left w:val="none" w:sz="0" w:space="0" w:color="auto"/>
        <w:bottom w:val="none" w:sz="0" w:space="0" w:color="auto"/>
        <w:right w:val="none" w:sz="0" w:space="0" w:color="auto"/>
      </w:divBdr>
    </w:div>
    <w:div w:id="1200164151">
      <w:bodyDiv w:val="1"/>
      <w:marLeft w:val="0"/>
      <w:marRight w:val="0"/>
      <w:marTop w:val="0"/>
      <w:marBottom w:val="0"/>
      <w:divBdr>
        <w:top w:val="none" w:sz="0" w:space="0" w:color="auto"/>
        <w:left w:val="none" w:sz="0" w:space="0" w:color="auto"/>
        <w:bottom w:val="none" w:sz="0" w:space="0" w:color="auto"/>
        <w:right w:val="none" w:sz="0" w:space="0" w:color="auto"/>
      </w:divBdr>
    </w:div>
    <w:div w:id="1449466167">
      <w:bodyDiv w:val="1"/>
      <w:marLeft w:val="0"/>
      <w:marRight w:val="0"/>
      <w:marTop w:val="0"/>
      <w:marBottom w:val="0"/>
      <w:divBdr>
        <w:top w:val="none" w:sz="0" w:space="0" w:color="auto"/>
        <w:left w:val="none" w:sz="0" w:space="0" w:color="auto"/>
        <w:bottom w:val="none" w:sz="0" w:space="0" w:color="auto"/>
        <w:right w:val="none" w:sz="0" w:space="0" w:color="auto"/>
      </w:divBdr>
    </w:div>
    <w:div w:id="1450197760">
      <w:bodyDiv w:val="1"/>
      <w:marLeft w:val="0"/>
      <w:marRight w:val="0"/>
      <w:marTop w:val="0"/>
      <w:marBottom w:val="0"/>
      <w:divBdr>
        <w:top w:val="none" w:sz="0" w:space="0" w:color="auto"/>
        <w:left w:val="none" w:sz="0" w:space="0" w:color="auto"/>
        <w:bottom w:val="none" w:sz="0" w:space="0" w:color="auto"/>
        <w:right w:val="none" w:sz="0" w:space="0" w:color="auto"/>
      </w:divBdr>
    </w:div>
    <w:div w:id="1630670572">
      <w:bodyDiv w:val="1"/>
      <w:marLeft w:val="0"/>
      <w:marRight w:val="0"/>
      <w:marTop w:val="0"/>
      <w:marBottom w:val="0"/>
      <w:divBdr>
        <w:top w:val="none" w:sz="0" w:space="0" w:color="auto"/>
        <w:left w:val="none" w:sz="0" w:space="0" w:color="auto"/>
        <w:bottom w:val="none" w:sz="0" w:space="0" w:color="auto"/>
        <w:right w:val="none" w:sz="0" w:space="0" w:color="auto"/>
      </w:divBdr>
    </w:div>
    <w:div w:id="1642692332">
      <w:bodyDiv w:val="1"/>
      <w:marLeft w:val="0"/>
      <w:marRight w:val="0"/>
      <w:marTop w:val="0"/>
      <w:marBottom w:val="0"/>
      <w:divBdr>
        <w:top w:val="none" w:sz="0" w:space="0" w:color="auto"/>
        <w:left w:val="none" w:sz="0" w:space="0" w:color="auto"/>
        <w:bottom w:val="none" w:sz="0" w:space="0" w:color="auto"/>
        <w:right w:val="none" w:sz="0" w:space="0" w:color="auto"/>
      </w:divBdr>
    </w:div>
    <w:div w:id="1729455746">
      <w:bodyDiv w:val="1"/>
      <w:marLeft w:val="0"/>
      <w:marRight w:val="0"/>
      <w:marTop w:val="0"/>
      <w:marBottom w:val="0"/>
      <w:divBdr>
        <w:top w:val="none" w:sz="0" w:space="0" w:color="auto"/>
        <w:left w:val="none" w:sz="0" w:space="0" w:color="auto"/>
        <w:bottom w:val="none" w:sz="0" w:space="0" w:color="auto"/>
        <w:right w:val="none" w:sz="0" w:space="0" w:color="auto"/>
      </w:divBdr>
    </w:div>
    <w:div w:id="1838231491">
      <w:bodyDiv w:val="1"/>
      <w:marLeft w:val="0"/>
      <w:marRight w:val="0"/>
      <w:marTop w:val="0"/>
      <w:marBottom w:val="0"/>
      <w:divBdr>
        <w:top w:val="none" w:sz="0" w:space="0" w:color="auto"/>
        <w:left w:val="none" w:sz="0" w:space="0" w:color="auto"/>
        <w:bottom w:val="none" w:sz="0" w:space="0" w:color="auto"/>
        <w:right w:val="none" w:sz="0" w:space="0" w:color="auto"/>
      </w:divBdr>
    </w:div>
    <w:div w:id="19455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uri=celex:52025DC0047" TargetMode="External"/><Relationship Id="rId1" Type="http://schemas.openxmlformats.org/officeDocument/2006/relationships/hyperlink" Target="https://unece.org/sites/default/files/2025-02/ECE-HBP-225_Housing%20Affordability_E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8390bf40849dea6e6a3ad0257128a719">
  <xsd:schema xmlns:xsd="http://www.w3.org/2001/XMLSchema" xmlns:xs="http://www.w3.org/2001/XMLSchema" xmlns:p="http://schemas.microsoft.com/office/2006/metadata/properties" xmlns:ns2="bd6295de-9a7c-45ce-8351-755b46c141ee" targetNamespace="http://schemas.microsoft.com/office/2006/metadata/properties" ma:root="true" ma:fieldsID="45bdcc73e13ea26a35542d9587c0b2cd"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77FC8-C1D0-495E-9489-858732BBE790}">
  <ds:schemaRefs>
    <ds:schemaRef ds:uri="http://schemas.microsoft.com/sharepoint/v3/contenttype/forms"/>
  </ds:schemaRefs>
</ds:datastoreItem>
</file>

<file path=customXml/itemProps2.xml><?xml version="1.0" encoding="utf-8"?>
<ds:datastoreItem xmlns:ds="http://schemas.openxmlformats.org/officeDocument/2006/customXml" ds:itemID="{F7E95987-1E95-4B90-871A-CD2F4E020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571E0-4A12-47B5-8610-38ACDAD9E5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6F1B09-6D23-49B4-92D2-A63D541E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10156</Words>
  <Characters>57893</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67914</CharactersWithSpaces>
  <SharedDoc>false</SharedDoc>
  <HLinks>
    <vt:vector size="12" baseType="variant">
      <vt:variant>
        <vt:i4>262161</vt:i4>
      </vt:variant>
      <vt:variant>
        <vt:i4>3</vt:i4>
      </vt:variant>
      <vt:variant>
        <vt:i4>0</vt:i4>
      </vt:variant>
      <vt:variant>
        <vt:i4>5</vt:i4>
      </vt:variant>
      <vt:variant>
        <vt:lpwstr>https://eur-lex.europa.eu/legal-content/EN/TXT/?uri=celex:52025DC0047</vt:lpwstr>
      </vt:variant>
      <vt:variant>
        <vt:lpwstr/>
      </vt:variant>
      <vt:variant>
        <vt:i4>3407949</vt:i4>
      </vt:variant>
      <vt:variant>
        <vt:i4>0</vt:i4>
      </vt:variant>
      <vt:variant>
        <vt:i4>0</vt:i4>
      </vt:variant>
      <vt:variant>
        <vt:i4>5</vt:i4>
      </vt:variant>
      <vt:variant>
        <vt:lpwstr>https://unece.org/sites/default/files/2025-02/ECE-HBP-225_Housing Affordability_E_web.pdf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2025-04-01T06:43:00Z</dcterms:created>
  <dcterms:modified xsi:type="dcterms:W3CDTF">2025-05-02T11:04:00Z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2025-02-20T16:15:56Z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4571987c-7712-4131-ac4b-2d9574de7a6d</vt:lpwstr>
  </property>
  <property fmtid="{D5CDD505-2E9C-101B-9397-08002B2CF9AE}" pid="8" name="MSIP_Label_6bd9ddd1-4d20-43f6-abfa-fc3c07406f94_ContentBits">
    <vt:lpwstr>0</vt:lpwstr>
  </property>
  <property fmtid="{D5CDD505-2E9C-101B-9397-08002B2CF9AE}" pid="9" name="ContentTypeId">
    <vt:lpwstr>0x010100F2F108D5DB348340BE1DE2D053F79295</vt:lpwstr>
  </property>
  <property fmtid="{D5CDD505-2E9C-101B-9397-08002B2CF9AE}" pid="10" name="EC_TX_All_World_Countries">
    <vt:lpwstr/>
  </property>
  <property fmtid="{D5CDD505-2E9C-101B-9397-08002B2CF9AE}" pid="11" name="EC_TX_Corporate_x0020_Body">
    <vt:lpwstr/>
  </property>
  <property fmtid="{D5CDD505-2E9C-101B-9397-08002B2CF9AE}" pid="12" name="MediaServiceImageTags">
    <vt:lpwstr/>
  </property>
  <property fmtid="{D5CDD505-2E9C-101B-9397-08002B2CF9AE}" pid="13" name="EC_TX_EU_Political_Leader">
    <vt:lpwstr/>
  </property>
  <property fmtid="{D5CDD505-2E9C-101B-9397-08002B2CF9AE}" pid="14" name="k2c54712f93b47eb83e1835ba301b6c6">
    <vt:lpwstr/>
  </property>
  <property fmtid="{D5CDD505-2E9C-101B-9397-08002B2CF9AE}" pid="15" name="EC_TX_Strategic_Priority">
    <vt:lpwstr/>
  </property>
  <property fmtid="{D5CDD505-2E9C-101B-9397-08002B2CF9AE}" pid="16" name="i8c8ab8b63424c5d9f8c4a8434abf670">
    <vt:lpwstr/>
  </property>
  <property fmtid="{D5CDD505-2E9C-101B-9397-08002B2CF9AE}" pid="17" name="p26229aee9004b9f888149fd0449ec68">
    <vt:lpwstr/>
  </property>
  <property fmtid="{D5CDD505-2E9C-101B-9397-08002B2CF9AE}" pid="18" name="eff2cf69f10b4279bbb27215ca009b37">
    <vt:lpwstr/>
  </property>
  <property fmtid="{D5CDD505-2E9C-101B-9397-08002B2CF9AE}" pid="19" name="EC_TX_EU_Member_State">
    <vt:lpwstr/>
  </property>
  <property fmtid="{D5CDD505-2E9C-101B-9397-08002B2CF9AE}" pid="20" name="EC_TX_Resource_Type">
    <vt:lpwstr/>
  </property>
  <property fmtid="{D5CDD505-2E9C-101B-9397-08002B2CF9AE}" pid="21" name="j8309f8bc3e645d1a2f07391f8e5795a">
    <vt:lpwstr/>
  </property>
  <property fmtid="{D5CDD505-2E9C-101B-9397-08002B2CF9AE}" pid="22" name="g81cb4d17be94922847ce418ea81f55a">
    <vt:lpwstr/>
  </property>
  <property fmtid="{D5CDD505-2E9C-101B-9397-08002B2CF9AE}" pid="23" name="TaxCatchAll">
    <vt:lpwstr/>
  </property>
  <property fmtid="{D5CDD505-2E9C-101B-9397-08002B2CF9AE}" pid="24" name="EC_TX_Corporate Body">
    <vt:lpwstr/>
  </property>
  <property fmtid="{D5CDD505-2E9C-101B-9397-08002B2CF9AE}" pid="25" name="Order">
    <vt:r8>1000</vt:r8>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xd_Signature">
    <vt:bool>false</vt:bool>
  </property>
  <property fmtid="{D5CDD505-2E9C-101B-9397-08002B2CF9AE}" pid="32" name="Level of sensitivity">
    <vt:lpwstr>Standard treatment</vt:lpwstr>
  </property>
  <property fmtid="{D5CDD505-2E9C-101B-9397-08002B2CF9AE}" pid="33" name="Part">
    <vt:lpwstr>1</vt:lpwstr>
  </property>
  <property fmtid="{D5CDD505-2E9C-101B-9397-08002B2CF9AE}" pid="34" name="Total parts">
    <vt:lpwstr>1</vt:lpwstr>
  </property>
  <property fmtid="{D5CDD505-2E9C-101B-9397-08002B2CF9AE}" pid="35" name="DocStatus">
    <vt:lpwstr>Green</vt:lpwstr>
  </property>
  <property fmtid="{D5CDD505-2E9C-101B-9397-08002B2CF9AE}" pid="36" name="CPTemplateID">
    <vt:lpwstr>CP-012</vt:lpwstr>
  </property>
  <property fmtid="{D5CDD505-2E9C-101B-9397-08002B2CF9AE}" pid="37" name="Last edited using">
    <vt:lpwstr>LW 9.1, Build 20240808</vt:lpwstr>
  </property>
  <property fmtid="{D5CDD505-2E9C-101B-9397-08002B2CF9AE}" pid="38" name="Created using">
    <vt:lpwstr>LW 9.1, Build 20240808</vt:lpwstr>
  </property>
</Properties>
</file>