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9AECD" w14:textId="3D999A54" w:rsidR="009357CC" w:rsidRPr="00436E20" w:rsidRDefault="00114BCF" w:rsidP="00CA1638">
      <w:pPr>
        <w:pStyle w:val="Pagedecouverture"/>
        <w:rPr>
          <w:noProof/>
        </w:rPr>
      </w:pPr>
      <w:bookmarkStart w:id="0" w:name="LW_BM_COVERPAGE"/>
      <w:bookmarkStart w:id="1" w:name="_Hlk188995870"/>
      <w:bookmarkStart w:id="2" w:name="_Hlk197949643"/>
      <w:r>
        <w:rPr>
          <w:noProof/>
        </w:rPr>
        <w:pict w14:anchorId="4BFA4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A6579A5-9F4A-443E-A39A-CA08AC08EC19" style="width:455.4pt;height:365.4pt">
            <v:imagedata r:id="rId8" o:title=""/>
          </v:shape>
        </w:pict>
      </w:r>
    </w:p>
    <w:bookmarkEnd w:id="0"/>
    <w:p w14:paraId="4DE3ADB7" w14:textId="77777777" w:rsidR="009357CC" w:rsidRPr="00436E20" w:rsidRDefault="009357CC" w:rsidP="00EF18D2">
      <w:pPr>
        <w:spacing w:after="120" w:line="257" w:lineRule="auto"/>
        <w:rPr>
          <w:noProof/>
        </w:rPr>
        <w:sectPr w:rsidR="009357CC" w:rsidRPr="00436E20" w:rsidSect="00CA163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464A5C19" w14:textId="17EFB88A" w:rsidR="000E44FF" w:rsidRPr="000E44FF" w:rsidRDefault="000E44FF" w:rsidP="000E44FF">
      <w:pPr>
        <w:pStyle w:val="ListParagraph"/>
        <w:numPr>
          <w:ilvl w:val="0"/>
          <w:numId w:val="27"/>
        </w:numPr>
        <w:spacing w:after="120" w:line="257" w:lineRule="auto"/>
        <w:jc w:val="both"/>
        <w:rPr>
          <w:b/>
          <w:bCs/>
          <w:noProof/>
        </w:rPr>
      </w:pPr>
      <w:r w:rsidRPr="000E44FF">
        <w:rPr>
          <w:b/>
          <w:bCs/>
          <w:noProof/>
        </w:rPr>
        <w:lastRenderedPageBreak/>
        <w:t>INTRODUCTION</w:t>
      </w:r>
    </w:p>
    <w:p w14:paraId="47E2886D" w14:textId="3B3DA0B0" w:rsidR="009357CC" w:rsidRPr="00436E20" w:rsidRDefault="009357CC" w:rsidP="00EF18D2">
      <w:pPr>
        <w:spacing w:after="120" w:line="257" w:lineRule="auto"/>
        <w:jc w:val="both"/>
        <w:rPr>
          <w:i/>
          <w:iCs/>
          <w:noProof/>
        </w:rPr>
      </w:pPr>
      <w:r w:rsidRPr="00436E20">
        <w:rPr>
          <w:i/>
          <w:iCs/>
          <w:noProof/>
        </w:rPr>
        <w:t>Context</w:t>
      </w:r>
    </w:p>
    <w:p w14:paraId="58989C88" w14:textId="3519AA71" w:rsidR="009357CC" w:rsidRDefault="009357CC" w:rsidP="00EF18D2">
      <w:pPr>
        <w:spacing w:after="120" w:line="257" w:lineRule="auto"/>
        <w:jc w:val="both"/>
        <w:rPr>
          <w:rFonts w:eastAsia="Yu Mincho"/>
          <w:noProof/>
        </w:rPr>
      </w:pPr>
      <w:r>
        <w:rPr>
          <w:rFonts w:eastAsia="Yu Mincho"/>
          <w:b/>
          <w:bCs/>
          <w:noProof/>
        </w:rPr>
        <w:t>It is time for Europe to become a startup powerhouse. Our competitiveness</w:t>
      </w:r>
      <w:r w:rsidR="10D9BC38" w:rsidRPr="0E37D935">
        <w:rPr>
          <w:rFonts w:eastAsia="Yu Mincho"/>
          <w:b/>
          <w:bCs/>
          <w:noProof/>
        </w:rPr>
        <w:t xml:space="preserve"> and ultimately prosperity</w:t>
      </w:r>
      <w:r w:rsidRPr="0E37D935">
        <w:rPr>
          <w:rFonts w:eastAsia="Yu Mincho"/>
          <w:b/>
          <w:bCs/>
          <w:noProof/>
        </w:rPr>
        <w:t xml:space="preserve"> depend on it.</w:t>
      </w:r>
      <w:r>
        <w:rPr>
          <w:rFonts w:eastAsia="Yu Mincho"/>
          <w:b/>
          <w:bCs/>
          <w:noProof/>
        </w:rPr>
        <w:t xml:space="preserve"> </w:t>
      </w:r>
      <w:r w:rsidRPr="00342ED1">
        <w:rPr>
          <w:noProof/>
        </w:rPr>
        <w:t>A thriving startup and scaleup ecosystem can transform Europe’s economy</w:t>
      </w:r>
      <w:r>
        <w:rPr>
          <w:noProof/>
        </w:rPr>
        <w:t xml:space="preserve"> – by increasing </w:t>
      </w:r>
      <w:r w:rsidRPr="00342ED1">
        <w:rPr>
          <w:noProof/>
        </w:rPr>
        <w:t>productivity, creating quality jobs and attracting talent and investments</w:t>
      </w:r>
      <w:r>
        <w:rPr>
          <w:rFonts w:eastAsia="Yu Mincho"/>
          <w:noProof/>
        </w:rPr>
        <w:t>. It can also play a key role in the ambition set in President von der Leyen’s Political Guidelines to boost productivity,</w:t>
      </w:r>
      <w:r w:rsidR="00402208">
        <w:rPr>
          <w:rFonts w:eastAsia="Yu Mincho"/>
          <w:noProof/>
        </w:rPr>
        <w:t xml:space="preserve"> </w:t>
      </w:r>
      <w:r w:rsidR="00E078BF">
        <w:rPr>
          <w:rFonts w:eastAsia="Yu Mincho"/>
          <w:noProof/>
        </w:rPr>
        <w:t>tech sovereignity</w:t>
      </w:r>
      <w:r>
        <w:rPr>
          <w:rFonts w:eastAsia="Yu Mincho"/>
          <w:noProof/>
        </w:rPr>
        <w:t xml:space="preserve"> and put innovation at the heart of our economy. It is a key part in delivering on the Competitiveness Compass’ call to restart a virtuous innovation cycle.</w:t>
      </w:r>
    </w:p>
    <w:p w14:paraId="71B9EC90" w14:textId="2385F797" w:rsidR="009357CC" w:rsidRPr="00AC1818" w:rsidRDefault="009357CC" w:rsidP="00EF18D2">
      <w:pPr>
        <w:spacing w:after="120" w:line="257" w:lineRule="auto"/>
        <w:jc w:val="both"/>
        <w:rPr>
          <w:rFonts w:eastAsia="Yu Mincho"/>
          <w:noProof/>
        </w:rPr>
      </w:pPr>
      <w:r w:rsidRPr="00AC1818">
        <w:rPr>
          <w:rFonts w:eastAsia="Yu Mincho"/>
          <w:b/>
          <w:bCs/>
          <w:noProof/>
        </w:rPr>
        <w:t xml:space="preserve">Europe’s startups and scaleups already drive innovation and creativity </w:t>
      </w:r>
      <w:r>
        <w:rPr>
          <w:rFonts w:eastAsia="Yu Mincho"/>
          <w:b/>
          <w:bCs/>
          <w:noProof/>
        </w:rPr>
        <w:t>across our economy</w:t>
      </w:r>
      <w:r>
        <w:rPr>
          <w:rFonts w:eastAsia="Yu Mincho"/>
          <w:noProof/>
        </w:rPr>
        <w:t>.</w:t>
      </w:r>
      <w:r w:rsidRPr="00137BC0">
        <w:rPr>
          <w:rFonts w:eastAsia="Yu Mincho"/>
          <w:noProof/>
        </w:rPr>
        <w:t xml:space="preserve"> </w:t>
      </w:r>
      <w:r>
        <w:rPr>
          <w:rFonts w:eastAsia="Yu Mincho"/>
          <w:noProof/>
        </w:rPr>
        <w:t xml:space="preserve">The </w:t>
      </w:r>
      <w:r w:rsidRPr="00AC1818">
        <w:rPr>
          <w:rFonts w:eastAsia="Yu Mincho"/>
          <w:noProof/>
        </w:rPr>
        <w:t xml:space="preserve">35,000 </w:t>
      </w:r>
      <w:r>
        <w:rPr>
          <w:rFonts w:eastAsia="Yu Mincho"/>
          <w:noProof/>
        </w:rPr>
        <w:t>early-stage companies across our Union, as well as the</w:t>
      </w:r>
      <w:r w:rsidRPr="00AC1818">
        <w:rPr>
          <w:rFonts w:eastAsia="Yu Mincho"/>
          <w:noProof/>
        </w:rPr>
        <w:t xml:space="preserve"> </w:t>
      </w:r>
      <w:r w:rsidRPr="43528AA2">
        <w:rPr>
          <w:rFonts w:eastAsiaTheme="minorEastAsia"/>
          <w:noProof/>
        </w:rPr>
        <w:t>3</w:t>
      </w:r>
      <w:r>
        <w:rPr>
          <w:rFonts w:eastAsiaTheme="minorEastAsia"/>
          <w:noProof/>
        </w:rPr>
        <w:t>,</w:t>
      </w:r>
      <w:r w:rsidRPr="43528AA2">
        <w:rPr>
          <w:rFonts w:eastAsiaTheme="minorEastAsia"/>
          <w:noProof/>
        </w:rPr>
        <w:t>400</w:t>
      </w:r>
      <w:r>
        <w:rPr>
          <w:rFonts w:eastAsiaTheme="minorEastAsia"/>
          <w:noProof/>
        </w:rPr>
        <w:t xml:space="preserve"> </w:t>
      </w:r>
      <w:r w:rsidRPr="43528AA2">
        <w:rPr>
          <w:rFonts w:eastAsiaTheme="minorEastAsia"/>
          <w:noProof/>
        </w:rPr>
        <w:t>additional tech companies in their growth stage</w:t>
      </w:r>
      <w:r>
        <w:rPr>
          <w:rFonts w:eastAsia="Yu Mincho"/>
          <w:noProof/>
        </w:rPr>
        <w:t xml:space="preserve"> are a main source of </w:t>
      </w:r>
      <w:r w:rsidRPr="005507AE">
        <w:rPr>
          <w:rFonts w:eastAsia="Yu Mincho"/>
          <w:noProof/>
        </w:rPr>
        <w:t>new products and services</w:t>
      </w:r>
      <w:r>
        <w:rPr>
          <w:rFonts w:eastAsia="Yu Mincho"/>
          <w:noProof/>
        </w:rPr>
        <w:t>.</w:t>
      </w:r>
      <w:r w:rsidR="002D142F" w:rsidRPr="00436E20">
        <w:rPr>
          <w:rStyle w:val="FootnoteReference"/>
          <w:rFonts w:eastAsia="Calibri"/>
          <w:noProof/>
        </w:rPr>
        <w:footnoteReference w:id="2"/>
      </w:r>
      <w:r>
        <w:rPr>
          <w:rFonts w:eastAsia="Yu Mincho"/>
          <w:noProof/>
        </w:rPr>
        <w:t xml:space="preserve"> They excel in providing </w:t>
      </w:r>
      <w:r w:rsidRPr="002269F7">
        <w:rPr>
          <w:noProof/>
        </w:rPr>
        <w:t>innovative solutions to client challenges, targeting niche or emerging markets and addressing problems often overlooked by larger companies</w:t>
      </w:r>
      <w:r w:rsidRPr="003C1763">
        <w:rPr>
          <w:noProof/>
        </w:rPr>
        <w:t>.</w:t>
      </w:r>
      <w:r w:rsidRPr="00436E20">
        <w:rPr>
          <w:noProof/>
        </w:rPr>
        <w:t xml:space="preserve"> </w:t>
      </w:r>
      <w:r>
        <w:rPr>
          <w:noProof/>
        </w:rPr>
        <w:t>They are engines</w:t>
      </w:r>
      <w:r w:rsidRPr="00436E20">
        <w:rPr>
          <w:noProof/>
        </w:rPr>
        <w:t xml:space="preserve"> of disruptive innovation and create new markets where the EU can assume global leadership. They also stimulate innovation in larger, established companies through collaboration, competition and acquisition.</w:t>
      </w:r>
      <w:r w:rsidRPr="00137BC0">
        <w:rPr>
          <w:rFonts w:eastAsia="Yu Mincho"/>
          <w:noProof/>
        </w:rPr>
        <w:t xml:space="preserve"> </w:t>
      </w:r>
    </w:p>
    <w:p w14:paraId="04B54461" w14:textId="234CB40D" w:rsidR="009357CC" w:rsidRDefault="009357CC">
      <w:pPr>
        <w:spacing w:after="240" w:line="257" w:lineRule="auto"/>
        <w:jc w:val="both"/>
        <w:rPr>
          <w:noProof/>
        </w:rPr>
      </w:pPr>
      <w:r>
        <w:rPr>
          <w:b/>
          <w:bCs/>
          <w:noProof/>
        </w:rPr>
        <w:t xml:space="preserve">A thriving startup and scaleup ecosystem in Europe is also essential for our wider </w:t>
      </w:r>
      <w:r w:rsidRPr="00436E20">
        <w:rPr>
          <w:b/>
          <w:bCs/>
          <w:noProof/>
        </w:rPr>
        <w:t>strategic autonomy and resilience.</w:t>
      </w:r>
      <w:r>
        <w:rPr>
          <w:b/>
          <w:bCs/>
          <w:noProof/>
        </w:rPr>
        <w:t xml:space="preserve"> </w:t>
      </w:r>
      <w:r w:rsidRPr="00436E20">
        <w:rPr>
          <w:noProof/>
        </w:rPr>
        <w:t xml:space="preserve">European startups and scaleups strengthen the EU’s industrial capacity and productivity and help reduce dependencies in key sectors and </w:t>
      </w:r>
      <w:r w:rsidR="00F03C16">
        <w:rPr>
          <w:noProof/>
        </w:rPr>
        <w:t xml:space="preserve">critical </w:t>
      </w:r>
      <w:r w:rsidRPr="00436E20">
        <w:rPr>
          <w:noProof/>
        </w:rPr>
        <w:t xml:space="preserve">technologies. </w:t>
      </w:r>
      <w:r>
        <w:rPr>
          <w:rFonts w:eastAsia="Yu Mincho"/>
          <w:noProof/>
        </w:rPr>
        <w:t>Crucially, they also play a vital role in providing jobs for Europeans, with</w:t>
      </w:r>
      <w:r w:rsidRPr="00436E20">
        <w:rPr>
          <w:rFonts w:eastAsia="Yu Mincho"/>
          <w:noProof/>
        </w:rPr>
        <w:t xml:space="preserve"> </w:t>
      </w:r>
      <w:r w:rsidR="002C5F01">
        <w:rPr>
          <w:rFonts w:eastAsia="Yu Mincho"/>
          <w:noProof/>
        </w:rPr>
        <w:t>three</w:t>
      </w:r>
      <w:r w:rsidRPr="00436E20">
        <w:rPr>
          <w:rFonts w:eastAsia="Yu Mincho"/>
          <w:noProof/>
        </w:rPr>
        <w:t xml:space="preserve"> million</w:t>
      </w:r>
      <w:r>
        <w:rPr>
          <w:rFonts w:eastAsia="Yu Mincho"/>
          <w:noProof/>
        </w:rPr>
        <w:t xml:space="preserve"> jobs created</w:t>
      </w:r>
      <w:r w:rsidRPr="00436E20">
        <w:rPr>
          <w:rFonts w:eastAsia="Yu Mincho"/>
          <w:noProof/>
        </w:rPr>
        <w:t xml:space="preserve"> in the past decade by tech startups</w:t>
      </w:r>
      <w:r>
        <w:rPr>
          <w:rFonts w:eastAsia="Yu Mincho"/>
          <w:noProof/>
        </w:rPr>
        <w:t xml:space="preserve"> only.</w:t>
      </w:r>
      <w:r>
        <w:rPr>
          <w:b/>
          <w:bCs/>
          <w:noProof/>
        </w:rPr>
        <w:t xml:space="preserve"> </w:t>
      </w:r>
      <w:r>
        <w:rPr>
          <w:noProof/>
        </w:rPr>
        <w:t>This transformation can be further amplified by the gradual integration of candidate countries, extending the reach of the Union’s competitive ecosystem.</w:t>
      </w:r>
    </w:p>
    <w:p w14:paraId="42921619" w14:textId="473209CB" w:rsidR="009357CC" w:rsidRPr="00A609CE" w:rsidRDefault="009357CC" w:rsidP="00EF18D2">
      <w:pPr>
        <w:spacing w:after="120" w:line="257" w:lineRule="auto"/>
        <w:jc w:val="both"/>
        <w:rPr>
          <w:rFonts w:eastAsia="Yu Mincho"/>
          <w:i/>
          <w:iCs/>
          <w:noProof/>
        </w:rPr>
      </w:pPr>
      <w:r w:rsidRPr="00342ED1">
        <w:rPr>
          <w:i/>
          <w:iCs/>
          <w:noProof/>
        </w:rPr>
        <w:t>The</w:t>
      </w:r>
      <w:r>
        <w:rPr>
          <w:i/>
          <w:iCs/>
          <w:noProof/>
        </w:rPr>
        <w:t xml:space="preserve"> diagnosis: Strong foundations, enduring challenges</w:t>
      </w:r>
    </w:p>
    <w:p w14:paraId="79669738" w14:textId="50108B71" w:rsidR="009357CC" w:rsidRPr="00D36B91" w:rsidRDefault="009357CC" w:rsidP="00EF18D2">
      <w:pPr>
        <w:spacing w:after="120" w:line="257" w:lineRule="auto"/>
        <w:jc w:val="both"/>
        <w:rPr>
          <w:rFonts w:eastAsia="Yu Mincho"/>
          <w:noProof/>
        </w:rPr>
      </w:pPr>
      <w:r w:rsidRPr="007148FC">
        <w:rPr>
          <w:rFonts w:eastAsia="Yu Mincho"/>
          <w:b/>
          <w:noProof/>
        </w:rPr>
        <w:t xml:space="preserve">Startups and scaleups have solid foundations to thrive in </w:t>
      </w:r>
      <w:r w:rsidRPr="00D36B91">
        <w:rPr>
          <w:rFonts w:eastAsia="Yu Mincho"/>
          <w:b/>
          <w:noProof/>
        </w:rPr>
        <w:t>the EU,</w:t>
      </w:r>
      <w:r w:rsidRPr="00D36B91">
        <w:rPr>
          <w:rFonts w:eastAsia="Yu Mincho"/>
          <w:noProof/>
        </w:rPr>
        <w:t xml:space="preserve"> </w:t>
      </w:r>
      <w:r>
        <w:rPr>
          <w:rFonts w:eastAsia="Yu Mincho"/>
          <w:b/>
          <w:noProof/>
        </w:rPr>
        <w:t>including a</w:t>
      </w:r>
      <w:r w:rsidRPr="00D36B91">
        <w:rPr>
          <w:rFonts w:eastAsia="Yu Mincho"/>
          <w:b/>
          <w:noProof/>
        </w:rPr>
        <w:t xml:space="preserve"> highly skilled workforce and </w:t>
      </w:r>
      <w:r>
        <w:rPr>
          <w:rFonts w:eastAsia="Yu Mincho"/>
          <w:b/>
          <w:noProof/>
        </w:rPr>
        <w:t xml:space="preserve">a </w:t>
      </w:r>
      <w:r w:rsidRPr="00D36B91">
        <w:rPr>
          <w:rFonts w:eastAsia="Yu Mincho"/>
          <w:b/>
          <w:noProof/>
        </w:rPr>
        <w:t>stab</w:t>
      </w:r>
      <w:r>
        <w:rPr>
          <w:rFonts w:eastAsia="Yu Mincho"/>
          <w:b/>
          <w:noProof/>
        </w:rPr>
        <w:t xml:space="preserve">le </w:t>
      </w:r>
      <w:r w:rsidRPr="00D36B91">
        <w:rPr>
          <w:rFonts w:eastAsia="Yu Mincho"/>
          <w:b/>
          <w:noProof/>
        </w:rPr>
        <w:t>regulatory system</w:t>
      </w:r>
      <w:r w:rsidRPr="00D36B91">
        <w:rPr>
          <w:rFonts w:eastAsia="Yu Mincho"/>
          <w:noProof/>
        </w:rPr>
        <w:t xml:space="preserve">. The EU is a global economic powerhouse with leadership in research and innovation, a single market of 450 million consumers, </w:t>
      </w:r>
      <w:r w:rsidR="00765DB5">
        <w:rPr>
          <w:rFonts w:eastAsia="Calibri"/>
          <w:noProof/>
        </w:rPr>
        <w:t xml:space="preserve">effective and fair competition, </w:t>
      </w:r>
      <w:r w:rsidRPr="00D36B91">
        <w:rPr>
          <w:rFonts w:eastAsia="Yu Mincho"/>
          <w:noProof/>
        </w:rPr>
        <w:t>substantial household savings</w:t>
      </w:r>
      <w:r w:rsidR="00765DB5">
        <w:rPr>
          <w:rFonts w:eastAsia="Yu Mincho"/>
          <w:noProof/>
        </w:rPr>
        <w:t>,</w:t>
      </w:r>
      <w:r w:rsidRPr="00D36B91">
        <w:rPr>
          <w:rFonts w:eastAsia="Yu Mincho"/>
          <w:noProof/>
        </w:rPr>
        <w:t xml:space="preserve"> </w:t>
      </w:r>
      <w:r w:rsidR="00881EAF" w:rsidRPr="005F02F0">
        <w:rPr>
          <w:noProof/>
          <w:color w:val="000000" w:themeColor="text1"/>
        </w:rPr>
        <w:t>a predictable investment and business environment</w:t>
      </w:r>
      <w:r w:rsidR="00881EAF">
        <w:rPr>
          <w:noProof/>
          <w:color w:val="000000" w:themeColor="text1"/>
        </w:rPr>
        <w:t>, founded on the rule of law</w:t>
      </w:r>
      <w:r w:rsidRPr="00D36B91">
        <w:rPr>
          <w:rFonts w:eastAsia="Yu Mincho"/>
          <w:noProof/>
        </w:rPr>
        <w:t>.</w:t>
      </w:r>
      <w:r w:rsidR="00765DB5">
        <w:rPr>
          <w:rFonts w:eastAsia="Yu Mincho"/>
          <w:noProof/>
        </w:rPr>
        <w:t xml:space="preserve"> </w:t>
      </w:r>
      <w:r w:rsidRPr="00D36B91">
        <w:rPr>
          <w:rFonts w:eastAsia="Yu Mincho"/>
          <w:noProof/>
        </w:rPr>
        <w:t>Tech entrepreneurship is on the rise, with more startups launched annually than in the US and a fourfold increase in early-stage companies since 2015.</w:t>
      </w:r>
      <w:r w:rsidRPr="00436E20">
        <w:rPr>
          <w:rStyle w:val="FootnoteReference"/>
          <w:rFonts w:eastAsia="Yu Mincho"/>
          <w:noProof/>
        </w:rPr>
        <w:footnoteReference w:id="3"/>
      </w:r>
      <w:r w:rsidRPr="00D36B91">
        <w:rPr>
          <w:rFonts w:eastAsia="Yu Mincho"/>
          <w:noProof/>
        </w:rPr>
        <w:t xml:space="preserve"> </w:t>
      </w:r>
    </w:p>
    <w:p w14:paraId="53FAEFE2" w14:textId="65D5D408" w:rsidR="009357CC" w:rsidRPr="00D36B91" w:rsidRDefault="009357CC" w:rsidP="00EF18D2">
      <w:pPr>
        <w:spacing w:after="120" w:line="257" w:lineRule="auto"/>
        <w:jc w:val="both"/>
        <w:rPr>
          <w:rFonts w:eastAsia="Yu Mincho"/>
          <w:noProof/>
        </w:rPr>
      </w:pPr>
      <w:r w:rsidRPr="00852453">
        <w:rPr>
          <w:rFonts w:eastAsia="Yu Mincho"/>
          <w:b/>
          <w:bCs/>
          <w:noProof/>
        </w:rPr>
        <w:t>EU and national policies have significantly improved the startup ecosystem.</w:t>
      </w:r>
      <w:r w:rsidRPr="00F36D00">
        <w:rPr>
          <w:rStyle w:val="FootnoteReference"/>
          <w:rFonts w:eastAsia="Calibri"/>
          <w:noProof/>
        </w:rPr>
        <w:footnoteReference w:id="4"/>
      </w:r>
      <w:r w:rsidR="00F36D00" w:rsidRPr="00852453">
        <w:rPr>
          <w:rFonts w:eastAsia="Calibri"/>
          <w:noProof/>
          <w:vertAlign w:val="superscript"/>
        </w:rPr>
        <w:t>,</w:t>
      </w:r>
      <w:r w:rsidRPr="00D36B91">
        <w:rPr>
          <w:rStyle w:val="FootnoteReference"/>
          <w:rFonts w:eastAsia="Calibri"/>
          <w:noProof/>
        </w:rPr>
        <w:footnoteReference w:id="5"/>
      </w:r>
      <w:r w:rsidRPr="00D36B91">
        <w:rPr>
          <w:rFonts w:eastAsia="Yu Mincho"/>
          <w:noProof/>
        </w:rPr>
        <w:t xml:space="preserve"> Since 2007, EU-funded startups developing cutting-edge technologies have raised over EUR</w:t>
      </w:r>
      <w:r w:rsidR="00931B05">
        <w:rPr>
          <w:rFonts w:eastAsia="Yu Mincho"/>
          <w:noProof/>
        </w:rPr>
        <w:t xml:space="preserve"> </w:t>
      </w:r>
      <w:r w:rsidRPr="00D36B91">
        <w:rPr>
          <w:rFonts w:eastAsia="Yu Mincho"/>
          <w:noProof/>
        </w:rPr>
        <w:t>70 billion in venture capital and generated over EUR</w:t>
      </w:r>
      <w:r w:rsidR="00931B05">
        <w:rPr>
          <w:rFonts w:eastAsia="Yu Mincho"/>
          <w:noProof/>
        </w:rPr>
        <w:t xml:space="preserve"> </w:t>
      </w:r>
      <w:r w:rsidRPr="00D36B91">
        <w:rPr>
          <w:rFonts w:eastAsia="Yu Mincho"/>
          <w:noProof/>
        </w:rPr>
        <w:t>500 billion in enterprise value.</w:t>
      </w:r>
      <w:r w:rsidRPr="002A083A">
        <w:rPr>
          <w:rStyle w:val="FootnoteReference"/>
          <w:rFonts w:eastAsia="Calibri"/>
          <w:noProof/>
        </w:rPr>
        <w:t xml:space="preserve"> </w:t>
      </w:r>
      <w:r w:rsidRPr="00D36B91">
        <w:rPr>
          <w:rFonts w:eastAsia="Yu Mincho"/>
          <w:noProof/>
        </w:rPr>
        <w:t xml:space="preserve">The European Innovation Council (EIC), launched in 2018 with a </w:t>
      </w:r>
      <w:r w:rsidR="00E226AC">
        <w:rPr>
          <w:rFonts w:eastAsia="Yu Mincho"/>
          <w:noProof/>
        </w:rPr>
        <w:t xml:space="preserve">EUR </w:t>
      </w:r>
      <w:r w:rsidRPr="00D36B91">
        <w:rPr>
          <w:rFonts w:eastAsia="Yu Mincho"/>
          <w:noProof/>
        </w:rPr>
        <w:t xml:space="preserve">10.1 billion budget, </w:t>
      </w:r>
      <w:r w:rsidRPr="00D36B91">
        <w:rPr>
          <w:rFonts w:eastAsia="Yu Mincho"/>
          <w:noProof/>
        </w:rPr>
        <w:lastRenderedPageBreak/>
        <w:t xml:space="preserve">supports disruptive innovations from research to scaling. Today, the EIC Fund is one of the largest deep-tech venture capital funds in the EU, aiming to raise up to </w:t>
      </w:r>
      <w:r w:rsidR="00E226AC">
        <w:rPr>
          <w:rFonts w:eastAsia="Yu Mincho"/>
          <w:noProof/>
        </w:rPr>
        <w:t xml:space="preserve">EUR </w:t>
      </w:r>
      <w:r w:rsidRPr="00D36B91">
        <w:rPr>
          <w:rFonts w:eastAsia="Yu Mincho"/>
          <w:noProof/>
        </w:rPr>
        <w:t>20 billion for startups by 2027. InvestEU, the EU's largest program for supporting companies at all development stages, complements this by fostering seed capital, growth, scale-up, manufacturing and deployment</w:t>
      </w:r>
      <w:r w:rsidR="00F36D00">
        <w:rPr>
          <w:rFonts w:eastAsia="Yu Mincho"/>
          <w:noProof/>
        </w:rPr>
        <w:t>.</w:t>
      </w:r>
      <w:r w:rsidRPr="00D36B91">
        <w:rPr>
          <w:rStyle w:val="FootnoteReference"/>
          <w:rFonts w:eastAsia="Yu Mincho"/>
          <w:noProof/>
        </w:rPr>
        <w:footnoteReference w:id="6"/>
      </w:r>
      <w:r w:rsidRPr="00D36B91">
        <w:rPr>
          <w:rFonts w:eastAsia="Yu Mincho"/>
          <w:noProof/>
        </w:rPr>
        <w:t xml:space="preserve"> Through partners like the European Investment Fund, InvestEU is key to developing Europe's venture capital ecosystem,</w:t>
      </w:r>
      <w:r w:rsidR="00AB1784">
        <w:rPr>
          <w:rFonts w:eastAsia="Yu Mincho"/>
          <w:noProof/>
        </w:rPr>
        <w:t xml:space="preserve"> while </w:t>
      </w:r>
      <w:r w:rsidR="00AB1784" w:rsidRPr="006707E9">
        <w:rPr>
          <w:noProof/>
          <w:lang w:val="en-IE"/>
        </w:rPr>
        <w:t xml:space="preserve">the </w:t>
      </w:r>
      <w:r w:rsidR="00AB1784" w:rsidRPr="00D36B91">
        <w:rPr>
          <w:noProof/>
          <w:lang w:val="en-IE"/>
        </w:rPr>
        <w:t>European Tech Champions Initiative</w:t>
      </w:r>
      <w:r w:rsidR="00AB1784" w:rsidRPr="006707E9">
        <w:rPr>
          <w:noProof/>
          <w:lang w:val="en-IE"/>
        </w:rPr>
        <w:t xml:space="preserve"> has successfully</w:t>
      </w:r>
      <w:r w:rsidR="00AB1784" w:rsidRPr="002F587C">
        <w:rPr>
          <w:noProof/>
          <w:lang w:val="en-IE"/>
        </w:rPr>
        <w:t xml:space="preserve"> pooled public funds to support European VC funds</w:t>
      </w:r>
      <w:r w:rsidR="00AB1784">
        <w:rPr>
          <w:noProof/>
          <w:lang w:val="en-IE"/>
        </w:rPr>
        <w:t>.</w:t>
      </w:r>
    </w:p>
    <w:p w14:paraId="5CD18ED6" w14:textId="77777777" w:rsidR="009357CC" w:rsidRDefault="009357CC" w:rsidP="00EF18D2">
      <w:pPr>
        <w:spacing w:after="120" w:line="257" w:lineRule="auto"/>
        <w:jc w:val="both"/>
        <w:rPr>
          <w:noProof/>
        </w:rPr>
      </w:pPr>
      <w:r>
        <w:rPr>
          <w:b/>
          <w:bCs/>
          <w:noProof/>
        </w:rPr>
        <w:t>But</w:t>
      </w:r>
      <w:r w:rsidRPr="008B315B">
        <w:rPr>
          <w:b/>
          <w:bCs/>
          <w:noProof/>
        </w:rPr>
        <w:t xml:space="preserve"> starting</w:t>
      </w:r>
      <w:r w:rsidRPr="00342ED1">
        <w:rPr>
          <w:b/>
          <w:bCs/>
          <w:noProof/>
        </w:rPr>
        <w:t xml:space="preserve"> and scaling up innovative companies in Europe </w:t>
      </w:r>
      <w:r>
        <w:rPr>
          <w:b/>
          <w:bCs/>
          <w:noProof/>
        </w:rPr>
        <w:t>remains</w:t>
      </w:r>
      <w:r w:rsidRPr="00342ED1">
        <w:rPr>
          <w:b/>
          <w:bCs/>
          <w:noProof/>
        </w:rPr>
        <w:t xml:space="preserve"> </w:t>
      </w:r>
      <w:r>
        <w:rPr>
          <w:b/>
          <w:bCs/>
          <w:noProof/>
        </w:rPr>
        <w:t>difficult today</w:t>
      </w:r>
      <w:r>
        <w:rPr>
          <w:noProof/>
        </w:rPr>
        <w:t>. From transitioning from lab to market, to accessing capital and talents, to a successful exit, European startups and scaleups still face significant challenges. The market remains fragmented, with regional imbalances, and EU efforts to translate research into marketable products and scale businesses are hindered by an incomplete Single Market – including for capital-, regulatory fragmentation, lower risk appetite from investors, slow innovation uptake and underutilised public procurement.</w:t>
      </w:r>
    </w:p>
    <w:p w14:paraId="6E618A7F" w14:textId="0641E0BB" w:rsidR="009357CC" w:rsidRDefault="009357CC" w:rsidP="00EF18D2">
      <w:pPr>
        <w:spacing w:after="120" w:line="257" w:lineRule="auto"/>
        <w:jc w:val="both"/>
        <w:rPr>
          <w:noProof/>
        </w:rPr>
      </w:pPr>
      <w:r w:rsidRPr="00D36B91">
        <w:rPr>
          <w:b/>
          <w:bCs/>
          <w:noProof/>
        </w:rPr>
        <w:t xml:space="preserve">European startups often encounter two </w:t>
      </w:r>
      <w:r w:rsidR="008C7E4F">
        <w:rPr>
          <w:b/>
          <w:bCs/>
          <w:noProof/>
        </w:rPr>
        <w:t>‘</w:t>
      </w:r>
      <w:r w:rsidRPr="00D36B91">
        <w:rPr>
          <w:b/>
          <w:bCs/>
          <w:noProof/>
        </w:rPr>
        <w:t>valleys of death</w:t>
      </w:r>
      <w:r w:rsidR="008C7E4F">
        <w:rPr>
          <w:b/>
          <w:bCs/>
          <w:noProof/>
        </w:rPr>
        <w:t>’</w:t>
      </w:r>
      <w:r>
        <w:rPr>
          <w:b/>
          <w:bCs/>
          <w:noProof/>
        </w:rPr>
        <w:t xml:space="preserve"> (Figure 1).</w:t>
      </w:r>
      <w:r>
        <w:rPr>
          <w:noProof/>
        </w:rPr>
        <w:t xml:space="preserve"> The first occurs when innovations fail to become marketable products, while the second, particularly challenging in Europe, happens when companies struggle to scale. Between 2008 and 2021, nearly 30% of European ‘unicorns’</w:t>
      </w:r>
      <w:r w:rsidRPr="00436E20">
        <w:rPr>
          <w:rFonts w:eastAsiaTheme="majorEastAsia"/>
          <w:noProof/>
          <w:vertAlign w:val="superscript"/>
        </w:rPr>
        <w:footnoteReference w:id="7"/>
      </w:r>
      <w:r>
        <w:rPr>
          <w:rStyle w:val="FootnoteReference"/>
          <w:rFonts w:eastAsia="Calibri"/>
          <w:noProof/>
        </w:rPr>
        <w:t>-</w:t>
      </w:r>
      <w:r>
        <w:rPr>
          <w:noProof/>
        </w:rPr>
        <w:t xml:space="preserve"> relocated outside the EU,</w:t>
      </w:r>
      <w:r>
        <w:rPr>
          <w:rStyle w:val="FootnoteReference"/>
          <w:rFonts w:eastAsia="Calibri"/>
          <w:noProof/>
        </w:rPr>
        <w:footnoteReference w:id="8"/>
      </w:r>
      <w:r>
        <w:rPr>
          <w:noProof/>
        </w:rPr>
        <w:t xml:space="preserve"> and only 8% of global scaleups are based in Europe. Europe risks falling behind in strategic technologies, as it struggles to retain and attract high-potential technology scaleups.</w:t>
      </w:r>
    </w:p>
    <w:p w14:paraId="2F0B136A" w14:textId="77777777" w:rsidR="00530360" w:rsidRDefault="009357CC" w:rsidP="00EF18D2">
      <w:pPr>
        <w:spacing w:after="120" w:line="257" w:lineRule="auto"/>
        <w:jc w:val="both"/>
        <w:rPr>
          <w:rFonts w:eastAsia="Yu Mincho"/>
          <w:noProof/>
        </w:rPr>
      </w:pPr>
      <w:r>
        <w:rPr>
          <w:noProof/>
        </w:rPr>
        <w:drawing>
          <wp:inline distT="0" distB="0" distL="0" distR="0" wp14:anchorId="207A600E" wp14:editId="11C3CD02">
            <wp:extent cx="5759450" cy="3239770"/>
            <wp:effectExtent l="0" t="0" r="0" b="0"/>
            <wp:docPr id="6204498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49804"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759450" cy="3239770"/>
                    </a:xfrm>
                    <a:prstGeom prst="rect">
                      <a:avLst/>
                    </a:prstGeom>
                  </pic:spPr>
                </pic:pic>
              </a:graphicData>
            </a:graphic>
          </wp:inline>
        </w:drawing>
      </w:r>
      <w:r w:rsidRPr="00176DC8">
        <w:rPr>
          <w:noProof/>
        </w:rPr>
        <w:t xml:space="preserve"> </w:t>
      </w:r>
      <w:r>
        <w:rPr>
          <w:rFonts w:eastAsia="Yu Mincho"/>
          <w:b/>
          <w:bCs/>
          <w:noProof/>
          <w:sz w:val="20"/>
          <w:szCs w:val="20"/>
        </w:rPr>
        <w:t>/</w:t>
      </w:r>
      <w:r w:rsidRPr="00D36B91">
        <w:rPr>
          <w:rFonts w:eastAsia="Yu Mincho"/>
          <w:b/>
          <w:bCs/>
          <w:noProof/>
          <w:sz w:val="20"/>
          <w:szCs w:val="20"/>
        </w:rPr>
        <w:t>Figure 1: Simplified illustration of the startup double valley of death</w:t>
      </w:r>
    </w:p>
    <w:p w14:paraId="602CFC8D" w14:textId="77777777" w:rsidR="007E63FB" w:rsidRDefault="007E63FB" w:rsidP="00EF18D2">
      <w:pPr>
        <w:spacing w:after="120" w:line="257" w:lineRule="auto"/>
        <w:jc w:val="both"/>
        <w:rPr>
          <w:rFonts w:eastAsia="Yu Mincho"/>
          <w:i/>
          <w:iCs/>
          <w:noProof/>
        </w:rPr>
      </w:pPr>
    </w:p>
    <w:p w14:paraId="713C9324" w14:textId="10907458" w:rsidR="009357CC" w:rsidRPr="00436E20" w:rsidRDefault="009357CC" w:rsidP="00EF18D2">
      <w:pPr>
        <w:spacing w:after="120" w:line="257" w:lineRule="auto"/>
        <w:jc w:val="both"/>
        <w:rPr>
          <w:rFonts w:eastAsia="Yu Mincho"/>
          <w:i/>
          <w:iCs/>
          <w:noProof/>
        </w:rPr>
      </w:pPr>
      <w:r>
        <w:rPr>
          <w:rFonts w:eastAsia="Yu Mincho"/>
          <w:i/>
          <w:iCs/>
          <w:noProof/>
        </w:rPr>
        <w:lastRenderedPageBreak/>
        <w:t>The vision: Making the EU a startup and scaleup powerhouse</w:t>
      </w:r>
    </w:p>
    <w:p w14:paraId="3BE5C217" w14:textId="5052F526" w:rsidR="009357CC" w:rsidRPr="003333C2" w:rsidDel="00CA1C01" w:rsidRDefault="009357CC" w:rsidP="00EF18D2">
      <w:pPr>
        <w:spacing w:after="120" w:line="257" w:lineRule="auto"/>
        <w:jc w:val="both"/>
        <w:rPr>
          <w:noProof/>
          <w:lang w:val="en-IE"/>
        </w:rPr>
      </w:pPr>
      <w:r w:rsidRPr="00D36B91">
        <w:rPr>
          <w:b/>
          <w:bCs/>
          <w:noProof/>
          <w:lang w:val="en-IE"/>
        </w:rPr>
        <w:t>The EU Startup and Scaleup Strategy aims to make Europe the best place in the world to launch and grow global technology-driven companies</w:t>
      </w:r>
      <w:r>
        <w:rPr>
          <w:b/>
          <w:bCs/>
          <w:noProof/>
          <w:lang w:val="en-IE"/>
        </w:rPr>
        <w:t>, including deep tech companies</w:t>
      </w:r>
      <w:r w:rsidRPr="003333C2">
        <w:rPr>
          <w:noProof/>
          <w:lang w:val="en-IE"/>
        </w:rPr>
        <w:t xml:space="preserve">. It focuses on helping innovators, founders and investors </w:t>
      </w:r>
      <w:r>
        <w:rPr>
          <w:noProof/>
          <w:lang w:val="en-IE"/>
        </w:rPr>
        <w:t>to C</w:t>
      </w:r>
      <w:r w:rsidRPr="003333C2">
        <w:rPr>
          <w:noProof/>
          <w:lang w:val="en-IE"/>
        </w:rPr>
        <w:t>hoose Europe</w:t>
      </w:r>
      <w:r>
        <w:rPr>
          <w:noProof/>
          <w:lang w:val="en-IE"/>
        </w:rPr>
        <w:t>!</w:t>
      </w:r>
      <w:r w:rsidRPr="003333C2">
        <w:rPr>
          <w:noProof/>
          <w:lang w:val="en-IE"/>
        </w:rPr>
        <w:t xml:space="preserve"> by improving the conditions for startups and scaleups, enabling them to capitali</w:t>
      </w:r>
      <w:r>
        <w:rPr>
          <w:noProof/>
          <w:lang w:val="en-IE"/>
        </w:rPr>
        <w:t>s</w:t>
      </w:r>
      <w:r w:rsidRPr="003333C2">
        <w:rPr>
          <w:noProof/>
          <w:lang w:val="en-IE"/>
        </w:rPr>
        <w:t>e on new geopolitical opportunities and reducing the reasons to relocate outside the EU. This is crucial</w:t>
      </w:r>
      <w:r w:rsidR="0772E876" w:rsidRPr="5D3BE737">
        <w:rPr>
          <w:noProof/>
          <w:lang w:val="en-IE"/>
        </w:rPr>
        <w:t xml:space="preserve"> for </w:t>
      </w:r>
      <w:bookmarkStart w:id="3" w:name="_Hlk198983421"/>
      <w:r>
        <w:rPr>
          <w:noProof/>
          <w:lang w:val="en-IE"/>
        </w:rPr>
        <w:t xml:space="preserve">strategic </w:t>
      </w:r>
      <w:r w:rsidR="015C70E3" w:rsidRPr="00852453">
        <w:rPr>
          <w:noProof/>
          <w:lang w:val="en-IE"/>
        </w:rPr>
        <w:t>technologies</w:t>
      </w:r>
      <w:r w:rsidR="2C1D2B4C" w:rsidRPr="04AE5F35">
        <w:rPr>
          <w:noProof/>
          <w:lang w:val="en-IE"/>
        </w:rPr>
        <w:t>, such as</w:t>
      </w:r>
      <w:r w:rsidR="00B03533">
        <w:rPr>
          <w:noProof/>
          <w:lang w:val="en-IE"/>
        </w:rPr>
        <w:t xml:space="preserve"> for example </w:t>
      </w:r>
      <w:r>
        <w:rPr>
          <w:noProof/>
          <w:lang w:val="en-IE"/>
        </w:rPr>
        <w:t>artificial intelligence</w:t>
      </w:r>
      <w:r w:rsidRPr="003333C2">
        <w:rPr>
          <w:noProof/>
          <w:lang w:val="en-IE"/>
        </w:rPr>
        <w:t xml:space="preserve">, </w:t>
      </w:r>
      <w:r w:rsidR="00454CAF" w:rsidRPr="003333C2">
        <w:rPr>
          <w:noProof/>
          <w:lang w:val="en-IE"/>
        </w:rPr>
        <w:t>quantum</w:t>
      </w:r>
      <w:r w:rsidR="00560E0E">
        <w:rPr>
          <w:noProof/>
          <w:lang w:val="en-IE"/>
        </w:rPr>
        <w:t xml:space="preserve"> technologies, </w:t>
      </w:r>
      <w:r w:rsidR="00454CAF" w:rsidRPr="04AE5F35">
        <w:rPr>
          <w:noProof/>
          <w:lang w:val="en-IE"/>
        </w:rPr>
        <w:t>advanced semiconductors</w:t>
      </w:r>
      <w:r w:rsidR="00B04FFC">
        <w:rPr>
          <w:noProof/>
          <w:lang w:val="en-IE"/>
        </w:rPr>
        <w:t xml:space="preserve">, </w:t>
      </w:r>
      <w:r w:rsidR="00570CD8">
        <w:rPr>
          <w:noProof/>
          <w:lang w:val="en-IE"/>
        </w:rPr>
        <w:t xml:space="preserve">medical technology, </w:t>
      </w:r>
      <w:r w:rsidR="00B04FFC">
        <w:rPr>
          <w:noProof/>
          <w:lang w:val="en-IE"/>
        </w:rPr>
        <w:t>biotechnology</w:t>
      </w:r>
      <w:r>
        <w:rPr>
          <w:noProof/>
          <w:lang w:val="en-IE"/>
        </w:rPr>
        <w:t xml:space="preserve">, </w:t>
      </w:r>
      <w:r w:rsidR="004E15DE">
        <w:rPr>
          <w:noProof/>
          <w:lang w:val="en-IE"/>
        </w:rPr>
        <w:t xml:space="preserve">bioeconomy applications, </w:t>
      </w:r>
      <w:r w:rsidRPr="003333C2">
        <w:rPr>
          <w:noProof/>
          <w:lang w:val="en-IE"/>
        </w:rPr>
        <w:t>clean tech</w:t>
      </w:r>
      <w:r w:rsidR="00025390">
        <w:rPr>
          <w:noProof/>
          <w:lang w:val="en-IE"/>
        </w:rPr>
        <w:t xml:space="preserve"> and energy</w:t>
      </w:r>
      <w:r w:rsidR="002B59C0">
        <w:rPr>
          <w:noProof/>
          <w:lang w:val="en-IE"/>
        </w:rPr>
        <w:t xml:space="preserve"> (including </w:t>
      </w:r>
      <w:r w:rsidR="002B59C0" w:rsidRPr="04AE5F35">
        <w:rPr>
          <w:noProof/>
          <w:lang w:val="en-IE"/>
        </w:rPr>
        <w:t>nuclear technology</w:t>
      </w:r>
      <w:r w:rsidR="002B59C0">
        <w:rPr>
          <w:noProof/>
          <w:lang w:val="en-IE"/>
        </w:rPr>
        <w:t>)</w:t>
      </w:r>
      <w:r w:rsidRPr="003333C2">
        <w:rPr>
          <w:noProof/>
          <w:lang w:val="en-IE"/>
        </w:rPr>
        <w:t xml:space="preserve">, </w:t>
      </w:r>
      <w:r>
        <w:rPr>
          <w:noProof/>
          <w:lang w:val="en-IE"/>
        </w:rPr>
        <w:t>water and blue tech, security, defence</w:t>
      </w:r>
      <w:r w:rsidRPr="003333C2">
        <w:rPr>
          <w:noProof/>
          <w:lang w:val="en-IE"/>
        </w:rPr>
        <w:t xml:space="preserve">, </w:t>
      </w:r>
      <w:r w:rsidR="065E84C6" w:rsidRPr="04AE5F35">
        <w:rPr>
          <w:noProof/>
          <w:lang w:val="en-IE"/>
        </w:rPr>
        <w:t xml:space="preserve">space, </w:t>
      </w:r>
      <w:r w:rsidRPr="003333C2">
        <w:rPr>
          <w:noProof/>
          <w:lang w:val="en-IE"/>
        </w:rPr>
        <w:t>robotics</w:t>
      </w:r>
      <w:r w:rsidR="00B83026">
        <w:rPr>
          <w:noProof/>
          <w:lang w:val="en-IE"/>
        </w:rPr>
        <w:t xml:space="preserve"> and</w:t>
      </w:r>
      <w:r>
        <w:rPr>
          <w:noProof/>
          <w:lang w:val="en-IE"/>
        </w:rPr>
        <w:t xml:space="preserve"> </w:t>
      </w:r>
      <w:r w:rsidRPr="6C0BFF23">
        <w:rPr>
          <w:rFonts w:eastAsia="Yu Mincho"/>
          <w:noProof/>
        </w:rPr>
        <w:t>advanced materials</w:t>
      </w:r>
      <w:r w:rsidR="00DF1F8C">
        <w:rPr>
          <w:noProof/>
        </w:rPr>
        <w:t>.</w:t>
      </w:r>
      <w:r w:rsidR="002916E4">
        <w:rPr>
          <w:rStyle w:val="FootnoteReference"/>
          <w:noProof/>
          <w:lang w:val="en-IE"/>
        </w:rPr>
        <w:footnoteReference w:id="9"/>
      </w:r>
      <w:bookmarkEnd w:id="3"/>
    </w:p>
    <w:p w14:paraId="7853C97D" w14:textId="56CFA833" w:rsidR="009357CC" w:rsidRPr="003333C2" w:rsidRDefault="009357CC" w:rsidP="00EF18D2">
      <w:pPr>
        <w:spacing w:after="120" w:line="257" w:lineRule="auto"/>
        <w:jc w:val="both"/>
        <w:rPr>
          <w:noProof/>
          <w:lang w:val="en-IE"/>
        </w:rPr>
      </w:pPr>
      <w:r w:rsidRPr="003333C2">
        <w:rPr>
          <w:noProof/>
          <w:lang w:val="en-IE"/>
        </w:rPr>
        <w:t xml:space="preserve">Building on the Commission’s </w:t>
      </w:r>
      <w:r w:rsidR="006326A3">
        <w:rPr>
          <w:noProof/>
          <w:lang w:val="en-IE"/>
        </w:rPr>
        <w:t>Single Market Strategy</w:t>
      </w:r>
      <w:r w:rsidR="006326A3">
        <w:rPr>
          <w:rStyle w:val="FootnoteReference"/>
          <w:noProof/>
          <w:lang w:val="en-IE"/>
        </w:rPr>
        <w:footnoteReference w:id="10"/>
      </w:r>
      <w:r w:rsidR="006326A3">
        <w:rPr>
          <w:noProof/>
          <w:lang w:val="en-IE"/>
        </w:rPr>
        <w:t xml:space="preserve"> and other </w:t>
      </w:r>
      <w:r w:rsidRPr="003333C2">
        <w:rPr>
          <w:noProof/>
          <w:lang w:val="en-IE"/>
        </w:rPr>
        <w:t>efforts to improve the business environment, the strategy focuses on enhancing access to Europe’s internal market, which has huge potential to drive innovation and keep European companies competitive globally. It allows startups and scaleups to grow and reach the scale needed to compete effectively.</w:t>
      </w:r>
    </w:p>
    <w:p w14:paraId="4165B825" w14:textId="77777777" w:rsidR="009357CC" w:rsidRPr="003333C2" w:rsidRDefault="009357CC" w:rsidP="00EF18D2">
      <w:pPr>
        <w:spacing w:after="120" w:line="257" w:lineRule="auto"/>
        <w:jc w:val="both"/>
        <w:rPr>
          <w:noProof/>
          <w:lang w:val="en-IE"/>
        </w:rPr>
      </w:pPr>
      <w:r w:rsidRPr="003333C2">
        <w:rPr>
          <w:noProof/>
          <w:lang w:val="en-IE"/>
        </w:rPr>
        <w:t xml:space="preserve">To achieve this, the strategy seeks to shift the European economy towards a more entrepreneurial, innovative model. It aims to create a dynamic ecosystem where bold vision and calculated risk-taking are encouraged, and failure is seen as a necessary step </w:t>
      </w:r>
      <w:r>
        <w:rPr>
          <w:noProof/>
          <w:lang w:val="en-IE"/>
        </w:rPr>
        <w:t>to</w:t>
      </w:r>
      <w:r w:rsidRPr="003333C2">
        <w:rPr>
          <w:noProof/>
          <w:lang w:val="en-IE"/>
        </w:rPr>
        <w:t xml:space="preserve"> progress. The strategy will drive policy and regulatory changes across the EU, with the Commission leading by example.</w:t>
      </w:r>
      <w:r>
        <w:rPr>
          <w:noProof/>
          <w:lang w:val="en-IE"/>
        </w:rPr>
        <w:t xml:space="preserve"> The aim is to pave the way for a next generation of European startups, centaurs and unicorns who have the potential to develop into global tech leaders.</w:t>
      </w:r>
    </w:p>
    <w:p w14:paraId="76564778" w14:textId="1A48934D" w:rsidR="009357CC" w:rsidRPr="00436E20" w:rsidRDefault="009357CC" w:rsidP="00EF18D2">
      <w:pPr>
        <w:spacing w:after="120" w:line="257" w:lineRule="auto"/>
        <w:jc w:val="both"/>
        <w:rPr>
          <w:b/>
          <w:noProof/>
        </w:rPr>
      </w:pPr>
      <w:r w:rsidRPr="00436E20">
        <w:rPr>
          <w:b/>
          <w:bCs/>
          <w:noProof/>
        </w:rPr>
        <w:t xml:space="preserve">The Strategy sets out </w:t>
      </w:r>
      <w:r>
        <w:rPr>
          <w:b/>
          <w:bCs/>
          <w:noProof/>
        </w:rPr>
        <w:t xml:space="preserve">a number of </w:t>
      </w:r>
      <w:r w:rsidRPr="00436E20">
        <w:rPr>
          <w:b/>
          <w:bCs/>
          <w:noProof/>
        </w:rPr>
        <w:t>legislative, policy and financial support measures</w:t>
      </w:r>
      <w:r w:rsidRPr="003077B8">
        <w:rPr>
          <w:b/>
          <w:bCs/>
          <w:noProof/>
        </w:rPr>
        <w:t xml:space="preserve"> </w:t>
      </w:r>
      <w:r w:rsidRPr="00436E20">
        <w:rPr>
          <w:b/>
          <w:bCs/>
          <w:noProof/>
        </w:rPr>
        <w:t xml:space="preserve">in support of European startups and scaleups, </w:t>
      </w:r>
      <w:r>
        <w:rPr>
          <w:b/>
          <w:bCs/>
          <w:noProof/>
        </w:rPr>
        <w:t xml:space="preserve">at </w:t>
      </w:r>
      <w:r w:rsidRPr="00436E20">
        <w:rPr>
          <w:b/>
          <w:bCs/>
          <w:noProof/>
        </w:rPr>
        <w:t>both EU and Member States level.</w:t>
      </w:r>
      <w:r>
        <w:rPr>
          <w:b/>
          <w:bCs/>
          <w:noProof/>
        </w:rPr>
        <w:t xml:space="preserve"> Its impact will be measured by </w:t>
      </w:r>
      <w:r w:rsidRPr="00436E20">
        <w:rPr>
          <w:noProof/>
        </w:rPr>
        <w:t xml:space="preserve">1) </w:t>
      </w:r>
      <w:r>
        <w:rPr>
          <w:noProof/>
        </w:rPr>
        <w:t xml:space="preserve">the </w:t>
      </w:r>
      <w:r w:rsidRPr="00436E20">
        <w:rPr>
          <w:noProof/>
        </w:rPr>
        <w:t>increase in the number of startups in the EU, 2)</w:t>
      </w:r>
      <w:r>
        <w:rPr>
          <w:noProof/>
        </w:rPr>
        <w:t xml:space="preserve"> the</w:t>
      </w:r>
      <w:r w:rsidRPr="00436E20">
        <w:rPr>
          <w:noProof/>
        </w:rPr>
        <w:t xml:space="preserve"> increase in the number of centaurs</w:t>
      </w:r>
      <w:r w:rsidR="00B56A51" w:rsidRPr="00436E20">
        <w:rPr>
          <w:rFonts w:eastAsiaTheme="majorEastAsia"/>
          <w:noProof/>
          <w:vertAlign w:val="superscript"/>
        </w:rPr>
        <w:footnoteReference w:id="11"/>
      </w:r>
      <w:r w:rsidRPr="00436E20">
        <w:rPr>
          <w:noProof/>
        </w:rPr>
        <w:t xml:space="preserve"> in the EU and 3) </w:t>
      </w:r>
      <w:r>
        <w:rPr>
          <w:noProof/>
        </w:rPr>
        <w:t xml:space="preserve">the </w:t>
      </w:r>
      <w:r w:rsidRPr="00436E20">
        <w:rPr>
          <w:noProof/>
        </w:rPr>
        <w:t>increase in the number of unicorns in the EU</w:t>
      </w:r>
      <w:r>
        <w:rPr>
          <w:noProof/>
        </w:rPr>
        <w:t>, and how these compare with the EU’s global competitors.</w:t>
      </w:r>
    </w:p>
    <w:p w14:paraId="6700B33D" w14:textId="77777777" w:rsidR="009357CC" w:rsidRDefault="009357CC" w:rsidP="00EF18D2">
      <w:pPr>
        <w:spacing w:after="120" w:line="257" w:lineRule="auto"/>
        <w:jc w:val="both"/>
        <w:rPr>
          <w:noProof/>
        </w:rPr>
      </w:pPr>
      <w:r>
        <w:rPr>
          <w:b/>
          <w:bCs/>
          <w:noProof/>
        </w:rPr>
        <w:t xml:space="preserve">The Strategy </w:t>
      </w:r>
      <w:r w:rsidRPr="00436E20">
        <w:rPr>
          <w:b/>
          <w:bCs/>
          <w:noProof/>
        </w:rPr>
        <w:t xml:space="preserve">is structured according to different needs </w:t>
      </w:r>
      <w:r w:rsidRPr="00436E20">
        <w:rPr>
          <w:noProof/>
        </w:rPr>
        <w:t xml:space="preserve">that an innovative company may face through its lifecycle, from starting up </w:t>
      </w:r>
      <w:r>
        <w:rPr>
          <w:noProof/>
        </w:rPr>
        <w:t>to</w:t>
      </w:r>
      <w:r w:rsidRPr="00436E20">
        <w:rPr>
          <w:noProof/>
        </w:rPr>
        <w:t xml:space="preserve"> scaling up </w:t>
      </w:r>
      <w:r>
        <w:rPr>
          <w:noProof/>
        </w:rPr>
        <w:t>to</w:t>
      </w:r>
      <w:r w:rsidRPr="00436E20">
        <w:rPr>
          <w:noProof/>
        </w:rPr>
        <w:t xml:space="preserve"> maturing and succeeding in the E</w:t>
      </w:r>
      <w:r>
        <w:rPr>
          <w:noProof/>
        </w:rPr>
        <w:t>U</w:t>
      </w:r>
      <w:r w:rsidRPr="00436E20">
        <w:rPr>
          <w:noProof/>
        </w:rPr>
        <w:t>:</w:t>
      </w:r>
    </w:p>
    <w:p w14:paraId="20E913B0" w14:textId="77777777" w:rsidR="009357CC" w:rsidRDefault="009357CC" w:rsidP="00EF18D2">
      <w:pPr>
        <w:spacing w:after="120" w:line="257" w:lineRule="auto"/>
        <w:jc w:val="both"/>
        <w:rPr>
          <w:noProof/>
        </w:rPr>
      </w:pPr>
      <w:r w:rsidRPr="00436E20">
        <w:rPr>
          <w:noProof/>
        </w:rPr>
        <w:t>1) innovation-friendly regulation</w:t>
      </w:r>
      <w:r>
        <w:rPr>
          <w:noProof/>
        </w:rPr>
        <w:t>;</w:t>
      </w:r>
    </w:p>
    <w:p w14:paraId="28A50953" w14:textId="77777777" w:rsidR="009357CC" w:rsidRDefault="009357CC" w:rsidP="00EF18D2">
      <w:pPr>
        <w:spacing w:after="120" w:line="257" w:lineRule="auto"/>
        <w:jc w:val="both"/>
        <w:rPr>
          <w:noProof/>
        </w:rPr>
      </w:pPr>
      <w:r w:rsidRPr="00436E20">
        <w:rPr>
          <w:noProof/>
        </w:rPr>
        <w:t>2) better finance</w:t>
      </w:r>
      <w:r>
        <w:rPr>
          <w:noProof/>
        </w:rPr>
        <w:t>;</w:t>
      </w:r>
    </w:p>
    <w:p w14:paraId="5E638C71" w14:textId="77777777" w:rsidR="009357CC" w:rsidRDefault="009357CC" w:rsidP="00EF18D2">
      <w:pPr>
        <w:spacing w:after="120" w:line="257" w:lineRule="auto"/>
        <w:jc w:val="both"/>
        <w:rPr>
          <w:noProof/>
        </w:rPr>
      </w:pPr>
      <w:r w:rsidRPr="00436E20">
        <w:rPr>
          <w:noProof/>
        </w:rPr>
        <w:t>3) fast market uptake and expansion</w:t>
      </w:r>
      <w:r>
        <w:rPr>
          <w:noProof/>
        </w:rPr>
        <w:t>;</w:t>
      </w:r>
    </w:p>
    <w:p w14:paraId="2C0FBC58" w14:textId="77777777" w:rsidR="009357CC" w:rsidRDefault="009357CC" w:rsidP="00EF18D2">
      <w:pPr>
        <w:spacing w:after="120" w:line="257" w:lineRule="auto"/>
        <w:jc w:val="both"/>
        <w:rPr>
          <w:noProof/>
        </w:rPr>
      </w:pPr>
      <w:r w:rsidRPr="00436E20">
        <w:rPr>
          <w:noProof/>
        </w:rPr>
        <w:t>4) support for the best talent</w:t>
      </w:r>
      <w:r>
        <w:rPr>
          <w:noProof/>
        </w:rPr>
        <w:t>; and</w:t>
      </w:r>
    </w:p>
    <w:p w14:paraId="72B94805" w14:textId="77777777" w:rsidR="009357CC" w:rsidRPr="00436E20" w:rsidRDefault="009357CC" w:rsidP="00EF18D2">
      <w:pPr>
        <w:spacing w:after="120" w:line="257" w:lineRule="auto"/>
        <w:jc w:val="both"/>
        <w:rPr>
          <w:noProof/>
        </w:rPr>
      </w:pPr>
      <w:r w:rsidRPr="00436E20">
        <w:rPr>
          <w:noProof/>
        </w:rPr>
        <w:t>5) access to infrastructure, networks and services.</w:t>
      </w:r>
      <w:r>
        <w:rPr>
          <w:noProof/>
        </w:rPr>
        <w:t xml:space="preserve"> </w:t>
      </w:r>
    </w:p>
    <w:p w14:paraId="490CCFAB" w14:textId="77777777" w:rsidR="009357CC" w:rsidRPr="00436E20" w:rsidRDefault="009357CC" w:rsidP="00EF18D2">
      <w:pPr>
        <w:spacing w:after="120" w:line="257" w:lineRule="auto"/>
        <w:jc w:val="both"/>
        <w:rPr>
          <w:noProof/>
        </w:rPr>
      </w:pPr>
      <w:r w:rsidRPr="00436E20">
        <w:rPr>
          <w:noProof/>
        </w:rPr>
        <w:t>The Strategy is accompanied by a Staff Working Document.</w:t>
      </w:r>
    </w:p>
    <w:p w14:paraId="0B87A3AC" w14:textId="77777777" w:rsidR="00530360" w:rsidRDefault="009357CC" w:rsidP="00EF18D2">
      <w:pPr>
        <w:spacing w:after="160" w:line="257" w:lineRule="auto"/>
        <w:rPr>
          <w:noProof/>
        </w:rPr>
      </w:pPr>
      <w:r>
        <w:rPr>
          <w:noProof/>
        </w:rPr>
        <w:br w:type="page"/>
      </w:r>
    </w:p>
    <w:p w14:paraId="40ADD992" w14:textId="510E5510" w:rsidR="000E44FF" w:rsidRPr="000E44FF" w:rsidRDefault="000E44FF" w:rsidP="000E44FF">
      <w:pPr>
        <w:pStyle w:val="ListParagraph"/>
        <w:numPr>
          <w:ilvl w:val="0"/>
          <w:numId w:val="27"/>
        </w:numPr>
        <w:spacing w:after="120" w:line="257" w:lineRule="auto"/>
        <w:jc w:val="both"/>
        <w:rPr>
          <w:b/>
          <w:bCs/>
          <w:noProof/>
          <w:u w:val="single"/>
          <w:lang w:val="en-IE"/>
        </w:rPr>
      </w:pPr>
      <w:r w:rsidRPr="000E44FF">
        <w:rPr>
          <w:b/>
          <w:bCs/>
          <w:noProof/>
          <w:u w:val="single"/>
          <w:lang w:val="en-IE"/>
        </w:rPr>
        <w:lastRenderedPageBreak/>
        <w:t>INNOVATION-FRIENDLY REGULATION</w:t>
      </w:r>
    </w:p>
    <w:p w14:paraId="3D092D49" w14:textId="77777777" w:rsidR="000E44FF" w:rsidRDefault="000E44FF" w:rsidP="00EF18D2">
      <w:pPr>
        <w:spacing w:after="120" w:line="257" w:lineRule="auto"/>
        <w:jc w:val="both"/>
        <w:rPr>
          <w:b/>
          <w:bCs/>
          <w:noProof/>
          <w:lang w:val="en-IE"/>
        </w:rPr>
      </w:pPr>
    </w:p>
    <w:p w14:paraId="148A0BBA" w14:textId="57719FB8" w:rsidR="009357CC" w:rsidRDefault="009357CC" w:rsidP="00EF18D2">
      <w:pPr>
        <w:spacing w:after="120" w:line="257" w:lineRule="auto"/>
        <w:jc w:val="both"/>
        <w:rPr>
          <w:noProof/>
          <w:lang w:val="en-IE"/>
        </w:rPr>
      </w:pPr>
      <w:r w:rsidRPr="00D36B91">
        <w:rPr>
          <w:b/>
          <w:bCs/>
          <w:noProof/>
          <w:lang w:val="en-IE"/>
        </w:rPr>
        <w:t>Europe is recognised for its strong regulatory standards, providing stability and trust for E</w:t>
      </w:r>
      <w:r>
        <w:rPr>
          <w:b/>
          <w:bCs/>
          <w:noProof/>
          <w:lang w:val="en-IE"/>
        </w:rPr>
        <w:t>U</w:t>
      </w:r>
      <w:r w:rsidRPr="00D36B91">
        <w:rPr>
          <w:b/>
          <w:bCs/>
          <w:noProof/>
          <w:lang w:val="en-IE"/>
        </w:rPr>
        <w:t xml:space="preserve"> and non-EU investors</w:t>
      </w:r>
      <w:r>
        <w:rPr>
          <w:b/>
          <w:bCs/>
          <w:noProof/>
          <w:lang w:val="en-IE"/>
        </w:rPr>
        <w:t xml:space="preserve"> alike</w:t>
      </w:r>
      <w:r w:rsidRPr="00D36B91">
        <w:rPr>
          <w:b/>
          <w:bCs/>
          <w:noProof/>
          <w:lang w:val="en-IE"/>
        </w:rPr>
        <w:t>.</w:t>
      </w:r>
      <w:r w:rsidRPr="00926CA3">
        <w:rPr>
          <w:noProof/>
          <w:lang w:val="en-IE"/>
        </w:rPr>
        <w:t xml:space="preserve"> </w:t>
      </w:r>
      <w:r w:rsidRPr="24787BB7">
        <w:rPr>
          <w:noProof/>
          <w:lang w:val="en-IE"/>
        </w:rPr>
        <w:t xml:space="preserve">The EU’s regulatory framework </w:t>
      </w:r>
      <w:r w:rsidRPr="3BC88073">
        <w:rPr>
          <w:noProof/>
          <w:lang w:val="en-IE"/>
        </w:rPr>
        <w:t xml:space="preserve">also </w:t>
      </w:r>
      <w:r w:rsidRPr="24787BB7">
        <w:rPr>
          <w:noProof/>
          <w:lang w:val="en-IE"/>
        </w:rPr>
        <w:t xml:space="preserve">ensures safety and clarity for startups, fostering innovation and entrepreneurship. </w:t>
      </w:r>
      <w:r w:rsidRPr="3BC88073">
        <w:rPr>
          <w:noProof/>
          <w:lang w:val="en-IE"/>
        </w:rPr>
        <w:t>At the same time, the</w:t>
      </w:r>
      <w:r w:rsidRPr="00926CA3">
        <w:rPr>
          <w:noProof/>
          <w:lang w:val="en-IE"/>
        </w:rPr>
        <w:t xml:space="preserve"> Commission is actively reducing administrative burdens, aiming for a 25% reduction for companies and 35% for SMEs, improving agility. The Single Market Strategy</w:t>
      </w:r>
      <w:r w:rsidRPr="5CA73D8D">
        <w:rPr>
          <w:noProof/>
          <w:vertAlign w:val="superscript"/>
          <w:lang w:val="en-IE"/>
        </w:rPr>
        <w:footnoteReference w:id="12"/>
      </w:r>
      <w:r w:rsidRPr="00926CA3">
        <w:rPr>
          <w:noProof/>
          <w:lang w:val="en-IE"/>
        </w:rPr>
        <w:t xml:space="preserve"> is addressing fragmentation and obstacles to the free movement of goods and services, offering a solid foundation for growth. </w:t>
      </w:r>
    </w:p>
    <w:p w14:paraId="0EF09E1D" w14:textId="65C17FC5" w:rsidR="009357CC" w:rsidRPr="00926CA3" w:rsidRDefault="009357CC" w:rsidP="00EF18D2">
      <w:pPr>
        <w:spacing w:after="120" w:line="257" w:lineRule="auto"/>
        <w:jc w:val="both"/>
        <w:rPr>
          <w:noProof/>
          <w:lang w:val="en-IE"/>
        </w:rPr>
      </w:pPr>
      <w:r>
        <w:rPr>
          <w:b/>
          <w:bCs/>
          <w:noProof/>
          <w:lang w:val="en-IE"/>
        </w:rPr>
        <w:t>To</w:t>
      </w:r>
      <w:r w:rsidRPr="00D36B91">
        <w:rPr>
          <w:b/>
          <w:bCs/>
          <w:noProof/>
          <w:lang w:val="en-IE"/>
        </w:rPr>
        <w:t xml:space="preserve"> remain competitive in the fast-evolving global tech landscape, the EU faces several challenges.</w:t>
      </w:r>
      <w:r w:rsidRPr="00926CA3">
        <w:rPr>
          <w:noProof/>
          <w:lang w:val="en-IE"/>
        </w:rPr>
        <w:t xml:space="preserve"> Regulatory fragmentation across Member States makes it difficult for startups and scaleups to operate efficiently within the Single Market. Different national legal systems, especially in areas like taxation, company law and securities law, create barriers for investors, limiting the flow of capital. Startups also face difficulties navigating varying labour laws and high failure costs, adding uncertainty for both founders and investors. Moreover, the slow pace of regulatory approval for new technologies, alongside existing regulatory frameworks that do</w:t>
      </w:r>
      <w:r>
        <w:rPr>
          <w:noProof/>
          <w:lang w:val="en-IE"/>
        </w:rPr>
        <w:t xml:space="preserve"> </w:t>
      </w:r>
      <w:r w:rsidRPr="00926CA3">
        <w:rPr>
          <w:noProof/>
          <w:lang w:val="en-IE"/>
        </w:rPr>
        <w:t>n</w:t>
      </w:r>
      <w:r>
        <w:rPr>
          <w:noProof/>
          <w:lang w:val="en-IE"/>
        </w:rPr>
        <w:t>o</w:t>
      </w:r>
      <w:r w:rsidRPr="00926CA3">
        <w:rPr>
          <w:noProof/>
          <w:lang w:val="en-IE"/>
        </w:rPr>
        <w:t>t adapt quickly to innovation, hinders the uptake of disruptive products and services.</w:t>
      </w:r>
      <w:r w:rsidR="00505656" w:rsidRPr="000C1955">
        <w:rPr>
          <w:noProof/>
        </w:rPr>
        <w:t xml:space="preserve"> </w:t>
      </w:r>
    </w:p>
    <w:p w14:paraId="3FEE7336" w14:textId="4733A741" w:rsidR="009357CC" w:rsidRDefault="009357CC" w:rsidP="00EF18D2">
      <w:pPr>
        <w:spacing w:after="120" w:line="257" w:lineRule="auto"/>
        <w:jc w:val="both"/>
        <w:rPr>
          <w:noProof/>
          <w:lang w:val="en-IE"/>
        </w:rPr>
      </w:pPr>
      <w:r w:rsidRPr="00D36B91">
        <w:rPr>
          <w:b/>
          <w:bCs/>
          <w:noProof/>
          <w:lang w:val="en-IE"/>
        </w:rPr>
        <w:t>To address these challenges the EU must enhance its regulatory agility</w:t>
      </w:r>
      <w:r w:rsidRPr="00926CA3">
        <w:rPr>
          <w:noProof/>
          <w:lang w:val="en-IE"/>
        </w:rPr>
        <w:t xml:space="preserve">. The upcoming European Innovation Act and the </w:t>
      </w:r>
      <w:r w:rsidR="00E2557C">
        <w:rPr>
          <w:noProof/>
          <w:lang w:val="en-IE"/>
        </w:rPr>
        <w:t>28</w:t>
      </w:r>
      <w:r w:rsidR="00E2557C" w:rsidRPr="00CA1C01">
        <w:rPr>
          <w:noProof/>
          <w:vertAlign w:val="superscript"/>
          <w:lang w:val="en-IE"/>
        </w:rPr>
        <w:t>th</w:t>
      </w:r>
      <w:r w:rsidR="00E2557C">
        <w:rPr>
          <w:noProof/>
          <w:lang w:val="en-IE"/>
        </w:rPr>
        <w:t xml:space="preserve"> regime</w:t>
      </w:r>
      <w:r w:rsidRPr="00926CA3">
        <w:rPr>
          <w:noProof/>
          <w:lang w:val="en-IE"/>
        </w:rPr>
        <w:t xml:space="preserve"> will</w:t>
      </w:r>
      <w:r w:rsidR="00E2557C">
        <w:rPr>
          <w:noProof/>
          <w:lang w:val="en-IE"/>
        </w:rPr>
        <w:t xml:space="preserve"> help startup and scaleup companies develop across the EU</w:t>
      </w:r>
      <w:r w:rsidRPr="00926CA3">
        <w:rPr>
          <w:noProof/>
          <w:lang w:val="en-IE"/>
        </w:rPr>
        <w:t xml:space="preserve">. The adoption of the Insolvency Directive will simplify insolvency procedures, benefiting </w:t>
      </w:r>
      <w:r w:rsidRPr="2C6EDAD7">
        <w:rPr>
          <w:noProof/>
          <w:lang w:val="en-IE"/>
        </w:rPr>
        <w:t xml:space="preserve">also </w:t>
      </w:r>
      <w:r w:rsidRPr="00926CA3">
        <w:rPr>
          <w:noProof/>
          <w:lang w:val="en-IE"/>
        </w:rPr>
        <w:t xml:space="preserve">startups by reducing complexity and costs. </w:t>
      </w:r>
      <w:r w:rsidR="00605458">
        <w:rPr>
          <w:noProof/>
        </w:rPr>
        <w:t>T</w:t>
      </w:r>
      <w:r w:rsidR="00C460FB" w:rsidRPr="00C460FB">
        <w:rPr>
          <w:noProof/>
        </w:rPr>
        <w:t xml:space="preserve">he forthcoming Tax Recommendation, as part of the Clean Industrial Deal, will </w:t>
      </w:r>
      <w:r>
        <w:rPr>
          <w:noProof/>
        </w:rPr>
        <w:t>recommend treating</w:t>
      </w:r>
      <w:r w:rsidR="00C460FB" w:rsidRPr="00C460FB">
        <w:rPr>
          <w:noProof/>
        </w:rPr>
        <w:t xml:space="preserve"> favourably the immediate expensing and accelerated depreciation and </w:t>
      </w:r>
      <w:r>
        <w:rPr>
          <w:noProof/>
        </w:rPr>
        <w:t>providing</w:t>
      </w:r>
      <w:r w:rsidR="00C460FB" w:rsidRPr="00C460FB">
        <w:rPr>
          <w:noProof/>
        </w:rPr>
        <w:t xml:space="preserve"> incentives for tax credits supporting investment activities by startup</w:t>
      </w:r>
      <w:r w:rsidR="00175104">
        <w:rPr>
          <w:noProof/>
        </w:rPr>
        <w:t>s</w:t>
      </w:r>
      <w:r w:rsidR="00C460FB" w:rsidRPr="00C460FB">
        <w:rPr>
          <w:noProof/>
        </w:rPr>
        <w:t xml:space="preserve"> and scaleup</w:t>
      </w:r>
      <w:r w:rsidR="00175104">
        <w:rPr>
          <w:noProof/>
        </w:rPr>
        <w:t>s</w:t>
      </w:r>
      <w:r w:rsidR="00C460FB" w:rsidRPr="00C460FB">
        <w:rPr>
          <w:noProof/>
        </w:rPr>
        <w:t>.</w:t>
      </w:r>
      <w:r w:rsidR="006C799E">
        <w:rPr>
          <w:noProof/>
        </w:rPr>
        <w:t xml:space="preserve"> </w:t>
      </w:r>
      <w:r w:rsidRPr="00926CA3">
        <w:rPr>
          <w:noProof/>
          <w:lang w:val="en-IE"/>
        </w:rPr>
        <w:t xml:space="preserve">Additionally, </w:t>
      </w:r>
      <w:r w:rsidRPr="00D36B91">
        <w:rPr>
          <w:b/>
          <w:bCs/>
          <w:noProof/>
          <w:lang w:val="en-IE"/>
        </w:rPr>
        <w:t>regulatory sandboxes</w:t>
      </w:r>
      <w:r w:rsidRPr="004A0DD1">
        <w:rPr>
          <w:noProof/>
          <w:vertAlign w:val="superscript"/>
          <w:lang w:val="en-IE"/>
        </w:rPr>
        <w:footnoteReference w:id="13"/>
      </w:r>
      <w:r w:rsidRPr="00926CA3">
        <w:rPr>
          <w:noProof/>
          <w:lang w:val="en-IE"/>
        </w:rPr>
        <w:t xml:space="preserve"> can provide startups with real-world testing environments, enabling them to refine their innovations while regulators </w:t>
      </w:r>
      <w:r w:rsidRPr="75D0FBB1">
        <w:rPr>
          <w:noProof/>
          <w:lang w:val="en-IE"/>
        </w:rPr>
        <w:t xml:space="preserve">can better understand the needs of emerging innovations and </w:t>
      </w:r>
      <w:r w:rsidRPr="00926CA3">
        <w:rPr>
          <w:noProof/>
          <w:lang w:val="en-IE"/>
        </w:rPr>
        <w:t xml:space="preserve">adjust rules to better </w:t>
      </w:r>
      <w:r w:rsidRPr="7A3AF789">
        <w:rPr>
          <w:noProof/>
          <w:lang w:val="en-IE"/>
        </w:rPr>
        <w:t xml:space="preserve">respond to these </w:t>
      </w:r>
      <w:r>
        <w:rPr>
          <w:noProof/>
          <w:lang w:val="en-IE"/>
        </w:rPr>
        <w:t>challenges</w:t>
      </w:r>
      <w:r w:rsidRPr="00926CA3">
        <w:rPr>
          <w:noProof/>
          <w:lang w:val="en-IE"/>
        </w:rPr>
        <w:t xml:space="preserve">. </w:t>
      </w:r>
      <w:r w:rsidRPr="7A3AF789">
        <w:rPr>
          <w:noProof/>
          <w:lang w:val="en-IE"/>
        </w:rPr>
        <w:t>S</w:t>
      </w:r>
      <w:r w:rsidRPr="00926CA3">
        <w:rPr>
          <w:noProof/>
          <w:lang w:val="en-IE"/>
        </w:rPr>
        <w:t>andboxes</w:t>
      </w:r>
      <w:r w:rsidRPr="7A3AF789">
        <w:rPr>
          <w:noProof/>
          <w:lang w:val="en-IE"/>
        </w:rPr>
        <w:t xml:space="preserve"> therefore</w:t>
      </w:r>
      <w:r w:rsidRPr="00926CA3">
        <w:rPr>
          <w:noProof/>
          <w:lang w:val="en-IE"/>
        </w:rPr>
        <w:t xml:space="preserve"> not only help startups</w:t>
      </w:r>
      <w:r w:rsidRPr="004A0DD1">
        <w:rPr>
          <w:noProof/>
          <w:vertAlign w:val="superscript"/>
          <w:lang w:val="en-IE"/>
        </w:rPr>
        <w:footnoteReference w:id="14"/>
      </w:r>
      <w:r w:rsidRPr="00926CA3">
        <w:rPr>
          <w:noProof/>
          <w:lang w:val="en-IE"/>
        </w:rPr>
        <w:t xml:space="preserve"> but also foster closer collaboration with authorities, building trust and attracting investment</w:t>
      </w:r>
      <w:r w:rsidR="002F6147" w:rsidRPr="002F6147">
        <w:rPr>
          <w:noProof/>
          <w:lang w:val="en-IE"/>
        </w:rPr>
        <w:t xml:space="preserve"> </w:t>
      </w:r>
      <w:r w:rsidR="002F6147" w:rsidRPr="008D7E6E">
        <w:rPr>
          <w:noProof/>
          <w:lang w:val="en-IE"/>
        </w:rPr>
        <w:t xml:space="preserve">and, when applied to place-based innovation, </w:t>
      </w:r>
      <w:r w:rsidR="002F6147">
        <w:rPr>
          <w:noProof/>
          <w:lang w:val="en-IE"/>
        </w:rPr>
        <w:t xml:space="preserve">they </w:t>
      </w:r>
      <w:r w:rsidR="002F6147" w:rsidRPr="008D7E6E">
        <w:rPr>
          <w:noProof/>
          <w:lang w:val="en-IE"/>
        </w:rPr>
        <w:t>can drive local development at territorial scale</w:t>
      </w:r>
      <w:r w:rsidRPr="00926CA3">
        <w:rPr>
          <w:noProof/>
          <w:lang w:val="en-IE"/>
        </w:rPr>
        <w:t>.</w:t>
      </w:r>
      <w:r>
        <w:rPr>
          <w:noProof/>
          <w:lang w:val="en-IE"/>
        </w:rPr>
        <w:t xml:space="preserve"> </w:t>
      </w:r>
    </w:p>
    <w:p w14:paraId="1855572B" w14:textId="51952008" w:rsidR="00920CAB" w:rsidRPr="00926CA3" w:rsidRDefault="009357CC" w:rsidP="00EF18D2">
      <w:pPr>
        <w:spacing w:after="120" w:line="257" w:lineRule="auto"/>
        <w:jc w:val="both"/>
        <w:rPr>
          <w:noProof/>
          <w:lang w:val="en-IE"/>
        </w:rPr>
      </w:pPr>
      <w:r w:rsidRPr="00D36B91">
        <w:rPr>
          <w:b/>
          <w:bCs/>
          <w:noProof/>
          <w:lang w:val="en-IE"/>
        </w:rPr>
        <w:t xml:space="preserve">The Commission will propose country-specific recommendations </w:t>
      </w:r>
      <w:r w:rsidRPr="4BAE9053">
        <w:rPr>
          <w:b/>
          <w:noProof/>
          <w:lang w:val="en-IE"/>
        </w:rPr>
        <w:t>t</w:t>
      </w:r>
      <w:r w:rsidRPr="00D36B91">
        <w:rPr>
          <w:b/>
          <w:bCs/>
          <w:noProof/>
          <w:lang w:val="en-IE"/>
        </w:rPr>
        <w:t>hrough the European Semester process to improve innovation policy and simplify the business environment</w:t>
      </w:r>
      <w:r w:rsidRPr="7892E1A7">
        <w:rPr>
          <w:b/>
          <w:bCs/>
          <w:noProof/>
          <w:lang w:val="en-IE"/>
        </w:rPr>
        <w:t xml:space="preserve"> </w:t>
      </w:r>
      <w:r w:rsidRPr="08FC36EA">
        <w:rPr>
          <w:b/>
          <w:bCs/>
          <w:noProof/>
          <w:lang w:val="en-IE"/>
        </w:rPr>
        <w:t>in Member States</w:t>
      </w:r>
      <w:r w:rsidRPr="08FC36EA">
        <w:rPr>
          <w:noProof/>
          <w:lang w:val="en-IE"/>
        </w:rPr>
        <w:t>.</w:t>
      </w:r>
      <w:r w:rsidRPr="00926CA3">
        <w:rPr>
          <w:noProof/>
          <w:lang w:val="en-IE"/>
        </w:rPr>
        <w:t xml:space="preserve"> </w:t>
      </w:r>
      <w:r w:rsidRPr="3673BC53">
        <w:rPr>
          <w:noProof/>
          <w:lang w:val="en-IE"/>
        </w:rPr>
        <w:t xml:space="preserve">The Commission </w:t>
      </w:r>
      <w:r w:rsidRPr="4BAE9053">
        <w:rPr>
          <w:noProof/>
          <w:lang w:val="en-IE"/>
        </w:rPr>
        <w:t xml:space="preserve">will </w:t>
      </w:r>
      <w:r w:rsidRPr="00D36B91">
        <w:rPr>
          <w:noProof/>
          <w:lang w:val="en-IE"/>
        </w:rPr>
        <w:t xml:space="preserve">continue to </w:t>
      </w:r>
      <w:r w:rsidRPr="00926CA3">
        <w:rPr>
          <w:noProof/>
          <w:lang w:val="en-IE"/>
        </w:rPr>
        <w:t xml:space="preserve">strengthen </w:t>
      </w:r>
      <w:r w:rsidR="00F239C8">
        <w:rPr>
          <w:noProof/>
          <w:lang w:val="en-IE"/>
        </w:rPr>
        <w:t xml:space="preserve">the </w:t>
      </w:r>
      <w:r w:rsidR="00DC66CD">
        <w:rPr>
          <w:noProof/>
          <w:lang w:val="en-IE"/>
        </w:rPr>
        <w:t xml:space="preserve">Member States’ </w:t>
      </w:r>
      <w:r w:rsidRPr="00926CA3">
        <w:rPr>
          <w:noProof/>
          <w:lang w:val="en-IE"/>
        </w:rPr>
        <w:t xml:space="preserve">administrative capacity through the Technical Support Instrument. Additionally, the Commission will work towards speeding up the EU’s standardisation processes to keep pace </w:t>
      </w:r>
      <w:r w:rsidRPr="00926CA3">
        <w:rPr>
          <w:noProof/>
          <w:lang w:val="en-IE"/>
        </w:rPr>
        <w:lastRenderedPageBreak/>
        <w:t xml:space="preserve">with technological advancements, ensuring that market entry </w:t>
      </w:r>
      <w:r w:rsidRPr="20925307">
        <w:rPr>
          <w:noProof/>
          <w:lang w:val="en-IE"/>
        </w:rPr>
        <w:t>and expansion for</w:t>
      </w:r>
      <w:r w:rsidRPr="00926CA3">
        <w:rPr>
          <w:noProof/>
          <w:lang w:val="en-IE"/>
        </w:rPr>
        <w:t xml:space="preserve"> startups becomes smoother and faster across the Single Market.</w:t>
      </w:r>
      <w:r w:rsidR="00920CAB" w:rsidRPr="00920CAB">
        <w:rPr>
          <w:noProof/>
          <w:lang w:val="en-IE"/>
        </w:rPr>
        <w:t xml:space="preserve"> </w:t>
      </w:r>
    </w:p>
    <w:p w14:paraId="4311A6F8" w14:textId="483150A5" w:rsidR="00530360" w:rsidRDefault="00611690" w:rsidP="00EF18D2">
      <w:pPr>
        <w:spacing w:after="120" w:line="257" w:lineRule="auto"/>
        <w:jc w:val="both"/>
        <w:rPr>
          <w:b/>
          <w:bCs/>
          <w:noProof/>
          <w:u w:val="single"/>
        </w:rPr>
      </w:pPr>
      <w:r w:rsidRPr="00436E20">
        <w:rPr>
          <w:b/>
          <w:bCs/>
          <w:noProof/>
          <w:u w:val="single"/>
        </w:rPr>
        <w:t>Actions</w:t>
      </w:r>
    </w:p>
    <w:p w14:paraId="35CC0E0D" w14:textId="0B49327E" w:rsidR="009357CC" w:rsidRDefault="009357CC" w:rsidP="00EF18D2">
      <w:pPr>
        <w:pStyle w:val="ListParagraph"/>
        <w:numPr>
          <w:ilvl w:val="0"/>
          <w:numId w:val="14"/>
        </w:numPr>
        <w:spacing w:after="120" w:line="257" w:lineRule="auto"/>
        <w:ind w:left="714" w:hanging="357"/>
        <w:contextualSpacing w:val="0"/>
        <w:jc w:val="both"/>
        <w:rPr>
          <w:noProof/>
        </w:rPr>
      </w:pPr>
      <w:r w:rsidRPr="00874F59">
        <w:rPr>
          <w:b/>
          <w:noProof/>
        </w:rPr>
        <w:t>The Commission will propose a European 28</w:t>
      </w:r>
      <w:r w:rsidRPr="00874F59">
        <w:rPr>
          <w:b/>
          <w:noProof/>
          <w:vertAlign w:val="superscript"/>
        </w:rPr>
        <w:t>th</w:t>
      </w:r>
      <w:r w:rsidRPr="00874F59">
        <w:rPr>
          <w:b/>
          <w:noProof/>
        </w:rPr>
        <w:t xml:space="preserve"> regime</w:t>
      </w:r>
      <w:r w:rsidRPr="00436E20">
        <w:rPr>
          <w:noProof/>
        </w:rPr>
        <w:t xml:space="preserve"> which </w:t>
      </w:r>
      <w:r>
        <w:rPr>
          <w:noProof/>
        </w:rPr>
        <w:t xml:space="preserve">will provide </w:t>
      </w:r>
      <w:r w:rsidRPr="002D384F">
        <w:rPr>
          <w:noProof/>
        </w:rPr>
        <w:t xml:space="preserve">a single set of rules </w:t>
      </w:r>
      <w:r w:rsidR="00011FC0" w:rsidRPr="00A8118C">
        <w:rPr>
          <w:noProof/>
        </w:rPr>
        <w:t xml:space="preserve">for companies. It would include an EU corporate legal framework, </w:t>
      </w:r>
      <w:r w:rsidRPr="002D384F">
        <w:rPr>
          <w:noProof/>
        </w:rPr>
        <w:t>based on digital-by-default solutions</w:t>
      </w:r>
      <w:r w:rsidR="00531D35">
        <w:rPr>
          <w:noProof/>
        </w:rPr>
        <w:t>, and will</w:t>
      </w:r>
      <w:r w:rsidRPr="002D384F">
        <w:rPr>
          <w:noProof/>
        </w:rPr>
        <w:t xml:space="preserve"> help </w:t>
      </w:r>
      <w:r w:rsidR="00531D35">
        <w:rPr>
          <w:noProof/>
        </w:rPr>
        <w:t xml:space="preserve">companies </w:t>
      </w:r>
      <w:r w:rsidRPr="002D384F">
        <w:rPr>
          <w:noProof/>
        </w:rPr>
        <w:t xml:space="preserve">overcome barriers in setting up, scaling up and operating companies </w:t>
      </w:r>
      <w:r w:rsidRPr="00F647B8">
        <w:rPr>
          <w:noProof/>
        </w:rPr>
        <w:t xml:space="preserve">across the Single Market. To do so, it will simplify applicable rules and reduce the cost of failure, </w:t>
      </w:r>
      <w:r w:rsidRPr="00D36B91">
        <w:rPr>
          <w:noProof/>
        </w:rPr>
        <w:t>by addressing specific aspects within relevant areas of law, including</w:t>
      </w:r>
      <w:r w:rsidRPr="00F647B8">
        <w:rPr>
          <w:noProof/>
        </w:rPr>
        <w:t xml:space="preserve"> insolvency</w:t>
      </w:r>
      <w:r w:rsidRPr="00436E20">
        <w:rPr>
          <w:noProof/>
        </w:rPr>
        <w:t>, labour and tax law</w:t>
      </w:r>
      <w:r w:rsidR="005C268F">
        <w:rPr>
          <w:noProof/>
        </w:rPr>
        <w:t>.</w:t>
      </w:r>
      <w:r w:rsidRPr="00436E20">
        <w:rPr>
          <w:noProof/>
        </w:rPr>
        <w:t xml:space="preserve"> </w:t>
      </w:r>
      <w:r w:rsidRPr="00D47DE8">
        <w:rPr>
          <w:noProof/>
        </w:rPr>
        <w:t>It will explore the possibility of enabling companies to establish in Europe more rapidly, ideally within 48 hours</w:t>
      </w:r>
      <w:r>
        <w:rPr>
          <w:noProof/>
        </w:rPr>
        <w:t xml:space="preserve"> </w:t>
      </w:r>
      <w:r w:rsidRPr="00436E20">
        <w:rPr>
          <w:noProof/>
        </w:rPr>
        <w:t>(Q1 2026)</w:t>
      </w:r>
      <w:r w:rsidR="00F36D00">
        <w:rPr>
          <w:noProof/>
        </w:rPr>
        <w:t>.</w:t>
      </w:r>
    </w:p>
    <w:p w14:paraId="7043E448" w14:textId="77777777" w:rsidR="009357CC" w:rsidRPr="00436E20" w:rsidRDefault="009357CC" w:rsidP="00EF18D2">
      <w:pPr>
        <w:pStyle w:val="ListParagraph"/>
        <w:numPr>
          <w:ilvl w:val="0"/>
          <w:numId w:val="14"/>
        </w:numPr>
        <w:spacing w:after="120" w:line="257" w:lineRule="auto"/>
        <w:ind w:left="714" w:hanging="357"/>
        <w:contextualSpacing w:val="0"/>
        <w:jc w:val="both"/>
        <w:rPr>
          <w:noProof/>
        </w:rPr>
      </w:pPr>
      <w:r w:rsidRPr="00436E20">
        <w:rPr>
          <w:b/>
          <w:noProof/>
        </w:rPr>
        <w:t xml:space="preserve">The Commission will propose the European Business Wallet </w:t>
      </w:r>
      <w:r w:rsidRPr="00436E20">
        <w:rPr>
          <w:bCs/>
          <w:noProof/>
        </w:rPr>
        <w:t>as the cornerstone of doing business simply and digitally in the EU, establishing a digital identity for all economic operators and providing a framework for sharing verified data and credentials to enable seamless digital interactions between economic operators and public administrations across the Union (Q4 2025).</w:t>
      </w:r>
    </w:p>
    <w:p w14:paraId="77999D02" w14:textId="4CD871CB" w:rsidR="009357CC" w:rsidRPr="00436E20" w:rsidRDefault="009357CC" w:rsidP="00EF18D2">
      <w:pPr>
        <w:pStyle w:val="ListParagraph"/>
        <w:numPr>
          <w:ilvl w:val="0"/>
          <w:numId w:val="14"/>
        </w:numPr>
        <w:spacing w:after="120" w:line="257" w:lineRule="auto"/>
        <w:ind w:left="714" w:hanging="357"/>
        <w:contextualSpacing w:val="0"/>
        <w:jc w:val="both"/>
        <w:rPr>
          <w:noProof/>
        </w:rPr>
      </w:pPr>
      <w:r w:rsidRPr="00436E20">
        <w:rPr>
          <w:b/>
          <w:bCs/>
          <w:noProof/>
        </w:rPr>
        <w:t>The Commission will propose a European Innovation Act which will also</w:t>
      </w:r>
      <w:r w:rsidRPr="00436E20">
        <w:rPr>
          <w:noProof/>
        </w:rPr>
        <w:t xml:space="preserve"> promote </w:t>
      </w:r>
      <w:r w:rsidRPr="00436E20">
        <w:rPr>
          <w:b/>
          <w:bCs/>
          <w:noProof/>
        </w:rPr>
        <w:t xml:space="preserve">regulatory sandboxes, </w:t>
      </w:r>
      <w:r w:rsidRPr="00436E20">
        <w:rPr>
          <w:noProof/>
        </w:rPr>
        <w:t>t</w:t>
      </w:r>
      <w:r>
        <w:rPr>
          <w:noProof/>
        </w:rPr>
        <w:t>o</w:t>
      </w:r>
      <w:r w:rsidRPr="00436E20">
        <w:rPr>
          <w:noProof/>
        </w:rPr>
        <w:t xml:space="preserve"> allow innovators to develop and test new ideas. It will contain a common legal definition and basic principles regarding the establishment of regulatory sandboxes, including cross-border </w:t>
      </w:r>
      <w:r w:rsidR="0031328B">
        <w:rPr>
          <w:noProof/>
        </w:rPr>
        <w:t xml:space="preserve">or place-based </w:t>
      </w:r>
      <w:r w:rsidRPr="00436E20">
        <w:rPr>
          <w:noProof/>
        </w:rPr>
        <w:t>regulatory sandboxes, while ensuring sector specific needs (Q1 2026).</w:t>
      </w:r>
    </w:p>
    <w:p w14:paraId="5B29437F" w14:textId="77777777" w:rsidR="009357CC" w:rsidRPr="00436E20" w:rsidRDefault="009357CC" w:rsidP="00EF18D2">
      <w:pPr>
        <w:pStyle w:val="ListParagraph"/>
        <w:numPr>
          <w:ilvl w:val="0"/>
          <w:numId w:val="14"/>
        </w:numPr>
        <w:spacing w:after="120" w:line="257" w:lineRule="auto"/>
        <w:contextualSpacing w:val="0"/>
        <w:jc w:val="both"/>
        <w:rPr>
          <w:noProof/>
        </w:rPr>
      </w:pPr>
      <w:r w:rsidRPr="00436E20">
        <w:rPr>
          <w:noProof/>
        </w:rPr>
        <w:t xml:space="preserve">The Commission will propose </w:t>
      </w:r>
      <w:r w:rsidRPr="00436E20">
        <w:rPr>
          <w:b/>
          <w:bCs/>
          <w:noProof/>
        </w:rPr>
        <w:t xml:space="preserve">a voluntary </w:t>
      </w:r>
      <w:r>
        <w:rPr>
          <w:b/>
          <w:bCs/>
          <w:noProof/>
        </w:rPr>
        <w:t>‘</w:t>
      </w:r>
      <w:r w:rsidRPr="00436E20">
        <w:rPr>
          <w:b/>
          <w:bCs/>
          <w:noProof/>
        </w:rPr>
        <w:t>Innovation Stress Test</w:t>
      </w:r>
      <w:r>
        <w:rPr>
          <w:b/>
          <w:bCs/>
          <w:noProof/>
        </w:rPr>
        <w:t>’</w:t>
      </w:r>
      <w:r w:rsidRPr="00436E20">
        <w:rPr>
          <w:b/>
          <w:bCs/>
          <w:noProof/>
        </w:rPr>
        <w:t xml:space="preserve"> by Member States</w:t>
      </w:r>
      <w:r w:rsidRPr="00436E20">
        <w:rPr>
          <w:noProof/>
        </w:rPr>
        <w:t>, consisting of recommendations for Member States to systematically assess the potential impact on innovation when preparing new or revised national legislation (Q1 2026).</w:t>
      </w:r>
    </w:p>
    <w:p w14:paraId="590F3D05" w14:textId="77777777" w:rsidR="009357CC" w:rsidRPr="00436E20" w:rsidRDefault="009357CC">
      <w:pPr>
        <w:pStyle w:val="ListParagraph"/>
        <w:numPr>
          <w:ilvl w:val="0"/>
          <w:numId w:val="14"/>
        </w:numPr>
        <w:spacing w:after="120" w:line="257" w:lineRule="auto"/>
        <w:jc w:val="both"/>
        <w:rPr>
          <w:noProof/>
        </w:rPr>
      </w:pPr>
      <w:r w:rsidRPr="00436E20">
        <w:rPr>
          <w:noProof/>
        </w:rPr>
        <w:t xml:space="preserve">The Commission will put forward proposals to </w:t>
      </w:r>
      <w:r w:rsidRPr="00436E20">
        <w:rPr>
          <w:b/>
          <w:bCs/>
          <w:noProof/>
        </w:rPr>
        <w:t xml:space="preserve">reduce regulatory burdens in strategic sectors </w:t>
      </w:r>
      <w:r w:rsidRPr="00436E20">
        <w:rPr>
          <w:noProof/>
        </w:rPr>
        <w:t>through forthcoming sectoral legislative and non-legislative proposals, such as the EU Biotech Act, the EU Bioeconomy Strategy, the</w:t>
      </w:r>
      <w:r>
        <w:rPr>
          <w:noProof/>
        </w:rPr>
        <w:t xml:space="preserve"> </w:t>
      </w:r>
      <w:r w:rsidRPr="00436E20">
        <w:rPr>
          <w:noProof/>
        </w:rPr>
        <w:t>EU Life Science Strategy, the Advanced Materials Act</w:t>
      </w:r>
      <w:r>
        <w:rPr>
          <w:noProof/>
        </w:rPr>
        <w:t xml:space="preserve"> </w:t>
      </w:r>
      <w:r w:rsidRPr="00436E20">
        <w:rPr>
          <w:noProof/>
        </w:rPr>
        <w:t>the Medical Devices Regulation</w:t>
      </w:r>
      <w:r>
        <w:rPr>
          <w:noProof/>
        </w:rPr>
        <w:t xml:space="preserve"> and the Omnibus Defence Simplification Package </w:t>
      </w:r>
      <w:r w:rsidRPr="00436E20">
        <w:rPr>
          <w:noProof/>
        </w:rPr>
        <w:t xml:space="preserve">(as of 2025). </w:t>
      </w:r>
    </w:p>
    <w:p w14:paraId="38A4D982" w14:textId="1222D26F" w:rsidR="009357CC" w:rsidRPr="00436E20" w:rsidRDefault="009357CC" w:rsidP="00EF18D2">
      <w:pPr>
        <w:numPr>
          <w:ilvl w:val="0"/>
          <w:numId w:val="14"/>
        </w:numPr>
        <w:spacing w:after="120" w:line="257" w:lineRule="auto"/>
        <w:jc w:val="both"/>
        <w:rPr>
          <w:noProof/>
        </w:rPr>
      </w:pPr>
      <w:r w:rsidRPr="00436E20">
        <w:rPr>
          <w:noProof/>
        </w:rPr>
        <w:t xml:space="preserve">The Commission will </w:t>
      </w:r>
      <w:r w:rsidRPr="00436E20">
        <w:rPr>
          <w:b/>
          <w:bCs/>
          <w:noProof/>
        </w:rPr>
        <w:t>revise the Standardisation Regulation</w:t>
      </w:r>
      <w:r w:rsidRPr="00436E20">
        <w:rPr>
          <w:noProof/>
        </w:rPr>
        <w:t xml:space="preserve"> to make standard-setting processes faster and more accessible, particular</w:t>
      </w:r>
      <w:r>
        <w:rPr>
          <w:noProof/>
        </w:rPr>
        <w:t>ly</w:t>
      </w:r>
      <w:r w:rsidRPr="00436E20">
        <w:rPr>
          <w:noProof/>
        </w:rPr>
        <w:t xml:space="preserve"> for SMEs and startups (Q2 2026).</w:t>
      </w:r>
    </w:p>
    <w:p w14:paraId="27393143" w14:textId="2EEFA2A5" w:rsidR="009357CC" w:rsidRDefault="009357CC" w:rsidP="00EF18D2">
      <w:pPr>
        <w:pStyle w:val="ListParagraph"/>
        <w:numPr>
          <w:ilvl w:val="0"/>
          <w:numId w:val="8"/>
        </w:numPr>
        <w:spacing w:after="120" w:line="257" w:lineRule="auto"/>
        <w:contextualSpacing w:val="0"/>
        <w:jc w:val="both"/>
        <w:rPr>
          <w:noProof/>
        </w:rPr>
      </w:pPr>
      <w:r w:rsidRPr="00436E20">
        <w:rPr>
          <w:noProof/>
        </w:rPr>
        <w:t xml:space="preserve">The Commission will </w:t>
      </w:r>
      <w:r w:rsidRPr="00436E20">
        <w:rPr>
          <w:b/>
          <w:bCs/>
          <w:noProof/>
        </w:rPr>
        <w:t>launch a study</w:t>
      </w:r>
      <w:r w:rsidRPr="00436E20">
        <w:rPr>
          <w:noProof/>
        </w:rPr>
        <w:t xml:space="preserve"> to assess the extent to which corporate restructuring is organised and regulated at EU and Member State levels creates obstacles</w:t>
      </w:r>
      <w:r>
        <w:rPr>
          <w:noProof/>
        </w:rPr>
        <w:t xml:space="preserve"> for startups, scaleups and innovative companies for </w:t>
      </w:r>
      <w:r w:rsidRPr="00436E20">
        <w:rPr>
          <w:noProof/>
        </w:rPr>
        <w:t>business adaptation and innovation in different sectors of the economy, based on firm-level data (2026).</w:t>
      </w:r>
      <w:r>
        <w:rPr>
          <w:noProof/>
        </w:rPr>
        <w:t xml:space="preserve"> </w:t>
      </w:r>
      <w:r w:rsidRPr="00DF1BFB">
        <w:rPr>
          <w:noProof/>
        </w:rPr>
        <w:t xml:space="preserve">This study will support the implementation of </w:t>
      </w:r>
      <w:r>
        <w:rPr>
          <w:noProof/>
        </w:rPr>
        <w:t>the</w:t>
      </w:r>
      <w:r w:rsidRPr="00DF1BFB">
        <w:rPr>
          <w:noProof/>
        </w:rPr>
        <w:t xml:space="preserve"> Quality Jobs Roadmap and the </w:t>
      </w:r>
      <w:r w:rsidR="008907E5">
        <w:rPr>
          <w:noProof/>
        </w:rPr>
        <w:t xml:space="preserve">Fair </w:t>
      </w:r>
      <w:r w:rsidRPr="00DF1BFB">
        <w:rPr>
          <w:noProof/>
        </w:rPr>
        <w:t>Labour Mobility package.</w:t>
      </w:r>
    </w:p>
    <w:p w14:paraId="56C63CAA" w14:textId="77777777" w:rsidR="00597796" w:rsidRDefault="00443BD3">
      <w:pPr>
        <w:spacing w:after="200" w:line="276" w:lineRule="auto"/>
        <w:rPr>
          <w:noProof/>
        </w:rPr>
      </w:pPr>
      <w:r>
        <w:rPr>
          <w:noProof/>
        </w:rPr>
        <w:br w:type="page"/>
      </w:r>
    </w:p>
    <w:p w14:paraId="4002F3C6" w14:textId="6BC1BD40" w:rsidR="000E44FF" w:rsidRPr="000E44FF" w:rsidRDefault="000E44FF" w:rsidP="000E44FF">
      <w:pPr>
        <w:pStyle w:val="ListParagraph"/>
        <w:numPr>
          <w:ilvl w:val="0"/>
          <w:numId w:val="27"/>
        </w:numPr>
        <w:spacing w:after="120" w:line="257" w:lineRule="auto"/>
        <w:jc w:val="both"/>
        <w:rPr>
          <w:b/>
          <w:bCs/>
          <w:noProof/>
          <w:lang w:val="en-IE"/>
        </w:rPr>
      </w:pPr>
      <w:r>
        <w:rPr>
          <w:b/>
          <w:bCs/>
          <w:noProof/>
          <w:u w:val="single"/>
          <w:lang w:val="en-IE"/>
        </w:rPr>
        <w:lastRenderedPageBreak/>
        <w:t>BETTER FINANCE FOR STARTUPS AND SCALEUPS</w:t>
      </w:r>
    </w:p>
    <w:p w14:paraId="0848B9C4" w14:textId="77777777" w:rsidR="000E44FF" w:rsidRDefault="000E44FF" w:rsidP="00EF18D2">
      <w:pPr>
        <w:spacing w:after="120" w:line="257" w:lineRule="auto"/>
        <w:jc w:val="both"/>
        <w:rPr>
          <w:b/>
          <w:bCs/>
          <w:noProof/>
          <w:lang w:val="en-IE"/>
        </w:rPr>
      </w:pPr>
    </w:p>
    <w:p w14:paraId="04DD4101" w14:textId="4C4EDB87" w:rsidR="009357CC" w:rsidRPr="00436E20" w:rsidRDefault="009357CC" w:rsidP="00EF18D2">
      <w:pPr>
        <w:spacing w:after="120" w:line="257" w:lineRule="auto"/>
        <w:jc w:val="both"/>
        <w:rPr>
          <w:noProof/>
        </w:rPr>
      </w:pPr>
      <w:r w:rsidRPr="00D36B91">
        <w:rPr>
          <w:b/>
          <w:bCs/>
          <w:noProof/>
          <w:lang w:val="en-IE"/>
        </w:rPr>
        <w:t>European venture capital (VC) investments have performed strongly, with returns now on par with or surpassing non-EU counterparts</w:t>
      </w:r>
      <w:r w:rsidR="002F76DE">
        <w:rPr>
          <w:b/>
          <w:bCs/>
          <w:noProof/>
          <w:lang w:val="en-IE"/>
        </w:rPr>
        <w:t>.</w:t>
      </w:r>
      <w:r w:rsidR="00A30522">
        <w:rPr>
          <w:rStyle w:val="FootnoteReference"/>
          <w:b/>
          <w:bCs/>
          <w:noProof/>
          <w:lang w:val="en-IE"/>
        </w:rPr>
        <w:footnoteReference w:id="15"/>
      </w:r>
      <w:r w:rsidRPr="002F587C">
        <w:rPr>
          <w:noProof/>
          <w:lang w:val="en-IE"/>
        </w:rPr>
        <w:t xml:space="preserve"> The EU public sector has been instrumental in boosting the VC market, with initiatives like </w:t>
      </w:r>
      <w:r w:rsidRPr="006707E9">
        <w:rPr>
          <w:noProof/>
          <w:lang w:val="en-IE"/>
        </w:rPr>
        <w:t xml:space="preserve">the </w:t>
      </w:r>
      <w:r w:rsidRPr="00D36B91">
        <w:rPr>
          <w:noProof/>
          <w:lang w:val="en-IE"/>
        </w:rPr>
        <w:t>InvestEU Fund</w:t>
      </w:r>
      <w:r w:rsidRPr="006707E9">
        <w:rPr>
          <w:noProof/>
          <w:lang w:val="en-IE"/>
        </w:rPr>
        <w:t xml:space="preserve">, which has mobilized private capital for investments in SMEs and scaleups. The </w:t>
      </w:r>
      <w:r w:rsidRPr="00D36B91">
        <w:rPr>
          <w:noProof/>
          <w:lang w:val="en-IE"/>
        </w:rPr>
        <w:t>European Innovation Council (EIC)</w:t>
      </w:r>
      <w:r w:rsidRPr="006707E9">
        <w:rPr>
          <w:noProof/>
          <w:lang w:val="en-IE"/>
        </w:rPr>
        <w:t xml:space="preserve"> has supported deep tech startups with grants and equity investments of up to </w:t>
      </w:r>
      <w:r w:rsidRPr="00D36B91">
        <w:rPr>
          <w:noProof/>
          <w:lang w:val="en-IE"/>
        </w:rPr>
        <w:t>EUR 30 million and</w:t>
      </w:r>
      <w:r w:rsidRPr="006707E9">
        <w:rPr>
          <w:noProof/>
          <w:lang w:val="en-IE"/>
        </w:rPr>
        <w:t xml:space="preserve"> the </w:t>
      </w:r>
      <w:r w:rsidRPr="00D36B91">
        <w:rPr>
          <w:noProof/>
          <w:lang w:val="en-IE"/>
        </w:rPr>
        <w:t>European Tech Champions Initiative</w:t>
      </w:r>
      <w:r w:rsidRPr="006707E9">
        <w:rPr>
          <w:noProof/>
          <w:lang w:val="en-IE"/>
        </w:rPr>
        <w:t xml:space="preserve"> has successfully</w:t>
      </w:r>
      <w:r w:rsidRPr="002F587C">
        <w:rPr>
          <w:noProof/>
          <w:lang w:val="en-IE"/>
        </w:rPr>
        <w:t xml:space="preserve"> pooled public funds to support European VC funds</w:t>
      </w:r>
      <w:r>
        <w:rPr>
          <w:noProof/>
          <w:lang w:val="en-IE"/>
        </w:rPr>
        <w:t>.</w:t>
      </w:r>
      <w:r w:rsidRPr="00D650DF" w:rsidDel="00512E0B">
        <w:rPr>
          <w:noProof/>
        </w:rPr>
        <w:t xml:space="preserve"> </w:t>
      </w:r>
      <w:r w:rsidR="001B7AA7" w:rsidRPr="00B4674E">
        <w:rPr>
          <w:noProof/>
        </w:rPr>
        <w:t>The European Investment Fund</w:t>
      </w:r>
      <w:r w:rsidR="001B7AA7">
        <w:rPr>
          <w:noProof/>
        </w:rPr>
        <w:t xml:space="preserve"> (EIF)</w:t>
      </w:r>
      <w:r w:rsidR="001B7AA7" w:rsidRPr="00B4674E">
        <w:rPr>
          <w:noProof/>
        </w:rPr>
        <w:t xml:space="preserve"> has catalysed the growth of the venture capital industry over the last 30 years, deploying up to EUR 7 billion per year in funds all across Europe. </w:t>
      </w:r>
      <w:r w:rsidRPr="00436E20" w:rsidDel="00512E0B">
        <w:rPr>
          <w:noProof/>
        </w:rPr>
        <w:t xml:space="preserve">These experiences show the benefits of combining support through financial intermediaries, as done under InvestEU, which help develop VC ecosystem as a whole, with direct equity investments carried out by the EIC Fund, which enable strategic decisions in the selection of companies to invest, in the investment partners and in the investment </w:t>
      </w:r>
      <w:r w:rsidRPr="00DF7895" w:rsidDel="00512E0B">
        <w:rPr>
          <w:noProof/>
        </w:rPr>
        <w:t>guidelines</w:t>
      </w:r>
      <w:r w:rsidR="00DF7895" w:rsidRPr="00DF7895">
        <w:rPr>
          <w:noProof/>
        </w:rPr>
        <w:t xml:space="preserve"> and with shared management funds, mainly </w:t>
      </w:r>
      <w:r w:rsidR="000C2B25">
        <w:rPr>
          <w:noProof/>
        </w:rPr>
        <w:t xml:space="preserve">the </w:t>
      </w:r>
      <w:r w:rsidR="00DF7895" w:rsidRPr="00DF7895">
        <w:rPr>
          <w:noProof/>
        </w:rPr>
        <w:t>E</w:t>
      </w:r>
      <w:r w:rsidR="00B1163E">
        <w:rPr>
          <w:noProof/>
        </w:rPr>
        <w:t>uropean Regional Development Fund</w:t>
      </w:r>
      <w:r w:rsidR="00DF7895" w:rsidRPr="00DF7895">
        <w:rPr>
          <w:noProof/>
        </w:rPr>
        <w:t>, which acts as catalyst for attracting additional private funds through grants and financial instruments</w:t>
      </w:r>
      <w:r w:rsidRPr="00DF7895" w:rsidDel="00512E0B">
        <w:rPr>
          <w:noProof/>
        </w:rPr>
        <w:t>.</w:t>
      </w:r>
      <w:r w:rsidRPr="00DF7895">
        <w:rPr>
          <w:noProof/>
        </w:rPr>
        <w:t xml:space="preserve"> Foreign VC invest</w:t>
      </w:r>
      <w:r w:rsidRPr="00436E20">
        <w:rPr>
          <w:noProof/>
        </w:rPr>
        <w:t xml:space="preserve">ments in European </w:t>
      </w:r>
      <w:r>
        <w:rPr>
          <w:noProof/>
        </w:rPr>
        <w:t>companies</w:t>
      </w:r>
      <w:r w:rsidRPr="00436E20">
        <w:rPr>
          <w:noProof/>
        </w:rPr>
        <w:t xml:space="preserve"> have been increasing since 2016</w:t>
      </w:r>
      <w:r w:rsidR="004B63B0">
        <w:rPr>
          <w:noProof/>
        </w:rPr>
        <w:t>.</w:t>
      </w:r>
      <w:r w:rsidRPr="00436E20">
        <w:rPr>
          <w:rStyle w:val="FootnoteReference"/>
          <w:rFonts w:eastAsia="Calibri"/>
          <w:noProof/>
        </w:rPr>
        <w:footnoteReference w:id="16"/>
      </w:r>
      <w:r w:rsidRPr="00436E20">
        <w:rPr>
          <w:noProof/>
        </w:rPr>
        <w:t xml:space="preserve"> </w:t>
      </w:r>
      <w:r>
        <w:rPr>
          <w:noProof/>
        </w:rPr>
        <w:t xml:space="preserve">The EU has a growing </w:t>
      </w:r>
      <w:r w:rsidRPr="004C2C0C">
        <w:rPr>
          <w:noProof/>
        </w:rPr>
        <w:t>number of business angels</w:t>
      </w:r>
      <w:r>
        <w:rPr>
          <w:noProof/>
        </w:rPr>
        <w:t>, in particular successful founders that are willing to re-invest in, and mentor, the new generation of startups.</w:t>
      </w:r>
      <w:r>
        <w:rPr>
          <w:rStyle w:val="FootnoteReference"/>
          <w:rFonts w:eastAsia="Calibri"/>
          <w:noProof/>
        </w:rPr>
        <w:footnoteReference w:id="17"/>
      </w:r>
      <w:r>
        <w:rPr>
          <w:noProof/>
        </w:rPr>
        <w:t xml:space="preserve"> </w:t>
      </w:r>
    </w:p>
    <w:p w14:paraId="371379D6" w14:textId="66B9FE46" w:rsidR="009357CC" w:rsidRDefault="009357CC" w:rsidP="00EF18D2">
      <w:pPr>
        <w:spacing w:after="120" w:line="257" w:lineRule="auto"/>
        <w:jc w:val="both"/>
        <w:rPr>
          <w:noProof/>
          <w:lang w:val="en-IE"/>
        </w:rPr>
      </w:pPr>
      <w:r w:rsidRPr="00204911">
        <w:rPr>
          <w:b/>
          <w:bCs/>
          <w:noProof/>
          <w:lang w:val="en-IE"/>
        </w:rPr>
        <w:t>Yet,</w:t>
      </w:r>
      <w:r w:rsidRPr="00D11B56">
        <w:rPr>
          <w:noProof/>
          <w:lang w:val="en-IE"/>
        </w:rPr>
        <w:t xml:space="preserve"> </w:t>
      </w:r>
      <w:r w:rsidRPr="00D36B91">
        <w:rPr>
          <w:b/>
          <w:bCs/>
          <w:noProof/>
          <w:lang w:val="en-IE"/>
        </w:rPr>
        <w:t>the EU financial system remains predominantly bank-</w:t>
      </w:r>
      <w:r w:rsidR="002D146E" w:rsidRPr="00D36B91">
        <w:rPr>
          <w:b/>
          <w:bCs/>
          <w:noProof/>
          <w:lang w:val="en-IE"/>
        </w:rPr>
        <w:t>centred</w:t>
      </w:r>
      <w:r w:rsidRPr="00D11B56">
        <w:rPr>
          <w:noProof/>
          <w:lang w:val="en-IE"/>
        </w:rPr>
        <w:t xml:space="preserve">, with bank assets </w:t>
      </w:r>
      <w:r w:rsidRPr="00A055C9">
        <w:rPr>
          <w:noProof/>
          <w:lang w:val="en-IE"/>
        </w:rPr>
        <w:t xml:space="preserve">totalling </w:t>
      </w:r>
      <w:r w:rsidRPr="00D36B91">
        <w:rPr>
          <w:noProof/>
          <w:lang w:val="en-IE"/>
        </w:rPr>
        <w:t>300% of EU GDP</w:t>
      </w:r>
      <w:r w:rsidRPr="00A055C9">
        <w:rPr>
          <w:noProof/>
          <w:lang w:val="en-IE"/>
        </w:rPr>
        <w:t xml:space="preserve">, compared to just </w:t>
      </w:r>
      <w:r w:rsidRPr="00D36B91">
        <w:rPr>
          <w:noProof/>
          <w:lang w:val="en-IE"/>
        </w:rPr>
        <w:t>85% in the US</w:t>
      </w:r>
      <w:r w:rsidRPr="00A055C9">
        <w:rPr>
          <w:noProof/>
          <w:lang w:val="en-IE"/>
        </w:rPr>
        <w:t>.</w:t>
      </w:r>
      <w:r w:rsidRPr="00420245">
        <w:rPr>
          <w:rStyle w:val="FootnoteReference"/>
          <w:rFonts w:eastAsia="Calibri"/>
          <w:noProof/>
        </w:rPr>
        <w:t xml:space="preserve"> </w:t>
      </w:r>
      <w:r w:rsidRPr="00436E20">
        <w:rPr>
          <w:rStyle w:val="FootnoteReference"/>
          <w:rFonts w:eastAsia="Calibri"/>
          <w:noProof/>
        </w:rPr>
        <w:footnoteReference w:id="18"/>
      </w:r>
      <w:r w:rsidRPr="00D11B56">
        <w:rPr>
          <w:noProof/>
          <w:lang w:val="en-IE"/>
        </w:rPr>
        <w:t xml:space="preserve"> The small size of the EU VC market is driven by a lack of equity culture, risk aversion, and the fragmentation of capital markets due to varying national rules.</w:t>
      </w:r>
      <w:r w:rsidRPr="00436E20">
        <w:rPr>
          <w:rStyle w:val="FootnoteReference"/>
          <w:rFonts w:eastAsia="Calibri"/>
          <w:noProof/>
        </w:rPr>
        <w:footnoteReference w:id="19"/>
      </w:r>
      <w:r w:rsidRPr="00D11B56">
        <w:rPr>
          <w:noProof/>
          <w:lang w:val="en-IE"/>
        </w:rPr>
        <w:t xml:space="preserve"> This regulatory fragmentation includes differing insolvency, corporate laws, tax systems, and public markets that limit opportunities to exit investments.</w:t>
      </w:r>
      <w:r w:rsidR="0084554C">
        <w:rPr>
          <w:rStyle w:val="FootnoteReference"/>
          <w:noProof/>
          <w:lang w:val="en-IE"/>
        </w:rPr>
        <w:footnoteReference w:id="20"/>
      </w:r>
      <w:r w:rsidRPr="00D11B56">
        <w:rPr>
          <w:noProof/>
          <w:lang w:val="en-IE"/>
        </w:rPr>
        <w:t xml:space="preserve"> </w:t>
      </w:r>
      <w:r>
        <w:rPr>
          <w:noProof/>
        </w:rPr>
        <w:t xml:space="preserve">There are vast geographic differences in the availability of such financing, with some Member States still facing significant issues across all fundraising </w:t>
      </w:r>
      <w:r w:rsidRPr="00857D6A">
        <w:rPr>
          <w:noProof/>
        </w:rPr>
        <w:t xml:space="preserve">stages. </w:t>
      </w:r>
      <w:r w:rsidRPr="00D36B91">
        <w:rPr>
          <w:noProof/>
        </w:rPr>
        <w:t>The level of cross-border investments remains low</w:t>
      </w:r>
      <w:r w:rsidRPr="00857D6A">
        <w:rPr>
          <w:noProof/>
        </w:rPr>
        <w:t>, which also dampens growth perspectives</w:t>
      </w:r>
      <w:r w:rsidRPr="00436E20">
        <w:rPr>
          <w:noProof/>
        </w:rPr>
        <w:t xml:space="preserve"> and may push innovative companies to seek larger markets and simpler financing outside Europe.</w:t>
      </w:r>
    </w:p>
    <w:p w14:paraId="1259FF4E" w14:textId="6E3030B4" w:rsidR="00555266" w:rsidRPr="00436E20" w:rsidRDefault="009357CC" w:rsidP="00EF18D2">
      <w:pPr>
        <w:spacing w:after="120" w:line="257" w:lineRule="auto"/>
        <w:jc w:val="both"/>
        <w:rPr>
          <w:noProof/>
        </w:rPr>
      </w:pPr>
      <w:r w:rsidRPr="00E5484F">
        <w:rPr>
          <w:b/>
          <w:bCs/>
          <w:noProof/>
        </w:rPr>
        <w:t>A clear funding gap persists</w:t>
      </w:r>
      <w:r w:rsidRPr="00D36B91">
        <w:rPr>
          <w:b/>
          <w:bCs/>
          <w:noProof/>
        </w:rPr>
        <w:t xml:space="preserve"> when it comes to the scaleup financing of high-risk, capital intensive technologies requiring investments above EUR 100 million</w:t>
      </w:r>
      <w:r>
        <w:rPr>
          <w:noProof/>
        </w:rPr>
        <w:t>.</w:t>
      </w:r>
      <w:r w:rsidR="00093C91">
        <w:rPr>
          <w:rStyle w:val="FootnoteReference"/>
          <w:noProof/>
        </w:rPr>
        <w:footnoteReference w:id="21"/>
      </w:r>
      <w:r>
        <w:rPr>
          <w:noProof/>
        </w:rPr>
        <w:t xml:space="preserve"> </w:t>
      </w:r>
      <w:r w:rsidRPr="00436E20">
        <w:rPr>
          <w:noProof/>
        </w:rPr>
        <w:t>The lack of broader accessibility of scale up or growth capital poses several risks for the EU</w:t>
      </w:r>
      <w:r>
        <w:rPr>
          <w:noProof/>
        </w:rPr>
        <w:t xml:space="preserve">, namely </w:t>
      </w:r>
      <w:r w:rsidRPr="00436E20">
        <w:rPr>
          <w:noProof/>
        </w:rPr>
        <w:t xml:space="preserve"> </w:t>
      </w:r>
      <w:r>
        <w:rPr>
          <w:noProof/>
        </w:rPr>
        <w:t>i)</w:t>
      </w:r>
      <w:r w:rsidRPr="00436E20">
        <w:rPr>
          <w:noProof/>
        </w:rPr>
        <w:t xml:space="preserve"> t</w:t>
      </w:r>
      <w:r>
        <w:rPr>
          <w:noProof/>
        </w:rPr>
        <w:t xml:space="preserve">he loss of </w:t>
      </w:r>
      <w:r w:rsidRPr="00436E20">
        <w:rPr>
          <w:noProof/>
        </w:rPr>
        <w:t xml:space="preserve">companies that Europe has nurtured in the initial growth phase, and </w:t>
      </w:r>
      <w:r>
        <w:rPr>
          <w:noProof/>
        </w:rPr>
        <w:t>ii)</w:t>
      </w:r>
      <w:r w:rsidRPr="00436E20">
        <w:rPr>
          <w:noProof/>
        </w:rPr>
        <w:t xml:space="preserve"> </w:t>
      </w:r>
      <w:r>
        <w:rPr>
          <w:noProof/>
        </w:rPr>
        <w:t xml:space="preserve">the loss of </w:t>
      </w:r>
      <w:r w:rsidRPr="00436E20">
        <w:rPr>
          <w:noProof/>
        </w:rPr>
        <w:t xml:space="preserve">critical technologies </w:t>
      </w:r>
      <w:r w:rsidDel="0096369E">
        <w:rPr>
          <w:noProof/>
        </w:rPr>
        <w:t>that</w:t>
      </w:r>
      <w:r w:rsidRPr="00436E20" w:rsidDel="0096369E">
        <w:rPr>
          <w:noProof/>
        </w:rPr>
        <w:t xml:space="preserve"> are </w:t>
      </w:r>
      <w:r w:rsidR="0096369E">
        <w:rPr>
          <w:noProof/>
        </w:rPr>
        <w:t>essential to our future prosperity</w:t>
      </w:r>
      <w:r w:rsidRPr="00436E20">
        <w:rPr>
          <w:noProof/>
        </w:rPr>
        <w:t xml:space="preserve">. A European scaleup fund with critical mass, operating at market conditions, is needed to fill this gap and </w:t>
      </w:r>
      <w:r>
        <w:rPr>
          <w:noProof/>
        </w:rPr>
        <w:t xml:space="preserve">strengthen </w:t>
      </w:r>
      <w:r w:rsidRPr="00436E20">
        <w:rPr>
          <w:noProof/>
        </w:rPr>
        <w:t>the EU’s economic security and tech sovereignty.</w:t>
      </w:r>
      <w:r>
        <w:rPr>
          <w:noProof/>
        </w:rPr>
        <w:t xml:space="preserve"> In addition, as announced in the Savings and </w:t>
      </w:r>
      <w:r>
        <w:rPr>
          <w:noProof/>
        </w:rPr>
        <w:lastRenderedPageBreak/>
        <w:t>Investment Union, the Commission will explore ways to support ETCI 2.0, a deeper and even more ambitious fund of funds structure, pooling capital from both private and public investors, that is planned to be launched by the EIF by 2026.</w:t>
      </w:r>
      <w:r w:rsidR="00555266">
        <w:rPr>
          <w:noProof/>
        </w:rPr>
        <w:t xml:space="preserve"> A close cooperation and complementarity between ETCI 2.0 and the new </w:t>
      </w:r>
      <w:r w:rsidR="00E63A98">
        <w:rPr>
          <w:noProof/>
        </w:rPr>
        <w:t>Scaleup Europe</w:t>
      </w:r>
      <w:r w:rsidR="00555266" w:rsidDel="00E63A98">
        <w:rPr>
          <w:noProof/>
        </w:rPr>
        <w:t xml:space="preserve"> </w:t>
      </w:r>
      <w:r w:rsidR="00CD1135">
        <w:rPr>
          <w:noProof/>
        </w:rPr>
        <w:t>Fund</w:t>
      </w:r>
      <w:r w:rsidR="00F36D00">
        <w:rPr>
          <w:noProof/>
        </w:rPr>
        <w:t xml:space="preserve"> </w:t>
      </w:r>
      <w:r w:rsidR="00CB19BF">
        <w:rPr>
          <w:noProof/>
        </w:rPr>
        <w:t xml:space="preserve">will be </w:t>
      </w:r>
      <w:r w:rsidR="00555266">
        <w:rPr>
          <w:noProof/>
        </w:rPr>
        <w:t xml:space="preserve">ensured to maximise impact and </w:t>
      </w:r>
      <w:r w:rsidR="00555266" w:rsidRPr="0031452B">
        <w:rPr>
          <w:noProof/>
        </w:rPr>
        <w:t>flexibility</w:t>
      </w:r>
      <w:r w:rsidR="00CB7906" w:rsidRPr="0031452B">
        <w:rPr>
          <w:noProof/>
        </w:rPr>
        <w:t xml:space="preserve">, </w:t>
      </w:r>
      <w:r w:rsidR="00CB7906" w:rsidRPr="00852453">
        <w:rPr>
          <w:noProof/>
        </w:rPr>
        <w:t xml:space="preserve">notably in view of the future </w:t>
      </w:r>
      <w:r w:rsidR="006326A3">
        <w:rPr>
          <w:noProof/>
        </w:rPr>
        <w:t xml:space="preserve">European </w:t>
      </w:r>
      <w:r w:rsidR="00CB7906" w:rsidRPr="00852453">
        <w:rPr>
          <w:noProof/>
        </w:rPr>
        <w:t>Competitiveness Fund</w:t>
      </w:r>
      <w:r w:rsidR="000C0565" w:rsidRPr="0031452B">
        <w:rPr>
          <w:noProof/>
        </w:rPr>
        <w:t>.</w:t>
      </w:r>
    </w:p>
    <w:p w14:paraId="0B432250" w14:textId="49C95D87" w:rsidR="009357CC" w:rsidRDefault="009357CC" w:rsidP="00EF18D2">
      <w:pPr>
        <w:spacing w:after="120" w:line="257" w:lineRule="auto"/>
        <w:jc w:val="both"/>
        <w:rPr>
          <w:noProof/>
        </w:rPr>
      </w:pPr>
      <w:r w:rsidRPr="003B0935">
        <w:rPr>
          <w:b/>
          <w:bCs/>
          <w:noProof/>
        </w:rPr>
        <w:t>The demand for deep tech startup financing also remains high.</w:t>
      </w:r>
      <w:r w:rsidRPr="003B0935">
        <w:rPr>
          <w:noProof/>
        </w:rPr>
        <w:t xml:space="preserve"> Despite the EIC Fund becoming one of Europe’s main deep tech investors in only four years, the demand from excellent deep tech companies for EIC support cannot currently be met.</w:t>
      </w:r>
      <w:r w:rsidR="00CC51C2">
        <w:rPr>
          <w:rStyle w:val="FootnoteReference"/>
          <w:noProof/>
        </w:rPr>
        <w:footnoteReference w:id="22"/>
      </w:r>
      <w:r w:rsidR="007676CE">
        <w:rPr>
          <w:noProof/>
          <w:vertAlign w:val="superscript"/>
        </w:rPr>
        <w:t xml:space="preserve"> </w:t>
      </w:r>
      <w:r w:rsidRPr="003B0935">
        <w:rPr>
          <w:noProof/>
        </w:rPr>
        <w:t>At the same time, the</w:t>
      </w:r>
      <w:r w:rsidRPr="00436E20">
        <w:rPr>
          <w:noProof/>
        </w:rPr>
        <w:t xml:space="preserve"> EIC needs to simplify and accelerate its processes to better respond to its applicants</w:t>
      </w:r>
      <w:r>
        <w:rPr>
          <w:noProof/>
        </w:rPr>
        <w:t>’</w:t>
      </w:r>
      <w:r w:rsidRPr="00436E20">
        <w:rPr>
          <w:noProof/>
        </w:rPr>
        <w:t xml:space="preserve"> and potential investees</w:t>
      </w:r>
      <w:r>
        <w:rPr>
          <w:noProof/>
        </w:rPr>
        <w:t>’ needs</w:t>
      </w:r>
      <w:r w:rsidRPr="00436E20">
        <w:rPr>
          <w:noProof/>
        </w:rPr>
        <w:t>. Furthermore, the EIC will take inspiration from ARPA-type practices and will work closely with its trusted investors, corporate partners and the most successful European innovators to identify emerging technological trends and disruptive technologies that are key to European competitiveness and strategic autonomy.</w:t>
      </w:r>
      <w:r w:rsidR="00AF4AF4">
        <w:rPr>
          <w:rStyle w:val="FootnoteReference"/>
          <w:noProof/>
        </w:rPr>
        <w:footnoteReference w:id="23"/>
      </w:r>
      <w:r w:rsidRPr="00436E20">
        <w:rPr>
          <w:noProof/>
        </w:rPr>
        <w:t xml:space="preserve"> </w:t>
      </w:r>
    </w:p>
    <w:p w14:paraId="11F23C59" w14:textId="73790315" w:rsidR="00530360" w:rsidRDefault="00B32516" w:rsidP="00EF18D2">
      <w:pPr>
        <w:spacing w:after="120" w:line="257" w:lineRule="auto"/>
        <w:jc w:val="both"/>
        <w:rPr>
          <w:noProof/>
        </w:rPr>
      </w:pPr>
      <w:r>
        <w:rPr>
          <w:b/>
          <w:bCs/>
          <w:noProof/>
        </w:rPr>
        <w:t>In particular, w</w:t>
      </w:r>
      <w:r w:rsidRPr="004A103B">
        <w:rPr>
          <w:b/>
          <w:bCs/>
          <w:noProof/>
        </w:rPr>
        <w:t xml:space="preserve">omen </w:t>
      </w:r>
      <w:r>
        <w:rPr>
          <w:b/>
          <w:bCs/>
          <w:noProof/>
        </w:rPr>
        <w:t xml:space="preserve">entrepreneurs and investors </w:t>
      </w:r>
      <w:r w:rsidRPr="004A103B">
        <w:rPr>
          <w:b/>
          <w:bCs/>
          <w:noProof/>
        </w:rPr>
        <w:t xml:space="preserve">continue to face significant barriers in accessing funding. </w:t>
      </w:r>
      <w:r w:rsidRPr="008C7DEA">
        <w:rPr>
          <w:noProof/>
        </w:rPr>
        <w:t>For instance, capital investment in tech startups is still dominated by all-men founding teams</w:t>
      </w:r>
      <w:r w:rsidRPr="00994DC7">
        <w:rPr>
          <w:noProof/>
        </w:rPr>
        <w:t xml:space="preserve">, </w:t>
      </w:r>
      <w:r>
        <w:rPr>
          <w:noProof/>
        </w:rPr>
        <w:t>with mixed</w:t>
      </w:r>
      <w:r w:rsidRPr="00FE19A2">
        <w:rPr>
          <w:noProof/>
        </w:rPr>
        <w:t xml:space="preserve"> gender founding teams receiv</w:t>
      </w:r>
      <w:r>
        <w:rPr>
          <w:noProof/>
        </w:rPr>
        <w:t>ing</w:t>
      </w:r>
      <w:r w:rsidRPr="00FE19A2">
        <w:rPr>
          <w:noProof/>
        </w:rPr>
        <w:t xml:space="preserve"> 15 % of the funding, while all-women teams receive only 3%.</w:t>
      </w:r>
      <w:r w:rsidRPr="00FE19A2">
        <w:rPr>
          <w:noProof/>
          <w:vertAlign w:val="superscript"/>
        </w:rPr>
        <w:footnoteReference w:id="24"/>
      </w:r>
      <w:r>
        <w:rPr>
          <w:noProof/>
        </w:rPr>
        <w:t xml:space="preserve"> S</w:t>
      </w:r>
      <w:r w:rsidRPr="004A103B">
        <w:rPr>
          <w:noProof/>
        </w:rPr>
        <w:t>trengthening women</w:t>
      </w:r>
      <w:r>
        <w:rPr>
          <w:noProof/>
        </w:rPr>
        <w:t>’</w:t>
      </w:r>
      <w:r w:rsidRPr="004A103B">
        <w:rPr>
          <w:noProof/>
        </w:rPr>
        <w:t>s access to funding, increasing their representation in decision-making roles in finance, and fostering female-led investment networks are critical to closing this persistent gender gap</w:t>
      </w:r>
      <w:r w:rsidR="0005761B">
        <w:rPr>
          <w:noProof/>
        </w:rPr>
        <w:t>.</w:t>
      </w:r>
      <w:r>
        <w:rPr>
          <w:noProof/>
        </w:rPr>
        <w:t xml:space="preserve"> The Social Economy Action Plan and its forthcoming revision (2026) will also seek to enhance support for social innovation. </w:t>
      </w:r>
    </w:p>
    <w:p w14:paraId="29880DEA" w14:textId="021C2526" w:rsidR="009357CC" w:rsidRPr="00436E20" w:rsidRDefault="009357CC" w:rsidP="00EF18D2">
      <w:pPr>
        <w:spacing w:after="120" w:line="257" w:lineRule="auto"/>
        <w:jc w:val="both"/>
        <w:rPr>
          <w:noProof/>
        </w:rPr>
      </w:pPr>
      <w:r w:rsidRPr="00436E20">
        <w:rPr>
          <w:b/>
          <w:bCs/>
          <w:noProof/>
        </w:rPr>
        <w:t>Today, European institutional investors,</w:t>
      </w:r>
      <w:r w:rsidRPr="00436E20">
        <w:rPr>
          <w:b/>
          <w:noProof/>
        </w:rPr>
        <w:t xml:space="preserve"> including pension and insurance funds,</w:t>
      </w:r>
      <w:r w:rsidRPr="00436E20">
        <w:rPr>
          <w:b/>
          <w:bCs/>
          <w:noProof/>
        </w:rPr>
        <w:t xml:space="preserve"> play only a limited role in the European VC market</w:t>
      </w:r>
      <w:r w:rsidRPr="00436E20">
        <w:rPr>
          <w:noProof/>
        </w:rPr>
        <w:t>. Between 2013 and 2023, pension funds accounted for only 7% of VC funding in the EU.</w:t>
      </w:r>
      <w:r w:rsidR="00F17AC3">
        <w:rPr>
          <w:rStyle w:val="FootnoteReference"/>
          <w:noProof/>
        </w:rPr>
        <w:footnoteReference w:id="25"/>
      </w:r>
      <w:r w:rsidRPr="00436E20">
        <w:rPr>
          <w:noProof/>
        </w:rPr>
        <w:t xml:space="preserve"> However, some </w:t>
      </w:r>
      <w:r>
        <w:rPr>
          <w:noProof/>
        </w:rPr>
        <w:t xml:space="preserve">EU </w:t>
      </w:r>
      <w:r w:rsidRPr="00436E20">
        <w:rPr>
          <w:noProof/>
        </w:rPr>
        <w:t>Member States</w:t>
      </w:r>
      <w:r>
        <w:rPr>
          <w:noProof/>
        </w:rPr>
        <w:t xml:space="preserve"> have already started taking </w:t>
      </w:r>
      <w:r w:rsidRPr="00436E20">
        <w:rPr>
          <w:noProof/>
        </w:rPr>
        <w:t xml:space="preserve">initiatives </w:t>
      </w:r>
      <w:r>
        <w:rPr>
          <w:noProof/>
        </w:rPr>
        <w:t xml:space="preserve">to </w:t>
      </w:r>
      <w:r w:rsidRPr="00436E20">
        <w:rPr>
          <w:noProof/>
        </w:rPr>
        <w:t>mobilis</w:t>
      </w:r>
      <w:r>
        <w:rPr>
          <w:noProof/>
        </w:rPr>
        <w:t>e</w:t>
      </w:r>
      <w:r w:rsidRPr="00436E20">
        <w:rPr>
          <w:noProof/>
        </w:rPr>
        <w:t xml:space="preserve"> institutional investors to </w:t>
      </w:r>
      <w:r>
        <w:rPr>
          <w:noProof/>
        </w:rPr>
        <w:t>participate</w:t>
      </w:r>
      <w:r w:rsidRPr="00436E20">
        <w:rPr>
          <w:noProof/>
        </w:rPr>
        <w:t xml:space="preserve"> in VC investments.</w:t>
      </w:r>
      <w:r w:rsidR="007676CE">
        <w:rPr>
          <w:rStyle w:val="FootnoteReference"/>
          <w:noProof/>
        </w:rPr>
        <w:footnoteReference w:id="26"/>
      </w:r>
    </w:p>
    <w:p w14:paraId="638A877C" w14:textId="4D15F2DD" w:rsidR="009357CC" w:rsidRPr="00436E20" w:rsidRDefault="009357CC" w:rsidP="00EF18D2">
      <w:pPr>
        <w:spacing w:after="120" w:line="257" w:lineRule="auto"/>
        <w:jc w:val="both"/>
        <w:rPr>
          <w:noProof/>
        </w:rPr>
      </w:pPr>
      <w:r w:rsidRPr="00436E20">
        <w:rPr>
          <w:b/>
          <w:bCs/>
          <w:noProof/>
        </w:rPr>
        <w:t>Many startups struggle to use their intangible assets, such as intellectual property (IP), as collateral or security to raise funding</w:t>
      </w:r>
      <w:r w:rsidRPr="00436E20">
        <w:rPr>
          <w:noProof/>
        </w:rPr>
        <w:t xml:space="preserve">, due to </w:t>
      </w:r>
      <w:r>
        <w:rPr>
          <w:noProof/>
        </w:rPr>
        <w:t xml:space="preserve">i) </w:t>
      </w:r>
      <w:r w:rsidRPr="00436E20">
        <w:rPr>
          <w:noProof/>
        </w:rPr>
        <w:t xml:space="preserve">restrictive banking </w:t>
      </w:r>
      <w:r w:rsidR="00EE1060">
        <w:rPr>
          <w:noProof/>
        </w:rPr>
        <w:t>practice</w:t>
      </w:r>
      <w:r w:rsidR="00A00B79">
        <w:rPr>
          <w:noProof/>
        </w:rPr>
        <w:t>s</w:t>
      </w:r>
      <w:r w:rsidRPr="00436E20">
        <w:rPr>
          <w:noProof/>
        </w:rPr>
        <w:t xml:space="preserve">, </w:t>
      </w:r>
      <w:r>
        <w:rPr>
          <w:noProof/>
        </w:rPr>
        <w:t xml:space="preserve">ii) an </w:t>
      </w:r>
      <w:r w:rsidRPr="00436E20">
        <w:rPr>
          <w:noProof/>
        </w:rPr>
        <w:t xml:space="preserve">underdeveloped IP valuation ecosystem, </w:t>
      </w:r>
      <w:r>
        <w:rPr>
          <w:noProof/>
        </w:rPr>
        <w:t xml:space="preserve">iii) </w:t>
      </w:r>
      <w:r w:rsidRPr="00436E20">
        <w:rPr>
          <w:noProof/>
        </w:rPr>
        <w:t xml:space="preserve">lack of trust in IP valuation methods, </w:t>
      </w:r>
      <w:r>
        <w:rPr>
          <w:noProof/>
        </w:rPr>
        <w:t xml:space="preserve">iv) </w:t>
      </w:r>
      <w:r w:rsidRPr="00436E20">
        <w:rPr>
          <w:noProof/>
        </w:rPr>
        <w:t xml:space="preserve">low awareness of internationally recognised IP valuation methods and, more generally, </w:t>
      </w:r>
      <w:r>
        <w:rPr>
          <w:noProof/>
        </w:rPr>
        <w:t xml:space="preserve">v) </w:t>
      </w:r>
      <w:r w:rsidRPr="00436E20">
        <w:rPr>
          <w:noProof/>
        </w:rPr>
        <w:t xml:space="preserve">limited market recognition of IP-backed financing. There is a lack of incentives in the EU to </w:t>
      </w:r>
      <w:r>
        <w:rPr>
          <w:noProof/>
        </w:rPr>
        <w:t xml:space="preserve">encourage </w:t>
      </w:r>
      <w:r w:rsidRPr="00436E20">
        <w:rPr>
          <w:noProof/>
        </w:rPr>
        <w:t xml:space="preserve">banks and institutional investors to engage in IP-backed financing. </w:t>
      </w:r>
    </w:p>
    <w:p w14:paraId="547C8E74" w14:textId="77777777" w:rsidR="009357CC" w:rsidRPr="00436E20" w:rsidRDefault="009357CC" w:rsidP="00EF18D2">
      <w:pPr>
        <w:spacing w:after="120" w:line="257" w:lineRule="auto"/>
        <w:jc w:val="both"/>
        <w:rPr>
          <w:noProof/>
        </w:rPr>
      </w:pPr>
      <w:r w:rsidRPr="00D36B91">
        <w:rPr>
          <w:b/>
          <w:bCs/>
          <w:noProof/>
        </w:rPr>
        <w:t xml:space="preserve">The </w:t>
      </w:r>
      <w:r w:rsidRPr="6C0BFF23">
        <w:rPr>
          <w:b/>
          <w:bCs/>
          <w:noProof/>
        </w:rPr>
        <w:t xml:space="preserve">potential </w:t>
      </w:r>
      <w:r>
        <w:rPr>
          <w:b/>
          <w:bCs/>
          <w:noProof/>
        </w:rPr>
        <w:t xml:space="preserve">of European </w:t>
      </w:r>
      <w:r w:rsidRPr="6C0BFF23">
        <w:rPr>
          <w:b/>
          <w:bCs/>
          <w:noProof/>
        </w:rPr>
        <w:t>business angel</w:t>
      </w:r>
      <w:r>
        <w:rPr>
          <w:b/>
          <w:bCs/>
          <w:noProof/>
        </w:rPr>
        <w:t xml:space="preserve">s </w:t>
      </w:r>
      <w:r w:rsidRPr="6C0BFF23">
        <w:rPr>
          <w:b/>
          <w:bCs/>
          <w:noProof/>
        </w:rPr>
        <w:t xml:space="preserve">is still limited </w:t>
      </w:r>
      <w:r>
        <w:rPr>
          <w:noProof/>
        </w:rPr>
        <w:t xml:space="preserve">by obstacles to cross-border investment and business practices that lock in business angel investment over a long period. </w:t>
      </w:r>
    </w:p>
    <w:p w14:paraId="3E129106" w14:textId="7771AB77" w:rsidR="00347AE6" w:rsidRPr="00436E20" w:rsidDel="00847705" w:rsidRDefault="00347AE6" w:rsidP="00EF18D2">
      <w:pPr>
        <w:spacing w:after="120" w:line="257" w:lineRule="auto"/>
        <w:jc w:val="both"/>
        <w:rPr>
          <w:noProof/>
        </w:rPr>
      </w:pPr>
      <w:r w:rsidRPr="00852453">
        <w:rPr>
          <w:noProof/>
        </w:rPr>
        <w:lastRenderedPageBreak/>
        <w:t>EU legislation</w:t>
      </w:r>
      <w:r w:rsidR="0018732D" w:rsidRPr="00852453">
        <w:rPr>
          <w:noProof/>
        </w:rPr>
        <w:t xml:space="preserve"> such as </w:t>
      </w:r>
      <w:r w:rsidR="0018732D">
        <w:rPr>
          <w:b/>
          <w:bCs/>
          <w:noProof/>
        </w:rPr>
        <w:t>Foreign Direct Investment (FDI) screening and State Aid rules</w:t>
      </w:r>
      <w:r w:rsidR="00D22F3B">
        <w:rPr>
          <w:b/>
          <w:bCs/>
          <w:noProof/>
        </w:rPr>
        <w:t xml:space="preserve"> </w:t>
      </w:r>
      <w:r w:rsidR="00DE6E1B" w:rsidRPr="00852453">
        <w:rPr>
          <w:noProof/>
        </w:rPr>
        <w:t>is</w:t>
      </w:r>
      <w:r w:rsidR="00D22F3B" w:rsidRPr="00852453">
        <w:rPr>
          <w:noProof/>
        </w:rPr>
        <w:t xml:space="preserve"> essential for ensuring </w:t>
      </w:r>
      <w:r w:rsidR="00AE4F9C" w:rsidRPr="00852453">
        <w:rPr>
          <w:noProof/>
        </w:rPr>
        <w:t xml:space="preserve">the </w:t>
      </w:r>
      <w:r w:rsidR="00D22F3B" w:rsidRPr="00852453">
        <w:rPr>
          <w:noProof/>
        </w:rPr>
        <w:t>security</w:t>
      </w:r>
      <w:r w:rsidR="00762638" w:rsidRPr="00852453">
        <w:rPr>
          <w:noProof/>
        </w:rPr>
        <w:t xml:space="preserve">, </w:t>
      </w:r>
      <w:r w:rsidR="00D22F3B" w:rsidRPr="00852453">
        <w:rPr>
          <w:noProof/>
        </w:rPr>
        <w:t>st</w:t>
      </w:r>
      <w:r w:rsidR="001B3194" w:rsidRPr="00915C7F">
        <w:rPr>
          <w:noProof/>
        </w:rPr>
        <w:t>r</w:t>
      </w:r>
      <w:r w:rsidR="00D22F3B" w:rsidRPr="00852453">
        <w:rPr>
          <w:noProof/>
        </w:rPr>
        <w:t>ategic interests</w:t>
      </w:r>
      <w:r w:rsidR="00762638" w:rsidRPr="00852453">
        <w:rPr>
          <w:noProof/>
        </w:rPr>
        <w:t xml:space="preserve"> </w:t>
      </w:r>
      <w:r w:rsidR="002319DA" w:rsidRPr="00852453">
        <w:rPr>
          <w:noProof/>
        </w:rPr>
        <w:t>and</w:t>
      </w:r>
      <w:r w:rsidR="00762638" w:rsidRPr="00852453">
        <w:rPr>
          <w:noProof/>
        </w:rPr>
        <w:t xml:space="preserve"> fairness </w:t>
      </w:r>
      <w:r w:rsidR="003E01FB" w:rsidRPr="00852453">
        <w:rPr>
          <w:noProof/>
        </w:rPr>
        <w:t>of</w:t>
      </w:r>
      <w:r w:rsidR="00762638" w:rsidRPr="00852453">
        <w:rPr>
          <w:noProof/>
        </w:rPr>
        <w:t xml:space="preserve"> the </w:t>
      </w:r>
      <w:r w:rsidR="003E01FB" w:rsidRPr="00852453">
        <w:rPr>
          <w:noProof/>
        </w:rPr>
        <w:t>EU</w:t>
      </w:r>
      <w:r w:rsidR="00762638" w:rsidRPr="00852453">
        <w:rPr>
          <w:noProof/>
        </w:rPr>
        <w:t xml:space="preserve"> single market</w:t>
      </w:r>
      <w:r w:rsidR="00CC41F1" w:rsidRPr="00915C7F">
        <w:rPr>
          <w:noProof/>
        </w:rPr>
        <w:t xml:space="preserve">. </w:t>
      </w:r>
      <w:r w:rsidR="00CC41F1" w:rsidRPr="00852453">
        <w:rPr>
          <w:noProof/>
        </w:rPr>
        <w:t>This also applies to FDI in startups and scaleups, where issues of IP ownership and local added value are crucial. However, their implementation</w:t>
      </w:r>
      <w:r w:rsidRPr="00852453">
        <w:rPr>
          <w:noProof/>
        </w:rPr>
        <w:t xml:space="preserve"> </w:t>
      </w:r>
      <w:r w:rsidR="004E7856" w:rsidRPr="00852453">
        <w:rPr>
          <w:noProof/>
        </w:rPr>
        <w:t xml:space="preserve">can </w:t>
      </w:r>
      <w:r w:rsidR="00D22F3B" w:rsidRPr="00852453">
        <w:rPr>
          <w:noProof/>
        </w:rPr>
        <w:t xml:space="preserve">at times </w:t>
      </w:r>
      <w:r w:rsidR="004E7856" w:rsidRPr="00852453">
        <w:rPr>
          <w:noProof/>
        </w:rPr>
        <w:t>be</w:t>
      </w:r>
      <w:r w:rsidRPr="00852453">
        <w:rPr>
          <w:noProof/>
        </w:rPr>
        <w:t xml:space="preserve"> perceived as too burdensome</w:t>
      </w:r>
      <w:r w:rsidR="00D22F3B" w:rsidRPr="00852453">
        <w:rPr>
          <w:noProof/>
        </w:rPr>
        <w:t xml:space="preserve"> and </w:t>
      </w:r>
      <w:r w:rsidR="00B26C4F" w:rsidRPr="00852453">
        <w:rPr>
          <w:noProof/>
        </w:rPr>
        <w:t>stifl</w:t>
      </w:r>
      <w:r w:rsidR="00526203" w:rsidRPr="00852453">
        <w:rPr>
          <w:noProof/>
        </w:rPr>
        <w:t>ing</w:t>
      </w:r>
      <w:r w:rsidRPr="00852453">
        <w:rPr>
          <w:noProof/>
        </w:rPr>
        <w:t xml:space="preserve"> by startup</w:t>
      </w:r>
      <w:r w:rsidR="00D3226F" w:rsidRPr="00852453">
        <w:rPr>
          <w:noProof/>
        </w:rPr>
        <w:t>s</w:t>
      </w:r>
      <w:r w:rsidR="00D22F3B" w:rsidRPr="00852453">
        <w:rPr>
          <w:noProof/>
        </w:rPr>
        <w:t xml:space="preserve">. Therefore, it is important that these </w:t>
      </w:r>
      <w:r w:rsidR="00CC41BE" w:rsidRPr="00852453">
        <w:rPr>
          <w:noProof/>
        </w:rPr>
        <w:t>instruments remain targeted to their objectives</w:t>
      </w:r>
      <w:r w:rsidRPr="00852453">
        <w:rPr>
          <w:noProof/>
        </w:rPr>
        <w:t>.</w:t>
      </w:r>
      <w:r w:rsidRPr="00347AE6">
        <w:rPr>
          <w:noProof/>
        </w:rPr>
        <w:t xml:space="preserve"> </w:t>
      </w:r>
      <w:r w:rsidR="002D2736">
        <w:rPr>
          <w:noProof/>
        </w:rPr>
        <w:t xml:space="preserve">In this spirit, </w:t>
      </w:r>
      <w:r w:rsidR="000C2F48">
        <w:rPr>
          <w:noProof/>
        </w:rPr>
        <w:t>t</w:t>
      </w:r>
      <w:r w:rsidRPr="00347AE6">
        <w:rPr>
          <w:noProof/>
        </w:rPr>
        <w:t>he ongoing revision of the FDI Screening Regulation aims to harmonise</w:t>
      </w:r>
      <w:r w:rsidR="00E71096">
        <w:rPr>
          <w:noProof/>
        </w:rPr>
        <w:t xml:space="preserve"> screening</w:t>
      </w:r>
      <w:r w:rsidRPr="00347AE6">
        <w:rPr>
          <w:noProof/>
        </w:rPr>
        <w:t xml:space="preserve"> processes</w:t>
      </w:r>
      <w:r w:rsidR="009C6BED">
        <w:rPr>
          <w:noProof/>
        </w:rPr>
        <w:t xml:space="preserve"> across Member States</w:t>
      </w:r>
      <w:r w:rsidRPr="00347AE6">
        <w:rPr>
          <w:noProof/>
        </w:rPr>
        <w:t xml:space="preserve"> and improve EU-wide cooperation. </w:t>
      </w:r>
      <w:r w:rsidR="008F49E6">
        <w:rPr>
          <w:noProof/>
        </w:rPr>
        <w:t>T</w:t>
      </w:r>
      <w:r w:rsidRPr="00347AE6">
        <w:rPr>
          <w:noProof/>
        </w:rPr>
        <w:t xml:space="preserve">he Commission will work with Member States to ensure that </w:t>
      </w:r>
      <w:r w:rsidR="0018732D">
        <w:rPr>
          <w:noProof/>
        </w:rPr>
        <w:t>FDI</w:t>
      </w:r>
      <w:r w:rsidR="004D175F" w:rsidRPr="00347AE6">
        <w:rPr>
          <w:noProof/>
        </w:rPr>
        <w:t xml:space="preserve"> </w:t>
      </w:r>
      <w:r w:rsidRPr="00347AE6">
        <w:rPr>
          <w:noProof/>
        </w:rPr>
        <w:t xml:space="preserve">screening procedures are </w:t>
      </w:r>
      <w:r w:rsidR="00215E6F">
        <w:rPr>
          <w:noProof/>
        </w:rPr>
        <w:t xml:space="preserve">effective, </w:t>
      </w:r>
      <w:r w:rsidRPr="00347AE6">
        <w:rPr>
          <w:noProof/>
        </w:rPr>
        <w:t xml:space="preserve">proportionate, predictable, and do not deter legitimate investments. State Aid rules already offer some flexibility for startups, allowing exemptions from general restrictions on aid to companies </w:t>
      </w:r>
      <w:r w:rsidR="00126B13">
        <w:rPr>
          <w:noProof/>
        </w:rPr>
        <w:t>‘</w:t>
      </w:r>
      <w:r w:rsidRPr="00347AE6">
        <w:rPr>
          <w:noProof/>
        </w:rPr>
        <w:t>in difficulty</w:t>
      </w:r>
      <w:r w:rsidR="00126B13">
        <w:rPr>
          <w:noProof/>
        </w:rPr>
        <w:t>’.</w:t>
      </w:r>
      <w:r w:rsidRPr="00347AE6">
        <w:rPr>
          <w:noProof/>
        </w:rPr>
        <w:t xml:space="preserve"> However, as current definitions rely on static financial indicators, the Commission will assess how to better tailor these rules to</w:t>
      </w:r>
      <w:r w:rsidR="00B17433">
        <w:rPr>
          <w:noProof/>
        </w:rPr>
        <w:t xml:space="preserve"> provide</w:t>
      </w:r>
      <w:r w:rsidRPr="00347AE6">
        <w:rPr>
          <w:noProof/>
        </w:rPr>
        <w:t xml:space="preserve"> support for startups</w:t>
      </w:r>
      <w:r w:rsidR="00D6504D">
        <w:rPr>
          <w:noProof/>
        </w:rPr>
        <w:t xml:space="preserve"> to </w:t>
      </w:r>
      <w:r w:rsidR="00C8300F">
        <w:rPr>
          <w:noProof/>
        </w:rPr>
        <w:t>grow</w:t>
      </w:r>
      <w:r w:rsidRPr="00347AE6">
        <w:rPr>
          <w:noProof/>
        </w:rPr>
        <w:t>.</w:t>
      </w:r>
    </w:p>
    <w:p w14:paraId="4DB09538" w14:textId="77777777" w:rsidR="007A7F82" w:rsidRDefault="009137EE" w:rsidP="00EF18D2">
      <w:pPr>
        <w:spacing w:after="120" w:line="257" w:lineRule="auto"/>
        <w:jc w:val="both"/>
        <w:rPr>
          <w:noProof/>
        </w:rPr>
      </w:pPr>
      <w:r w:rsidRPr="00CA1AEC">
        <w:rPr>
          <w:b/>
          <w:bCs/>
          <w:noProof/>
        </w:rPr>
        <w:t>The l</w:t>
      </w:r>
      <w:r w:rsidR="005C13BE">
        <w:rPr>
          <w:b/>
          <w:bCs/>
          <w:noProof/>
        </w:rPr>
        <w:t>imited availability</w:t>
      </w:r>
      <w:r w:rsidRPr="00CA1AEC">
        <w:rPr>
          <w:b/>
          <w:bCs/>
          <w:noProof/>
        </w:rPr>
        <w:t xml:space="preserve"> of suitable exit options is a major barrier to the growth of venture and growth capital in the EU</w:t>
      </w:r>
      <w:r w:rsidRPr="009137EE">
        <w:rPr>
          <w:noProof/>
        </w:rPr>
        <w:t xml:space="preserve">. While IPO volumes in Europe have grown significantly—reaching over EUR 320 billion in the past decade—exits remain concentrated in a few countries, and the EU stock market is only 55% the size of </w:t>
      </w:r>
      <w:r w:rsidR="00632C00">
        <w:rPr>
          <w:noProof/>
        </w:rPr>
        <w:t>EU</w:t>
      </w:r>
      <w:r w:rsidRPr="009137EE">
        <w:rPr>
          <w:noProof/>
        </w:rPr>
        <w:t xml:space="preserve"> GDP compared to 147% in the US. The EU accounts for just 11% of global IPOs. </w:t>
      </w:r>
    </w:p>
    <w:p w14:paraId="520ABD88" w14:textId="0359733A" w:rsidR="006D3562" w:rsidRPr="00436E20" w:rsidRDefault="006D3562" w:rsidP="00EF18D2">
      <w:pPr>
        <w:spacing w:after="120" w:line="257" w:lineRule="auto"/>
        <w:jc w:val="both"/>
        <w:rPr>
          <w:noProof/>
        </w:rPr>
      </w:pPr>
      <w:r w:rsidRPr="00F2067E">
        <w:rPr>
          <w:noProof/>
        </w:rPr>
        <w:t xml:space="preserve">To address key challenges in the functioning of EU capital markets, the Commission is implementing the </w:t>
      </w:r>
      <w:r w:rsidRPr="007644E7">
        <w:rPr>
          <w:b/>
          <w:bCs/>
          <w:noProof/>
        </w:rPr>
        <w:t>Savings and Investment Union</w:t>
      </w:r>
      <w:r w:rsidR="00AC1525">
        <w:rPr>
          <w:b/>
          <w:bCs/>
          <w:noProof/>
        </w:rPr>
        <w:t xml:space="preserve"> (SIU)</w:t>
      </w:r>
      <w:r w:rsidRPr="00F2067E">
        <w:rPr>
          <w:noProof/>
        </w:rPr>
        <w:t xml:space="preserve"> strategy</w:t>
      </w:r>
      <w:r w:rsidR="007E720B">
        <w:rPr>
          <w:noProof/>
        </w:rPr>
        <w:t>.</w:t>
      </w:r>
      <w:r w:rsidR="007E720B" w:rsidRPr="007E720B">
        <w:rPr>
          <w:rStyle w:val="FootnoteReference"/>
          <w:noProof/>
        </w:rPr>
        <w:footnoteReference w:id="27"/>
      </w:r>
      <w:r w:rsidR="00D201AB">
        <w:rPr>
          <w:noProof/>
        </w:rPr>
        <w:t xml:space="preserve"> The SIU will reduce market fragmentation, create better investment opportunities for citizens</w:t>
      </w:r>
      <w:r w:rsidR="00D201AB" w:rsidRPr="00F2067E">
        <w:rPr>
          <w:noProof/>
        </w:rPr>
        <w:t xml:space="preserve"> </w:t>
      </w:r>
      <w:r w:rsidR="00D201AB">
        <w:rPr>
          <w:noProof/>
        </w:rPr>
        <w:t>and help</w:t>
      </w:r>
      <w:r w:rsidRPr="00F2067E">
        <w:rPr>
          <w:noProof/>
        </w:rPr>
        <w:t xml:space="preserve"> to expand funding</w:t>
      </w:r>
      <w:r w:rsidR="00D201AB">
        <w:rPr>
          <w:noProof/>
        </w:rPr>
        <w:t xml:space="preserve"> options</w:t>
      </w:r>
      <w:r w:rsidRPr="00F2067E">
        <w:rPr>
          <w:noProof/>
        </w:rPr>
        <w:t xml:space="preserve"> for businesses</w:t>
      </w:r>
      <w:r w:rsidR="00D201AB">
        <w:rPr>
          <w:noProof/>
        </w:rPr>
        <w:t>. In particular it will seek to</w:t>
      </w:r>
      <w:r w:rsidRPr="00F2067E">
        <w:rPr>
          <w:noProof/>
        </w:rPr>
        <w:t xml:space="preserve"> improve access to equity and debt financing for startups and scaleups, strengthen the role of venture capital and institutional investors</w:t>
      </w:r>
      <w:r w:rsidR="002126C9">
        <w:rPr>
          <w:noProof/>
        </w:rPr>
        <w:t xml:space="preserve"> </w:t>
      </w:r>
      <w:r w:rsidRPr="00F2067E">
        <w:rPr>
          <w:noProof/>
        </w:rPr>
        <w:t xml:space="preserve">and better align EU public funding instruments with </w:t>
      </w:r>
      <w:r w:rsidR="00D201AB">
        <w:rPr>
          <w:noProof/>
        </w:rPr>
        <w:t>SIU objectives</w:t>
      </w:r>
      <w:r w:rsidRPr="00F2067E">
        <w:rPr>
          <w:noProof/>
        </w:rPr>
        <w:t>.</w:t>
      </w:r>
    </w:p>
    <w:p w14:paraId="5EADCABF" w14:textId="19A62435" w:rsidR="009137EE" w:rsidRPr="00436E20" w:rsidRDefault="008E357D" w:rsidP="00EF18D2">
      <w:pPr>
        <w:spacing w:after="120" w:line="257" w:lineRule="auto"/>
        <w:jc w:val="both"/>
        <w:rPr>
          <w:noProof/>
        </w:rPr>
      </w:pPr>
      <w:r>
        <w:rPr>
          <w:noProof/>
        </w:rPr>
        <w:t>Finally,</w:t>
      </w:r>
      <w:r w:rsidR="009137EE" w:rsidRPr="009137EE">
        <w:rPr>
          <w:noProof/>
        </w:rPr>
        <w:t xml:space="preserve"> </w:t>
      </w:r>
      <w:r w:rsidR="009137EE" w:rsidRPr="00852453">
        <w:rPr>
          <w:b/>
          <w:noProof/>
        </w:rPr>
        <w:t>mergers and acquisitions play a key role in reinvesting and scaling innovation</w:t>
      </w:r>
      <w:r w:rsidR="009137EE" w:rsidRPr="009137EE">
        <w:rPr>
          <w:noProof/>
        </w:rPr>
        <w:t xml:space="preserve">, but over 60% of European startup buyouts are by non-EU companies. For the EU to retain its technological sovereignty and foster the growth of homegrown innovation, European corporates must better compete to keep talent and technologies within </w:t>
      </w:r>
      <w:r w:rsidR="009F24BE">
        <w:rPr>
          <w:noProof/>
        </w:rPr>
        <w:t>our continent</w:t>
      </w:r>
      <w:r w:rsidR="009137EE" w:rsidRPr="009137EE">
        <w:rPr>
          <w:noProof/>
        </w:rPr>
        <w:t xml:space="preserve">, </w:t>
      </w:r>
      <w:r w:rsidR="009D312C">
        <w:rPr>
          <w:noProof/>
        </w:rPr>
        <w:t xml:space="preserve">while </w:t>
      </w:r>
      <w:r w:rsidR="009137EE" w:rsidRPr="009137EE">
        <w:rPr>
          <w:noProof/>
        </w:rPr>
        <w:t>ensuring young companies can choose their own growth and exit strategies without stifling ambition.</w:t>
      </w:r>
    </w:p>
    <w:p w14:paraId="17BBD24B" w14:textId="77777777" w:rsidR="00530360" w:rsidRDefault="009357CC" w:rsidP="00EF18D2">
      <w:pPr>
        <w:spacing w:after="120" w:line="257" w:lineRule="auto"/>
        <w:jc w:val="both"/>
        <w:rPr>
          <w:rFonts w:eastAsia="Aptos"/>
          <w:b/>
          <w:bCs/>
          <w:iCs/>
          <w:noProof/>
          <w:u w:val="single"/>
        </w:rPr>
      </w:pPr>
      <w:r w:rsidRPr="00436E20">
        <w:rPr>
          <w:rFonts w:eastAsia="Aptos"/>
          <w:b/>
          <w:bCs/>
          <w:iCs/>
          <w:noProof/>
          <w:u w:val="single"/>
        </w:rPr>
        <w:t>Actions</w:t>
      </w:r>
    </w:p>
    <w:p w14:paraId="37473077" w14:textId="0BB6B3D0" w:rsidR="00BF7FF1" w:rsidRPr="00DD4214" w:rsidRDefault="009357CC" w:rsidP="00744A0A">
      <w:pPr>
        <w:pStyle w:val="ListParagraph"/>
        <w:numPr>
          <w:ilvl w:val="0"/>
          <w:numId w:val="9"/>
        </w:numPr>
        <w:spacing w:after="120" w:line="257" w:lineRule="auto"/>
        <w:contextualSpacing w:val="0"/>
        <w:jc w:val="both"/>
        <w:rPr>
          <w:noProof/>
        </w:rPr>
      </w:pPr>
      <w:r w:rsidRPr="00436E20">
        <w:rPr>
          <w:noProof/>
        </w:rPr>
        <w:t xml:space="preserve">The Commission will </w:t>
      </w:r>
      <w:r w:rsidRPr="00DD75A5">
        <w:rPr>
          <w:b/>
          <w:bCs/>
          <w:noProof/>
        </w:rPr>
        <w:t>expand the European Innovation Council</w:t>
      </w:r>
      <w:r w:rsidRPr="00436E20">
        <w:rPr>
          <w:noProof/>
        </w:rPr>
        <w:t xml:space="preserve"> and simplify its rules. The EIC will</w:t>
      </w:r>
      <w:r>
        <w:rPr>
          <w:noProof/>
        </w:rPr>
        <w:t xml:space="preserve"> increase its</w:t>
      </w:r>
      <w:r w:rsidRPr="00436E20">
        <w:rPr>
          <w:noProof/>
        </w:rPr>
        <w:t xml:space="preserve"> </w:t>
      </w:r>
      <w:r w:rsidRPr="00DD75A5">
        <w:rPr>
          <w:noProof/>
          <w:color w:val="000000" w:themeColor="text1"/>
        </w:rPr>
        <w:t xml:space="preserve">focus on challenge-driven, staged funding for </w:t>
      </w:r>
      <w:r w:rsidRPr="00436E20">
        <w:rPr>
          <w:noProof/>
        </w:rPr>
        <w:t>high-risk innovations</w:t>
      </w:r>
      <w:r>
        <w:rPr>
          <w:noProof/>
        </w:rPr>
        <w:t xml:space="preserve"> by </w:t>
      </w:r>
      <w:r w:rsidRPr="00436E20">
        <w:rPr>
          <w:noProof/>
        </w:rPr>
        <w:t>introduc</w:t>
      </w:r>
      <w:r>
        <w:rPr>
          <w:noProof/>
        </w:rPr>
        <w:t>ing</w:t>
      </w:r>
      <w:r w:rsidRPr="00436E20">
        <w:rPr>
          <w:noProof/>
        </w:rPr>
        <w:t xml:space="preserve"> more ARPA-like processes</w:t>
      </w:r>
      <w:r w:rsidRPr="00DD75A5">
        <w:rPr>
          <w:noProof/>
          <w:color w:val="000000" w:themeColor="text1"/>
        </w:rPr>
        <w:t xml:space="preserve">. It will also </w:t>
      </w:r>
      <w:r w:rsidRPr="00436E20">
        <w:rPr>
          <w:noProof/>
        </w:rPr>
        <w:t xml:space="preserve">expand its Trusted Investor Network and better engage </w:t>
      </w:r>
      <w:r w:rsidRPr="00DD4214">
        <w:rPr>
          <w:noProof/>
        </w:rPr>
        <w:t xml:space="preserve">with </w:t>
      </w:r>
      <w:r w:rsidRPr="00D36B91">
        <w:rPr>
          <w:noProof/>
        </w:rPr>
        <w:t xml:space="preserve">EU centaurs and unicorns for policy feedback </w:t>
      </w:r>
      <w:r w:rsidRPr="00DD4214">
        <w:rPr>
          <w:noProof/>
        </w:rPr>
        <w:t>(2025).</w:t>
      </w:r>
      <w:r w:rsidR="00DD75A5" w:rsidRPr="00DD75A5">
        <w:rPr>
          <w:noProof/>
        </w:rPr>
        <w:t xml:space="preserve"> </w:t>
      </w:r>
    </w:p>
    <w:p w14:paraId="0AB75903" w14:textId="745C58CD" w:rsidR="009357CC" w:rsidRPr="00436E20" w:rsidRDefault="009357CC" w:rsidP="082A0DC0">
      <w:pPr>
        <w:pStyle w:val="ListParagraph"/>
        <w:numPr>
          <w:ilvl w:val="0"/>
          <w:numId w:val="9"/>
        </w:numPr>
        <w:spacing w:after="120" w:line="257" w:lineRule="auto"/>
        <w:jc w:val="both"/>
        <w:rPr>
          <w:noProof/>
        </w:rPr>
      </w:pPr>
      <w:r w:rsidRPr="00436E20">
        <w:rPr>
          <w:noProof/>
        </w:rPr>
        <w:t xml:space="preserve">The Commission will work with private investors to </w:t>
      </w:r>
      <w:r w:rsidRPr="00436E20" w:rsidDel="009543AC">
        <w:rPr>
          <w:noProof/>
        </w:rPr>
        <w:t>deploy</w:t>
      </w:r>
      <w:r w:rsidRPr="00436E20">
        <w:rPr>
          <w:noProof/>
        </w:rPr>
        <w:t xml:space="preserve">, as part of the EIC Fund, a </w:t>
      </w:r>
      <w:r>
        <w:rPr>
          <w:noProof/>
        </w:rPr>
        <w:t xml:space="preserve">market-based, </w:t>
      </w:r>
      <w:r w:rsidRPr="00436E20">
        <w:rPr>
          <w:noProof/>
        </w:rPr>
        <w:t xml:space="preserve">privately managed and privately </w:t>
      </w:r>
      <w:r>
        <w:rPr>
          <w:noProof/>
        </w:rPr>
        <w:t>co-financed</w:t>
      </w:r>
      <w:r w:rsidRPr="00436E20">
        <w:rPr>
          <w:noProof/>
        </w:rPr>
        <w:t xml:space="preserve"> </w:t>
      </w:r>
      <w:r w:rsidRPr="00DD75A5">
        <w:rPr>
          <w:b/>
          <w:bCs/>
          <w:noProof/>
        </w:rPr>
        <w:t>Scaleup Europe Fund,</w:t>
      </w:r>
      <w:r w:rsidRPr="00436E20">
        <w:rPr>
          <w:rStyle w:val="FootnoteReference"/>
          <w:rFonts w:eastAsia="Calibri"/>
          <w:b/>
          <w:bCs/>
          <w:noProof/>
        </w:rPr>
        <w:footnoteReference w:id="28"/>
      </w:r>
      <w:r w:rsidRPr="00436E20">
        <w:rPr>
          <w:noProof/>
        </w:rPr>
        <w:t xml:space="preserve"> </w:t>
      </w:r>
      <w:r w:rsidR="003F1655" w:rsidRPr="4290A344">
        <w:rPr>
          <w:noProof/>
        </w:rPr>
        <w:t xml:space="preserve">with </w:t>
      </w:r>
      <w:r w:rsidR="00417D53" w:rsidRPr="4290A344">
        <w:rPr>
          <w:noProof/>
        </w:rPr>
        <w:t xml:space="preserve">a </w:t>
      </w:r>
      <w:r w:rsidR="003F1655" w:rsidRPr="4290A344">
        <w:rPr>
          <w:noProof/>
        </w:rPr>
        <w:t>focused investment strategy aimed at</w:t>
      </w:r>
      <w:r w:rsidRPr="00436E20">
        <w:rPr>
          <w:noProof/>
        </w:rPr>
        <w:t xml:space="preserve"> bridg</w:t>
      </w:r>
      <w:r w:rsidR="002A471B" w:rsidRPr="4290A344">
        <w:rPr>
          <w:noProof/>
        </w:rPr>
        <w:t>ing</w:t>
      </w:r>
      <w:r w:rsidRPr="00436E20">
        <w:rPr>
          <w:noProof/>
        </w:rPr>
        <w:t xml:space="preserve"> the financing gap of deep tech </w:t>
      </w:r>
      <w:r w:rsidRPr="00436E20">
        <w:rPr>
          <w:noProof/>
        </w:rPr>
        <w:lastRenderedPageBreak/>
        <w:t>scaleup companies.</w:t>
      </w:r>
      <w:r>
        <w:rPr>
          <w:noProof/>
        </w:rPr>
        <w:t xml:space="preserve"> </w:t>
      </w:r>
      <w:r w:rsidRPr="00A462F0">
        <w:rPr>
          <w:noProof/>
        </w:rPr>
        <w:t>The Scaleup Europe Fund</w:t>
      </w:r>
      <w:r w:rsidR="00194726">
        <w:rPr>
          <w:noProof/>
        </w:rPr>
        <w:t xml:space="preserve"> will</w:t>
      </w:r>
      <w:r w:rsidR="002A471B" w:rsidRPr="4290A344">
        <w:rPr>
          <w:noProof/>
        </w:rPr>
        <w:t xml:space="preserve"> mobilise significant private funds and</w:t>
      </w:r>
      <w:r w:rsidRPr="00A462F0">
        <w:rPr>
          <w:noProof/>
        </w:rPr>
        <w:t xml:space="preserve"> make direct equity investments in strategic sectors</w:t>
      </w:r>
      <w:r w:rsidR="004214E5">
        <w:rPr>
          <w:noProof/>
        </w:rPr>
        <w:t>,</w:t>
      </w:r>
      <w:r w:rsidRPr="00A9073A">
        <w:rPr>
          <w:noProof/>
          <w:vertAlign w:val="superscript"/>
        </w:rPr>
        <w:footnoteReference w:id="29"/>
      </w:r>
      <w:r w:rsidRPr="00A462F0">
        <w:rPr>
          <w:noProof/>
        </w:rPr>
        <w:t xml:space="preserve"> to contribute to Europe’s technological sovereignty and economic security. </w:t>
      </w:r>
      <w:r w:rsidR="00E74D0C" w:rsidRPr="00E74D0C">
        <w:rPr>
          <w:noProof/>
        </w:rPr>
        <w:t xml:space="preserve">The deployment of the Scaleup Europe Fund is without prejudice to the next Multiannual Financial Framework. </w:t>
      </w:r>
      <w:r w:rsidRPr="00640CB2">
        <w:rPr>
          <w:noProof/>
        </w:rPr>
        <w:t xml:space="preserve">The Scaleup Europe Fund will work in </w:t>
      </w:r>
      <w:r w:rsidR="008B1DD1" w:rsidRPr="00640CB2">
        <w:rPr>
          <w:noProof/>
        </w:rPr>
        <w:t xml:space="preserve">close cooperation with InvestEU </w:t>
      </w:r>
      <w:r w:rsidR="008B1DD1">
        <w:rPr>
          <w:noProof/>
        </w:rPr>
        <w:t xml:space="preserve">and in </w:t>
      </w:r>
      <w:r w:rsidRPr="00640CB2">
        <w:rPr>
          <w:noProof/>
        </w:rPr>
        <w:t xml:space="preserve">complementarity with the European Tech Champions Initiative and other instruments of the EIB </w:t>
      </w:r>
      <w:r>
        <w:rPr>
          <w:noProof/>
        </w:rPr>
        <w:t>G</w:t>
      </w:r>
      <w:r w:rsidRPr="00640CB2">
        <w:rPr>
          <w:noProof/>
        </w:rPr>
        <w:t>roup</w:t>
      </w:r>
      <w:r w:rsidRPr="005A1D0B">
        <w:rPr>
          <w:noProof/>
        </w:rPr>
        <w:t xml:space="preserve"> </w:t>
      </w:r>
      <w:r w:rsidRPr="00436E20">
        <w:rPr>
          <w:noProof/>
        </w:rPr>
        <w:t>(2026)</w:t>
      </w:r>
      <w:r w:rsidR="00424E62" w:rsidRPr="4290A344">
        <w:rPr>
          <w:noProof/>
        </w:rPr>
        <w:t>.</w:t>
      </w:r>
    </w:p>
    <w:p w14:paraId="36DE8E99" w14:textId="77777777" w:rsidR="009357CC" w:rsidRPr="00436E20" w:rsidRDefault="009357CC" w:rsidP="00EF18D2">
      <w:pPr>
        <w:pStyle w:val="ListParagraph"/>
        <w:numPr>
          <w:ilvl w:val="0"/>
          <w:numId w:val="9"/>
        </w:numPr>
        <w:spacing w:after="120" w:line="257" w:lineRule="auto"/>
        <w:contextualSpacing w:val="0"/>
        <w:jc w:val="both"/>
        <w:rPr>
          <w:rFonts w:eastAsia="Aptos"/>
          <w:noProof/>
        </w:rPr>
      </w:pPr>
      <w:r w:rsidRPr="00436E20">
        <w:rPr>
          <w:noProof/>
        </w:rPr>
        <w:t xml:space="preserve">The Commission, in coordination with the EIB Group, will work with large institutional investors to develop a </w:t>
      </w:r>
      <w:r w:rsidRPr="00C13B22">
        <w:rPr>
          <w:b/>
          <w:bCs/>
          <w:noProof/>
        </w:rPr>
        <w:t xml:space="preserve">voluntary </w:t>
      </w:r>
      <w:r w:rsidRPr="00436E20">
        <w:rPr>
          <w:b/>
          <w:bCs/>
          <w:noProof/>
        </w:rPr>
        <w:t>European Innovation Investment Pact</w:t>
      </w:r>
      <w:r w:rsidRPr="00436E20">
        <w:rPr>
          <w:noProof/>
        </w:rPr>
        <w:t xml:space="preserve"> for those who commit to invest part of their assets under management into EU funds-of-funds, venture capital funds and unlisted scaleups (2026). </w:t>
      </w:r>
    </w:p>
    <w:p w14:paraId="13115A80" w14:textId="77777777" w:rsidR="009357CC" w:rsidRPr="00436E20" w:rsidRDefault="009357CC">
      <w:pPr>
        <w:pStyle w:val="ListParagraph"/>
        <w:numPr>
          <w:ilvl w:val="0"/>
          <w:numId w:val="10"/>
        </w:numPr>
        <w:spacing w:after="120" w:line="257" w:lineRule="auto"/>
        <w:jc w:val="both"/>
        <w:rPr>
          <w:noProof/>
        </w:rPr>
      </w:pPr>
      <w:r w:rsidRPr="00436E20">
        <w:rPr>
          <w:noProof/>
        </w:rPr>
        <w:t xml:space="preserve">The Commission will leverage and reinforce existing instruments and develop new instruments to invest in </w:t>
      </w:r>
      <w:r w:rsidRPr="00436E20">
        <w:rPr>
          <w:b/>
          <w:bCs/>
          <w:noProof/>
        </w:rPr>
        <w:t xml:space="preserve">European </w:t>
      </w:r>
      <w:r>
        <w:rPr>
          <w:b/>
          <w:bCs/>
          <w:noProof/>
        </w:rPr>
        <w:t>security and</w:t>
      </w:r>
      <w:r w:rsidRPr="00436E20">
        <w:rPr>
          <w:b/>
          <w:bCs/>
          <w:noProof/>
        </w:rPr>
        <w:t xml:space="preserve"> defence startups and scaleups</w:t>
      </w:r>
      <w:r>
        <w:rPr>
          <w:b/>
          <w:bCs/>
          <w:noProof/>
        </w:rPr>
        <w:t>,</w:t>
      </w:r>
      <w:r w:rsidRPr="00436E20">
        <w:rPr>
          <w:b/>
          <w:bCs/>
          <w:noProof/>
        </w:rPr>
        <w:t xml:space="preserve"> </w:t>
      </w:r>
      <w:r w:rsidRPr="00436E20">
        <w:rPr>
          <w:noProof/>
        </w:rPr>
        <w:t xml:space="preserve">in line </w:t>
      </w:r>
      <w:r w:rsidRPr="00F1663C">
        <w:rPr>
          <w:noProof/>
        </w:rPr>
        <w:t xml:space="preserve">with the </w:t>
      </w:r>
      <w:r w:rsidRPr="00D36B91">
        <w:rPr>
          <w:noProof/>
        </w:rPr>
        <w:t>White Paper on Defence</w:t>
      </w:r>
      <w:r w:rsidRPr="00D36B91">
        <w:rPr>
          <w:rStyle w:val="FootnoteReference"/>
          <w:rFonts w:eastAsia="Calibri"/>
          <w:noProof/>
        </w:rPr>
        <w:footnoteReference w:id="30"/>
      </w:r>
      <w:r w:rsidRPr="00F1663C">
        <w:rPr>
          <w:noProof/>
        </w:rPr>
        <w:t xml:space="preserve"> and based on the upcoming </w:t>
      </w:r>
      <w:r w:rsidRPr="00D36B91">
        <w:rPr>
          <w:noProof/>
        </w:rPr>
        <w:t xml:space="preserve">Omnibus Defence Simplification Package. </w:t>
      </w:r>
      <w:r w:rsidRPr="00F1663C">
        <w:rPr>
          <w:noProof/>
        </w:rPr>
        <w:t>These instruments could include more flexible and adaptive funding approaches for</w:t>
      </w:r>
      <w:r w:rsidRPr="00C13B22">
        <w:rPr>
          <w:noProof/>
        </w:rPr>
        <w:t xml:space="preserve"> emerging defence innovators,</w:t>
      </w:r>
      <w:r>
        <w:rPr>
          <w:noProof/>
        </w:rPr>
        <w:t xml:space="preserve"> including also from Ukraine, such as</w:t>
      </w:r>
      <w:r w:rsidRPr="00436E20">
        <w:rPr>
          <w:b/>
          <w:bCs/>
          <w:noProof/>
        </w:rPr>
        <w:t xml:space="preserve"> </w:t>
      </w:r>
      <w:r w:rsidRPr="00436E20">
        <w:rPr>
          <w:noProof/>
        </w:rPr>
        <w:t>targeted support to single entities; as well as reinforcing and broadening the scope of available EU funding options, including equity and debt instruments (2026).</w:t>
      </w:r>
    </w:p>
    <w:p w14:paraId="1BC9AEF4" w14:textId="67E58809" w:rsidR="009357CC" w:rsidRPr="000266E3" w:rsidRDefault="009357CC" w:rsidP="00EF18D2">
      <w:pPr>
        <w:pStyle w:val="ListParagraph"/>
        <w:numPr>
          <w:ilvl w:val="0"/>
          <w:numId w:val="11"/>
        </w:numPr>
        <w:spacing w:after="120" w:line="257" w:lineRule="auto"/>
        <w:contextualSpacing w:val="0"/>
        <w:jc w:val="both"/>
        <w:rPr>
          <w:rFonts w:eastAsia="Aptos"/>
          <w:noProof/>
        </w:rPr>
      </w:pPr>
      <w:r w:rsidRPr="00436E20">
        <w:rPr>
          <w:noProof/>
        </w:rPr>
        <w:t xml:space="preserve">The Commission will develop a </w:t>
      </w:r>
      <w:r w:rsidRPr="000266E3">
        <w:rPr>
          <w:b/>
          <w:bCs/>
          <w:noProof/>
        </w:rPr>
        <w:t>framework for IP valuation</w:t>
      </w:r>
      <w:r w:rsidRPr="00436E20">
        <w:rPr>
          <w:noProof/>
        </w:rPr>
        <w:t xml:space="preserve"> for IP-backed financing in cooperation with the </w:t>
      </w:r>
      <w:r>
        <w:rPr>
          <w:noProof/>
        </w:rPr>
        <w:t>European Union Intellectual Property Office</w:t>
      </w:r>
      <w:r w:rsidR="000266E3">
        <w:rPr>
          <w:noProof/>
        </w:rPr>
        <w:t>.</w:t>
      </w:r>
      <w:r w:rsidRPr="00436E20">
        <w:rPr>
          <w:noProof/>
        </w:rPr>
        <w:t xml:space="preserve"> </w:t>
      </w:r>
      <w:r w:rsidR="000266E3" w:rsidRPr="000266E3">
        <w:rPr>
          <w:rFonts w:eastAsiaTheme="minorEastAsia"/>
          <w:noProof/>
          <w:lang w:eastAsia="en-US"/>
        </w:rPr>
        <w:t xml:space="preserve">It will also expand the evidence base to develop concrete IP finance </w:t>
      </w:r>
      <w:r w:rsidR="00BE62E7" w:rsidRPr="000266E3">
        <w:rPr>
          <w:rFonts w:eastAsiaTheme="minorEastAsia"/>
          <w:noProof/>
          <w:lang w:eastAsia="en-US"/>
        </w:rPr>
        <w:t>instruments. (</w:t>
      </w:r>
      <w:r w:rsidRPr="000266E3">
        <w:rPr>
          <w:rFonts w:eastAsiaTheme="minorEastAsia"/>
          <w:noProof/>
          <w:lang w:eastAsia="en-US"/>
        </w:rPr>
        <w:t>Q2 2027).</w:t>
      </w:r>
    </w:p>
    <w:p w14:paraId="234980F0" w14:textId="77777777" w:rsidR="009357CC" w:rsidRPr="00436E20" w:rsidRDefault="009357CC" w:rsidP="00EF18D2">
      <w:pPr>
        <w:pStyle w:val="ListParagraph"/>
        <w:numPr>
          <w:ilvl w:val="0"/>
          <w:numId w:val="11"/>
        </w:numPr>
        <w:spacing w:after="120" w:line="257" w:lineRule="auto"/>
        <w:contextualSpacing w:val="0"/>
        <w:jc w:val="both"/>
        <w:rPr>
          <w:rFonts w:eastAsia="Aptos"/>
          <w:noProof/>
        </w:rPr>
      </w:pPr>
      <w:r w:rsidRPr="00436E20">
        <w:rPr>
          <w:noProof/>
        </w:rPr>
        <w:t xml:space="preserve">The Commission will support </w:t>
      </w:r>
      <w:r w:rsidRPr="00436E20">
        <w:rPr>
          <w:b/>
          <w:bCs/>
          <w:noProof/>
        </w:rPr>
        <w:t>European business angels</w:t>
      </w:r>
      <w:r w:rsidRPr="00436E20">
        <w:rPr>
          <w:noProof/>
        </w:rPr>
        <w:t xml:space="preserve"> and their networks in order to create more possibilities for young startups to grow (2026).</w:t>
      </w:r>
      <w:r w:rsidRPr="00436E20">
        <w:rPr>
          <w:rFonts w:eastAsia="Aptos"/>
          <w:noProof/>
        </w:rPr>
        <w:t xml:space="preserve"> </w:t>
      </w:r>
    </w:p>
    <w:p w14:paraId="55E436CD" w14:textId="77777777" w:rsidR="009357CC" w:rsidRPr="00436E20" w:rsidRDefault="009357CC" w:rsidP="00EF18D2">
      <w:pPr>
        <w:pStyle w:val="ListParagraph"/>
        <w:numPr>
          <w:ilvl w:val="0"/>
          <w:numId w:val="11"/>
        </w:numPr>
        <w:spacing w:after="120" w:line="257" w:lineRule="auto"/>
        <w:contextualSpacing w:val="0"/>
        <w:jc w:val="both"/>
        <w:rPr>
          <w:noProof/>
        </w:rPr>
      </w:pPr>
      <w:r w:rsidRPr="00436E20">
        <w:rPr>
          <w:noProof/>
        </w:rPr>
        <w:t>The Commission will, in the context of the upcoming review of the Rescue and Restructuring Guidelines, review the definition</w:t>
      </w:r>
      <w:r w:rsidRPr="00436E20">
        <w:rPr>
          <w:b/>
          <w:bCs/>
          <w:noProof/>
        </w:rPr>
        <w:t xml:space="preserve"> </w:t>
      </w:r>
      <w:r w:rsidRPr="00C13B22">
        <w:rPr>
          <w:noProof/>
        </w:rPr>
        <w:t>of</w:t>
      </w:r>
      <w:r w:rsidRPr="00436E20">
        <w:rPr>
          <w:b/>
          <w:bCs/>
          <w:noProof/>
        </w:rPr>
        <w:t xml:space="preserve"> </w:t>
      </w:r>
      <w:r>
        <w:rPr>
          <w:b/>
          <w:bCs/>
          <w:noProof/>
        </w:rPr>
        <w:t>‘</w:t>
      </w:r>
      <w:r w:rsidRPr="00436E20">
        <w:rPr>
          <w:b/>
          <w:bCs/>
          <w:noProof/>
        </w:rPr>
        <w:t>undertaking in difficulty</w:t>
      </w:r>
      <w:r>
        <w:rPr>
          <w:b/>
          <w:bCs/>
          <w:noProof/>
        </w:rPr>
        <w:t>’</w:t>
      </w:r>
      <w:r w:rsidRPr="00436E20">
        <w:rPr>
          <w:noProof/>
        </w:rPr>
        <w:t xml:space="preserve"> taking into account the possible obstacles for certain startups and scaleups, which are not at risk of going out of business, to benefit from other types of State aid (as of Q2 2025).</w:t>
      </w:r>
    </w:p>
    <w:p w14:paraId="2F17387B" w14:textId="77777777" w:rsidR="009357CC" w:rsidRPr="00436E20" w:rsidRDefault="009357CC" w:rsidP="00EF18D2">
      <w:pPr>
        <w:pStyle w:val="ListParagraph"/>
        <w:numPr>
          <w:ilvl w:val="0"/>
          <w:numId w:val="11"/>
        </w:numPr>
        <w:spacing w:after="120" w:line="257" w:lineRule="auto"/>
        <w:contextualSpacing w:val="0"/>
        <w:jc w:val="both"/>
        <w:rPr>
          <w:noProof/>
        </w:rPr>
      </w:pPr>
      <w:r w:rsidRPr="00436E20">
        <w:rPr>
          <w:noProof/>
        </w:rPr>
        <w:t xml:space="preserve">The Commission will review the </w:t>
      </w:r>
      <w:r w:rsidRPr="00436E20">
        <w:rPr>
          <w:b/>
          <w:bCs/>
          <w:noProof/>
        </w:rPr>
        <w:t>Horizontal and Non-Horizontal merger Guidelines</w:t>
      </w:r>
      <w:r w:rsidRPr="00436E20">
        <w:rPr>
          <w:noProof/>
        </w:rPr>
        <w:t xml:space="preserve"> </w:t>
      </w:r>
      <w:r>
        <w:rPr>
          <w:noProof/>
        </w:rPr>
        <w:t>bearing</w:t>
      </w:r>
      <w:r w:rsidRPr="00436E20">
        <w:rPr>
          <w:noProof/>
        </w:rPr>
        <w:t xml:space="preserve"> in mind dynamic criteria such as innovation competition (2027).</w:t>
      </w:r>
    </w:p>
    <w:p w14:paraId="6C44ADE5" w14:textId="4335E62B" w:rsidR="00443BD3" w:rsidRDefault="00CC72BC" w:rsidP="00002530">
      <w:pPr>
        <w:pStyle w:val="ListParagraph"/>
        <w:numPr>
          <w:ilvl w:val="0"/>
          <w:numId w:val="11"/>
        </w:numPr>
        <w:spacing w:after="200" w:line="276" w:lineRule="auto"/>
        <w:contextualSpacing w:val="0"/>
        <w:jc w:val="both"/>
        <w:rPr>
          <w:noProof/>
        </w:rPr>
      </w:pPr>
      <w:r w:rsidRPr="00436E20">
        <w:rPr>
          <w:noProof/>
        </w:rPr>
        <w:t xml:space="preserve">The Commission will create a </w:t>
      </w:r>
      <w:r w:rsidRPr="00114BCF">
        <w:rPr>
          <w:b/>
          <w:noProof/>
        </w:rPr>
        <w:t>European Corporate Network</w:t>
      </w:r>
      <w:r w:rsidRPr="00436E20">
        <w:rPr>
          <w:noProof/>
        </w:rPr>
        <w:t xml:space="preserve"> to better integrate large companies, corporate venture investors and corporate procurers in</w:t>
      </w:r>
      <w:r>
        <w:rPr>
          <w:noProof/>
        </w:rPr>
        <w:t>to</w:t>
      </w:r>
      <w:r w:rsidRPr="00436E20">
        <w:rPr>
          <w:noProof/>
        </w:rPr>
        <w:t xml:space="preserve"> the EU</w:t>
      </w:r>
      <w:r>
        <w:rPr>
          <w:noProof/>
        </w:rPr>
        <w:t>’s</w:t>
      </w:r>
      <w:r w:rsidRPr="00436E20">
        <w:rPr>
          <w:noProof/>
        </w:rPr>
        <w:t xml:space="preserve"> innovation ecosystem</w:t>
      </w:r>
      <w:r w:rsidR="004C5FFB" w:rsidRPr="00114BCF">
        <w:rPr>
          <w:noProof/>
          <w:sz w:val="18"/>
          <w:szCs w:val="18"/>
        </w:rPr>
        <w:t xml:space="preserve"> </w:t>
      </w:r>
      <w:r w:rsidR="000F4361" w:rsidRPr="002F1901">
        <w:rPr>
          <w:noProof/>
        </w:rPr>
        <w:t>and benefit from innovative solutions developed by startups</w:t>
      </w:r>
      <w:r w:rsidRPr="002F1901">
        <w:rPr>
          <w:noProof/>
        </w:rPr>
        <w:t>.</w:t>
      </w:r>
      <w:r w:rsidRPr="00114BCF">
        <w:rPr>
          <w:b/>
          <w:bCs/>
          <w:noProof/>
        </w:rPr>
        <w:t xml:space="preserve"> </w:t>
      </w:r>
      <w:r w:rsidRPr="002F1901">
        <w:rPr>
          <w:noProof/>
        </w:rPr>
        <w:t xml:space="preserve">The Network members would </w:t>
      </w:r>
      <w:r w:rsidR="004C37E4" w:rsidRPr="002F1901">
        <w:rPr>
          <w:noProof/>
        </w:rPr>
        <w:t xml:space="preserve">advise on </w:t>
      </w:r>
      <w:r w:rsidR="004B7190" w:rsidRPr="002F1901">
        <w:rPr>
          <w:noProof/>
        </w:rPr>
        <w:t>related policy</w:t>
      </w:r>
      <w:r w:rsidR="002F1901" w:rsidRPr="002F1901">
        <w:rPr>
          <w:noProof/>
        </w:rPr>
        <w:t>,</w:t>
      </w:r>
      <w:r w:rsidR="004C5FFB">
        <w:rPr>
          <w:noProof/>
        </w:rPr>
        <w:t xml:space="preserve"> </w:t>
      </w:r>
      <w:r w:rsidR="002F1901" w:rsidRPr="002F1901">
        <w:rPr>
          <w:noProof/>
        </w:rPr>
        <w:t>engage in matchmaking with startups</w:t>
      </w:r>
      <w:r w:rsidR="004B7190" w:rsidRPr="002F1901">
        <w:rPr>
          <w:noProof/>
        </w:rPr>
        <w:t xml:space="preserve"> and </w:t>
      </w:r>
      <w:r w:rsidRPr="002F1901">
        <w:rPr>
          <w:noProof/>
        </w:rPr>
        <w:t xml:space="preserve">make a voluntary commitment to privilege European startups when they engage, invest and procure innovative solutions, especially when they use public funding or when they operate critical </w:t>
      </w:r>
      <w:r w:rsidR="002F1901" w:rsidRPr="002F1901">
        <w:rPr>
          <w:noProof/>
        </w:rPr>
        <w:t xml:space="preserve">research or technology </w:t>
      </w:r>
      <w:r w:rsidRPr="002F1901">
        <w:rPr>
          <w:noProof/>
        </w:rPr>
        <w:t>infrastructures</w:t>
      </w:r>
      <w:r w:rsidRPr="00436E20">
        <w:rPr>
          <w:noProof/>
        </w:rPr>
        <w:t xml:space="preserve"> (2026). </w:t>
      </w:r>
      <w:r w:rsidR="00443BD3">
        <w:rPr>
          <w:noProof/>
        </w:rPr>
        <w:br w:type="page"/>
      </w:r>
    </w:p>
    <w:p w14:paraId="3FBD3A87" w14:textId="3EE3A18A" w:rsidR="000E44FF" w:rsidRPr="000E44FF" w:rsidRDefault="000E44FF" w:rsidP="000E44FF">
      <w:pPr>
        <w:pStyle w:val="ListParagraph"/>
        <w:numPr>
          <w:ilvl w:val="0"/>
          <w:numId w:val="27"/>
        </w:numPr>
        <w:spacing w:after="120" w:line="257" w:lineRule="auto"/>
        <w:jc w:val="both"/>
        <w:rPr>
          <w:b/>
          <w:bCs/>
          <w:noProof/>
          <w:lang w:val="en-IE"/>
        </w:rPr>
      </w:pPr>
      <w:r>
        <w:rPr>
          <w:b/>
          <w:bCs/>
          <w:noProof/>
          <w:u w:val="single"/>
          <w:lang w:val="en-IE"/>
        </w:rPr>
        <w:lastRenderedPageBreak/>
        <w:t>FAST MARKET UPTAKE AND EXPANSION</w:t>
      </w:r>
    </w:p>
    <w:p w14:paraId="65923222" w14:textId="77777777" w:rsidR="000E44FF" w:rsidRDefault="000E44FF" w:rsidP="00EF18D2">
      <w:pPr>
        <w:spacing w:after="120" w:line="257" w:lineRule="auto"/>
        <w:jc w:val="both"/>
        <w:rPr>
          <w:b/>
          <w:bCs/>
          <w:noProof/>
          <w:lang w:val="en-IE"/>
        </w:rPr>
      </w:pPr>
    </w:p>
    <w:p w14:paraId="773BCBBD" w14:textId="597B2DA0" w:rsidR="009357CC" w:rsidRPr="00DA5105" w:rsidRDefault="009357CC" w:rsidP="00EF18D2">
      <w:pPr>
        <w:spacing w:after="120" w:line="257" w:lineRule="auto"/>
        <w:jc w:val="both"/>
        <w:rPr>
          <w:noProof/>
          <w:lang w:val="en-IE"/>
        </w:rPr>
      </w:pPr>
      <w:r w:rsidRPr="00D36B91">
        <w:rPr>
          <w:b/>
          <w:bCs/>
          <w:noProof/>
          <w:lang w:val="en-IE"/>
        </w:rPr>
        <w:t>The successful commercialisation of innovative products relies on a mix of entrepreneurial drive, risk-tolerant capital, market demand and public support. Universities</w:t>
      </w:r>
      <w:r w:rsidR="007C21AF">
        <w:rPr>
          <w:rStyle w:val="FootnoteReference"/>
          <w:b/>
          <w:bCs/>
          <w:noProof/>
          <w:lang w:val="en-IE"/>
        </w:rPr>
        <w:footnoteReference w:id="31"/>
      </w:r>
      <w:r w:rsidRPr="00D36B91">
        <w:rPr>
          <w:b/>
          <w:bCs/>
          <w:noProof/>
          <w:lang w:val="en-IE"/>
        </w:rPr>
        <w:t xml:space="preserve"> play a crucial role in this ecosystem</w:t>
      </w:r>
      <w:r w:rsidRPr="00DA5105">
        <w:rPr>
          <w:noProof/>
          <w:lang w:val="en-IE"/>
        </w:rPr>
        <w:t xml:space="preserve">, </w:t>
      </w:r>
      <w:r w:rsidRPr="0031308C">
        <w:rPr>
          <w:noProof/>
          <w:lang w:val="en-IE"/>
        </w:rPr>
        <w:t xml:space="preserve">producing over </w:t>
      </w:r>
      <w:r w:rsidRPr="00D36B91">
        <w:rPr>
          <w:noProof/>
          <w:lang w:val="en-IE"/>
        </w:rPr>
        <w:t>157,000 spinoffs and startups</w:t>
      </w:r>
      <w:r w:rsidRPr="0031308C">
        <w:rPr>
          <w:noProof/>
          <w:lang w:val="en-IE"/>
        </w:rPr>
        <w:t xml:space="preserve"> from alumni, potentially generating </w:t>
      </w:r>
      <w:r w:rsidRPr="00D36B91">
        <w:rPr>
          <w:noProof/>
          <w:lang w:val="en-IE"/>
        </w:rPr>
        <w:t>6.1 million jobs</w:t>
      </w:r>
      <w:r w:rsidRPr="0031308C">
        <w:rPr>
          <w:noProof/>
          <w:lang w:val="en-IE"/>
        </w:rPr>
        <w:t xml:space="preserve"> in the next decade.</w:t>
      </w:r>
      <w:r w:rsidR="00FC0BA2">
        <w:rPr>
          <w:rStyle w:val="FootnoteReference"/>
          <w:noProof/>
          <w:lang w:val="en-IE"/>
        </w:rPr>
        <w:footnoteReference w:id="32"/>
      </w:r>
      <w:r w:rsidRPr="0031308C">
        <w:rPr>
          <w:noProof/>
          <w:lang w:val="en-IE"/>
        </w:rPr>
        <w:t xml:space="preserve"> The EU has a long-standing track record of initiatives and public policies in support of innovation ecosystems.</w:t>
      </w:r>
      <w:r w:rsidRPr="00C5776F">
        <w:rPr>
          <w:rStyle w:val="FootnoteReference"/>
          <w:rFonts w:eastAsia="Calibri"/>
          <w:noProof/>
        </w:rPr>
        <w:t xml:space="preserve"> </w:t>
      </w:r>
      <w:r w:rsidRPr="0031308C">
        <w:rPr>
          <w:noProof/>
          <w:lang w:val="en-IE"/>
        </w:rPr>
        <w:t xml:space="preserve">The </w:t>
      </w:r>
      <w:r w:rsidRPr="00D36B91">
        <w:rPr>
          <w:b/>
          <w:bCs/>
          <w:noProof/>
          <w:lang w:val="en-IE"/>
        </w:rPr>
        <w:t xml:space="preserve">European </w:t>
      </w:r>
      <w:r w:rsidRPr="0031308C">
        <w:rPr>
          <w:b/>
          <w:bCs/>
          <w:noProof/>
          <w:lang w:val="en-IE"/>
        </w:rPr>
        <w:t>Unitary Patent System</w:t>
      </w:r>
      <w:r w:rsidRPr="00D36B91">
        <w:rPr>
          <w:noProof/>
          <w:lang w:val="en-IE"/>
        </w:rPr>
        <w:t xml:space="preserve">, </w:t>
      </w:r>
      <w:r w:rsidRPr="0031308C">
        <w:rPr>
          <w:noProof/>
          <w:lang w:val="en-IE"/>
        </w:rPr>
        <w:t>launched in 2023, is expected to significantly reduce patent costs, provide uniform</w:t>
      </w:r>
      <w:r w:rsidRPr="00DA5105">
        <w:rPr>
          <w:noProof/>
          <w:lang w:val="en-IE"/>
        </w:rPr>
        <w:t xml:space="preserve"> protection and speed up the commerciali</w:t>
      </w:r>
      <w:r>
        <w:rPr>
          <w:noProof/>
          <w:lang w:val="en-IE"/>
        </w:rPr>
        <w:t>s</w:t>
      </w:r>
      <w:r w:rsidRPr="00DA5105">
        <w:rPr>
          <w:noProof/>
          <w:lang w:val="en-IE"/>
        </w:rPr>
        <w:t>ation of technologies across the EU.</w:t>
      </w:r>
      <w:r w:rsidR="00D45624">
        <w:rPr>
          <w:noProof/>
          <w:lang w:val="en-IE"/>
        </w:rPr>
        <w:t xml:space="preserve"> </w:t>
      </w:r>
    </w:p>
    <w:p w14:paraId="4C03FAC9" w14:textId="15C793C1" w:rsidR="009357CC" w:rsidRPr="00DA5105" w:rsidRDefault="009357CC" w:rsidP="00EF18D2">
      <w:pPr>
        <w:spacing w:after="120" w:line="257" w:lineRule="auto"/>
        <w:jc w:val="both"/>
        <w:rPr>
          <w:noProof/>
          <w:lang w:val="en-IE"/>
        </w:rPr>
      </w:pPr>
      <w:r>
        <w:rPr>
          <w:b/>
          <w:bCs/>
          <w:noProof/>
          <w:lang w:val="en-IE"/>
        </w:rPr>
        <w:t>In Europe</w:t>
      </w:r>
      <w:r w:rsidRPr="00D36B91">
        <w:rPr>
          <w:b/>
          <w:bCs/>
          <w:noProof/>
          <w:lang w:val="en-IE"/>
        </w:rPr>
        <w:t>, translating research into commercial ventures remains low outside high-performing innovation clusters.</w:t>
      </w:r>
      <w:r w:rsidRPr="00DA5105">
        <w:rPr>
          <w:noProof/>
          <w:lang w:val="en-IE"/>
        </w:rPr>
        <w:t xml:space="preserve"> </w:t>
      </w:r>
      <w:r w:rsidR="00AD6C10">
        <w:rPr>
          <w:noProof/>
          <w:lang w:val="en-IE"/>
        </w:rPr>
        <w:t>T</w:t>
      </w:r>
      <w:r w:rsidR="00AD6C10">
        <w:rPr>
          <w:noProof/>
        </w:rPr>
        <w:t xml:space="preserve">he </w:t>
      </w:r>
      <w:r w:rsidR="00AD6C10" w:rsidRPr="009809F2">
        <w:rPr>
          <w:noProof/>
        </w:rPr>
        <w:t>European Institute of Innovation and Technology</w:t>
      </w:r>
      <w:r w:rsidR="00AD6C10">
        <w:rPr>
          <w:noProof/>
        </w:rPr>
        <w:t>,</w:t>
      </w:r>
      <w:r w:rsidR="00AD6C10" w:rsidRPr="00D36B91">
        <w:rPr>
          <w:rStyle w:val="FootnoteReference"/>
          <w:rFonts w:eastAsia="Calibri"/>
          <w:noProof/>
        </w:rPr>
        <w:footnoteReference w:id="33"/>
      </w:r>
      <w:r w:rsidR="00AD6C10" w:rsidRPr="009809F2">
        <w:rPr>
          <w:noProof/>
        </w:rPr>
        <w:t xml:space="preserve"> the Enterprise Europe Network</w:t>
      </w:r>
      <w:r w:rsidR="00AD6C10">
        <w:rPr>
          <w:noProof/>
        </w:rPr>
        <w:t>,</w:t>
      </w:r>
      <w:r w:rsidR="00AD6C10">
        <w:rPr>
          <w:rStyle w:val="FootnoteReference"/>
          <w:rFonts w:eastAsia="Calibri"/>
          <w:noProof/>
        </w:rPr>
        <w:footnoteReference w:id="34"/>
      </w:r>
      <w:r w:rsidR="00AD6C10" w:rsidRPr="009809F2">
        <w:rPr>
          <w:noProof/>
        </w:rPr>
        <w:t xml:space="preserve"> </w:t>
      </w:r>
      <w:r w:rsidR="00AD6C10">
        <w:rPr>
          <w:noProof/>
        </w:rPr>
        <w:t xml:space="preserve">the </w:t>
      </w:r>
      <w:r w:rsidR="00AD6C10" w:rsidRPr="00AD7D56">
        <w:rPr>
          <w:noProof/>
        </w:rPr>
        <w:t>European Clusters Collaboration Platform (ECCP)</w:t>
      </w:r>
      <w:r w:rsidR="00AD6C10">
        <w:rPr>
          <w:noProof/>
        </w:rPr>
        <w:t xml:space="preserve"> and the</w:t>
      </w:r>
      <w:r w:rsidR="00AD6C10" w:rsidRPr="00AD7D56">
        <w:rPr>
          <w:noProof/>
        </w:rPr>
        <w:t xml:space="preserve"> EDIHs (European Digital Innovation Hubs</w:t>
      </w:r>
      <w:r w:rsidR="00AD6C10">
        <w:rPr>
          <w:noProof/>
        </w:rPr>
        <w:t xml:space="preserve">) already </w:t>
      </w:r>
      <w:r w:rsidR="00AD6C10" w:rsidRPr="009809F2">
        <w:rPr>
          <w:noProof/>
        </w:rPr>
        <w:t xml:space="preserve">support </w:t>
      </w:r>
      <w:r w:rsidR="00AD6C10">
        <w:rPr>
          <w:noProof/>
        </w:rPr>
        <w:t xml:space="preserve">entrepreneurship and academic </w:t>
      </w:r>
      <w:r w:rsidR="00AD6C10" w:rsidRPr="009809F2">
        <w:rPr>
          <w:noProof/>
        </w:rPr>
        <w:t>startups</w:t>
      </w:r>
      <w:r w:rsidR="00AD6C10">
        <w:rPr>
          <w:noProof/>
        </w:rPr>
        <w:t xml:space="preserve">, but key issues remain. </w:t>
      </w:r>
      <w:r w:rsidRPr="006B6739">
        <w:rPr>
          <w:noProof/>
          <w:lang w:val="en-IE"/>
        </w:rPr>
        <w:t xml:space="preserve">While universities account for </w:t>
      </w:r>
      <w:r w:rsidRPr="00D36B91">
        <w:rPr>
          <w:noProof/>
          <w:lang w:val="en-IE"/>
        </w:rPr>
        <w:t>over 10%</w:t>
      </w:r>
      <w:r w:rsidRPr="006B6739">
        <w:rPr>
          <w:noProof/>
          <w:lang w:val="en-IE"/>
        </w:rPr>
        <w:t xml:space="preserve"> of patents filed at the </w:t>
      </w:r>
      <w:r w:rsidRPr="00D36B91">
        <w:rPr>
          <w:noProof/>
          <w:lang w:val="en-IE"/>
        </w:rPr>
        <w:t>European Patent Office</w:t>
      </w:r>
      <w:r w:rsidRPr="006B6739">
        <w:rPr>
          <w:noProof/>
          <w:lang w:val="en-IE"/>
        </w:rPr>
        <w:t xml:space="preserve">, only </w:t>
      </w:r>
      <w:r w:rsidRPr="00D36B91">
        <w:rPr>
          <w:noProof/>
          <w:lang w:val="en-IE"/>
        </w:rPr>
        <w:t>one-third</w:t>
      </w:r>
      <w:r w:rsidRPr="006B6739">
        <w:rPr>
          <w:noProof/>
          <w:lang w:val="en-IE"/>
        </w:rPr>
        <w:t xml:space="preserve"> of</w:t>
      </w:r>
      <w:r w:rsidRPr="00DA5105">
        <w:rPr>
          <w:noProof/>
          <w:lang w:val="en-IE"/>
        </w:rPr>
        <w:t xml:space="preserve"> these patents are commercially exploited.</w:t>
      </w:r>
      <w:r w:rsidR="004D7E7A">
        <w:rPr>
          <w:noProof/>
        </w:rPr>
        <w:t xml:space="preserve"> </w:t>
      </w:r>
      <w:r w:rsidRPr="00DA5105">
        <w:rPr>
          <w:noProof/>
          <w:lang w:val="en-IE"/>
        </w:rPr>
        <w:t xml:space="preserve">A key issue is </w:t>
      </w:r>
      <w:r w:rsidRPr="0031308C">
        <w:rPr>
          <w:noProof/>
          <w:lang w:val="en-IE"/>
        </w:rPr>
        <w:t xml:space="preserve">the </w:t>
      </w:r>
      <w:r w:rsidRPr="00D36B91">
        <w:rPr>
          <w:noProof/>
          <w:lang w:val="en-IE"/>
        </w:rPr>
        <w:t>lack of a pro-innovation mindset</w:t>
      </w:r>
      <w:r w:rsidRPr="0031308C">
        <w:rPr>
          <w:noProof/>
          <w:lang w:val="en-IE"/>
        </w:rPr>
        <w:t xml:space="preserve"> in</w:t>
      </w:r>
      <w:r w:rsidRPr="00DA5105">
        <w:rPr>
          <w:noProof/>
          <w:lang w:val="en-IE"/>
        </w:rPr>
        <w:t xml:space="preserve"> many universities, where there are insufficient incentives for researchers to commercialize their work. Legal, organi</w:t>
      </w:r>
      <w:r>
        <w:rPr>
          <w:noProof/>
          <w:lang w:val="en-IE"/>
        </w:rPr>
        <w:t>s</w:t>
      </w:r>
      <w:r w:rsidRPr="00DA5105">
        <w:rPr>
          <w:noProof/>
          <w:lang w:val="en-IE"/>
        </w:rPr>
        <w:t xml:space="preserve">ational and financial frameworks for academic spin-offs vary across Europe, causing </w:t>
      </w:r>
      <w:r>
        <w:rPr>
          <w:noProof/>
          <w:lang w:val="en-IE"/>
        </w:rPr>
        <w:t>an uneven landscape across the continent</w:t>
      </w:r>
      <w:r w:rsidRPr="00DA5105">
        <w:rPr>
          <w:noProof/>
          <w:lang w:val="en-IE"/>
        </w:rPr>
        <w:t xml:space="preserve">. Additionally, </w:t>
      </w:r>
      <w:r w:rsidRPr="00935458">
        <w:rPr>
          <w:noProof/>
          <w:lang w:val="en-IE"/>
        </w:rPr>
        <w:t xml:space="preserve">the </w:t>
      </w:r>
      <w:r w:rsidRPr="00D36B91">
        <w:rPr>
          <w:noProof/>
          <w:lang w:val="en-IE"/>
        </w:rPr>
        <w:t>public procurement process</w:t>
      </w:r>
      <w:r w:rsidRPr="00935458">
        <w:rPr>
          <w:noProof/>
          <w:lang w:val="en-IE"/>
        </w:rPr>
        <w:t xml:space="preserve"> in many EU countries is overly risk-averse, favouring established providers over startups.</w:t>
      </w:r>
      <w:r w:rsidRPr="00DA5105">
        <w:rPr>
          <w:noProof/>
          <w:lang w:val="en-IE"/>
        </w:rPr>
        <w:t xml:space="preserve"> This limits access </w:t>
      </w:r>
      <w:r>
        <w:rPr>
          <w:noProof/>
          <w:lang w:val="en-IE"/>
        </w:rPr>
        <w:t xml:space="preserve">from </w:t>
      </w:r>
      <w:r w:rsidRPr="00DA5105">
        <w:rPr>
          <w:noProof/>
          <w:lang w:val="en-IE"/>
        </w:rPr>
        <w:t>startups</w:t>
      </w:r>
      <w:r>
        <w:rPr>
          <w:noProof/>
          <w:lang w:val="en-IE"/>
        </w:rPr>
        <w:t xml:space="preserve"> </w:t>
      </w:r>
      <w:r w:rsidRPr="00DA5105">
        <w:rPr>
          <w:noProof/>
          <w:lang w:val="en-IE"/>
        </w:rPr>
        <w:t xml:space="preserve">to </w:t>
      </w:r>
      <w:r w:rsidR="002F0C8D">
        <w:rPr>
          <w:noProof/>
          <w:lang w:val="en-IE"/>
        </w:rPr>
        <w:t>public</w:t>
      </w:r>
      <w:r w:rsidR="002F0C8D" w:rsidRPr="00DA5105">
        <w:rPr>
          <w:noProof/>
          <w:lang w:val="en-IE"/>
        </w:rPr>
        <w:t xml:space="preserve"> </w:t>
      </w:r>
      <w:r w:rsidRPr="00DA5105">
        <w:rPr>
          <w:noProof/>
          <w:lang w:val="en-IE"/>
        </w:rPr>
        <w:t xml:space="preserve">contracts for innovative solutions. Corporate procurement processes also hinder </w:t>
      </w:r>
      <w:r>
        <w:rPr>
          <w:noProof/>
          <w:lang w:val="en-IE"/>
        </w:rPr>
        <w:t>the</w:t>
      </w:r>
      <w:r w:rsidRPr="00DA5105">
        <w:rPr>
          <w:noProof/>
          <w:lang w:val="en-IE"/>
        </w:rPr>
        <w:t xml:space="preserve"> ability </w:t>
      </w:r>
      <w:r>
        <w:rPr>
          <w:noProof/>
          <w:lang w:val="en-IE"/>
        </w:rPr>
        <w:t xml:space="preserve">of </w:t>
      </w:r>
      <w:r w:rsidRPr="00DA5105">
        <w:rPr>
          <w:noProof/>
          <w:lang w:val="en-IE"/>
        </w:rPr>
        <w:t>startups</w:t>
      </w:r>
      <w:r>
        <w:rPr>
          <w:noProof/>
          <w:lang w:val="en-IE"/>
        </w:rPr>
        <w:t xml:space="preserve"> </w:t>
      </w:r>
      <w:r w:rsidRPr="00DA5105">
        <w:rPr>
          <w:noProof/>
          <w:lang w:val="en-IE"/>
        </w:rPr>
        <w:t>to expand, with innovation often stifled by risk-averse practices.</w:t>
      </w:r>
    </w:p>
    <w:p w14:paraId="4FB8C4DD" w14:textId="13E9962E" w:rsidR="009357CC" w:rsidRPr="00361248" w:rsidRDefault="009357CC" w:rsidP="00EF18D2">
      <w:pPr>
        <w:spacing w:after="120" w:line="257" w:lineRule="auto"/>
        <w:jc w:val="both"/>
        <w:rPr>
          <w:noProof/>
          <w:lang w:val="en-IE"/>
        </w:rPr>
      </w:pPr>
      <w:r w:rsidRPr="00D36B91">
        <w:rPr>
          <w:b/>
          <w:bCs/>
          <w:noProof/>
          <w:lang w:val="en-IE"/>
        </w:rPr>
        <w:t xml:space="preserve">To foster a more cohesive innovation environment, the EU must encourage </w:t>
      </w:r>
      <w:r w:rsidRPr="005F6B4C">
        <w:rPr>
          <w:b/>
          <w:bCs/>
          <w:noProof/>
          <w:lang w:val="en-IE"/>
        </w:rPr>
        <w:t>stronger interconnected ecosystems</w:t>
      </w:r>
      <w:r w:rsidRPr="00D36B91">
        <w:rPr>
          <w:b/>
          <w:bCs/>
          <w:noProof/>
          <w:lang w:val="en-IE"/>
        </w:rPr>
        <w:t xml:space="preserve"> through greater support for universities, research institutions, and startups</w:t>
      </w:r>
      <w:r w:rsidRPr="00DA5105">
        <w:rPr>
          <w:noProof/>
          <w:lang w:val="en-IE"/>
        </w:rPr>
        <w:t xml:space="preserve">. The </w:t>
      </w:r>
      <w:r w:rsidRPr="00DA5105">
        <w:rPr>
          <w:b/>
          <w:bCs/>
          <w:noProof/>
          <w:lang w:val="en-IE"/>
        </w:rPr>
        <w:t>Unitary Patent System</w:t>
      </w:r>
      <w:r w:rsidRPr="00DA5105">
        <w:rPr>
          <w:noProof/>
          <w:lang w:val="en-IE"/>
        </w:rPr>
        <w:t xml:space="preserve"> must be fully adopted by all EU Member States to reduce patent costs and facilitate the commerciali</w:t>
      </w:r>
      <w:r>
        <w:rPr>
          <w:noProof/>
          <w:lang w:val="en-IE"/>
        </w:rPr>
        <w:t>s</w:t>
      </w:r>
      <w:r w:rsidRPr="00DA5105">
        <w:rPr>
          <w:noProof/>
          <w:lang w:val="en-IE"/>
        </w:rPr>
        <w:t xml:space="preserve">ation of research. On the procurement side, </w:t>
      </w:r>
      <w:r w:rsidR="00751011" w:rsidRPr="00751011">
        <w:rPr>
          <w:noProof/>
        </w:rPr>
        <w:t xml:space="preserve">the European Commission plans to revise </w:t>
      </w:r>
      <w:r w:rsidR="00716418">
        <w:rPr>
          <w:noProof/>
        </w:rPr>
        <w:t xml:space="preserve">and </w:t>
      </w:r>
      <w:r w:rsidR="0C3B7087" w:rsidRPr="550F874B">
        <w:rPr>
          <w:noProof/>
        </w:rPr>
        <w:t xml:space="preserve">propose </w:t>
      </w:r>
      <w:r w:rsidR="00716418">
        <w:rPr>
          <w:noProof/>
        </w:rPr>
        <w:t xml:space="preserve">legislation </w:t>
      </w:r>
      <w:r w:rsidR="008B1DD1">
        <w:rPr>
          <w:noProof/>
        </w:rPr>
        <w:t xml:space="preserve">and non-legislative measures </w:t>
      </w:r>
      <w:r w:rsidR="00716418">
        <w:rPr>
          <w:noProof/>
        </w:rPr>
        <w:t xml:space="preserve">concerning </w:t>
      </w:r>
      <w:r w:rsidR="00751011" w:rsidRPr="00751011">
        <w:rPr>
          <w:noProof/>
        </w:rPr>
        <w:t xml:space="preserve">public </w:t>
      </w:r>
      <w:r w:rsidR="00716418">
        <w:rPr>
          <w:noProof/>
        </w:rPr>
        <w:t xml:space="preserve">and private </w:t>
      </w:r>
      <w:r w:rsidR="00751011" w:rsidRPr="00751011">
        <w:rPr>
          <w:noProof/>
        </w:rPr>
        <w:t>procurement</w:t>
      </w:r>
      <w:r w:rsidR="00716418">
        <w:rPr>
          <w:noProof/>
        </w:rPr>
        <w:t xml:space="preserve">, </w:t>
      </w:r>
      <w:r w:rsidR="00751011" w:rsidRPr="00751011">
        <w:rPr>
          <w:noProof/>
        </w:rPr>
        <w:t>which will also help to better support startups and scaleups by reducing possible barriers and encouraging</w:t>
      </w:r>
      <w:r w:rsidRPr="00751011">
        <w:rPr>
          <w:noProof/>
        </w:rPr>
        <w:t xml:space="preserve"> innovation</w:t>
      </w:r>
      <w:r w:rsidR="00751011" w:rsidRPr="00751011">
        <w:rPr>
          <w:noProof/>
        </w:rPr>
        <w:t>. Complementary non-legislative measures will enhance monitoring, funding, and national competence networks across Member States</w:t>
      </w:r>
      <w:r w:rsidRPr="00DA5105">
        <w:rPr>
          <w:noProof/>
          <w:lang w:val="en-IE"/>
        </w:rPr>
        <w:t xml:space="preserve">. By supporting </w:t>
      </w:r>
      <w:r>
        <w:rPr>
          <w:noProof/>
          <w:lang w:val="en-IE"/>
        </w:rPr>
        <w:t xml:space="preserve">intra-EU </w:t>
      </w:r>
      <w:r w:rsidRPr="00D36B91">
        <w:rPr>
          <w:noProof/>
          <w:lang w:val="en-IE"/>
        </w:rPr>
        <w:t>cross-border collaborations</w:t>
      </w:r>
      <w:r w:rsidRPr="00361248">
        <w:rPr>
          <w:noProof/>
          <w:lang w:val="en-IE"/>
        </w:rPr>
        <w:t xml:space="preserve"> and</w:t>
      </w:r>
      <w:r w:rsidRPr="00DA5105">
        <w:rPr>
          <w:noProof/>
          <w:lang w:val="en-IE"/>
        </w:rPr>
        <w:t xml:space="preserve"> simplifying access to procurement processes, the EU can create a more favourable environment for the growth and scaling of startups. </w:t>
      </w:r>
      <w:r w:rsidRPr="00361248">
        <w:rPr>
          <w:noProof/>
          <w:lang w:val="en-IE"/>
        </w:rPr>
        <w:t xml:space="preserve">To enhance collaboration between startups and corporates, </w:t>
      </w:r>
      <w:r w:rsidRPr="00D36B91">
        <w:rPr>
          <w:noProof/>
          <w:lang w:val="en-IE"/>
        </w:rPr>
        <w:t>strategic partnerships</w:t>
      </w:r>
      <w:r w:rsidRPr="00361248">
        <w:rPr>
          <w:noProof/>
          <w:lang w:val="en-IE"/>
        </w:rPr>
        <w:t xml:space="preserve"> should be e</w:t>
      </w:r>
      <w:r w:rsidRPr="00DA5105">
        <w:rPr>
          <w:noProof/>
          <w:lang w:val="en-IE"/>
        </w:rPr>
        <w:t xml:space="preserve">ncouraged, making it easier for startups to secure their first customers and grow. </w:t>
      </w:r>
      <w:r w:rsidRPr="00DA5105">
        <w:rPr>
          <w:b/>
          <w:bCs/>
          <w:noProof/>
          <w:lang w:val="en-IE"/>
        </w:rPr>
        <w:t>Cohesion polic</w:t>
      </w:r>
      <w:r w:rsidR="00DB0FEF">
        <w:rPr>
          <w:b/>
          <w:bCs/>
          <w:noProof/>
          <w:lang w:val="en-IE"/>
        </w:rPr>
        <w:t>y</w:t>
      </w:r>
      <w:r w:rsidRPr="00DA5105">
        <w:rPr>
          <w:noProof/>
          <w:lang w:val="en-IE"/>
        </w:rPr>
        <w:t xml:space="preserve"> can also help connect </w:t>
      </w:r>
      <w:r w:rsidRPr="00DA5105">
        <w:rPr>
          <w:noProof/>
          <w:lang w:val="en-IE"/>
        </w:rPr>
        <w:lastRenderedPageBreak/>
        <w:t xml:space="preserve">regional and national actors, </w:t>
      </w:r>
      <w:r w:rsidRPr="00361248">
        <w:rPr>
          <w:noProof/>
          <w:lang w:val="en-IE"/>
        </w:rPr>
        <w:t xml:space="preserve">fostering </w:t>
      </w:r>
      <w:r w:rsidRPr="00D36B91">
        <w:rPr>
          <w:noProof/>
          <w:lang w:val="en-IE"/>
        </w:rPr>
        <w:t>territorial connectivity</w:t>
      </w:r>
      <w:r w:rsidRPr="00361248">
        <w:rPr>
          <w:noProof/>
          <w:lang w:val="en-IE"/>
        </w:rPr>
        <w:t xml:space="preserve"> and helping startups scale. The </w:t>
      </w:r>
      <w:r w:rsidRPr="00D36B91">
        <w:rPr>
          <w:noProof/>
          <w:lang w:val="en-IE"/>
        </w:rPr>
        <w:t>mid-term review of cohesion policy</w:t>
      </w:r>
      <w:r w:rsidRPr="00361248">
        <w:rPr>
          <w:noProof/>
          <w:lang w:val="en-IE"/>
        </w:rPr>
        <w:t xml:space="preserve"> is a key step in aligning regional and national efforts to help startups connect with larger corporations and enter new markets.</w:t>
      </w:r>
    </w:p>
    <w:p w14:paraId="3E9CBD1D" w14:textId="130D0DAE" w:rsidR="007B16B6" w:rsidRPr="007B16B6" w:rsidRDefault="009357CC">
      <w:pPr>
        <w:spacing w:after="120" w:line="257" w:lineRule="auto"/>
        <w:jc w:val="both"/>
        <w:rPr>
          <w:noProof/>
          <w:lang w:val="en-IE"/>
        </w:rPr>
      </w:pPr>
      <w:r>
        <w:rPr>
          <w:noProof/>
          <w:lang w:val="en-IE"/>
        </w:rPr>
        <w:t>Finally,</w:t>
      </w:r>
      <w:r w:rsidR="00FF7D61">
        <w:rPr>
          <w:noProof/>
          <w:lang w:val="en-IE"/>
        </w:rPr>
        <w:t xml:space="preserve"> the Commission </w:t>
      </w:r>
      <w:r w:rsidR="005A5ACD">
        <w:rPr>
          <w:noProof/>
          <w:lang w:val="en-IE"/>
        </w:rPr>
        <w:t>in cooperation</w:t>
      </w:r>
      <w:r w:rsidR="00FF7D61">
        <w:rPr>
          <w:noProof/>
          <w:lang w:val="en-IE"/>
        </w:rPr>
        <w:t xml:space="preserve"> with</w:t>
      </w:r>
      <w:r>
        <w:rPr>
          <w:noProof/>
          <w:lang w:val="en-IE"/>
        </w:rPr>
        <w:t xml:space="preserve"> the </w:t>
      </w:r>
      <w:r w:rsidRPr="00D36B91">
        <w:rPr>
          <w:noProof/>
          <w:lang w:val="en-IE"/>
        </w:rPr>
        <w:t>European External Action Service</w:t>
      </w:r>
      <w:r w:rsidR="006A0C30">
        <w:rPr>
          <w:noProof/>
          <w:lang w:val="en-IE"/>
        </w:rPr>
        <w:t xml:space="preserve"> and Member States’ </w:t>
      </w:r>
      <w:r w:rsidR="00EA7D40">
        <w:rPr>
          <w:noProof/>
          <w:lang w:val="en-IE"/>
        </w:rPr>
        <w:t>will support</w:t>
      </w:r>
      <w:r w:rsidRPr="00D36B91">
        <w:rPr>
          <w:b/>
          <w:noProof/>
          <w:lang w:val="en-IE"/>
        </w:rPr>
        <w:t xml:space="preserve"> startups</w:t>
      </w:r>
      <w:r w:rsidR="00F00C18">
        <w:rPr>
          <w:b/>
          <w:noProof/>
          <w:lang w:val="en-IE"/>
        </w:rPr>
        <w:t xml:space="preserve"> </w:t>
      </w:r>
      <w:r w:rsidR="00AB7A8D">
        <w:rPr>
          <w:b/>
          <w:noProof/>
          <w:lang w:val="en-IE"/>
        </w:rPr>
        <w:t>to</w:t>
      </w:r>
      <w:r w:rsidRPr="00D36B91">
        <w:rPr>
          <w:b/>
          <w:noProof/>
          <w:lang w:val="en-IE"/>
        </w:rPr>
        <w:t xml:space="preserve"> access </w:t>
      </w:r>
      <w:r w:rsidRPr="00CC5A51">
        <w:rPr>
          <w:b/>
          <w:bCs/>
          <w:noProof/>
          <w:lang w:val="en-IE"/>
        </w:rPr>
        <w:t>global</w:t>
      </w:r>
      <w:r w:rsidRPr="00DA5105">
        <w:rPr>
          <w:b/>
          <w:bCs/>
          <w:noProof/>
          <w:lang w:val="en-IE"/>
        </w:rPr>
        <w:t xml:space="preserve"> markets</w:t>
      </w:r>
      <w:r w:rsidR="00F00C18" w:rsidRPr="00852453">
        <w:rPr>
          <w:noProof/>
          <w:lang w:val="en-IE"/>
        </w:rPr>
        <w:t>, including</w:t>
      </w:r>
      <w:r w:rsidRPr="008B1DD1">
        <w:rPr>
          <w:noProof/>
          <w:lang w:val="en-IE"/>
        </w:rPr>
        <w:t xml:space="preserve"> by</w:t>
      </w:r>
      <w:r w:rsidRPr="00DA5105">
        <w:rPr>
          <w:noProof/>
          <w:lang w:val="en-IE"/>
        </w:rPr>
        <w:t xml:space="preserve"> leveraging trade agreements </w:t>
      </w:r>
      <w:r w:rsidR="00F00C18">
        <w:rPr>
          <w:noProof/>
          <w:lang w:val="en-IE"/>
        </w:rPr>
        <w:t>as well as mobilising</w:t>
      </w:r>
      <w:r w:rsidR="00175563">
        <w:rPr>
          <w:noProof/>
          <w:lang w:val="en-IE"/>
        </w:rPr>
        <w:t xml:space="preserve"> through EU Delegations</w:t>
      </w:r>
      <w:r w:rsidR="009E5FF1">
        <w:rPr>
          <w:noProof/>
        </w:rPr>
        <w:t>, Member State networks and dedicated EU tools</w:t>
      </w:r>
      <w:r w:rsidR="009E5FF1" w:rsidRPr="00255951">
        <w:rPr>
          <w:noProof/>
        </w:rPr>
        <w:t>.</w:t>
      </w:r>
      <w:r w:rsidR="00950432">
        <w:rPr>
          <w:rStyle w:val="FootnoteReference"/>
          <w:noProof/>
          <w:lang w:val="en-IE"/>
        </w:rPr>
        <w:footnoteReference w:id="35"/>
      </w:r>
      <w:r w:rsidRPr="00DA5105">
        <w:rPr>
          <w:noProof/>
          <w:lang w:val="en-IE"/>
        </w:rPr>
        <w:t xml:space="preserve"> </w:t>
      </w:r>
      <w:r w:rsidR="007B16B6" w:rsidRPr="007B16B6">
        <w:rPr>
          <w:noProof/>
          <w:lang w:val="en-IE"/>
        </w:rPr>
        <w:t xml:space="preserve">The Commission will also work on better integrating innovative solutions from startups and scaleups into the value-chains of </w:t>
      </w:r>
      <w:r w:rsidR="007B16B6" w:rsidRPr="00637D56">
        <w:rPr>
          <w:b/>
          <w:noProof/>
          <w:lang w:val="en-IE"/>
        </w:rPr>
        <w:t>Global Gateway</w:t>
      </w:r>
      <w:r w:rsidR="007B16B6" w:rsidRPr="007B16B6">
        <w:rPr>
          <w:noProof/>
          <w:lang w:val="en-IE"/>
        </w:rPr>
        <w:t xml:space="preserve"> and benefit its supporting financial instruments, to improve their access in developing markets.</w:t>
      </w:r>
    </w:p>
    <w:p w14:paraId="0BD3285C" w14:textId="77777777" w:rsidR="00530360" w:rsidRDefault="009357CC" w:rsidP="00EF18D2">
      <w:pPr>
        <w:spacing w:after="120" w:line="257" w:lineRule="auto"/>
        <w:jc w:val="both"/>
        <w:rPr>
          <w:b/>
          <w:bCs/>
          <w:noProof/>
          <w:u w:val="single"/>
        </w:rPr>
      </w:pPr>
      <w:r w:rsidRPr="00436E20">
        <w:rPr>
          <w:b/>
          <w:bCs/>
          <w:noProof/>
          <w:u w:val="single"/>
        </w:rPr>
        <w:t>Actions</w:t>
      </w:r>
    </w:p>
    <w:p w14:paraId="671002A8" w14:textId="77777777" w:rsidR="009357CC" w:rsidRPr="00436E20" w:rsidRDefault="009357CC" w:rsidP="00EF18D2">
      <w:pPr>
        <w:pStyle w:val="ListParagraph"/>
        <w:numPr>
          <w:ilvl w:val="0"/>
          <w:numId w:val="13"/>
        </w:numPr>
        <w:spacing w:after="120" w:line="257" w:lineRule="auto"/>
        <w:contextualSpacing w:val="0"/>
        <w:jc w:val="both"/>
        <w:rPr>
          <w:b/>
          <w:bCs/>
          <w:noProof/>
        </w:rPr>
      </w:pPr>
      <w:r w:rsidRPr="00436E20">
        <w:rPr>
          <w:noProof/>
        </w:rPr>
        <w:t xml:space="preserve">The Commission will launch a </w:t>
      </w:r>
      <w:r w:rsidRPr="00436E20">
        <w:rPr>
          <w:b/>
          <w:bCs/>
          <w:noProof/>
        </w:rPr>
        <w:t>Lab to Unicorn Initiative</w:t>
      </w:r>
      <w:r w:rsidRPr="00436E20">
        <w:rPr>
          <w:noProof/>
        </w:rPr>
        <w:t xml:space="preserve"> to accelerate the commercialisation of research results. Under this initiative, the Commission will:</w:t>
      </w:r>
    </w:p>
    <w:p w14:paraId="6C42D40D" w14:textId="05C105DF" w:rsidR="009357CC" w:rsidRPr="00436E20" w:rsidRDefault="00616ED8" w:rsidP="550F874B">
      <w:pPr>
        <w:pStyle w:val="ListParagraph"/>
        <w:numPr>
          <w:ilvl w:val="1"/>
          <w:numId w:val="13"/>
        </w:numPr>
        <w:spacing w:after="120" w:line="257" w:lineRule="auto"/>
        <w:jc w:val="both"/>
        <w:rPr>
          <w:noProof/>
        </w:rPr>
      </w:pPr>
      <w:r>
        <w:rPr>
          <w:noProof/>
        </w:rPr>
        <w:t>support</w:t>
      </w:r>
      <w:r w:rsidRPr="00436E20">
        <w:rPr>
          <w:noProof/>
        </w:rPr>
        <w:t xml:space="preserve"> </w:t>
      </w:r>
      <w:r w:rsidR="009357CC" w:rsidRPr="00436E20">
        <w:rPr>
          <w:noProof/>
        </w:rPr>
        <w:t xml:space="preserve">leading </w:t>
      </w:r>
      <w:r w:rsidR="009357CC" w:rsidRPr="00436E20">
        <w:rPr>
          <w:b/>
          <w:noProof/>
        </w:rPr>
        <w:t>European Startup &amp; Scaleup Hubs</w:t>
      </w:r>
      <w:r w:rsidR="009357CC">
        <w:rPr>
          <w:b/>
          <w:noProof/>
        </w:rPr>
        <w:t>,</w:t>
      </w:r>
      <w:r w:rsidR="009357CC" w:rsidRPr="00436E20">
        <w:rPr>
          <w:noProof/>
        </w:rPr>
        <w:t xml:space="preserve"> rooted in strong university ecosystems</w:t>
      </w:r>
      <w:r w:rsidR="009357CC">
        <w:rPr>
          <w:noProof/>
        </w:rPr>
        <w:t>,</w:t>
      </w:r>
      <w:r w:rsidR="009357CC" w:rsidRPr="00436E20">
        <w:rPr>
          <w:noProof/>
        </w:rPr>
        <w:t xml:space="preserve"> </w:t>
      </w:r>
      <w:r w:rsidR="009357CC">
        <w:rPr>
          <w:noProof/>
        </w:rPr>
        <w:t>to network and</w:t>
      </w:r>
      <w:r w:rsidR="009357CC" w:rsidRPr="00436E20">
        <w:rPr>
          <w:noProof/>
        </w:rPr>
        <w:t xml:space="preserve"> collaborate across borders to provide access to startups and scaleups to each other’s respective services, infrastructures and corporates</w:t>
      </w:r>
      <w:r>
        <w:rPr>
          <w:noProof/>
        </w:rPr>
        <w:t xml:space="preserve">. Synergies with existing networks will be </w:t>
      </w:r>
      <w:r w:rsidR="1CB70041">
        <w:rPr>
          <w:noProof/>
        </w:rPr>
        <w:t xml:space="preserve"> </w:t>
      </w:r>
      <w:r w:rsidR="00376CF8">
        <w:rPr>
          <w:noProof/>
        </w:rPr>
        <w:t>harnessed</w:t>
      </w:r>
      <w:r>
        <w:rPr>
          <w:noProof/>
        </w:rPr>
        <w:t xml:space="preserve"> where relevant</w:t>
      </w:r>
      <w:r w:rsidR="009357CC" w:rsidRPr="00436E20">
        <w:rPr>
          <w:noProof/>
        </w:rPr>
        <w:t xml:space="preserve"> (2026).</w:t>
      </w:r>
    </w:p>
    <w:p w14:paraId="5ACDDB93" w14:textId="012E2101" w:rsidR="009357CC" w:rsidRPr="00436E20" w:rsidRDefault="009357CC" w:rsidP="550F874B">
      <w:pPr>
        <w:pStyle w:val="ListParagraph"/>
        <w:numPr>
          <w:ilvl w:val="1"/>
          <w:numId w:val="13"/>
        </w:numPr>
        <w:spacing w:after="120" w:line="257" w:lineRule="auto"/>
        <w:jc w:val="both"/>
        <w:rPr>
          <w:noProof/>
        </w:rPr>
      </w:pPr>
      <w:r w:rsidRPr="00436E20">
        <w:rPr>
          <w:noProof/>
        </w:rPr>
        <w:t xml:space="preserve">develop a </w:t>
      </w:r>
      <w:r w:rsidRPr="00436E20">
        <w:rPr>
          <w:b/>
          <w:bCs/>
          <w:noProof/>
        </w:rPr>
        <w:t>blueprint for licensing, royalty- and revenue-sharing and equity participation for academic institutions and their inventors</w:t>
      </w:r>
      <w:r w:rsidRPr="00436E20">
        <w:rPr>
          <w:noProof/>
        </w:rPr>
        <w:t xml:space="preserve"> when commercialising IP and creating spinoffs, following best commercial practice. The Commission will support capacity-building of Technology Transfer Offices and the creation of ‘venture builders’ roles in research performing organisations, including Research and Technology Organisations, research infrastructures and universities (2026).</w:t>
      </w:r>
    </w:p>
    <w:p w14:paraId="266D8320" w14:textId="41D17AF6" w:rsidR="009357CC" w:rsidRPr="00436E20" w:rsidRDefault="009357CC" w:rsidP="00EF18D2">
      <w:pPr>
        <w:pStyle w:val="ListParagraph"/>
        <w:numPr>
          <w:ilvl w:val="1"/>
          <w:numId w:val="13"/>
        </w:numPr>
        <w:spacing w:after="120" w:line="257" w:lineRule="auto"/>
        <w:ind w:hanging="357"/>
        <w:contextualSpacing w:val="0"/>
        <w:jc w:val="both"/>
        <w:rPr>
          <w:noProof/>
        </w:rPr>
      </w:pPr>
      <w:r w:rsidRPr="00436E20">
        <w:rPr>
          <w:rFonts w:eastAsia="Aptos"/>
          <w:noProof/>
        </w:rPr>
        <w:t xml:space="preserve">provide legal and implementation </w:t>
      </w:r>
      <w:r w:rsidRPr="00436E20">
        <w:rPr>
          <w:rFonts w:eastAsia="Aptos"/>
          <w:b/>
          <w:bCs/>
          <w:noProof/>
        </w:rPr>
        <w:t>guidance on the applicable</w:t>
      </w:r>
      <w:r w:rsidRPr="00436E20">
        <w:rPr>
          <w:rFonts w:eastAsia="Aptos"/>
          <w:noProof/>
        </w:rPr>
        <w:t xml:space="preserve"> </w:t>
      </w:r>
      <w:r w:rsidRPr="00436E20">
        <w:rPr>
          <w:rFonts w:eastAsia="Aptos"/>
          <w:b/>
          <w:bCs/>
          <w:noProof/>
        </w:rPr>
        <w:t>State aid rules</w:t>
      </w:r>
      <w:r w:rsidRPr="00436E20">
        <w:rPr>
          <w:rFonts w:eastAsia="Aptos"/>
          <w:noProof/>
        </w:rPr>
        <w:t xml:space="preserve"> to</w:t>
      </w:r>
      <w:r w:rsidR="00616ED8">
        <w:rPr>
          <w:rFonts w:eastAsia="Aptos"/>
          <w:noProof/>
        </w:rPr>
        <w:t xml:space="preserve"> support startups by</w:t>
      </w:r>
      <w:r w:rsidRPr="00436E20">
        <w:rPr>
          <w:rFonts w:eastAsia="Aptos"/>
          <w:noProof/>
        </w:rPr>
        <w:t xml:space="preserve"> clarify</w:t>
      </w:r>
      <w:r w:rsidR="00616ED8">
        <w:rPr>
          <w:rFonts w:eastAsia="Aptos"/>
          <w:noProof/>
        </w:rPr>
        <w:t>ing</w:t>
      </w:r>
      <w:r w:rsidRPr="00436E20">
        <w:rPr>
          <w:rFonts w:eastAsia="Aptos"/>
          <w:noProof/>
        </w:rPr>
        <w:t xml:space="preserve"> the conditions under which universities and public research organisations can grant IP rights in compliance with State aid rules (2026).</w:t>
      </w:r>
    </w:p>
    <w:p w14:paraId="524C2B9B" w14:textId="77777777" w:rsidR="009357CC" w:rsidRDefault="009357CC" w:rsidP="00637D56">
      <w:pPr>
        <w:pStyle w:val="ListParagraph"/>
        <w:numPr>
          <w:ilvl w:val="0"/>
          <w:numId w:val="13"/>
        </w:numPr>
        <w:spacing w:after="120" w:line="257" w:lineRule="auto"/>
        <w:ind w:hanging="357"/>
        <w:contextualSpacing w:val="0"/>
        <w:jc w:val="both"/>
        <w:rPr>
          <w:noProof/>
        </w:rPr>
      </w:pPr>
      <w:r>
        <w:rPr>
          <w:noProof/>
        </w:rPr>
        <w:t xml:space="preserve">The Commission will propose a set of measures for </w:t>
      </w:r>
      <w:r w:rsidRPr="00342ED1">
        <w:rPr>
          <w:b/>
          <w:bCs/>
          <w:noProof/>
        </w:rPr>
        <w:t>pro-innovation procurement</w:t>
      </w:r>
      <w:r>
        <w:rPr>
          <w:noProof/>
        </w:rPr>
        <w:t>. In particular:</w:t>
      </w:r>
    </w:p>
    <w:p w14:paraId="4F31B000" w14:textId="77777777"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In the context of the </w:t>
      </w:r>
      <w:r w:rsidRPr="00342ED1">
        <w:rPr>
          <w:b/>
          <w:bCs/>
          <w:noProof/>
        </w:rPr>
        <w:t>revision of the EU public procurement directives</w:t>
      </w:r>
      <w:r>
        <w:rPr>
          <w:noProof/>
        </w:rPr>
        <w:t>, the Commission will seek ways to improve and simplify the access to public procurement, taking into account the needs of startups and scaleups. The public consultation would also look into issues particularly relevant for startups and scaleups, such as limiting overspecification and excessive financial requirements in tender documents and introducing more innovation-friendly IPR provisions and value engineering.</w:t>
      </w:r>
    </w:p>
    <w:p w14:paraId="4039CFE9" w14:textId="77777777"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In the context of the revision of the </w:t>
      </w:r>
      <w:r w:rsidRPr="00342ED1">
        <w:rPr>
          <w:b/>
          <w:bCs/>
          <w:noProof/>
        </w:rPr>
        <w:t>EU public procurement directive in the field of defence and security</w:t>
      </w:r>
      <w:r>
        <w:rPr>
          <w:noProof/>
        </w:rPr>
        <w:t xml:space="preserve">, the Commission will seek ways foster the </w:t>
      </w:r>
      <w:r>
        <w:rPr>
          <w:noProof/>
        </w:rPr>
        <w:lastRenderedPageBreak/>
        <w:t>inclusion of startups and scaleups in procurements and take into account a possible EU preference in procurements to reinforce EU competitiveness and technological sovereignty.</w:t>
      </w:r>
    </w:p>
    <w:p w14:paraId="04E9E44E" w14:textId="68EE9F20" w:rsidR="009357CC" w:rsidRDefault="009357CC" w:rsidP="00637D56">
      <w:pPr>
        <w:pStyle w:val="ListParagraph"/>
        <w:numPr>
          <w:ilvl w:val="1"/>
          <w:numId w:val="13"/>
        </w:numPr>
        <w:spacing w:after="120" w:line="257" w:lineRule="auto"/>
        <w:ind w:hanging="357"/>
        <w:contextualSpacing w:val="0"/>
        <w:jc w:val="both"/>
        <w:rPr>
          <w:noProof/>
        </w:rPr>
      </w:pPr>
      <w:r>
        <w:rPr>
          <w:noProof/>
        </w:rPr>
        <w:t xml:space="preserve">In the context of the </w:t>
      </w:r>
      <w:r w:rsidRPr="00342ED1">
        <w:rPr>
          <w:b/>
          <w:bCs/>
          <w:noProof/>
        </w:rPr>
        <w:t>European Innovation Act</w:t>
      </w:r>
      <w:r>
        <w:rPr>
          <w:noProof/>
        </w:rPr>
        <w:t xml:space="preserve">, complementing the above, the Commission will seek ways to increase total investments in public and private innovation procurement across Europe i) provide a fast-track procedure for public procurement of R&amp;D services that fall outside of the EU public procurement directives, including pre-commercial procurements; ii) incentivise innovation-minded sourcing strategies for private </w:t>
      </w:r>
      <w:r w:rsidR="003D7316">
        <w:rPr>
          <w:noProof/>
        </w:rPr>
        <w:t>procurers.</w:t>
      </w:r>
      <w:r>
        <w:rPr>
          <w:noProof/>
        </w:rPr>
        <w:t xml:space="preserve"> </w:t>
      </w:r>
    </w:p>
    <w:p w14:paraId="1BE842D4" w14:textId="77777777" w:rsidR="00530360" w:rsidRDefault="009357CC" w:rsidP="00637D56">
      <w:pPr>
        <w:spacing w:after="200" w:line="276" w:lineRule="auto"/>
        <w:rPr>
          <w:noProof/>
        </w:rPr>
      </w:pPr>
      <w:r>
        <w:rPr>
          <w:noProof/>
        </w:rPr>
        <w:t xml:space="preserve">The Commission will support the above legislative measures with </w:t>
      </w:r>
      <w:r w:rsidRPr="00637D56">
        <w:rPr>
          <w:b/>
          <w:noProof/>
        </w:rPr>
        <w:t>non-legislative support measures</w:t>
      </w:r>
      <w:r>
        <w:rPr>
          <w:noProof/>
        </w:rPr>
        <w:t>, such as i) continuing the EU wide monitoring of national innovation procurement policy frameworks and investments and integrating it into the European Research Area and European Innovation System scoreboards; ii) reinforcing support from EU R&amp;I funding to public buyers to implement joint innovation procurement in strategic sectors and technologies and iii) reinforcing the European network of national competence centres for innovation procurement and to extend it further to all Member States.</w:t>
      </w:r>
      <w:r>
        <w:rPr>
          <w:noProof/>
        </w:rPr>
        <w:br w:type="page"/>
      </w:r>
    </w:p>
    <w:p w14:paraId="7D1AA079" w14:textId="111ACB17" w:rsidR="000E44FF" w:rsidRPr="000E44FF" w:rsidRDefault="000E44FF" w:rsidP="000E44FF">
      <w:pPr>
        <w:pStyle w:val="ListParagraph"/>
        <w:numPr>
          <w:ilvl w:val="0"/>
          <w:numId w:val="27"/>
        </w:numPr>
        <w:spacing w:after="120" w:line="257" w:lineRule="auto"/>
        <w:jc w:val="both"/>
        <w:rPr>
          <w:rFonts w:eastAsia="Calibri"/>
          <w:b/>
          <w:bCs/>
          <w:noProof/>
          <w:lang w:val="en-IE"/>
        </w:rPr>
      </w:pPr>
      <w:r>
        <w:rPr>
          <w:rFonts w:eastAsia="Calibri"/>
          <w:b/>
          <w:bCs/>
          <w:noProof/>
          <w:u w:val="single"/>
          <w:lang w:val="en-IE"/>
        </w:rPr>
        <w:lastRenderedPageBreak/>
        <w:t>SUPPORT FOR THE BEST TALENT IN EUROPE</w:t>
      </w:r>
    </w:p>
    <w:p w14:paraId="540ECC51" w14:textId="77777777" w:rsidR="000E44FF" w:rsidRDefault="000E44FF" w:rsidP="00EF18D2">
      <w:pPr>
        <w:spacing w:after="120" w:line="257" w:lineRule="auto"/>
        <w:jc w:val="both"/>
        <w:rPr>
          <w:rFonts w:eastAsia="Calibri"/>
          <w:b/>
          <w:bCs/>
          <w:noProof/>
          <w:lang w:val="en-IE"/>
        </w:rPr>
      </w:pPr>
    </w:p>
    <w:p w14:paraId="7ED99200" w14:textId="018B3221" w:rsidR="009357CC" w:rsidRPr="008715C5" w:rsidRDefault="009357CC" w:rsidP="00EF18D2">
      <w:pPr>
        <w:spacing w:after="120" w:line="257" w:lineRule="auto"/>
        <w:jc w:val="both"/>
        <w:rPr>
          <w:rFonts w:eastAsia="Calibri"/>
          <w:noProof/>
          <w:lang w:val="en-IE"/>
        </w:rPr>
      </w:pPr>
      <w:r w:rsidRPr="00D36B91">
        <w:rPr>
          <w:rFonts w:eastAsia="Calibri"/>
          <w:b/>
          <w:bCs/>
          <w:noProof/>
          <w:lang w:val="en-IE"/>
        </w:rPr>
        <w:t>The success of a startup heavily relies on access to highly skilled talent</w:t>
      </w:r>
      <w:r w:rsidRPr="008715C5">
        <w:rPr>
          <w:rFonts w:eastAsia="Calibri"/>
          <w:noProof/>
          <w:lang w:val="en-IE"/>
        </w:rPr>
        <w:t xml:space="preserve">. Some </w:t>
      </w:r>
      <w:r w:rsidRPr="00A53250">
        <w:rPr>
          <w:rFonts w:eastAsia="Calibri"/>
          <w:noProof/>
          <w:lang w:val="en-IE"/>
        </w:rPr>
        <w:t xml:space="preserve">EU Member States have implemented initiatives like </w:t>
      </w:r>
      <w:r w:rsidRPr="00D36B91">
        <w:rPr>
          <w:rFonts w:eastAsia="Calibri"/>
          <w:noProof/>
          <w:lang w:val="en-IE"/>
        </w:rPr>
        <w:t>digital nomad visa schemes</w:t>
      </w:r>
      <w:r w:rsidRPr="00A53250">
        <w:rPr>
          <w:rFonts w:eastAsia="Calibri"/>
          <w:noProof/>
          <w:lang w:val="en-IE"/>
        </w:rPr>
        <w:t xml:space="preserve">, </w:t>
      </w:r>
      <w:r w:rsidRPr="00D36B91">
        <w:rPr>
          <w:rFonts w:eastAsia="Calibri"/>
          <w:noProof/>
          <w:lang w:val="en-IE"/>
        </w:rPr>
        <w:t>e-residence digital IDs</w:t>
      </w:r>
      <w:r w:rsidRPr="00A53250">
        <w:rPr>
          <w:rFonts w:eastAsia="Calibri"/>
          <w:noProof/>
          <w:lang w:val="en-IE"/>
        </w:rPr>
        <w:t xml:space="preserve"> and </w:t>
      </w:r>
      <w:r w:rsidRPr="00D36B91">
        <w:rPr>
          <w:rFonts w:eastAsia="Calibri"/>
          <w:noProof/>
          <w:lang w:val="en-IE"/>
        </w:rPr>
        <w:t>qualified worker programmes</w:t>
      </w:r>
      <w:r w:rsidRPr="00A53250">
        <w:rPr>
          <w:rFonts w:eastAsia="Calibri"/>
          <w:noProof/>
          <w:lang w:val="en-IE"/>
        </w:rPr>
        <w:t xml:space="preserve"> to attract top talent. These schemes are designed to facilitate the relocation of highly skilled candidates, making it easier for startups to tap into the global talent pool. </w:t>
      </w:r>
      <w:r w:rsidR="007F126D" w:rsidRPr="008715C5">
        <w:rPr>
          <w:rFonts w:eastAsia="Calibri"/>
          <w:noProof/>
          <w:lang w:val="en-IE"/>
        </w:rPr>
        <w:t xml:space="preserve">The EU Talent Pool and Talent Partnerships </w:t>
      </w:r>
      <w:r w:rsidR="00A441D8">
        <w:rPr>
          <w:rFonts w:eastAsia="Calibri"/>
          <w:noProof/>
          <w:lang w:val="en-IE"/>
        </w:rPr>
        <w:t xml:space="preserve">will also </w:t>
      </w:r>
      <w:r w:rsidR="007F126D" w:rsidRPr="008715C5">
        <w:rPr>
          <w:rFonts w:eastAsia="Calibri"/>
          <w:noProof/>
          <w:lang w:val="en-IE"/>
        </w:rPr>
        <w:t xml:space="preserve">help to recruit skilled third-country nationals, </w:t>
      </w:r>
      <w:r w:rsidR="00E131BA">
        <w:rPr>
          <w:rFonts w:eastAsia="Calibri"/>
          <w:noProof/>
          <w:lang w:val="en-IE"/>
        </w:rPr>
        <w:t>tailored</w:t>
      </w:r>
      <w:r w:rsidR="00A441D8">
        <w:rPr>
          <w:rFonts w:eastAsia="Calibri"/>
          <w:noProof/>
          <w:lang w:val="en-IE"/>
        </w:rPr>
        <w:t xml:space="preserve"> to the sectors most in need of a skilled workforce</w:t>
      </w:r>
      <w:r w:rsidR="007F126D" w:rsidRPr="008715C5">
        <w:rPr>
          <w:rFonts w:eastAsia="Calibri"/>
          <w:noProof/>
          <w:lang w:val="en-IE"/>
        </w:rPr>
        <w:t>.</w:t>
      </w:r>
      <w:r w:rsidR="00A441D8">
        <w:rPr>
          <w:rFonts w:eastAsia="Calibri"/>
          <w:noProof/>
          <w:lang w:val="en-IE"/>
        </w:rPr>
        <w:t xml:space="preserve"> </w:t>
      </w:r>
      <w:r w:rsidRPr="00A53250">
        <w:rPr>
          <w:rFonts w:eastAsia="Calibri"/>
          <w:noProof/>
          <w:lang w:val="en-IE"/>
        </w:rPr>
        <w:t xml:space="preserve">rthermore, </w:t>
      </w:r>
      <w:r w:rsidRPr="00D36B91">
        <w:rPr>
          <w:rFonts w:eastAsia="Calibri"/>
          <w:noProof/>
          <w:lang w:val="en-IE"/>
        </w:rPr>
        <w:t>59% of startups</w:t>
      </w:r>
      <w:r w:rsidRPr="00A53250">
        <w:rPr>
          <w:rFonts w:eastAsia="Calibri"/>
          <w:noProof/>
          <w:lang w:val="en-IE"/>
        </w:rPr>
        <w:t xml:space="preserve"> in Europe have remotely distributed teams, with </w:t>
      </w:r>
      <w:r w:rsidRPr="00D36B91">
        <w:rPr>
          <w:rFonts w:eastAsia="Calibri"/>
          <w:noProof/>
          <w:lang w:val="en-IE"/>
        </w:rPr>
        <w:t>78% of engineering teams</w:t>
      </w:r>
      <w:r w:rsidRPr="00A53250">
        <w:rPr>
          <w:rFonts w:eastAsia="Calibri"/>
          <w:noProof/>
          <w:lang w:val="en-IE"/>
        </w:rPr>
        <w:t xml:space="preserve"> working remotely. This trend has helped prevent</w:t>
      </w:r>
      <w:r w:rsidRPr="008715C5">
        <w:rPr>
          <w:rFonts w:eastAsia="Calibri"/>
          <w:noProof/>
          <w:lang w:val="en-IE"/>
        </w:rPr>
        <w:t xml:space="preserve"> regional brain drain and enabled startups to access a wider pool of European talent while minimizing operational costs. </w:t>
      </w:r>
      <w:r w:rsidR="009F46EB">
        <w:rPr>
          <w:rFonts w:eastAsia="Calibri"/>
          <w:noProof/>
          <w:lang w:val="en-IE"/>
        </w:rPr>
        <w:t xml:space="preserve">However, work in remote cross-border teams remains hampered by </w:t>
      </w:r>
      <w:r w:rsidR="4FA4621B" w:rsidRPr="550F874B">
        <w:rPr>
          <w:rFonts w:eastAsia="Calibri"/>
          <w:noProof/>
          <w:lang w:val="en-IE"/>
        </w:rPr>
        <w:t xml:space="preserve">the complexity of </w:t>
      </w:r>
      <w:r w:rsidR="009F46EB">
        <w:rPr>
          <w:rFonts w:eastAsia="Calibri"/>
          <w:noProof/>
          <w:lang w:val="en-IE"/>
        </w:rPr>
        <w:t>tax and social security obligations</w:t>
      </w:r>
      <w:r w:rsidR="00534B1D">
        <w:rPr>
          <w:rFonts w:eastAsia="Calibri"/>
          <w:noProof/>
          <w:lang w:val="en-IE"/>
        </w:rPr>
        <w:t>.</w:t>
      </w:r>
      <w:r w:rsidR="009F46EB" w:rsidRPr="008715C5">
        <w:rPr>
          <w:rFonts w:eastAsia="Calibri"/>
          <w:noProof/>
          <w:lang w:val="en-IE"/>
        </w:rPr>
        <w:t xml:space="preserve"> </w:t>
      </w:r>
      <w:r w:rsidR="00A441D8" w:rsidRPr="008715C5" w:rsidDel="00A441D8">
        <w:rPr>
          <w:rFonts w:eastAsia="Calibri"/>
          <w:noProof/>
          <w:lang w:val="en-IE"/>
        </w:rPr>
        <w:t xml:space="preserve"> </w:t>
      </w:r>
    </w:p>
    <w:p w14:paraId="7BC310F1" w14:textId="6F8EB947" w:rsidR="009357CC" w:rsidRDefault="009357CC" w:rsidP="00EF18D2">
      <w:pPr>
        <w:spacing w:after="120" w:line="257" w:lineRule="auto"/>
        <w:jc w:val="both"/>
        <w:rPr>
          <w:rFonts w:eastAsia="Calibri"/>
          <w:noProof/>
          <w:lang w:val="en-IE"/>
        </w:rPr>
      </w:pPr>
      <w:r w:rsidRPr="00D36B91">
        <w:rPr>
          <w:rFonts w:eastAsia="Calibri"/>
          <w:b/>
          <w:bCs/>
          <w:noProof/>
          <w:lang w:val="en-IE"/>
        </w:rPr>
        <w:t>Despite these initiatives, competition for qualified talent remains fierce</w:t>
      </w:r>
      <w:r w:rsidRPr="008715C5">
        <w:rPr>
          <w:rFonts w:eastAsia="Calibri"/>
          <w:noProof/>
          <w:lang w:val="en-IE"/>
        </w:rPr>
        <w:t>. Cross-border mobility obstacles,</w:t>
      </w:r>
      <w:r w:rsidR="00D171A9">
        <w:rPr>
          <w:rFonts w:eastAsia="Calibri"/>
          <w:noProof/>
          <w:lang w:val="en-IE"/>
        </w:rPr>
        <w:t xml:space="preserve"> notably hind</w:t>
      </w:r>
      <w:r w:rsidR="00603C71">
        <w:rPr>
          <w:rFonts w:eastAsia="Calibri"/>
          <w:noProof/>
          <w:lang w:val="en-IE"/>
        </w:rPr>
        <w:t>rances</w:t>
      </w:r>
      <w:r w:rsidR="00D171A9">
        <w:rPr>
          <w:rFonts w:eastAsia="Calibri"/>
          <w:noProof/>
          <w:lang w:val="en-IE"/>
        </w:rPr>
        <w:t xml:space="preserve"> to the recognition of qualifications,</w:t>
      </w:r>
      <w:r w:rsidRPr="008715C5">
        <w:rPr>
          <w:rFonts w:eastAsia="Calibri"/>
          <w:noProof/>
          <w:lang w:val="en-IE"/>
        </w:rPr>
        <w:t>untapped academic potential</w:t>
      </w:r>
      <w:r w:rsidR="00831B80">
        <w:rPr>
          <w:rFonts w:eastAsia="Calibri"/>
          <w:noProof/>
          <w:lang w:val="en-IE"/>
        </w:rPr>
        <w:t>,</w:t>
      </w:r>
      <w:r w:rsidR="00831B80" w:rsidRPr="00831B80">
        <w:rPr>
          <w:rFonts w:eastAsia="Calibri"/>
          <w:noProof/>
          <w:lang w:val="en-IE"/>
        </w:rPr>
        <w:t xml:space="preserve"> </w:t>
      </w:r>
      <w:r w:rsidR="00831B80">
        <w:rPr>
          <w:rFonts w:eastAsia="Calibri"/>
          <w:noProof/>
          <w:lang w:val="en-IE"/>
        </w:rPr>
        <w:t xml:space="preserve">significant underrepresentation of women </w:t>
      </w:r>
      <w:r w:rsidRPr="008715C5">
        <w:rPr>
          <w:rFonts w:eastAsia="Calibri"/>
          <w:noProof/>
          <w:lang w:val="en-IE"/>
        </w:rPr>
        <w:t xml:space="preserve">and limited diversity contribute to this issue. Additionally, startups often cannot match </w:t>
      </w:r>
      <w:r w:rsidRPr="00A53250">
        <w:rPr>
          <w:rFonts w:eastAsia="Calibri"/>
          <w:noProof/>
          <w:lang w:val="en-IE"/>
        </w:rPr>
        <w:t xml:space="preserve">the </w:t>
      </w:r>
      <w:r w:rsidRPr="00D36B91">
        <w:rPr>
          <w:rFonts w:eastAsia="Calibri"/>
          <w:noProof/>
          <w:lang w:val="en-IE"/>
        </w:rPr>
        <w:t>wages and benefits</w:t>
      </w:r>
      <w:r w:rsidRPr="008715C5">
        <w:rPr>
          <w:rFonts w:eastAsia="Calibri"/>
          <w:noProof/>
          <w:lang w:val="en-IE"/>
        </w:rPr>
        <w:t xml:space="preserve"> offered by larger companies, making it difficult to attract top employees. The complexities around </w:t>
      </w:r>
      <w:r w:rsidRPr="008715C5">
        <w:rPr>
          <w:rFonts w:eastAsia="Calibri"/>
          <w:b/>
          <w:bCs/>
          <w:noProof/>
          <w:lang w:val="en-IE"/>
        </w:rPr>
        <w:t>Employee Stock Options (ESOs)</w:t>
      </w:r>
      <w:r w:rsidRPr="008715C5">
        <w:rPr>
          <w:rFonts w:eastAsia="Calibri"/>
          <w:noProof/>
          <w:lang w:val="en-IE"/>
        </w:rPr>
        <w:t>, such as differences in tax treatment across EU Member States, create additional challenges for startups when offering non-cash compensation to attract skilled talent.</w:t>
      </w:r>
    </w:p>
    <w:p w14:paraId="056DF301" w14:textId="5166C2F7" w:rsidR="009357CC" w:rsidRPr="008715C5" w:rsidRDefault="009357CC" w:rsidP="00EF18D2">
      <w:pPr>
        <w:spacing w:after="120" w:line="257" w:lineRule="auto"/>
        <w:jc w:val="both"/>
        <w:rPr>
          <w:rFonts w:eastAsia="Calibri"/>
          <w:noProof/>
          <w:lang w:val="en-IE"/>
        </w:rPr>
      </w:pPr>
      <w:r w:rsidRPr="00D36B91">
        <w:rPr>
          <w:rFonts w:eastAsia="Calibri"/>
          <w:b/>
          <w:bCs/>
          <w:noProof/>
          <w:lang w:val="en-IE"/>
        </w:rPr>
        <w:t xml:space="preserve">A major issue also lies in </w:t>
      </w:r>
      <w:r w:rsidRPr="00A53250">
        <w:rPr>
          <w:rFonts w:eastAsia="Calibri"/>
          <w:b/>
          <w:bCs/>
          <w:noProof/>
          <w:lang w:val="en-IE"/>
        </w:rPr>
        <w:t>entrepreneurial education</w:t>
      </w:r>
      <w:r>
        <w:rPr>
          <w:rFonts w:eastAsia="Calibri"/>
          <w:noProof/>
          <w:lang w:val="en-IE"/>
        </w:rPr>
        <w:t>.</w:t>
      </w:r>
      <w:r w:rsidRPr="00436E20">
        <w:rPr>
          <w:rStyle w:val="FootnoteReference"/>
          <w:rFonts w:eastAsia="Calibri"/>
          <w:noProof/>
        </w:rPr>
        <w:footnoteReference w:id="36"/>
      </w:r>
      <w:r w:rsidRPr="008715C5">
        <w:rPr>
          <w:rFonts w:eastAsia="Calibri"/>
          <w:noProof/>
          <w:lang w:val="en-IE"/>
        </w:rPr>
        <w:t xml:space="preserve"> </w:t>
      </w:r>
      <w:r>
        <w:rPr>
          <w:rFonts w:eastAsia="Calibri"/>
          <w:noProof/>
          <w:lang w:val="en-IE"/>
        </w:rPr>
        <w:t>L</w:t>
      </w:r>
      <w:r w:rsidRPr="008715C5">
        <w:rPr>
          <w:rFonts w:eastAsia="Calibri"/>
          <w:noProof/>
          <w:lang w:val="en-IE"/>
        </w:rPr>
        <w:t xml:space="preserve">ess </w:t>
      </w:r>
      <w:r w:rsidRPr="00A53250">
        <w:rPr>
          <w:rFonts w:eastAsia="Calibri"/>
          <w:noProof/>
          <w:lang w:val="en-IE"/>
        </w:rPr>
        <w:t xml:space="preserve">than </w:t>
      </w:r>
      <w:r w:rsidRPr="00D36B91">
        <w:rPr>
          <w:rFonts w:eastAsia="Calibri"/>
          <w:noProof/>
          <w:lang w:val="en-IE"/>
        </w:rPr>
        <w:t>50%</w:t>
      </w:r>
      <w:r w:rsidRPr="00A53250">
        <w:rPr>
          <w:rFonts w:eastAsia="Calibri"/>
          <w:noProof/>
          <w:lang w:val="en-IE"/>
        </w:rPr>
        <w:t xml:space="preserve"> of EU students in secondary and higher education have access to any form of entrepreneurial education, hindering the development of future entrepreneurs</w:t>
      </w:r>
      <w:r w:rsidRPr="008715C5">
        <w:rPr>
          <w:rFonts w:eastAsia="Calibri"/>
          <w:noProof/>
          <w:lang w:val="en-IE"/>
        </w:rPr>
        <w:t>.</w:t>
      </w:r>
      <w:r w:rsidRPr="00436E20">
        <w:rPr>
          <w:rStyle w:val="FootnoteReference"/>
          <w:rFonts w:eastAsia="Calibri"/>
          <w:noProof/>
        </w:rPr>
        <w:footnoteReference w:id="37"/>
      </w:r>
      <w:r w:rsidRPr="0002751A">
        <w:rPr>
          <w:rStyle w:val="FootnoteReference"/>
          <w:rFonts w:eastAsia="Calibri"/>
          <w:noProof/>
        </w:rPr>
        <w:t xml:space="preserve"> </w:t>
      </w:r>
      <w:r w:rsidRPr="00A53250">
        <w:rPr>
          <w:rFonts w:eastAsia="Calibri"/>
          <w:noProof/>
          <w:lang w:val="en-IE"/>
        </w:rPr>
        <w:t xml:space="preserve">Furthermore, existing frameworks for managing and commercialising academic research results often lack the necessary </w:t>
      </w:r>
      <w:r w:rsidRPr="00D36B91">
        <w:rPr>
          <w:rFonts w:eastAsia="Calibri"/>
          <w:noProof/>
          <w:lang w:val="en-IE"/>
        </w:rPr>
        <w:t>incentives</w:t>
      </w:r>
      <w:r w:rsidRPr="008715C5">
        <w:rPr>
          <w:rFonts w:eastAsia="Calibri"/>
          <w:noProof/>
          <w:lang w:val="en-IE"/>
        </w:rPr>
        <w:t>, as universities prioriti</w:t>
      </w:r>
      <w:r>
        <w:rPr>
          <w:rFonts w:eastAsia="Calibri"/>
          <w:noProof/>
          <w:lang w:val="en-IE"/>
        </w:rPr>
        <w:t>s</w:t>
      </w:r>
      <w:r w:rsidRPr="008715C5">
        <w:rPr>
          <w:rFonts w:eastAsia="Calibri"/>
          <w:noProof/>
          <w:lang w:val="en-IE"/>
        </w:rPr>
        <w:t>e academic publication over commerciali</w:t>
      </w:r>
      <w:r>
        <w:rPr>
          <w:rFonts w:eastAsia="Calibri"/>
          <w:noProof/>
          <w:lang w:val="en-IE"/>
        </w:rPr>
        <w:t>s</w:t>
      </w:r>
      <w:r w:rsidRPr="008715C5">
        <w:rPr>
          <w:rFonts w:eastAsia="Calibri"/>
          <w:noProof/>
          <w:lang w:val="en-IE"/>
        </w:rPr>
        <w:t>ation</w:t>
      </w:r>
      <w:r>
        <w:rPr>
          <w:rFonts w:eastAsia="Calibri"/>
          <w:noProof/>
          <w:lang w:val="en-IE"/>
        </w:rPr>
        <w:t>.</w:t>
      </w:r>
      <w:r w:rsidRPr="00436E20">
        <w:rPr>
          <w:rFonts w:eastAsia="Arial"/>
          <w:noProof/>
          <w:vertAlign w:val="superscript"/>
        </w:rPr>
        <w:footnoteReference w:id="38"/>
      </w:r>
      <w:r w:rsidR="0068423E" w:rsidRPr="0068423E">
        <w:rPr>
          <w:rFonts w:eastAsia="Calibri"/>
          <w:noProof/>
          <w:vertAlign w:val="superscript"/>
          <w:lang w:val="en-IE"/>
        </w:rPr>
        <w:t>,</w:t>
      </w:r>
      <w:r w:rsidRPr="00436E20">
        <w:rPr>
          <w:rStyle w:val="FootnoteReference"/>
          <w:rFonts w:eastAsia="Calibri"/>
          <w:noProof/>
        </w:rPr>
        <w:footnoteReference w:id="39"/>
      </w:r>
    </w:p>
    <w:p w14:paraId="66100DCE" w14:textId="6E526667" w:rsidR="009357CC" w:rsidRPr="00113FE7" w:rsidRDefault="009357CC" w:rsidP="00EF18D2">
      <w:pPr>
        <w:spacing w:after="120" w:line="257" w:lineRule="auto"/>
        <w:jc w:val="both"/>
        <w:rPr>
          <w:rFonts w:eastAsia="Calibri"/>
          <w:noProof/>
          <w:lang w:val="en-IE"/>
        </w:rPr>
      </w:pPr>
      <w:r w:rsidRPr="00D36B91">
        <w:rPr>
          <w:rFonts w:eastAsia="Calibri"/>
          <w:b/>
          <w:bCs/>
          <w:noProof/>
          <w:lang w:val="en-IE"/>
        </w:rPr>
        <w:t xml:space="preserve">To address the talent gap, it is essential to improve </w:t>
      </w:r>
      <w:r w:rsidRPr="00976EAA">
        <w:rPr>
          <w:rFonts w:eastAsia="Calibri"/>
          <w:b/>
          <w:bCs/>
          <w:noProof/>
          <w:lang w:val="en-IE"/>
        </w:rPr>
        <w:t>entrepreneurial education</w:t>
      </w:r>
      <w:r w:rsidRPr="00D36B91">
        <w:rPr>
          <w:rFonts w:eastAsia="Calibri"/>
          <w:b/>
          <w:bCs/>
          <w:noProof/>
          <w:lang w:val="en-IE"/>
        </w:rPr>
        <w:t>,</w:t>
      </w:r>
      <w:r w:rsidRPr="00976EAA">
        <w:rPr>
          <w:rFonts w:eastAsia="Calibri"/>
          <w:noProof/>
          <w:lang w:val="en-IE"/>
        </w:rPr>
        <w:t xml:space="preserve"> ensuring that </w:t>
      </w:r>
      <w:r w:rsidRPr="00D36B91">
        <w:rPr>
          <w:rFonts w:eastAsia="Calibri"/>
          <w:noProof/>
          <w:lang w:val="en-IE"/>
        </w:rPr>
        <w:t>students</w:t>
      </w:r>
      <w:r w:rsidRPr="00976EAA">
        <w:rPr>
          <w:rFonts w:eastAsia="Calibri"/>
          <w:noProof/>
          <w:lang w:val="en-IE"/>
        </w:rPr>
        <w:t xml:space="preserve"> acquire the skills, mindset, and resilience necessary to innovate and create</w:t>
      </w:r>
      <w:r w:rsidRPr="008715C5">
        <w:rPr>
          <w:rFonts w:eastAsia="Calibri"/>
          <w:noProof/>
          <w:lang w:val="en-IE"/>
        </w:rPr>
        <w:t xml:space="preserve"> jobs. Programs should be better aligned with industry needs to equip students with practical knowledge. Additionally, promoting</w:t>
      </w:r>
      <w:r w:rsidR="0092041C" w:rsidRPr="0092041C">
        <w:rPr>
          <w:rFonts w:eastAsia="Calibri"/>
          <w:b/>
          <w:bCs/>
          <w:noProof/>
          <w:lang w:val="en-IE"/>
        </w:rPr>
        <w:t xml:space="preserve"> </w:t>
      </w:r>
      <w:r w:rsidR="0092041C" w:rsidRPr="00EE6EE3">
        <w:rPr>
          <w:rFonts w:eastAsia="Calibri"/>
          <w:b/>
          <w:bCs/>
          <w:noProof/>
          <w:lang w:val="en-IE"/>
        </w:rPr>
        <w:t>gender balance</w:t>
      </w:r>
      <w:r w:rsidR="0092041C">
        <w:rPr>
          <w:rFonts w:eastAsia="Calibri"/>
          <w:b/>
          <w:bCs/>
          <w:noProof/>
          <w:lang w:val="en-IE"/>
        </w:rPr>
        <w:t>d leadership</w:t>
      </w:r>
      <w:r w:rsidR="0092041C" w:rsidRPr="00EE6EE3">
        <w:rPr>
          <w:rFonts w:eastAsia="Calibri"/>
          <w:b/>
          <w:bCs/>
          <w:noProof/>
          <w:lang w:val="en-IE"/>
        </w:rPr>
        <w:t xml:space="preserve"> and</w:t>
      </w:r>
      <w:r w:rsidRPr="008715C5">
        <w:rPr>
          <w:rFonts w:eastAsia="Calibri"/>
          <w:noProof/>
          <w:lang w:val="en-IE"/>
        </w:rPr>
        <w:t xml:space="preserve"> </w:t>
      </w:r>
      <w:r w:rsidRPr="008715C5">
        <w:rPr>
          <w:rFonts w:eastAsia="Calibri"/>
          <w:b/>
          <w:bCs/>
          <w:noProof/>
          <w:lang w:val="en-IE"/>
        </w:rPr>
        <w:t>diversity</w:t>
      </w:r>
      <w:r w:rsidRPr="008715C5">
        <w:rPr>
          <w:rFonts w:eastAsia="Calibri"/>
          <w:noProof/>
          <w:lang w:val="en-IE"/>
        </w:rPr>
        <w:t xml:space="preserve"> within the startup ecosystem will help build a stronger, more resilient talent pipeline. </w:t>
      </w:r>
      <w:r w:rsidRPr="00D36B91">
        <w:rPr>
          <w:rFonts w:eastAsia="Calibri"/>
          <w:b/>
          <w:bCs/>
          <w:noProof/>
          <w:lang w:val="en-IE"/>
        </w:rPr>
        <w:t xml:space="preserve">Universities should also focus more on incentivising </w:t>
      </w:r>
      <w:r w:rsidRPr="00113FE7">
        <w:rPr>
          <w:rFonts w:eastAsia="Calibri"/>
          <w:b/>
          <w:bCs/>
          <w:noProof/>
          <w:lang w:val="en-IE"/>
        </w:rPr>
        <w:t>commercialisation</w:t>
      </w:r>
      <w:r w:rsidRPr="00D36B91">
        <w:rPr>
          <w:rFonts w:eastAsia="Calibri"/>
          <w:b/>
          <w:bCs/>
          <w:noProof/>
          <w:lang w:val="en-IE"/>
        </w:rPr>
        <w:t xml:space="preserve"> of research</w:t>
      </w:r>
      <w:r w:rsidRPr="00113FE7">
        <w:rPr>
          <w:rFonts w:eastAsia="Calibri"/>
          <w:noProof/>
          <w:lang w:val="en-IE"/>
        </w:rPr>
        <w:t xml:space="preserve"> and creating </w:t>
      </w:r>
      <w:r w:rsidRPr="00D36B91">
        <w:rPr>
          <w:rFonts w:eastAsia="Calibri"/>
          <w:noProof/>
          <w:lang w:val="en-IE"/>
        </w:rPr>
        <w:t>appropriate reward structures</w:t>
      </w:r>
      <w:r w:rsidRPr="00113FE7">
        <w:rPr>
          <w:rFonts w:eastAsia="Calibri"/>
          <w:noProof/>
          <w:lang w:val="en-IE"/>
        </w:rPr>
        <w:t xml:space="preserve"> for researchers who contribute to spinoff formations and knowledge transfer. Harmoni</w:t>
      </w:r>
      <w:r>
        <w:rPr>
          <w:rFonts w:eastAsia="Calibri"/>
          <w:noProof/>
          <w:lang w:val="en-IE"/>
        </w:rPr>
        <w:t>s</w:t>
      </w:r>
      <w:r w:rsidRPr="00113FE7">
        <w:rPr>
          <w:rFonts w:eastAsia="Calibri"/>
          <w:noProof/>
          <w:lang w:val="en-IE"/>
        </w:rPr>
        <w:t>ing</w:t>
      </w:r>
      <w:r w:rsidRPr="0A58B866">
        <w:rPr>
          <w:rFonts w:eastAsia="Calibri"/>
          <w:noProof/>
          <w:lang w:val="en-IE"/>
        </w:rPr>
        <w:t xml:space="preserve"> </w:t>
      </w:r>
      <w:r w:rsidR="6B6C7403" w:rsidRPr="0A58B866">
        <w:rPr>
          <w:rFonts w:eastAsia="Calibri"/>
          <w:noProof/>
          <w:lang w:val="en-IE"/>
        </w:rPr>
        <w:t>certain</w:t>
      </w:r>
      <w:r w:rsidRPr="00113FE7">
        <w:rPr>
          <w:rFonts w:eastAsia="Calibri"/>
          <w:noProof/>
          <w:lang w:val="en-IE"/>
        </w:rPr>
        <w:t xml:space="preserve"> </w:t>
      </w:r>
      <w:r w:rsidR="00821304">
        <w:rPr>
          <w:rFonts w:eastAsia="Calibri"/>
          <w:noProof/>
          <w:lang w:val="en-IE"/>
        </w:rPr>
        <w:t xml:space="preserve">aspects of </w:t>
      </w:r>
      <w:r w:rsidR="244A06F7" w:rsidRPr="0A58B866">
        <w:rPr>
          <w:rFonts w:eastAsia="Calibri"/>
          <w:noProof/>
          <w:lang w:val="en-IE"/>
        </w:rPr>
        <w:t xml:space="preserve">the treatment of </w:t>
      </w:r>
      <w:r w:rsidRPr="00113FE7">
        <w:rPr>
          <w:rFonts w:eastAsia="Calibri"/>
          <w:b/>
          <w:bCs/>
          <w:noProof/>
          <w:lang w:val="en-IE"/>
        </w:rPr>
        <w:t>Employee Stock Option</w:t>
      </w:r>
      <w:r w:rsidR="002D1D60">
        <w:rPr>
          <w:rFonts w:eastAsia="Calibri"/>
          <w:b/>
          <w:bCs/>
          <w:noProof/>
          <w:lang w:val="en-IE"/>
        </w:rPr>
        <w:t>s</w:t>
      </w:r>
      <w:r w:rsidRPr="00113FE7">
        <w:rPr>
          <w:rFonts w:eastAsia="Calibri"/>
          <w:b/>
          <w:bCs/>
          <w:noProof/>
          <w:lang w:val="en-IE"/>
        </w:rPr>
        <w:t xml:space="preserve"> (ESO</w:t>
      </w:r>
      <w:r w:rsidRPr="0A58B866">
        <w:rPr>
          <w:rFonts w:eastAsia="Calibri"/>
          <w:b/>
          <w:bCs/>
          <w:noProof/>
          <w:lang w:val="en-IE"/>
        </w:rPr>
        <w:t>)</w:t>
      </w:r>
      <w:r w:rsidR="10536775" w:rsidRPr="0A58B866">
        <w:rPr>
          <w:rFonts w:eastAsia="Calibri"/>
          <w:b/>
          <w:bCs/>
          <w:noProof/>
          <w:lang w:val="en-IE"/>
        </w:rPr>
        <w:t>,</w:t>
      </w:r>
      <w:r w:rsidR="00557433" w:rsidRPr="00557433">
        <w:rPr>
          <w:rFonts w:eastAsia="Calibri"/>
          <w:noProof/>
          <w:lang w:val="en-IE"/>
        </w:rPr>
        <w:t xml:space="preserve"> including</w:t>
      </w:r>
      <w:r w:rsidRPr="00113FE7">
        <w:rPr>
          <w:rFonts w:eastAsia="Calibri"/>
          <w:noProof/>
          <w:lang w:val="en-IE"/>
        </w:rPr>
        <w:t xml:space="preserve"> taxation</w:t>
      </w:r>
      <w:r w:rsidR="603DC7AC" w:rsidRPr="0A58B866">
        <w:rPr>
          <w:rFonts w:eastAsia="Calibri"/>
          <w:noProof/>
          <w:lang w:val="en-IE"/>
        </w:rPr>
        <w:t>,</w:t>
      </w:r>
      <w:r w:rsidRPr="00113FE7">
        <w:rPr>
          <w:rFonts w:eastAsia="Calibri"/>
          <w:noProof/>
          <w:lang w:val="en-IE"/>
        </w:rPr>
        <w:t xml:space="preserve"> across EU Member States will reduce administrative complexity and encourage more startups to offer ESOs as a competitive benefit. To help retain talent, startups should continue to embrace the </w:t>
      </w:r>
      <w:r w:rsidRPr="00D36B91">
        <w:rPr>
          <w:rFonts w:eastAsia="Calibri"/>
          <w:noProof/>
          <w:lang w:val="en-IE"/>
        </w:rPr>
        <w:t>remote working model</w:t>
      </w:r>
      <w:r w:rsidRPr="00113FE7">
        <w:rPr>
          <w:rFonts w:eastAsia="Calibri"/>
          <w:noProof/>
          <w:lang w:val="en-IE"/>
        </w:rPr>
        <w:t xml:space="preserve">, ensuring they </w:t>
      </w:r>
      <w:r w:rsidRPr="00113FE7">
        <w:rPr>
          <w:rFonts w:eastAsia="Calibri"/>
          <w:noProof/>
          <w:lang w:val="en-IE"/>
        </w:rPr>
        <w:lastRenderedPageBreak/>
        <w:t xml:space="preserve">navigate the challenges related to </w:t>
      </w:r>
      <w:r w:rsidRPr="00D36B91">
        <w:rPr>
          <w:rFonts w:eastAsia="Calibri"/>
          <w:noProof/>
          <w:lang w:val="en-IE"/>
        </w:rPr>
        <w:t>healthcare</w:t>
      </w:r>
      <w:r w:rsidRPr="00113FE7">
        <w:rPr>
          <w:rFonts w:eastAsia="Calibri"/>
          <w:noProof/>
          <w:lang w:val="en-IE"/>
        </w:rPr>
        <w:t>,</w:t>
      </w:r>
      <w:r w:rsidR="0092041C">
        <w:rPr>
          <w:rFonts w:eastAsia="Calibri"/>
          <w:noProof/>
          <w:lang w:val="en-IE"/>
        </w:rPr>
        <w:t xml:space="preserve"> caregiving responsibilities,</w:t>
      </w:r>
      <w:r w:rsidRPr="00113FE7">
        <w:rPr>
          <w:rFonts w:eastAsia="Calibri"/>
          <w:noProof/>
          <w:lang w:val="en-IE"/>
        </w:rPr>
        <w:t xml:space="preserve"> </w:t>
      </w:r>
      <w:r w:rsidR="003065A8">
        <w:rPr>
          <w:rFonts w:eastAsia="Calibri"/>
          <w:noProof/>
          <w:lang w:val="en-IE"/>
        </w:rPr>
        <w:t>social security contributions</w:t>
      </w:r>
      <w:r w:rsidRPr="00113FE7">
        <w:rPr>
          <w:rFonts w:eastAsia="Calibri"/>
          <w:noProof/>
          <w:lang w:val="en-IE"/>
        </w:rPr>
        <w:t xml:space="preserve"> and </w:t>
      </w:r>
      <w:r w:rsidRPr="00D36B91">
        <w:rPr>
          <w:rFonts w:eastAsia="Calibri"/>
          <w:noProof/>
          <w:lang w:val="en-IE"/>
        </w:rPr>
        <w:t>retirement taxation</w:t>
      </w:r>
      <w:r w:rsidRPr="00113FE7">
        <w:rPr>
          <w:rFonts w:eastAsia="Calibri"/>
          <w:noProof/>
          <w:lang w:val="en-IE"/>
        </w:rPr>
        <w:t xml:space="preserve"> effectively.</w:t>
      </w:r>
    </w:p>
    <w:p w14:paraId="10EE8AA1" w14:textId="3985FEDC" w:rsidR="009357CC" w:rsidRDefault="009357CC" w:rsidP="00EF18D2">
      <w:pPr>
        <w:spacing w:after="120" w:line="257" w:lineRule="auto"/>
        <w:jc w:val="both"/>
        <w:rPr>
          <w:rFonts w:eastAsia="Calibri"/>
          <w:noProof/>
          <w:lang w:val="en-IE"/>
        </w:rPr>
      </w:pPr>
      <w:r w:rsidRPr="00D36B91">
        <w:rPr>
          <w:rFonts w:eastAsia="Calibri"/>
          <w:b/>
          <w:bCs/>
          <w:noProof/>
          <w:lang w:val="en-IE"/>
        </w:rPr>
        <w:t xml:space="preserve">The EU </w:t>
      </w:r>
      <w:r w:rsidRPr="0064508E">
        <w:rPr>
          <w:rFonts w:eastAsia="Calibri"/>
          <w:b/>
          <w:bCs/>
          <w:noProof/>
          <w:lang w:val="en-IE"/>
        </w:rPr>
        <w:t>Blue Card Directive</w:t>
      </w:r>
      <w:r w:rsidRPr="00D36B91">
        <w:rPr>
          <w:rFonts w:eastAsia="Calibri"/>
          <w:b/>
          <w:bCs/>
          <w:noProof/>
          <w:lang w:val="en-IE"/>
        </w:rPr>
        <w:t xml:space="preserve"> and the </w:t>
      </w:r>
      <w:r w:rsidRPr="0064508E">
        <w:rPr>
          <w:rFonts w:eastAsia="Calibri"/>
          <w:b/>
          <w:bCs/>
          <w:noProof/>
          <w:lang w:val="en-IE"/>
        </w:rPr>
        <w:t>Long-Term Residents Directive</w:t>
      </w:r>
      <w:r w:rsidRPr="00D36B91">
        <w:rPr>
          <w:rFonts w:eastAsia="Calibri"/>
          <w:b/>
          <w:bCs/>
          <w:noProof/>
          <w:lang w:val="en-IE"/>
        </w:rPr>
        <w:t xml:space="preserve"> proposal are key steps in facilitating the attraction and retention of </w:t>
      </w:r>
      <w:r w:rsidRPr="0064508E">
        <w:rPr>
          <w:rFonts w:eastAsia="Calibri"/>
          <w:b/>
          <w:bCs/>
          <w:noProof/>
          <w:lang w:val="en-IE"/>
        </w:rPr>
        <w:t>highly skilled non-EU talent</w:t>
      </w:r>
      <w:r w:rsidRPr="008715C5">
        <w:rPr>
          <w:rFonts w:eastAsia="Calibri"/>
          <w:noProof/>
          <w:lang w:val="en-IE"/>
        </w:rPr>
        <w:t xml:space="preserve">. </w:t>
      </w:r>
      <w:r w:rsidRPr="0064508E">
        <w:rPr>
          <w:rFonts w:eastAsia="Calibri"/>
          <w:noProof/>
          <w:lang w:val="en-IE"/>
        </w:rPr>
        <w:t xml:space="preserve">However, the Blue Card primarily addresses employees and not </w:t>
      </w:r>
      <w:r w:rsidRPr="00D36B91">
        <w:rPr>
          <w:rFonts w:eastAsia="Calibri"/>
          <w:noProof/>
          <w:lang w:val="en-IE"/>
        </w:rPr>
        <w:t>startup founders</w:t>
      </w:r>
      <w:r w:rsidRPr="0064508E">
        <w:rPr>
          <w:rFonts w:eastAsia="Calibri"/>
          <w:noProof/>
          <w:lang w:val="en-IE"/>
        </w:rPr>
        <w:t xml:space="preserve"> or </w:t>
      </w:r>
      <w:r w:rsidRPr="00D36B91">
        <w:rPr>
          <w:rFonts w:eastAsia="Calibri"/>
          <w:noProof/>
          <w:lang w:val="en-IE"/>
        </w:rPr>
        <w:t>innovative entrepreneurs</w:t>
      </w:r>
      <w:r w:rsidRPr="0064508E">
        <w:rPr>
          <w:rFonts w:eastAsia="Calibri"/>
          <w:noProof/>
          <w:lang w:val="en-IE"/>
        </w:rPr>
        <w:t xml:space="preserve">. </w:t>
      </w:r>
      <w:r w:rsidR="00391529">
        <w:rPr>
          <w:rFonts w:eastAsia="Calibri"/>
          <w:noProof/>
          <w:lang w:val="en-IE"/>
        </w:rPr>
        <w:t>S</w:t>
      </w:r>
      <w:r w:rsidRPr="0064508E">
        <w:rPr>
          <w:rFonts w:eastAsia="Calibri"/>
          <w:noProof/>
          <w:lang w:val="en-IE"/>
        </w:rPr>
        <w:t xml:space="preserve">ome Member States have </w:t>
      </w:r>
      <w:r w:rsidRPr="00D36B91">
        <w:rPr>
          <w:rFonts w:eastAsia="Calibri"/>
          <w:noProof/>
          <w:lang w:val="en-IE"/>
        </w:rPr>
        <w:t>national schemes</w:t>
      </w:r>
      <w:r w:rsidRPr="0064508E">
        <w:rPr>
          <w:rFonts w:eastAsia="Calibri"/>
          <w:noProof/>
          <w:lang w:val="en-IE"/>
        </w:rPr>
        <w:t xml:space="preserve">, but the process remains fragmented and complex. Streamlining these procedures for </w:t>
      </w:r>
      <w:r w:rsidRPr="00D36B91">
        <w:rPr>
          <w:rFonts w:eastAsia="Calibri"/>
          <w:noProof/>
          <w:lang w:val="en-IE"/>
        </w:rPr>
        <w:t>work and residence permits</w:t>
      </w:r>
      <w:r w:rsidRPr="0064508E">
        <w:rPr>
          <w:rFonts w:eastAsia="Calibri"/>
          <w:noProof/>
          <w:lang w:val="en-IE"/>
        </w:rPr>
        <w:t xml:space="preserve"> will help create a more cohesive and efficient system. </w:t>
      </w:r>
      <w:r w:rsidRPr="00204911">
        <w:rPr>
          <w:rFonts w:eastAsia="Calibri"/>
          <w:noProof/>
          <w:lang w:val="en-IE"/>
        </w:rPr>
        <w:t>Further, international recruitment from countries outside the EU will be essential to meet the gro</w:t>
      </w:r>
      <w:r w:rsidRPr="008715C5">
        <w:rPr>
          <w:rFonts w:eastAsia="Calibri"/>
          <w:noProof/>
          <w:lang w:val="en-IE"/>
        </w:rPr>
        <w:t>wing demand for specialized skills across all levels in the startup ecosystem.</w:t>
      </w:r>
      <w:r>
        <w:rPr>
          <w:rFonts w:eastAsia="Calibri"/>
          <w:noProof/>
          <w:lang w:val="en-IE"/>
        </w:rPr>
        <w:t xml:space="preserve"> </w:t>
      </w:r>
    </w:p>
    <w:p w14:paraId="7ED6B392" w14:textId="064DF70A" w:rsidR="00530360" w:rsidRDefault="000D4D5E" w:rsidP="00EF18D2">
      <w:pPr>
        <w:spacing w:after="120" w:line="257" w:lineRule="auto"/>
        <w:jc w:val="both"/>
        <w:rPr>
          <w:b/>
          <w:bCs/>
          <w:noProof/>
          <w:u w:val="single"/>
        </w:rPr>
      </w:pPr>
      <w:r w:rsidRPr="00436E20">
        <w:rPr>
          <w:rFonts w:eastAsia="Aptos"/>
          <w:b/>
          <w:bCs/>
          <w:noProof/>
          <w:u w:val="single"/>
        </w:rPr>
        <w:t xml:space="preserve">Actions </w:t>
      </w:r>
    </w:p>
    <w:p w14:paraId="0B7FEF81" w14:textId="778FAB9F" w:rsidR="009357CC" w:rsidRPr="002A533A" w:rsidRDefault="009357CC" w:rsidP="00EF18D2">
      <w:pPr>
        <w:spacing w:after="120" w:line="257" w:lineRule="auto"/>
        <w:jc w:val="both"/>
        <w:rPr>
          <w:rFonts w:eastAsia="Aptos"/>
          <w:noProof/>
        </w:rPr>
      </w:pPr>
      <w:r w:rsidRPr="002A533A">
        <w:rPr>
          <w:rFonts w:eastAsia="Aptos"/>
          <w:noProof/>
        </w:rPr>
        <w:t xml:space="preserve">The Commission will launch a </w:t>
      </w:r>
      <w:r w:rsidRPr="002A533A">
        <w:rPr>
          <w:rFonts w:eastAsia="Aptos"/>
          <w:b/>
          <w:bCs/>
          <w:noProof/>
        </w:rPr>
        <w:t xml:space="preserve">Blue Carpet initiative </w:t>
      </w:r>
      <w:r w:rsidRPr="002A533A">
        <w:rPr>
          <w:rFonts w:eastAsia="Aptos"/>
          <w:noProof/>
        </w:rPr>
        <w:t xml:space="preserve">to support the attraction and retention of highly skilled </w:t>
      </w:r>
      <w:r>
        <w:rPr>
          <w:rFonts w:eastAsia="Aptos"/>
          <w:noProof/>
        </w:rPr>
        <w:t xml:space="preserve">and diverse </w:t>
      </w:r>
      <w:r w:rsidRPr="002A533A">
        <w:rPr>
          <w:rFonts w:eastAsia="Aptos"/>
          <w:noProof/>
        </w:rPr>
        <w:t>talent from within the EU and from non-EU countries. As part of this initiative, the Commission will (2025-2026):</w:t>
      </w:r>
    </w:p>
    <w:p w14:paraId="4613DDD0" w14:textId="27F21DFA" w:rsidR="009357CC" w:rsidRPr="00436E20" w:rsidRDefault="009357CC" w:rsidP="00EF18D2">
      <w:pPr>
        <w:pStyle w:val="ListParagraph"/>
        <w:numPr>
          <w:ilvl w:val="0"/>
          <w:numId w:val="3"/>
        </w:numPr>
        <w:spacing w:after="120" w:line="257" w:lineRule="auto"/>
        <w:jc w:val="both"/>
        <w:rPr>
          <w:rFonts w:eastAsia="Aptos"/>
          <w:noProof/>
        </w:rPr>
      </w:pPr>
      <w:r w:rsidRPr="697960AF">
        <w:rPr>
          <w:rFonts w:eastAsia="Aptos"/>
          <w:noProof/>
        </w:rPr>
        <w:t xml:space="preserve">Actively promote and further strengthen </w:t>
      </w:r>
      <w:r w:rsidRPr="697960AF">
        <w:rPr>
          <w:rFonts w:eastAsia="Aptos"/>
          <w:b/>
          <w:bCs/>
          <w:noProof/>
        </w:rPr>
        <w:t>entrepreneurial education</w:t>
      </w:r>
      <w:r w:rsidRPr="00637D56">
        <w:rPr>
          <w:rFonts w:eastAsia="Aptos"/>
          <w:noProof/>
        </w:rPr>
        <w:t xml:space="preserve"> </w:t>
      </w:r>
      <w:r w:rsidR="00866B26" w:rsidRPr="00637D56">
        <w:rPr>
          <w:rFonts w:eastAsia="Aptos"/>
          <w:noProof/>
        </w:rPr>
        <w:t xml:space="preserve">and </w:t>
      </w:r>
      <w:r w:rsidR="00B16D97">
        <w:rPr>
          <w:rFonts w:eastAsia="Aptos"/>
          <w:noProof/>
        </w:rPr>
        <w:t>up</w:t>
      </w:r>
      <w:r w:rsidR="00866B26" w:rsidRPr="00637D56">
        <w:rPr>
          <w:rFonts w:eastAsia="Aptos"/>
          <w:noProof/>
        </w:rPr>
        <w:t>skill</w:t>
      </w:r>
      <w:r w:rsidR="00817ECA" w:rsidRPr="00637D56">
        <w:rPr>
          <w:rFonts w:eastAsia="Aptos"/>
          <w:noProof/>
        </w:rPr>
        <w:t>ing</w:t>
      </w:r>
      <w:r w:rsidR="00817ECA">
        <w:rPr>
          <w:rFonts w:eastAsia="Aptos"/>
          <w:noProof/>
        </w:rPr>
        <w:t>, including</w:t>
      </w:r>
      <w:r w:rsidRPr="697960AF">
        <w:rPr>
          <w:rFonts w:eastAsia="Aptos"/>
          <w:noProof/>
        </w:rPr>
        <w:t xml:space="preserve"> through the EIT</w:t>
      </w:r>
      <w:r w:rsidR="003337F0">
        <w:rPr>
          <w:rFonts w:eastAsia="Aptos"/>
          <w:noProof/>
        </w:rPr>
        <w:t>, promoting gender balanced and diverse participation</w:t>
      </w:r>
      <w:r w:rsidRPr="697960AF">
        <w:rPr>
          <w:rFonts w:eastAsia="Aptos"/>
          <w:noProof/>
        </w:rPr>
        <w:t>.</w:t>
      </w:r>
    </w:p>
    <w:p w14:paraId="79B68AA7" w14:textId="0E39FEA6" w:rsidR="0071673E" w:rsidRPr="00436E20" w:rsidRDefault="009357CC" w:rsidP="00EF18D2">
      <w:pPr>
        <w:pStyle w:val="ListParagraph"/>
        <w:numPr>
          <w:ilvl w:val="0"/>
          <w:numId w:val="3"/>
        </w:numPr>
        <w:spacing w:after="120" w:line="257" w:lineRule="auto"/>
        <w:contextualSpacing w:val="0"/>
        <w:jc w:val="both"/>
        <w:rPr>
          <w:rStyle w:val="normaltextrun"/>
          <w:rFonts w:eastAsia="Aptos"/>
          <w:noProof/>
        </w:rPr>
      </w:pPr>
      <w:r w:rsidRPr="00436E20">
        <w:rPr>
          <w:rStyle w:val="normaltextrun"/>
          <w:noProof/>
        </w:rPr>
        <w:t xml:space="preserve">develop </w:t>
      </w:r>
      <w:r w:rsidRPr="00436E20">
        <w:rPr>
          <w:rStyle w:val="eop"/>
          <w:b/>
          <w:noProof/>
        </w:rPr>
        <w:t xml:space="preserve">a blueprint for </w:t>
      </w:r>
      <w:r w:rsidRPr="00436E20">
        <w:rPr>
          <w:rStyle w:val="normaltextrun"/>
          <w:b/>
          <w:noProof/>
        </w:rPr>
        <w:t>an academic career development framework</w:t>
      </w:r>
      <w:r w:rsidRPr="00436E20">
        <w:rPr>
          <w:rStyle w:val="normaltextrun"/>
          <w:noProof/>
        </w:rPr>
        <w:t xml:space="preserve"> that rewards research commercialisation activities, </w:t>
      </w:r>
      <w:r w:rsidR="00C7267F">
        <w:rPr>
          <w:rStyle w:val="normaltextrun"/>
          <w:noProof/>
        </w:rPr>
        <w:t xml:space="preserve">including </w:t>
      </w:r>
      <w:r w:rsidRPr="00436E20">
        <w:rPr>
          <w:rStyle w:val="normaltextrun"/>
          <w:noProof/>
        </w:rPr>
        <w:t>transitioning from university to industry and back</w:t>
      </w:r>
      <w:r w:rsidR="00445007">
        <w:rPr>
          <w:rStyle w:val="normaltextrun"/>
          <w:noProof/>
        </w:rPr>
        <w:t xml:space="preserve">, </w:t>
      </w:r>
      <w:r w:rsidR="00445007" w:rsidRPr="00436E20">
        <w:rPr>
          <w:rStyle w:val="normaltextrun"/>
          <w:noProof/>
        </w:rPr>
        <w:t>such as in the academic staff evaluation and promotion criteria</w:t>
      </w:r>
      <w:r w:rsidR="0071673E">
        <w:rPr>
          <w:rStyle w:val="normaltextrun"/>
          <w:noProof/>
        </w:rPr>
        <w:t xml:space="preserve">, as </w:t>
      </w:r>
      <w:r w:rsidR="0071673E" w:rsidRPr="005A044A">
        <w:rPr>
          <w:noProof/>
          <w:lang w:val="en-IE"/>
        </w:rPr>
        <w:t>part of the Competence framework of academic staff announced in the Union of Skills</w:t>
      </w:r>
      <w:r w:rsidR="007C49A8">
        <w:rPr>
          <w:noProof/>
          <w:lang w:val="en-IE"/>
        </w:rPr>
        <w:t>.</w:t>
      </w:r>
      <w:r w:rsidR="00CC2022">
        <w:rPr>
          <w:rStyle w:val="FootnoteReference"/>
          <w:noProof/>
          <w:lang w:val="en-IE"/>
        </w:rPr>
        <w:footnoteReference w:id="40"/>
      </w:r>
    </w:p>
    <w:p w14:paraId="1457A594" w14:textId="4152C337" w:rsidR="009357CC" w:rsidRPr="00436E20" w:rsidRDefault="009357CC" w:rsidP="00EF18D2">
      <w:pPr>
        <w:pStyle w:val="ListParagraph"/>
        <w:numPr>
          <w:ilvl w:val="0"/>
          <w:numId w:val="3"/>
        </w:numPr>
        <w:spacing w:after="120" w:line="257" w:lineRule="auto"/>
        <w:jc w:val="both"/>
        <w:rPr>
          <w:noProof/>
        </w:rPr>
      </w:pPr>
      <w:r w:rsidRPr="00436E20">
        <w:rPr>
          <w:rFonts w:eastAsia="Aptos"/>
          <w:noProof/>
        </w:rPr>
        <w:t xml:space="preserve">explore best practices concerning the treatment of </w:t>
      </w:r>
      <w:r w:rsidRPr="00436E20">
        <w:rPr>
          <w:b/>
          <w:bCs/>
          <w:noProof/>
        </w:rPr>
        <w:t>employee stock options for startups</w:t>
      </w:r>
      <w:r w:rsidR="006326A3">
        <w:rPr>
          <w:b/>
          <w:bCs/>
          <w:noProof/>
        </w:rPr>
        <w:t>,</w:t>
      </w:r>
      <w:r w:rsidRPr="00436E20">
        <w:rPr>
          <w:b/>
          <w:bCs/>
          <w:noProof/>
        </w:rPr>
        <w:t xml:space="preserve"> </w:t>
      </w:r>
      <w:r w:rsidR="00D568F9">
        <w:rPr>
          <w:b/>
          <w:bCs/>
          <w:noProof/>
        </w:rPr>
        <w:t>including</w:t>
      </w:r>
      <w:r w:rsidR="006326A3">
        <w:rPr>
          <w:b/>
          <w:bCs/>
          <w:noProof/>
        </w:rPr>
        <w:t xml:space="preserve"> </w:t>
      </w:r>
      <w:r w:rsidRPr="00436E20">
        <w:rPr>
          <w:b/>
          <w:bCs/>
          <w:noProof/>
        </w:rPr>
        <w:t>consider</w:t>
      </w:r>
      <w:r w:rsidR="00D568F9">
        <w:rPr>
          <w:b/>
          <w:bCs/>
          <w:noProof/>
        </w:rPr>
        <w:t>ing</w:t>
      </w:r>
      <w:r w:rsidRPr="00436E20">
        <w:rPr>
          <w:b/>
          <w:bCs/>
          <w:noProof/>
        </w:rPr>
        <w:t xml:space="preserve"> legislative measures to harmonise certain aspects of their </w:t>
      </w:r>
      <w:r w:rsidR="5843F9E4" w:rsidRPr="4B05271C">
        <w:rPr>
          <w:b/>
          <w:bCs/>
          <w:noProof/>
        </w:rPr>
        <w:t>treatment</w:t>
      </w:r>
      <w:r w:rsidRPr="00436E20">
        <w:rPr>
          <w:b/>
          <w:bCs/>
          <w:noProof/>
        </w:rPr>
        <w:t>.</w:t>
      </w:r>
    </w:p>
    <w:p w14:paraId="0177D2FF" w14:textId="73EFA2EF" w:rsidR="009357CC" w:rsidRDefault="009357CC" w:rsidP="00EF18D2">
      <w:pPr>
        <w:pStyle w:val="ListParagraph"/>
        <w:numPr>
          <w:ilvl w:val="0"/>
          <w:numId w:val="3"/>
        </w:numPr>
        <w:spacing w:after="120" w:line="257" w:lineRule="auto"/>
        <w:contextualSpacing w:val="0"/>
        <w:jc w:val="both"/>
        <w:rPr>
          <w:noProof/>
        </w:rPr>
      </w:pPr>
      <w:r w:rsidRPr="00436E20">
        <w:rPr>
          <w:noProof/>
        </w:rPr>
        <w:t>p</w:t>
      </w:r>
      <w:r w:rsidR="00384B67">
        <w:rPr>
          <w:noProof/>
        </w:rPr>
        <w:t>ropose</w:t>
      </w:r>
      <w:r w:rsidRPr="00436E20">
        <w:rPr>
          <w:noProof/>
        </w:rPr>
        <w:t xml:space="preserve"> a recommendation </w:t>
      </w:r>
      <w:r w:rsidRPr="00436E20">
        <w:rPr>
          <w:b/>
          <w:bCs/>
          <w:noProof/>
        </w:rPr>
        <w:t>to eliminate tax obstacles for remote cross-border employees</w:t>
      </w:r>
      <w:r w:rsidRPr="00436E20">
        <w:rPr>
          <w:noProof/>
        </w:rPr>
        <w:t xml:space="preserve"> for startups and scaleups.</w:t>
      </w:r>
    </w:p>
    <w:p w14:paraId="34B00E65" w14:textId="4B4A9645" w:rsidR="003F2735" w:rsidRPr="00436E20" w:rsidRDefault="00EE0C1E" w:rsidP="00EF18D2">
      <w:pPr>
        <w:pStyle w:val="ListParagraph"/>
        <w:numPr>
          <w:ilvl w:val="0"/>
          <w:numId w:val="3"/>
        </w:numPr>
        <w:spacing w:after="120" w:line="257" w:lineRule="auto"/>
        <w:contextualSpacing w:val="0"/>
        <w:jc w:val="both"/>
        <w:rPr>
          <w:noProof/>
        </w:rPr>
      </w:pPr>
      <w:r>
        <w:rPr>
          <w:noProof/>
        </w:rPr>
        <w:t>present</w:t>
      </w:r>
      <w:r w:rsidR="003F2735">
        <w:rPr>
          <w:noProof/>
        </w:rPr>
        <w:t xml:space="preserve"> a </w:t>
      </w:r>
      <w:r w:rsidR="003F2735" w:rsidRPr="003F2735">
        <w:rPr>
          <w:b/>
          <w:bCs/>
          <w:noProof/>
        </w:rPr>
        <w:t xml:space="preserve">Fair Labour Mobility Package, </w:t>
      </w:r>
      <w:r>
        <w:rPr>
          <w:noProof/>
        </w:rPr>
        <w:t xml:space="preserve">including clarification of social security coordination rules in case of </w:t>
      </w:r>
      <w:r w:rsidR="003F2735">
        <w:rPr>
          <w:noProof/>
        </w:rPr>
        <w:t xml:space="preserve">cross-border remote </w:t>
      </w:r>
      <w:r>
        <w:rPr>
          <w:noProof/>
        </w:rPr>
        <w:t xml:space="preserve">work </w:t>
      </w:r>
      <w:r w:rsidR="003F2735">
        <w:rPr>
          <w:noProof/>
        </w:rPr>
        <w:t xml:space="preserve">and a </w:t>
      </w:r>
      <w:r w:rsidR="003F2735" w:rsidRPr="003F2735">
        <w:rPr>
          <w:b/>
          <w:bCs/>
          <w:noProof/>
        </w:rPr>
        <w:t>Skills Portability Initiative</w:t>
      </w:r>
      <w:r w:rsidR="003F2735">
        <w:rPr>
          <w:noProof/>
        </w:rPr>
        <w:t xml:space="preserve"> to further facilitate and simplify the recognition of qualifications, including for third country nationals (2026)</w:t>
      </w:r>
      <w:r w:rsidR="00004FA1">
        <w:rPr>
          <w:noProof/>
        </w:rPr>
        <w:t>.</w:t>
      </w:r>
    </w:p>
    <w:p w14:paraId="6CE63BE7" w14:textId="0773C131" w:rsidR="009357CC" w:rsidRPr="00637D56" w:rsidRDefault="009357CC" w:rsidP="00EF18D2">
      <w:pPr>
        <w:pStyle w:val="ListParagraph"/>
        <w:numPr>
          <w:ilvl w:val="0"/>
          <w:numId w:val="3"/>
        </w:numPr>
        <w:spacing w:after="120" w:line="257" w:lineRule="auto"/>
        <w:contextualSpacing w:val="0"/>
        <w:jc w:val="both"/>
        <w:rPr>
          <w:rStyle w:val="normaltextrun"/>
          <w:rFonts w:eastAsia="Aptos"/>
          <w:noProof/>
        </w:rPr>
      </w:pPr>
      <w:r w:rsidRPr="00436E20">
        <w:rPr>
          <w:rFonts w:eastAsia="Aptos"/>
          <w:noProof/>
        </w:rPr>
        <w:t xml:space="preserve">adopt </w:t>
      </w:r>
      <w:r w:rsidRPr="00436E20">
        <w:rPr>
          <w:rStyle w:val="normaltextrun"/>
          <w:noProof/>
        </w:rPr>
        <w:t xml:space="preserve">an </w:t>
      </w:r>
      <w:r w:rsidRPr="00436E20">
        <w:rPr>
          <w:rStyle w:val="normaltextrun"/>
          <w:b/>
          <w:bCs/>
          <w:noProof/>
        </w:rPr>
        <w:t>EU Visa Strategy</w:t>
      </w:r>
      <w:r w:rsidRPr="00436E20">
        <w:rPr>
          <w:rStyle w:val="normaltextrun"/>
          <w:noProof/>
        </w:rPr>
        <w:t xml:space="preserve"> which will include measures to better attract highly skilled students, researchers, entrepreneurs and trained workers from third countries to come to the EU, for example by making the most of the Students and Researchers Directive and the Blue Card Directive in particular for startup founders (Q4 2025)</w:t>
      </w:r>
      <w:r w:rsidR="00004FA1">
        <w:rPr>
          <w:rStyle w:val="normaltextrun"/>
          <w:noProof/>
        </w:rPr>
        <w:t>.</w:t>
      </w:r>
    </w:p>
    <w:p w14:paraId="350DD589" w14:textId="24B2B2CF" w:rsidR="00B7381A" w:rsidRPr="00B7381A" w:rsidRDefault="00B7381A" w:rsidP="00637D56">
      <w:pPr>
        <w:numPr>
          <w:ilvl w:val="0"/>
          <w:numId w:val="3"/>
        </w:numPr>
        <w:spacing w:after="120" w:line="257" w:lineRule="auto"/>
        <w:jc w:val="both"/>
        <w:rPr>
          <w:rStyle w:val="normaltextrun"/>
          <w:rFonts w:eastAsia="Aptos"/>
          <w:noProof/>
        </w:rPr>
      </w:pPr>
      <w:r w:rsidRPr="00AA6329">
        <w:rPr>
          <w:noProof/>
        </w:rPr>
        <w:t xml:space="preserve">pilot the </w:t>
      </w:r>
      <w:r w:rsidRPr="00637D56">
        <w:rPr>
          <w:b/>
          <w:noProof/>
        </w:rPr>
        <w:t>Multipurpose Legal Gateway Offices</w:t>
      </w:r>
      <w:r w:rsidRPr="00AA6329">
        <w:rPr>
          <w:noProof/>
        </w:rPr>
        <w:t xml:space="preserve"> initiative with a specific focus on ICT skills (Q4 2025). The pilot will serve as a one-stop-shop for information and assistance to highly skilled professionals, students and researchers in the ICT sector, who are interested to work in the EU. </w:t>
      </w:r>
    </w:p>
    <w:p w14:paraId="579500C2" w14:textId="77777777" w:rsidR="009357CC" w:rsidRDefault="009357CC" w:rsidP="00EF18D2">
      <w:pPr>
        <w:pStyle w:val="ListParagraph"/>
        <w:numPr>
          <w:ilvl w:val="0"/>
          <w:numId w:val="3"/>
        </w:numPr>
        <w:spacing w:after="120" w:line="257" w:lineRule="auto"/>
        <w:contextualSpacing w:val="0"/>
        <w:jc w:val="both"/>
        <w:rPr>
          <w:rFonts w:eastAsia="Aptos"/>
          <w:noProof/>
        </w:rPr>
      </w:pPr>
      <w:r w:rsidRPr="00436E20">
        <w:rPr>
          <w:rFonts w:eastAsia="Aptos"/>
          <w:noProof/>
        </w:rPr>
        <w:t xml:space="preserve">roll-out targeted information activities </w:t>
      </w:r>
      <w:r w:rsidRPr="00436E20">
        <w:rPr>
          <w:rFonts w:eastAsia="Aptos"/>
          <w:b/>
          <w:bCs/>
          <w:noProof/>
        </w:rPr>
        <w:t>to promote the EU Blue Card Directive</w:t>
      </w:r>
      <w:r w:rsidRPr="00436E20">
        <w:rPr>
          <w:rFonts w:eastAsia="Aptos"/>
          <w:noProof/>
        </w:rPr>
        <w:t xml:space="preserve">, among highly skilled non-EU workers and employers about the benefits of the EU </w:t>
      </w:r>
      <w:r w:rsidRPr="00436E20">
        <w:rPr>
          <w:rFonts w:eastAsia="Aptos"/>
          <w:noProof/>
        </w:rPr>
        <w:lastRenderedPageBreak/>
        <w:t>Blue Card, including the possibility for the EU Blue Card holder and its family members to get easier access to the EU long-term residence status.</w:t>
      </w:r>
    </w:p>
    <w:p w14:paraId="0A4AF0D1" w14:textId="50827409" w:rsidR="009357CC" w:rsidRPr="00D36B91" w:rsidRDefault="009357CC" w:rsidP="00EF18D2">
      <w:pPr>
        <w:pStyle w:val="paragraph"/>
        <w:numPr>
          <w:ilvl w:val="0"/>
          <w:numId w:val="3"/>
        </w:numPr>
        <w:spacing w:before="0" w:beforeAutospacing="0" w:after="120" w:afterAutospacing="0" w:line="257" w:lineRule="auto"/>
        <w:jc w:val="both"/>
        <w:textAlignment w:val="baseline"/>
        <w:rPr>
          <w:rFonts w:eastAsia="Aptos"/>
          <w:noProof/>
          <w:lang w:val="en-GB"/>
        </w:rPr>
      </w:pPr>
      <w:r w:rsidRPr="00C13B22">
        <w:rPr>
          <w:rStyle w:val="normaltextrun"/>
          <w:b/>
          <w:bCs/>
          <w:noProof/>
          <w:lang w:val="en-GB"/>
        </w:rPr>
        <w:t>encourage Member States to put in place fast-track schemes</w:t>
      </w:r>
      <w:r w:rsidRPr="00436E20">
        <w:rPr>
          <w:rStyle w:val="normaltextrun"/>
          <w:noProof/>
          <w:lang w:val="en-GB"/>
        </w:rPr>
        <w:t xml:space="preserve"> allowing </w:t>
      </w:r>
      <w:r w:rsidR="003F2735">
        <w:rPr>
          <w:rStyle w:val="normaltextrun"/>
          <w:noProof/>
          <w:lang w:val="en-GB"/>
        </w:rPr>
        <w:t xml:space="preserve">eligible </w:t>
      </w:r>
      <w:r w:rsidRPr="00436E20">
        <w:rPr>
          <w:noProof/>
          <w:lang w:val="en-GB"/>
        </w:rPr>
        <w:t>startup founders to obtain a residence and work permit under simplified and expedited procedures</w:t>
      </w:r>
      <w:r w:rsidRPr="00436E20">
        <w:rPr>
          <w:b/>
          <w:bCs/>
          <w:noProof/>
          <w:lang w:val="en-GB"/>
        </w:rPr>
        <w:t>.</w:t>
      </w:r>
      <w:r w:rsidRPr="00436E20">
        <w:rPr>
          <w:noProof/>
          <w:lang w:val="en-GB"/>
        </w:rPr>
        <w:t xml:space="preserve"> </w:t>
      </w:r>
    </w:p>
    <w:p w14:paraId="78052956" w14:textId="77777777" w:rsidR="009357CC" w:rsidRDefault="009357CC" w:rsidP="00EF18D2">
      <w:pPr>
        <w:pStyle w:val="paragraph"/>
        <w:numPr>
          <w:ilvl w:val="0"/>
          <w:numId w:val="3"/>
        </w:numPr>
        <w:spacing w:before="0" w:beforeAutospacing="0" w:after="120" w:afterAutospacing="0" w:line="257" w:lineRule="auto"/>
        <w:jc w:val="both"/>
        <w:textAlignment w:val="baseline"/>
        <w:rPr>
          <w:rFonts w:eastAsia="Aptos"/>
          <w:noProof/>
          <w:lang w:val="en-GB"/>
        </w:rPr>
      </w:pPr>
      <w:r w:rsidRPr="00C13B22">
        <w:rPr>
          <w:b/>
          <w:bCs/>
          <w:noProof/>
          <w:lang w:val="en-GB"/>
        </w:rPr>
        <w:t>simplify and reinforce existing EURAXESS services for innovators</w:t>
      </w:r>
      <w:r w:rsidRPr="00635959">
        <w:rPr>
          <w:noProof/>
          <w:lang w:val="en-GB"/>
        </w:rPr>
        <w:t xml:space="preserve">, </w:t>
      </w:r>
      <w:r w:rsidRPr="00635959">
        <w:rPr>
          <w:rFonts w:eastAsia="Aptos"/>
          <w:noProof/>
          <w:lang w:val="en-GB"/>
        </w:rPr>
        <w:t>including by offering bespoke support to non-EU talent, with essential information on the respective procedures across the different EU Member States.</w:t>
      </w:r>
    </w:p>
    <w:p w14:paraId="65172F51" w14:textId="77777777" w:rsidR="00D0248C" w:rsidRDefault="003C4403">
      <w:pPr>
        <w:spacing w:after="200" w:line="276" w:lineRule="auto"/>
        <w:rPr>
          <w:rFonts w:eastAsia="Aptos"/>
          <w:noProof/>
        </w:rPr>
      </w:pPr>
      <w:r>
        <w:rPr>
          <w:rFonts w:eastAsia="Aptos"/>
          <w:noProof/>
        </w:rPr>
        <w:br w:type="page"/>
      </w:r>
    </w:p>
    <w:p w14:paraId="33AFB6D7" w14:textId="4C563D76" w:rsidR="00C06772" w:rsidRPr="00C06772" w:rsidRDefault="00C06772" w:rsidP="00C06772">
      <w:pPr>
        <w:pStyle w:val="ListParagraph"/>
        <w:numPr>
          <w:ilvl w:val="0"/>
          <w:numId w:val="27"/>
        </w:numPr>
        <w:spacing w:after="120" w:line="257" w:lineRule="auto"/>
        <w:jc w:val="both"/>
        <w:rPr>
          <w:rFonts w:eastAsia="Aptos"/>
          <w:b/>
          <w:bCs/>
          <w:noProof/>
        </w:rPr>
      </w:pPr>
      <w:r>
        <w:rPr>
          <w:rFonts w:eastAsia="Aptos"/>
          <w:b/>
          <w:bCs/>
          <w:noProof/>
          <w:u w:val="single"/>
        </w:rPr>
        <w:lastRenderedPageBreak/>
        <w:t>ACCESS TO INFRASTRUCTURE, NETWORKS AND SERVICES</w:t>
      </w:r>
    </w:p>
    <w:p w14:paraId="4386E74B" w14:textId="77777777" w:rsidR="00C06772" w:rsidRDefault="00C06772" w:rsidP="00EF18D2">
      <w:pPr>
        <w:spacing w:after="120" w:line="257" w:lineRule="auto"/>
        <w:jc w:val="both"/>
        <w:rPr>
          <w:rFonts w:eastAsia="Aptos"/>
          <w:b/>
          <w:bCs/>
          <w:noProof/>
        </w:rPr>
      </w:pPr>
    </w:p>
    <w:p w14:paraId="6A7E3AE6" w14:textId="770630B1" w:rsidR="009357CC" w:rsidRDefault="009357CC" w:rsidP="00EF18D2">
      <w:pPr>
        <w:spacing w:after="120" w:line="257" w:lineRule="auto"/>
        <w:jc w:val="both"/>
        <w:rPr>
          <w:rFonts w:eastAsia="Aptos"/>
          <w:noProof/>
        </w:rPr>
      </w:pPr>
      <w:r w:rsidRPr="00D36B91">
        <w:rPr>
          <w:rFonts w:eastAsia="Aptos"/>
          <w:b/>
          <w:bCs/>
          <w:noProof/>
        </w:rPr>
        <w:t>Startups need cutting-edge research, technology facilities, and expertise to rapidly test, scale, and validate new products, accelerating time-to-market and boosting commercialisation success.</w:t>
      </w:r>
      <w:r w:rsidRPr="008C650E">
        <w:rPr>
          <w:rFonts w:eastAsia="Aptos"/>
          <w:noProof/>
        </w:rPr>
        <w:t xml:space="preserve"> Horizon Europe supports </w:t>
      </w:r>
      <w:r w:rsidRPr="00A120AD">
        <w:rPr>
          <w:rFonts w:eastAsia="Aptos"/>
          <w:noProof/>
        </w:rPr>
        <w:t xml:space="preserve">this by funding the </w:t>
      </w:r>
      <w:r w:rsidRPr="00D36B91">
        <w:rPr>
          <w:rFonts w:eastAsia="Aptos"/>
          <w:noProof/>
        </w:rPr>
        <w:t>European High Performance Computing Joint Undertaking</w:t>
      </w:r>
      <w:r w:rsidRPr="00A120AD">
        <w:rPr>
          <w:rFonts w:eastAsia="Aptos"/>
          <w:noProof/>
        </w:rPr>
        <w:t xml:space="preserve">, which </w:t>
      </w:r>
      <w:r w:rsidR="005B7C77">
        <w:rPr>
          <w:rFonts w:eastAsia="Aptos"/>
          <w:noProof/>
        </w:rPr>
        <w:t xml:space="preserve">will </w:t>
      </w:r>
      <w:r w:rsidRPr="00A120AD">
        <w:rPr>
          <w:rFonts w:eastAsia="Aptos"/>
          <w:noProof/>
        </w:rPr>
        <w:t xml:space="preserve">house 13 new AI Factories offering </w:t>
      </w:r>
      <w:r w:rsidRPr="00D36B91">
        <w:rPr>
          <w:rFonts w:eastAsia="Aptos"/>
          <w:noProof/>
        </w:rPr>
        <w:t>computing power</w:t>
      </w:r>
      <w:r w:rsidRPr="00A120AD">
        <w:rPr>
          <w:rFonts w:eastAsia="Aptos"/>
          <w:noProof/>
        </w:rPr>
        <w:t xml:space="preserve"> and </w:t>
      </w:r>
      <w:r w:rsidRPr="00D36B91">
        <w:rPr>
          <w:rFonts w:eastAsia="Aptos"/>
          <w:noProof/>
        </w:rPr>
        <w:t>customi</w:t>
      </w:r>
      <w:r>
        <w:rPr>
          <w:rFonts w:eastAsia="Aptos"/>
          <w:noProof/>
        </w:rPr>
        <w:t>s</w:t>
      </w:r>
      <w:r w:rsidRPr="00D36B91">
        <w:rPr>
          <w:rFonts w:eastAsia="Aptos"/>
          <w:noProof/>
        </w:rPr>
        <w:t>ed support</w:t>
      </w:r>
      <w:r w:rsidRPr="00A120AD">
        <w:rPr>
          <w:rFonts w:eastAsia="Aptos"/>
          <w:noProof/>
        </w:rPr>
        <w:t xml:space="preserve"> to SMEs</w:t>
      </w:r>
      <w:r w:rsidRPr="008C650E">
        <w:rPr>
          <w:rFonts w:eastAsia="Aptos"/>
          <w:noProof/>
        </w:rPr>
        <w:t xml:space="preserve"> and startups.</w:t>
      </w:r>
      <w:r w:rsidR="0090103F">
        <w:rPr>
          <w:rStyle w:val="FootnoteReference"/>
          <w:rFonts w:eastAsia="Aptos"/>
          <w:noProof/>
        </w:rPr>
        <w:footnoteReference w:id="41"/>
      </w:r>
    </w:p>
    <w:p w14:paraId="3C47B510" w14:textId="38C5329D" w:rsidR="009357CC" w:rsidRDefault="009357CC" w:rsidP="06F7196A">
      <w:pPr>
        <w:spacing w:after="120" w:line="257" w:lineRule="auto"/>
        <w:jc w:val="both"/>
        <w:rPr>
          <w:rFonts w:eastAsia="Aptos"/>
          <w:noProof/>
        </w:rPr>
      </w:pPr>
      <w:r w:rsidRPr="008C650E">
        <w:rPr>
          <w:rFonts w:eastAsia="Aptos"/>
          <w:noProof/>
        </w:rPr>
        <w:t xml:space="preserve">Networks like the </w:t>
      </w:r>
      <w:r w:rsidRPr="008C650E">
        <w:rPr>
          <w:rFonts w:eastAsia="Aptos"/>
          <w:b/>
          <w:bCs/>
          <w:noProof/>
        </w:rPr>
        <w:t>Enterprise Europe Network</w:t>
      </w:r>
      <w:r w:rsidRPr="008C650E">
        <w:rPr>
          <w:rFonts w:eastAsia="Aptos"/>
          <w:noProof/>
        </w:rPr>
        <w:t xml:space="preserve">, </w:t>
      </w:r>
      <w:r w:rsidRPr="008C650E">
        <w:rPr>
          <w:rFonts w:eastAsia="Aptos"/>
          <w:b/>
          <w:bCs/>
          <w:noProof/>
        </w:rPr>
        <w:t>European Digital Innovation Hubs</w:t>
      </w:r>
      <w:r w:rsidRPr="008C650E">
        <w:rPr>
          <w:rFonts w:eastAsia="Aptos"/>
          <w:noProof/>
        </w:rPr>
        <w:t xml:space="preserve"> and </w:t>
      </w:r>
      <w:r>
        <w:rPr>
          <w:rFonts w:eastAsia="Aptos"/>
          <w:noProof/>
        </w:rPr>
        <w:t xml:space="preserve">the </w:t>
      </w:r>
      <w:r w:rsidRPr="008C650E">
        <w:rPr>
          <w:rFonts w:eastAsia="Aptos"/>
          <w:b/>
          <w:bCs/>
          <w:noProof/>
        </w:rPr>
        <w:t>EIT</w:t>
      </w:r>
      <w:r w:rsidRPr="008C650E">
        <w:rPr>
          <w:rFonts w:eastAsia="Aptos"/>
          <w:noProof/>
        </w:rPr>
        <w:t xml:space="preserve"> provide targeted assistance. But despite these resources, </w:t>
      </w:r>
      <w:r w:rsidRPr="008C650E">
        <w:rPr>
          <w:rFonts w:eastAsia="Aptos"/>
          <w:b/>
          <w:bCs/>
          <w:noProof/>
        </w:rPr>
        <w:t>information gaps</w:t>
      </w:r>
      <w:r w:rsidRPr="008C650E">
        <w:rPr>
          <w:rFonts w:eastAsia="Aptos"/>
          <w:noProof/>
        </w:rPr>
        <w:t xml:space="preserve">, </w:t>
      </w:r>
      <w:r w:rsidRPr="008C650E">
        <w:rPr>
          <w:rFonts w:eastAsia="Aptos"/>
          <w:b/>
          <w:bCs/>
          <w:noProof/>
        </w:rPr>
        <w:t>complex access processes</w:t>
      </w:r>
      <w:r w:rsidRPr="008C650E">
        <w:rPr>
          <w:rFonts w:eastAsia="Aptos"/>
          <w:noProof/>
        </w:rPr>
        <w:t xml:space="preserve"> and fragmented </w:t>
      </w:r>
      <w:r w:rsidRPr="008C650E">
        <w:rPr>
          <w:rFonts w:eastAsia="Aptos"/>
          <w:b/>
          <w:bCs/>
          <w:noProof/>
        </w:rPr>
        <w:t>IP management agreements</w:t>
      </w:r>
      <w:r w:rsidRPr="008C650E">
        <w:rPr>
          <w:rFonts w:eastAsia="Aptos"/>
          <w:noProof/>
        </w:rPr>
        <w:t xml:space="preserve"> remain major barriers. Many startups struggle to navigate the </w:t>
      </w:r>
      <w:r w:rsidRPr="008C650E">
        <w:rPr>
          <w:rFonts w:eastAsia="Aptos"/>
          <w:b/>
          <w:bCs/>
          <w:noProof/>
        </w:rPr>
        <w:t>maze of services</w:t>
      </w:r>
      <w:r w:rsidRPr="008C650E">
        <w:rPr>
          <w:rFonts w:eastAsia="Aptos"/>
          <w:noProof/>
        </w:rPr>
        <w:t xml:space="preserve">, unable to easily identify the right </w:t>
      </w:r>
      <w:r w:rsidRPr="008C650E">
        <w:rPr>
          <w:rFonts w:eastAsia="Aptos"/>
          <w:b/>
          <w:bCs/>
          <w:noProof/>
        </w:rPr>
        <w:t>research infrastructures</w:t>
      </w:r>
      <w:r w:rsidRPr="008C650E">
        <w:rPr>
          <w:rFonts w:eastAsia="Aptos"/>
          <w:noProof/>
        </w:rPr>
        <w:t xml:space="preserve"> or funding opportunities. The lack of clear entry points and fragmented access to </w:t>
      </w:r>
      <w:r w:rsidR="0C5C621E" w:rsidRPr="2F7A52B6">
        <w:rPr>
          <w:rFonts w:eastAsia="Aptos"/>
          <w:noProof/>
        </w:rPr>
        <w:t xml:space="preserve">funding, </w:t>
      </w:r>
      <w:r w:rsidR="0C5C621E" w:rsidRPr="4BAE4049">
        <w:rPr>
          <w:rFonts w:eastAsia="Aptos"/>
          <w:noProof/>
        </w:rPr>
        <w:t xml:space="preserve">services and </w:t>
      </w:r>
      <w:r w:rsidRPr="4BAE4049">
        <w:rPr>
          <w:rFonts w:eastAsia="Aptos"/>
          <w:noProof/>
        </w:rPr>
        <w:t>information</w:t>
      </w:r>
      <w:r w:rsidRPr="008C650E">
        <w:rPr>
          <w:rFonts w:eastAsia="Aptos"/>
          <w:noProof/>
        </w:rPr>
        <w:t xml:space="preserve"> compounds the problem, leaving startups without streamlined pathways to </w:t>
      </w:r>
      <w:r>
        <w:rPr>
          <w:rFonts w:eastAsia="Aptos"/>
          <w:noProof/>
        </w:rPr>
        <w:t>access</w:t>
      </w:r>
      <w:r w:rsidRPr="008C650E">
        <w:rPr>
          <w:rFonts w:eastAsia="Aptos"/>
          <w:noProof/>
        </w:rPr>
        <w:t xml:space="preserve"> available support.</w:t>
      </w:r>
      <w:r w:rsidRPr="00534D40">
        <w:rPr>
          <w:rFonts w:eastAsia="Aptos"/>
          <w:noProof/>
        </w:rPr>
        <w:t xml:space="preserve"> </w:t>
      </w:r>
      <w:r w:rsidRPr="00436E20">
        <w:rPr>
          <w:rFonts w:eastAsia="Aptos"/>
          <w:noProof/>
        </w:rPr>
        <w:t xml:space="preserve">State </w:t>
      </w:r>
      <w:r>
        <w:rPr>
          <w:rFonts w:eastAsia="Aptos"/>
          <w:noProof/>
        </w:rPr>
        <w:t>A</w:t>
      </w:r>
      <w:r w:rsidRPr="00436E20">
        <w:rPr>
          <w:rFonts w:eastAsia="Aptos"/>
          <w:noProof/>
        </w:rPr>
        <w:t>id rules relating to access to public infrastructures are sometimes perceived as unclear.</w:t>
      </w:r>
      <w:r w:rsidR="59545A26" w:rsidRPr="06F7196A">
        <w:rPr>
          <w:rFonts w:eastAsia="Aptos"/>
          <w:noProof/>
        </w:rPr>
        <w:t xml:space="preserve"> </w:t>
      </w:r>
    </w:p>
    <w:p w14:paraId="322636D8" w14:textId="27A93909" w:rsidR="001D312F" w:rsidRPr="001D312F" w:rsidRDefault="59545A26" w:rsidP="00852453">
      <w:pPr>
        <w:spacing w:after="120" w:line="257" w:lineRule="auto"/>
        <w:jc w:val="both"/>
        <w:rPr>
          <w:rFonts w:eastAsia="Aptos"/>
          <w:noProof/>
        </w:rPr>
      </w:pPr>
      <w:r w:rsidRPr="00852453">
        <w:rPr>
          <w:rFonts w:eastAsia="Aptos"/>
          <w:b/>
          <w:bCs/>
          <w:noProof/>
        </w:rPr>
        <w:t>Startups, scaleups, innovators and investors need faster and better access to resources</w:t>
      </w:r>
      <w:r w:rsidR="1E615999" w:rsidRPr="00852453">
        <w:rPr>
          <w:rFonts w:eastAsia="Aptos"/>
          <w:b/>
          <w:bCs/>
          <w:noProof/>
        </w:rPr>
        <w:t xml:space="preserve"> need</w:t>
      </w:r>
      <w:r w:rsidR="00D95A81" w:rsidRPr="00852453">
        <w:rPr>
          <w:rFonts w:eastAsia="Aptos"/>
          <w:b/>
          <w:bCs/>
          <w:noProof/>
        </w:rPr>
        <w:t>ed</w:t>
      </w:r>
      <w:r w:rsidR="1E615999" w:rsidRPr="00852453">
        <w:rPr>
          <w:rFonts w:eastAsia="Aptos"/>
          <w:b/>
          <w:bCs/>
          <w:noProof/>
        </w:rPr>
        <w:t xml:space="preserve"> to thrive and grow</w:t>
      </w:r>
      <w:r w:rsidRPr="00852453">
        <w:rPr>
          <w:rFonts w:eastAsia="Aptos"/>
          <w:b/>
          <w:bCs/>
          <w:noProof/>
        </w:rPr>
        <w:t>.</w:t>
      </w:r>
      <w:r w:rsidR="006326A3">
        <w:rPr>
          <w:rFonts w:eastAsia="Aptos"/>
          <w:b/>
          <w:bCs/>
          <w:noProof/>
        </w:rPr>
        <w:t xml:space="preserve"> </w:t>
      </w:r>
      <w:r w:rsidR="006326A3">
        <w:rPr>
          <w:rFonts w:eastAsia="Aptos"/>
          <w:noProof/>
        </w:rPr>
        <w:t>In the context of the forthcoming European Competitiveness Fund</w:t>
      </w:r>
      <w:r w:rsidR="00334F11">
        <w:rPr>
          <w:rFonts w:eastAsia="Aptos"/>
          <w:noProof/>
        </w:rPr>
        <w:t xml:space="preserve">, </w:t>
      </w:r>
      <w:r w:rsidR="00312614">
        <w:rPr>
          <w:rFonts w:eastAsia="Aptos"/>
          <w:noProof/>
        </w:rPr>
        <w:t xml:space="preserve">the Commission </w:t>
      </w:r>
      <w:r w:rsidR="00EA372A">
        <w:rPr>
          <w:rFonts w:eastAsia="Aptos"/>
          <w:noProof/>
        </w:rPr>
        <w:t xml:space="preserve">will </w:t>
      </w:r>
      <w:r w:rsidR="00047212">
        <w:rPr>
          <w:rFonts w:eastAsia="Aptos"/>
          <w:noProof/>
        </w:rPr>
        <w:t xml:space="preserve">streamline </w:t>
      </w:r>
      <w:r w:rsidR="00334F11">
        <w:rPr>
          <w:rFonts w:eastAsia="Aptos"/>
          <w:noProof/>
        </w:rPr>
        <w:t xml:space="preserve">existing </w:t>
      </w:r>
      <w:r w:rsidR="00334F11" w:rsidRPr="00D36B91">
        <w:rPr>
          <w:rFonts w:eastAsia="Aptos"/>
          <w:noProof/>
        </w:rPr>
        <w:t xml:space="preserve">EU IT hubs </w:t>
      </w:r>
      <w:r w:rsidR="001D312F" w:rsidRPr="001D312F">
        <w:rPr>
          <w:rFonts w:eastAsia="Aptos"/>
          <w:noProof/>
        </w:rPr>
        <w:t>with the aim of establishing</w:t>
      </w:r>
      <w:r w:rsidR="00334F11" w:rsidRPr="00436E20">
        <w:rPr>
          <w:rFonts w:eastAsia="Aptos"/>
          <w:noProof/>
        </w:rPr>
        <w:t xml:space="preserve"> a </w:t>
      </w:r>
      <w:r w:rsidR="19BCBBD0" w:rsidRPr="04AE5F35">
        <w:rPr>
          <w:rFonts w:eastAsia="Aptos"/>
          <w:noProof/>
        </w:rPr>
        <w:t>single</w:t>
      </w:r>
      <w:r w:rsidR="00334F11" w:rsidRPr="00436E20">
        <w:rPr>
          <w:rFonts w:eastAsia="Aptos"/>
          <w:noProof/>
        </w:rPr>
        <w:t xml:space="preserve"> digital </w:t>
      </w:r>
      <w:r w:rsidR="002D0D7C">
        <w:rPr>
          <w:rFonts w:eastAsia="Aptos"/>
          <w:noProof/>
        </w:rPr>
        <w:t>entry point</w:t>
      </w:r>
      <w:r w:rsidR="006326A3">
        <w:rPr>
          <w:rFonts w:eastAsia="Aptos"/>
          <w:noProof/>
        </w:rPr>
        <w:t xml:space="preserve"> </w:t>
      </w:r>
      <w:r w:rsidR="00334F11" w:rsidRPr="00436E20">
        <w:rPr>
          <w:rFonts w:eastAsia="Aptos"/>
          <w:noProof/>
        </w:rPr>
        <w:t>for European innovators, investors</w:t>
      </w:r>
      <w:r w:rsidR="001D312F" w:rsidRPr="001D312F">
        <w:rPr>
          <w:rFonts w:eastAsia="Aptos"/>
          <w:noProof/>
        </w:rPr>
        <w:t>,</w:t>
      </w:r>
      <w:r w:rsidR="00334F11" w:rsidRPr="00436E20">
        <w:rPr>
          <w:rFonts w:eastAsia="Aptos"/>
          <w:noProof/>
        </w:rPr>
        <w:t xml:space="preserve"> and service providers</w:t>
      </w:r>
      <w:r w:rsidR="002D0D7C">
        <w:rPr>
          <w:rFonts w:eastAsia="Aptos"/>
          <w:noProof/>
        </w:rPr>
        <w:t xml:space="preserve"> to </w:t>
      </w:r>
      <w:r w:rsidR="29721F85" w:rsidRPr="04AE5F35">
        <w:rPr>
          <w:rFonts w:eastAsia="Aptos"/>
          <w:noProof/>
        </w:rPr>
        <w:t xml:space="preserve">find, compare and </w:t>
      </w:r>
      <w:r w:rsidR="001D312F" w:rsidRPr="001D312F">
        <w:rPr>
          <w:rFonts w:eastAsia="Aptos"/>
          <w:noProof/>
        </w:rPr>
        <w:t xml:space="preserve">access </w:t>
      </w:r>
      <w:r w:rsidR="72EC269F" w:rsidRPr="04AE5F35">
        <w:rPr>
          <w:rFonts w:eastAsia="Aptos"/>
          <w:noProof/>
        </w:rPr>
        <w:t>fund</w:t>
      </w:r>
      <w:r w:rsidR="6DB836E4" w:rsidRPr="04AE5F35">
        <w:rPr>
          <w:rFonts w:eastAsia="Aptos"/>
          <w:noProof/>
        </w:rPr>
        <w:t>ing</w:t>
      </w:r>
      <w:r w:rsidR="002D0D7C">
        <w:rPr>
          <w:rFonts w:eastAsia="Aptos"/>
          <w:noProof/>
        </w:rPr>
        <w:t xml:space="preserve"> programmes</w:t>
      </w:r>
      <w:r w:rsidR="001D312F" w:rsidRPr="001D312F">
        <w:rPr>
          <w:rFonts w:eastAsia="Aptos"/>
          <w:noProof/>
        </w:rPr>
        <w:t xml:space="preserve">, </w:t>
      </w:r>
      <w:r w:rsidR="002D0D7C">
        <w:rPr>
          <w:rFonts w:eastAsia="Aptos"/>
          <w:noProof/>
        </w:rPr>
        <w:t>services</w:t>
      </w:r>
      <w:r w:rsidR="001D312F" w:rsidRPr="001D312F">
        <w:rPr>
          <w:rFonts w:eastAsia="Aptos"/>
          <w:noProof/>
        </w:rPr>
        <w:t xml:space="preserve"> and infrastructure.</w:t>
      </w:r>
      <w:r w:rsidR="00334F11" w:rsidRPr="00436E20">
        <w:rPr>
          <w:rFonts w:eastAsia="Aptos"/>
          <w:noProof/>
        </w:rPr>
        <w:t xml:space="preserve"> This </w:t>
      </w:r>
      <w:r w:rsidR="001D312F" w:rsidRPr="001D312F">
        <w:rPr>
          <w:rFonts w:eastAsia="Aptos"/>
          <w:noProof/>
        </w:rPr>
        <w:t xml:space="preserve">initiative </w:t>
      </w:r>
      <w:r w:rsidR="00DF53A2">
        <w:rPr>
          <w:rFonts w:eastAsia="Aptos"/>
          <w:noProof/>
        </w:rPr>
        <w:t xml:space="preserve">will be </w:t>
      </w:r>
      <w:r w:rsidR="001D312F" w:rsidRPr="001D312F">
        <w:rPr>
          <w:rFonts w:eastAsia="Aptos"/>
          <w:noProof/>
        </w:rPr>
        <w:t>implemented</w:t>
      </w:r>
      <w:r w:rsidR="00334F11" w:rsidRPr="00436E20">
        <w:rPr>
          <w:rFonts w:eastAsia="Aptos"/>
          <w:noProof/>
        </w:rPr>
        <w:t xml:space="preserve"> in complementarity with the EIB’s TechEU platform</w:t>
      </w:r>
      <w:r w:rsidR="001B6FD8">
        <w:rPr>
          <w:rFonts w:eastAsia="Aptos"/>
          <w:noProof/>
        </w:rPr>
        <w:t>.</w:t>
      </w:r>
      <w:r w:rsidR="009240F8">
        <w:rPr>
          <w:rFonts w:eastAsia="Aptos"/>
          <w:noProof/>
        </w:rPr>
        <w:t xml:space="preserve"> </w:t>
      </w:r>
    </w:p>
    <w:p w14:paraId="4CA3DDC5" w14:textId="380884E3" w:rsidR="00530360" w:rsidRDefault="489B57BD" w:rsidP="00EF18D2">
      <w:pPr>
        <w:spacing w:after="120" w:line="257" w:lineRule="auto"/>
        <w:jc w:val="both"/>
        <w:rPr>
          <w:b/>
          <w:bCs/>
          <w:noProof/>
          <w:u w:val="single"/>
        </w:rPr>
      </w:pPr>
      <w:r w:rsidRPr="00436E20">
        <w:rPr>
          <w:b/>
          <w:bCs/>
          <w:noProof/>
          <w:u w:val="single"/>
        </w:rPr>
        <w:t>Actions</w:t>
      </w:r>
    </w:p>
    <w:p w14:paraId="0262A7E7"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sidRPr="00436E20">
        <w:rPr>
          <w:rFonts w:eastAsia="Aptos"/>
          <w:noProof/>
        </w:rPr>
        <w:t xml:space="preserve">The Commission will develop a </w:t>
      </w:r>
      <w:r w:rsidRPr="00635959">
        <w:rPr>
          <w:rFonts w:eastAsia="Aptos"/>
          <w:b/>
          <w:noProof/>
        </w:rPr>
        <w:t>Charter of Access</w:t>
      </w:r>
      <w:r w:rsidRPr="00C13B22">
        <w:rPr>
          <w:rFonts w:eastAsia="Aptos"/>
          <w:b/>
          <w:noProof/>
        </w:rPr>
        <w:t xml:space="preserve"> for industrial users to research and technology infrastructures</w:t>
      </w:r>
      <w:r w:rsidRPr="00436E20">
        <w:rPr>
          <w:rFonts w:eastAsia="Aptos"/>
          <w:noProof/>
        </w:rPr>
        <w:t>, including for startups and scaleups, and, where necessary, simplify and harmonise diverging access and contractual conditions. The Commission will financially support access to AI computing facilities for startups (2025).</w:t>
      </w:r>
    </w:p>
    <w:p w14:paraId="1DD00D38"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sidRPr="00436E20">
        <w:rPr>
          <w:rFonts w:eastAsia="Aptos"/>
          <w:noProof/>
        </w:rPr>
        <w:t xml:space="preserve">Building on the Charter, the </w:t>
      </w:r>
      <w:r w:rsidRPr="00436E20">
        <w:rPr>
          <w:rFonts w:eastAsia="Aptos"/>
          <w:b/>
          <w:bCs/>
          <w:noProof/>
        </w:rPr>
        <w:t xml:space="preserve">European Innovation Act </w:t>
      </w:r>
      <w:r w:rsidRPr="00436E20">
        <w:rPr>
          <w:rFonts w:eastAsia="Aptos"/>
          <w:noProof/>
        </w:rPr>
        <w:t xml:space="preserve">will further promote the access of innovative companies to European research and technology infrastructures through </w:t>
      </w:r>
      <w:r w:rsidRPr="00436E20">
        <w:rPr>
          <w:rFonts w:eastAsia="Aptos"/>
          <w:b/>
          <w:noProof/>
        </w:rPr>
        <w:t>legislative measures</w:t>
      </w:r>
      <w:r w:rsidRPr="00436E20">
        <w:rPr>
          <w:rFonts w:eastAsia="Aptos"/>
          <w:noProof/>
        </w:rPr>
        <w:t xml:space="preserve"> (Q1 2026).</w:t>
      </w:r>
    </w:p>
    <w:p w14:paraId="5197D355" w14:textId="77777777" w:rsidR="009357CC" w:rsidRPr="00436E20" w:rsidRDefault="009357CC" w:rsidP="00EF18D2">
      <w:pPr>
        <w:pStyle w:val="ListParagraph"/>
        <w:numPr>
          <w:ilvl w:val="0"/>
          <w:numId w:val="16"/>
        </w:numPr>
        <w:spacing w:after="120" w:line="257" w:lineRule="auto"/>
        <w:ind w:left="852" w:hanging="426"/>
        <w:contextualSpacing w:val="0"/>
        <w:jc w:val="both"/>
        <w:rPr>
          <w:rFonts w:eastAsia="Aptos"/>
          <w:noProof/>
        </w:rPr>
      </w:pPr>
      <w:r w:rsidRPr="00436E20">
        <w:rPr>
          <w:rFonts w:eastAsia="Aptos"/>
          <w:noProof/>
        </w:rPr>
        <w:t xml:space="preserve">The Commission will provide legal and implementation </w:t>
      </w:r>
      <w:r w:rsidRPr="00436E20">
        <w:rPr>
          <w:rFonts w:eastAsia="Aptos"/>
          <w:b/>
          <w:bCs/>
          <w:noProof/>
        </w:rPr>
        <w:t>guidance on the applicable</w:t>
      </w:r>
      <w:r w:rsidRPr="00436E20">
        <w:rPr>
          <w:rFonts w:eastAsia="Aptos"/>
          <w:noProof/>
        </w:rPr>
        <w:t xml:space="preserve"> </w:t>
      </w:r>
      <w:r w:rsidRPr="00436E20">
        <w:rPr>
          <w:rFonts w:eastAsia="Aptos"/>
          <w:b/>
          <w:bCs/>
          <w:noProof/>
        </w:rPr>
        <w:t xml:space="preserve">State </w:t>
      </w:r>
      <w:r>
        <w:rPr>
          <w:rFonts w:eastAsia="Aptos"/>
          <w:b/>
          <w:bCs/>
          <w:noProof/>
        </w:rPr>
        <w:t>A</w:t>
      </w:r>
      <w:r w:rsidRPr="00436E20">
        <w:rPr>
          <w:rFonts w:eastAsia="Aptos"/>
          <w:b/>
          <w:bCs/>
          <w:noProof/>
        </w:rPr>
        <w:t>id rules</w:t>
      </w:r>
      <w:r w:rsidRPr="00436E20">
        <w:rPr>
          <w:rFonts w:eastAsia="Aptos"/>
          <w:noProof/>
        </w:rPr>
        <w:t xml:space="preserve"> to clarify the conditions under which universities and public research organisations can grant access to infrastructure in compliance with State </w:t>
      </w:r>
      <w:r>
        <w:rPr>
          <w:rFonts w:eastAsia="Aptos"/>
          <w:noProof/>
        </w:rPr>
        <w:t>A</w:t>
      </w:r>
      <w:r w:rsidRPr="00436E20">
        <w:rPr>
          <w:rFonts w:eastAsia="Aptos"/>
          <w:noProof/>
        </w:rPr>
        <w:t>id rules (2026).</w:t>
      </w:r>
    </w:p>
    <w:p w14:paraId="48933CA2" w14:textId="367CF014" w:rsidR="009357CC" w:rsidRDefault="003C4403">
      <w:pPr>
        <w:spacing w:after="200" w:line="276" w:lineRule="auto"/>
        <w:rPr>
          <w:rFonts w:eastAsia="Aptos"/>
          <w:noProof/>
        </w:rPr>
      </w:pPr>
      <w:r>
        <w:rPr>
          <w:rFonts w:eastAsia="Aptos"/>
          <w:noProof/>
        </w:rPr>
        <w:br w:type="page"/>
      </w:r>
    </w:p>
    <w:p w14:paraId="6F0A405A" w14:textId="338AD92E" w:rsidR="00C06772" w:rsidRDefault="00C06772" w:rsidP="00C06772">
      <w:pPr>
        <w:pStyle w:val="BodyText"/>
        <w:numPr>
          <w:ilvl w:val="0"/>
          <w:numId w:val="27"/>
        </w:numPr>
        <w:spacing w:line="257" w:lineRule="auto"/>
        <w:rPr>
          <w:b/>
          <w:noProof/>
        </w:rPr>
      </w:pPr>
      <w:bookmarkStart w:id="4" w:name="_Hlk194881221"/>
      <w:r>
        <w:rPr>
          <w:b/>
          <w:noProof/>
          <w:u w:val="single"/>
        </w:rPr>
        <w:lastRenderedPageBreak/>
        <w:t>MEASURING PROGRESS</w:t>
      </w:r>
    </w:p>
    <w:p w14:paraId="61466387" w14:textId="77777777" w:rsidR="00C06772" w:rsidRDefault="00C06772" w:rsidP="00EF18D2">
      <w:pPr>
        <w:pStyle w:val="BodyText"/>
        <w:spacing w:line="257" w:lineRule="auto"/>
        <w:rPr>
          <w:b/>
          <w:noProof/>
        </w:rPr>
      </w:pPr>
    </w:p>
    <w:p w14:paraId="52E8AF2B" w14:textId="7753B4A7" w:rsidR="009357CC" w:rsidRPr="00436E20" w:rsidRDefault="009357CC" w:rsidP="00EF18D2">
      <w:pPr>
        <w:pStyle w:val="BodyText"/>
        <w:spacing w:line="257" w:lineRule="auto"/>
        <w:rPr>
          <w:noProof/>
          <w:szCs w:val="24"/>
        </w:rPr>
      </w:pPr>
      <w:r w:rsidRPr="5A1BC6B9">
        <w:rPr>
          <w:b/>
          <w:noProof/>
        </w:rPr>
        <w:t>Currently there is no single EU definition of startups, scaleups and innovative companies</w:t>
      </w:r>
      <w:r w:rsidRPr="3A954B8D">
        <w:rPr>
          <w:noProof/>
        </w:rPr>
        <w:t xml:space="preserve">. </w:t>
      </w:r>
      <w:r w:rsidR="00CF5CA6">
        <w:rPr>
          <w:noProof/>
        </w:rPr>
        <w:t>11</w:t>
      </w:r>
      <w:r w:rsidR="00CF5CA6" w:rsidRPr="5A1BC6B9">
        <w:rPr>
          <w:noProof/>
        </w:rPr>
        <w:t xml:space="preserve"> </w:t>
      </w:r>
      <w:r w:rsidRPr="5A1BC6B9">
        <w:rPr>
          <w:noProof/>
        </w:rPr>
        <w:t>EU Member States have adopted a legal definition of</w:t>
      </w:r>
      <w:r w:rsidRPr="3A954B8D">
        <w:rPr>
          <w:noProof/>
        </w:rPr>
        <w:t xml:space="preserve"> </w:t>
      </w:r>
      <w:r w:rsidRPr="5A1BC6B9">
        <w:rPr>
          <w:noProof/>
        </w:rPr>
        <w:t>startup</w:t>
      </w:r>
      <w:r w:rsidRPr="5A1BC6B9">
        <w:rPr>
          <w:rStyle w:val="FootnoteReference"/>
          <w:rFonts w:eastAsia="Calibri"/>
          <w:noProof/>
        </w:rPr>
        <w:footnoteReference w:id="42"/>
      </w:r>
      <w:r w:rsidRPr="5A1BC6B9">
        <w:rPr>
          <w:noProof/>
        </w:rPr>
        <w:t xml:space="preserve"> and </w:t>
      </w:r>
      <w:r w:rsidR="00CF5CA6">
        <w:rPr>
          <w:noProof/>
        </w:rPr>
        <w:t>five</w:t>
      </w:r>
      <w:r w:rsidR="00CF5CA6" w:rsidRPr="5A1BC6B9">
        <w:rPr>
          <w:noProof/>
        </w:rPr>
        <w:t xml:space="preserve"> </w:t>
      </w:r>
      <w:r w:rsidRPr="5A1BC6B9">
        <w:rPr>
          <w:noProof/>
        </w:rPr>
        <w:t>Member States</w:t>
      </w:r>
      <w:r w:rsidRPr="3A954B8D">
        <w:rPr>
          <w:noProof/>
        </w:rPr>
        <w:t xml:space="preserve"> </w:t>
      </w:r>
      <w:r w:rsidRPr="5A1BC6B9">
        <w:rPr>
          <w:noProof/>
        </w:rPr>
        <w:t>of</w:t>
      </w:r>
      <w:r w:rsidRPr="3A954B8D">
        <w:rPr>
          <w:noProof/>
        </w:rPr>
        <w:t xml:space="preserve"> </w:t>
      </w:r>
      <w:r w:rsidRPr="5A1BC6B9">
        <w:rPr>
          <w:noProof/>
        </w:rPr>
        <w:t>scaleup,</w:t>
      </w:r>
      <w:r w:rsidR="00DA3169" w:rsidRPr="5A1BC6B9">
        <w:rPr>
          <w:rStyle w:val="FootnoteReference"/>
          <w:rFonts w:eastAsia="Calibri"/>
          <w:noProof/>
        </w:rPr>
        <w:footnoteReference w:id="43"/>
      </w:r>
      <w:r w:rsidRPr="5A1BC6B9">
        <w:rPr>
          <w:noProof/>
        </w:rPr>
        <w:t xml:space="preserve"> while the General Block Exemption Regulation and Horizon Europe Regulation also set out</w:t>
      </w:r>
      <w:r w:rsidRPr="3A954B8D">
        <w:rPr>
          <w:noProof/>
        </w:rPr>
        <w:t xml:space="preserve"> </w:t>
      </w:r>
      <w:r w:rsidRPr="5A1BC6B9">
        <w:rPr>
          <w:noProof/>
        </w:rPr>
        <w:t xml:space="preserve">definitions at EU level for different purposes. This creates uncertainty and makes it difficult to collect data or assess the state of the ecosystem at any given time, let alone to design targeted policy measures for these types of companies. The European Innovation Scoreboard (EIS) and Eurostat Structural Business Statistic (ESBS) provide valuable insights into high-growth firms and European innovation ecosystems, but their interpretability suffers from the lack of standard and generally accepted definitions. </w:t>
      </w:r>
    </w:p>
    <w:p w14:paraId="4394D9E4" w14:textId="77777777" w:rsidR="009357CC" w:rsidRPr="00436E20" w:rsidDel="00504E10" w:rsidRDefault="009357CC" w:rsidP="00EF18D2">
      <w:pPr>
        <w:spacing w:after="120" w:line="257" w:lineRule="auto"/>
        <w:jc w:val="both"/>
        <w:rPr>
          <w:rFonts w:eastAsia="Aptos"/>
          <w:noProof/>
        </w:rPr>
      </w:pPr>
      <w:r w:rsidRPr="00436E20" w:rsidDel="00504E10">
        <w:rPr>
          <w:b/>
          <w:bCs/>
          <w:noProof/>
        </w:rPr>
        <w:t xml:space="preserve">Against this background, a harmonised definition of startups, scaleups and innovative companies is </w:t>
      </w:r>
      <w:r>
        <w:rPr>
          <w:b/>
          <w:bCs/>
          <w:noProof/>
        </w:rPr>
        <w:t>needed</w:t>
      </w:r>
      <w:r w:rsidRPr="00436E20" w:rsidDel="00504E10">
        <w:rPr>
          <w:noProof/>
        </w:rPr>
        <w:t xml:space="preserve">, not only to measure the impact of the Strategy and its policy measures, but </w:t>
      </w:r>
      <w:r w:rsidRPr="00436E20" w:rsidDel="00504E10">
        <w:rPr>
          <w:rFonts w:eastAsia="Aptos"/>
          <w:noProof/>
        </w:rPr>
        <w:t xml:space="preserve">also </w:t>
      </w:r>
      <w:r>
        <w:rPr>
          <w:rFonts w:eastAsia="Aptos"/>
          <w:noProof/>
        </w:rPr>
        <w:t xml:space="preserve">to </w:t>
      </w:r>
      <w:r w:rsidRPr="00436E20" w:rsidDel="00504E10">
        <w:rPr>
          <w:rFonts w:eastAsia="Aptos"/>
          <w:noProof/>
        </w:rPr>
        <w:t>allow the Commission to propose additional targeted simplification or support measures for these categories of companies.</w:t>
      </w:r>
    </w:p>
    <w:bookmarkEnd w:id="4"/>
    <w:p w14:paraId="78EAAD50" w14:textId="77777777" w:rsidR="00530360" w:rsidRDefault="00885706" w:rsidP="00EF18D2">
      <w:pPr>
        <w:spacing w:after="120" w:line="257" w:lineRule="auto"/>
        <w:jc w:val="both"/>
        <w:rPr>
          <w:b/>
          <w:bCs/>
          <w:noProof/>
          <w:u w:val="single"/>
        </w:rPr>
      </w:pPr>
      <w:r w:rsidRPr="00436E20">
        <w:rPr>
          <w:b/>
          <w:bCs/>
          <w:noProof/>
          <w:u w:val="single"/>
        </w:rPr>
        <w:t>Actions</w:t>
      </w:r>
    </w:p>
    <w:p w14:paraId="4F371A31" w14:textId="6143348D" w:rsidR="009357CC" w:rsidRPr="00436E20" w:rsidRDefault="009357CC" w:rsidP="00EF18D2">
      <w:pPr>
        <w:pStyle w:val="ListParagraph"/>
        <w:numPr>
          <w:ilvl w:val="0"/>
          <w:numId w:val="15"/>
        </w:numPr>
        <w:spacing w:after="120" w:line="257" w:lineRule="auto"/>
        <w:contextualSpacing w:val="0"/>
        <w:jc w:val="both"/>
        <w:rPr>
          <w:noProof/>
        </w:rPr>
      </w:pPr>
      <w:r w:rsidRPr="00436E20">
        <w:rPr>
          <w:noProof/>
        </w:rPr>
        <w:t xml:space="preserve">The Commission will </w:t>
      </w:r>
      <w:r>
        <w:rPr>
          <w:noProof/>
        </w:rPr>
        <w:t>propose</w:t>
      </w:r>
      <w:r w:rsidRPr="00436E20">
        <w:rPr>
          <w:noProof/>
        </w:rPr>
        <w:t xml:space="preserve"> </w:t>
      </w:r>
      <w:r w:rsidRPr="00436E20">
        <w:rPr>
          <w:b/>
          <w:noProof/>
        </w:rPr>
        <w:t xml:space="preserve">a definition of startups, scaleups and innovative companies, </w:t>
      </w:r>
      <w:r w:rsidRPr="00342ED1">
        <w:rPr>
          <w:bCs/>
          <w:noProof/>
        </w:rPr>
        <w:t>taking into account existing definitions</w:t>
      </w:r>
      <w:r w:rsidR="008C7B86">
        <w:rPr>
          <w:bCs/>
          <w:noProof/>
        </w:rPr>
        <w:t xml:space="preserve"> of SMEs and small mid-caps</w:t>
      </w:r>
      <w:r>
        <w:rPr>
          <w:b/>
          <w:noProof/>
        </w:rPr>
        <w:t xml:space="preserve"> </w:t>
      </w:r>
      <w:r w:rsidRPr="00436E20">
        <w:rPr>
          <w:noProof/>
        </w:rPr>
        <w:t>(Q1 2026).</w:t>
      </w:r>
    </w:p>
    <w:p w14:paraId="0FF4A78A" w14:textId="5F7C408A" w:rsidR="009357CC" w:rsidRPr="00436E20" w:rsidRDefault="009357CC" w:rsidP="00EF18D2">
      <w:pPr>
        <w:pStyle w:val="ListParagraph"/>
        <w:numPr>
          <w:ilvl w:val="0"/>
          <w:numId w:val="15"/>
        </w:numPr>
        <w:spacing w:after="120" w:line="257" w:lineRule="auto"/>
        <w:contextualSpacing w:val="0"/>
        <w:jc w:val="both"/>
        <w:rPr>
          <w:noProof/>
        </w:rPr>
      </w:pPr>
      <w:r w:rsidRPr="00436E20">
        <w:rPr>
          <w:noProof/>
        </w:rPr>
        <w:t xml:space="preserve">The Commission will set up a </w:t>
      </w:r>
      <w:r w:rsidRPr="00436E20">
        <w:rPr>
          <w:b/>
          <w:bCs/>
          <w:noProof/>
        </w:rPr>
        <w:t>European Startup and Scaleup Scoreboard</w:t>
      </w:r>
      <w:r w:rsidRPr="00436E20">
        <w:rPr>
          <w:noProof/>
        </w:rPr>
        <w:t xml:space="preserve"> that will measure, based on a set of indicators the performance of the European and national startup and scaleup ecosystems. Indicators will include, among others, the number of startups, scaleups, centaurs and unicorns</w:t>
      </w:r>
      <w:r>
        <w:rPr>
          <w:noProof/>
        </w:rPr>
        <w:t>.</w:t>
      </w:r>
      <w:r w:rsidRPr="00436E20">
        <w:rPr>
          <w:noProof/>
        </w:rPr>
        <w:t xml:space="preserve"> It will also be used to measure the impact of the Strategy </w:t>
      </w:r>
      <w:r w:rsidRPr="00436E20">
        <w:rPr>
          <w:rFonts w:eastAsia="Aptos"/>
          <w:noProof/>
        </w:rPr>
        <w:t xml:space="preserve">by using </w:t>
      </w:r>
      <w:r w:rsidRPr="00436E20">
        <w:rPr>
          <w:rFonts w:eastAsia="Aptos"/>
          <w:b/>
          <w:bCs/>
          <w:noProof/>
        </w:rPr>
        <w:t>three Key Performance Indicators</w:t>
      </w:r>
      <w:r w:rsidRPr="00436E20">
        <w:rPr>
          <w:rFonts w:eastAsia="Aptos"/>
          <w:noProof/>
        </w:rPr>
        <w:t xml:space="preserve">: </w:t>
      </w:r>
      <w:r w:rsidRPr="00436E20">
        <w:rPr>
          <w:noProof/>
        </w:rPr>
        <w:t xml:space="preserve">1) </w:t>
      </w:r>
      <w:r>
        <w:rPr>
          <w:noProof/>
        </w:rPr>
        <w:t xml:space="preserve">the </w:t>
      </w:r>
      <w:r w:rsidRPr="00436E20">
        <w:rPr>
          <w:noProof/>
        </w:rPr>
        <w:t>increase in the number of startups in the EU, 2)</w:t>
      </w:r>
      <w:r>
        <w:rPr>
          <w:noProof/>
        </w:rPr>
        <w:t xml:space="preserve"> the</w:t>
      </w:r>
      <w:r w:rsidRPr="00436E20">
        <w:rPr>
          <w:noProof/>
        </w:rPr>
        <w:t xml:space="preserve"> increase in the number of centaurs in the EU and 3) </w:t>
      </w:r>
      <w:r>
        <w:rPr>
          <w:noProof/>
        </w:rPr>
        <w:t xml:space="preserve">the </w:t>
      </w:r>
      <w:r w:rsidRPr="00436E20">
        <w:rPr>
          <w:noProof/>
        </w:rPr>
        <w:t>increase in the number of unicorns in the EU (as of 2026)</w:t>
      </w:r>
      <w:r>
        <w:rPr>
          <w:noProof/>
        </w:rPr>
        <w:t>, and how these compare with global competitors.</w:t>
      </w:r>
    </w:p>
    <w:p w14:paraId="37CC1587" w14:textId="77777777" w:rsidR="009357CC" w:rsidRDefault="009357CC" w:rsidP="00EF18D2">
      <w:pPr>
        <w:pStyle w:val="ListParagraph"/>
        <w:numPr>
          <w:ilvl w:val="2"/>
          <w:numId w:val="12"/>
        </w:numPr>
        <w:spacing w:after="160" w:line="257" w:lineRule="auto"/>
        <w:contextualSpacing w:val="0"/>
        <w:jc w:val="both"/>
        <w:rPr>
          <w:noProof/>
        </w:rPr>
      </w:pPr>
      <w:r w:rsidRPr="00436E20">
        <w:rPr>
          <w:noProof/>
        </w:rPr>
        <w:t xml:space="preserve">The Commission will carry out an </w:t>
      </w:r>
      <w:r w:rsidRPr="00166DF2">
        <w:rPr>
          <w:b/>
          <w:bCs/>
          <w:noProof/>
        </w:rPr>
        <w:t>annual startup and scaleup survey</w:t>
      </w:r>
      <w:r w:rsidRPr="00436E20">
        <w:rPr>
          <w:noProof/>
        </w:rPr>
        <w:t xml:space="preserve"> to assess </w:t>
      </w:r>
      <w:r>
        <w:rPr>
          <w:noProof/>
        </w:rPr>
        <w:t xml:space="preserve">the </w:t>
      </w:r>
      <w:r w:rsidRPr="00436E20">
        <w:rPr>
          <w:noProof/>
        </w:rPr>
        <w:t>perception of innovative company founders of the improvement in the EU’s regulatory environment over time (as of 2026).</w:t>
      </w:r>
    </w:p>
    <w:p w14:paraId="72555499" w14:textId="05E505EE" w:rsidR="00DA3169" w:rsidRDefault="00DA3169" w:rsidP="00EF18D2">
      <w:pPr>
        <w:pStyle w:val="ListParagraph"/>
        <w:numPr>
          <w:ilvl w:val="2"/>
          <w:numId w:val="12"/>
        </w:numPr>
        <w:spacing w:after="160" w:line="257" w:lineRule="auto"/>
        <w:contextualSpacing w:val="0"/>
        <w:jc w:val="both"/>
        <w:rPr>
          <w:noProof/>
        </w:rPr>
      </w:pPr>
      <w:r>
        <w:rPr>
          <w:noProof/>
        </w:rPr>
        <w:br w:type="page"/>
      </w:r>
    </w:p>
    <w:p w14:paraId="3F768882" w14:textId="3E79D0BF" w:rsidR="00C06772" w:rsidRPr="00C06772" w:rsidRDefault="00C06772" w:rsidP="00C06772">
      <w:pPr>
        <w:spacing w:after="120" w:line="257" w:lineRule="auto"/>
        <w:ind w:firstLine="357"/>
        <w:jc w:val="both"/>
        <w:rPr>
          <w:b/>
          <w:bCs/>
          <w:noProof/>
          <w:u w:val="single"/>
        </w:rPr>
      </w:pPr>
      <w:r w:rsidRPr="00C06772">
        <w:rPr>
          <w:b/>
          <w:bCs/>
          <w:noProof/>
          <w:u w:val="single"/>
        </w:rPr>
        <w:lastRenderedPageBreak/>
        <w:t>CONCLUSION</w:t>
      </w:r>
    </w:p>
    <w:p w14:paraId="11A2BE51" w14:textId="77777777" w:rsidR="00C06772" w:rsidRDefault="00C06772" w:rsidP="00EF18D2">
      <w:pPr>
        <w:spacing w:after="120" w:line="257" w:lineRule="auto"/>
        <w:jc w:val="both"/>
        <w:rPr>
          <w:b/>
          <w:bCs/>
          <w:noProof/>
        </w:rPr>
      </w:pPr>
    </w:p>
    <w:p w14:paraId="1410A2C7" w14:textId="415FC203" w:rsidR="009357CC" w:rsidRDefault="009357CC" w:rsidP="00EF18D2">
      <w:pPr>
        <w:spacing w:after="120" w:line="257" w:lineRule="auto"/>
        <w:jc w:val="both"/>
        <w:rPr>
          <w:noProof/>
        </w:rPr>
      </w:pPr>
      <w:r>
        <w:rPr>
          <w:b/>
          <w:bCs/>
          <w:noProof/>
        </w:rPr>
        <w:t>Europe</w:t>
      </w:r>
      <w:r w:rsidRPr="00D36B91">
        <w:rPr>
          <w:b/>
          <w:bCs/>
          <w:noProof/>
        </w:rPr>
        <w:t xml:space="preserve"> is at a pivotal moment, and putting startups and scaleups at the heart of its competitiveness agenda is essential for driving future growth</w:t>
      </w:r>
      <w:r w:rsidR="31AEDBC8" w:rsidRPr="371E58D7">
        <w:rPr>
          <w:b/>
          <w:bCs/>
          <w:noProof/>
        </w:rPr>
        <w:t xml:space="preserve"> and </w:t>
      </w:r>
      <w:r w:rsidR="31AEDBC8" w:rsidRPr="6174076B">
        <w:rPr>
          <w:b/>
          <w:bCs/>
          <w:noProof/>
        </w:rPr>
        <w:t>prosperity</w:t>
      </w:r>
      <w:r w:rsidRPr="6174076B">
        <w:rPr>
          <w:b/>
          <w:bCs/>
          <w:noProof/>
        </w:rPr>
        <w:t>.</w:t>
      </w:r>
      <w:r>
        <w:rPr>
          <w:noProof/>
        </w:rPr>
        <w:t xml:space="preserve"> The EU Startup and Scaleup Strategy lays the </w:t>
      </w:r>
      <w:r w:rsidR="007C50F4">
        <w:rPr>
          <w:noProof/>
        </w:rPr>
        <w:t xml:space="preserve">European </w:t>
      </w:r>
      <w:r>
        <w:rPr>
          <w:noProof/>
        </w:rPr>
        <w:t>Commission</w:t>
      </w:r>
      <w:r w:rsidR="007C50F4">
        <w:rPr>
          <w:noProof/>
        </w:rPr>
        <w:t>’s</w:t>
      </w:r>
      <w:r>
        <w:rPr>
          <w:noProof/>
        </w:rPr>
        <w:t xml:space="preserve"> vision and groundwork for this transformation, tapping into our strengths while seizing the opportunities of the current geopolitical landscape.</w:t>
      </w:r>
    </w:p>
    <w:p w14:paraId="5D417AF8" w14:textId="64CACF6E" w:rsidR="009357CC" w:rsidRDefault="009357CC" w:rsidP="00EF18D2">
      <w:pPr>
        <w:spacing w:after="120" w:line="257" w:lineRule="auto"/>
        <w:jc w:val="both"/>
        <w:rPr>
          <w:noProof/>
        </w:rPr>
      </w:pPr>
      <w:r>
        <w:rPr>
          <w:noProof/>
        </w:rPr>
        <w:t xml:space="preserve">This Strategy takes a holistic approach, simplifying processes at every stage of startup development, and combines short-term action with long-term reforms to create an ecosystem where startups in any sector can thrive — and choose to </w:t>
      </w:r>
      <w:r w:rsidR="00DD0101">
        <w:rPr>
          <w:noProof/>
        </w:rPr>
        <w:t xml:space="preserve">stay and </w:t>
      </w:r>
      <w:r>
        <w:rPr>
          <w:noProof/>
        </w:rPr>
        <w:t xml:space="preserve">relocate </w:t>
      </w:r>
      <w:r w:rsidR="0043386A">
        <w:rPr>
          <w:noProof/>
        </w:rPr>
        <w:t>in Europe</w:t>
      </w:r>
      <w:r>
        <w:rPr>
          <w:noProof/>
        </w:rPr>
        <w:t>.</w:t>
      </w:r>
      <w:r w:rsidR="00D5074F">
        <w:rPr>
          <w:noProof/>
        </w:rPr>
        <w:t xml:space="preserve"> </w:t>
      </w:r>
      <w:r w:rsidR="00D5074F" w:rsidRPr="00D5074F">
        <w:rPr>
          <w:noProof/>
        </w:rPr>
        <w:t>It caters for the gradual integration of EU candidate countries</w:t>
      </w:r>
      <w:r w:rsidR="00D5074F">
        <w:rPr>
          <w:noProof/>
        </w:rPr>
        <w:t>.</w:t>
      </w:r>
    </w:p>
    <w:p w14:paraId="341756CC" w14:textId="751BA32A" w:rsidR="009357CC" w:rsidRDefault="009357CC" w:rsidP="00EF18D2">
      <w:pPr>
        <w:spacing w:after="120" w:line="257" w:lineRule="auto"/>
        <w:jc w:val="both"/>
        <w:rPr>
          <w:noProof/>
        </w:rPr>
      </w:pPr>
      <w:r w:rsidRPr="00D36B91">
        <w:rPr>
          <w:b/>
          <w:bCs/>
          <w:noProof/>
        </w:rPr>
        <w:t>The key to success lies in swift, effective implementation</w:t>
      </w:r>
      <w:r>
        <w:rPr>
          <w:noProof/>
        </w:rPr>
        <w:t>. Key milestones like the European Innovation Act and the 28th regime for companies will be critical to achieving these goals. The Strategy integrates policy, legislative and financial support, with a strong focus on accountability through clear tracking instruments. The E</w:t>
      </w:r>
      <w:r w:rsidR="007C50F4">
        <w:rPr>
          <w:noProof/>
        </w:rPr>
        <w:t>uropean</w:t>
      </w:r>
      <w:r>
        <w:rPr>
          <w:noProof/>
        </w:rPr>
        <w:t xml:space="preserve"> Commission will lead by example, involving the startup </w:t>
      </w:r>
      <w:r w:rsidR="6510D3DC" w:rsidRPr="082A0DC0">
        <w:rPr>
          <w:noProof/>
        </w:rPr>
        <w:t xml:space="preserve">and scaleup </w:t>
      </w:r>
      <w:r>
        <w:rPr>
          <w:noProof/>
        </w:rPr>
        <w:t>community</w:t>
      </w:r>
      <w:r w:rsidR="6647A843" w:rsidRPr="082A0DC0">
        <w:rPr>
          <w:noProof/>
        </w:rPr>
        <w:t xml:space="preserve"> – including through regular meetings of European unicorns and centaurs</w:t>
      </w:r>
      <w:r w:rsidR="5AB37132" w:rsidRPr="082A0DC0">
        <w:rPr>
          <w:noProof/>
        </w:rPr>
        <w:t xml:space="preserve"> – </w:t>
      </w:r>
      <w:r w:rsidRPr="082A0DC0">
        <w:rPr>
          <w:noProof/>
        </w:rPr>
        <w:t>in</w:t>
      </w:r>
      <w:r>
        <w:rPr>
          <w:noProof/>
        </w:rPr>
        <w:t xml:space="preserve"> shaping and executing these plans.</w:t>
      </w:r>
    </w:p>
    <w:p w14:paraId="7E69920B" w14:textId="77777777" w:rsidR="009357CC" w:rsidRDefault="009357CC" w:rsidP="00EF18D2">
      <w:pPr>
        <w:spacing w:after="120" w:line="257" w:lineRule="auto"/>
        <w:jc w:val="both"/>
        <w:rPr>
          <w:noProof/>
        </w:rPr>
      </w:pPr>
      <w:r w:rsidRPr="00D36B91">
        <w:rPr>
          <w:b/>
          <w:bCs/>
          <w:noProof/>
        </w:rPr>
        <w:t>Collaboration across Member States is critical for success</w:t>
      </w:r>
      <w:r>
        <w:rPr>
          <w:noProof/>
        </w:rPr>
        <w:t xml:space="preserve">. The European Innovation Council Forum will track progress and turn ambition into action, while political backing will be critical to ensure timely and effective delivery of the Strategy's goals. </w:t>
      </w:r>
    </w:p>
    <w:p w14:paraId="3314AA35" w14:textId="77777777" w:rsidR="009357CC" w:rsidRPr="00D36B91" w:rsidRDefault="009357CC" w:rsidP="00EF18D2">
      <w:pPr>
        <w:spacing w:after="120" w:line="257" w:lineRule="auto"/>
        <w:jc w:val="both"/>
        <w:rPr>
          <w:b/>
          <w:bCs/>
          <w:noProof/>
        </w:rPr>
      </w:pPr>
      <w:r w:rsidRPr="00D36B91">
        <w:rPr>
          <w:b/>
          <w:bCs/>
          <w:noProof/>
        </w:rPr>
        <w:t>It</w:t>
      </w:r>
      <w:r>
        <w:rPr>
          <w:b/>
          <w:bCs/>
          <w:noProof/>
        </w:rPr>
        <w:t xml:space="preserve"> is</w:t>
      </w:r>
      <w:r w:rsidRPr="00D36B91">
        <w:rPr>
          <w:b/>
          <w:bCs/>
          <w:noProof/>
        </w:rPr>
        <w:t xml:space="preserve"> time to make the E</w:t>
      </w:r>
      <w:r>
        <w:rPr>
          <w:b/>
          <w:bCs/>
          <w:noProof/>
        </w:rPr>
        <w:t xml:space="preserve">uropean </w:t>
      </w:r>
      <w:r w:rsidRPr="00D36B91">
        <w:rPr>
          <w:b/>
          <w:bCs/>
          <w:noProof/>
        </w:rPr>
        <w:t>U</w:t>
      </w:r>
      <w:r>
        <w:rPr>
          <w:b/>
          <w:bCs/>
          <w:noProof/>
        </w:rPr>
        <w:t>nion</w:t>
      </w:r>
      <w:r w:rsidRPr="00D36B91">
        <w:rPr>
          <w:b/>
          <w:bCs/>
          <w:noProof/>
        </w:rPr>
        <w:t xml:space="preserve"> the ultimate destination for innovation, empowering startups and scaleups to grow, scale, and succeed. In our continent.</w:t>
      </w:r>
    </w:p>
    <w:p w14:paraId="3AD2709F" w14:textId="77777777" w:rsidR="009357CC" w:rsidRPr="00204911" w:rsidRDefault="009357CC" w:rsidP="00EF18D2">
      <w:pPr>
        <w:spacing w:after="120" w:line="257" w:lineRule="auto"/>
        <w:jc w:val="both"/>
        <w:rPr>
          <w:noProof/>
        </w:rPr>
      </w:pPr>
      <w:r w:rsidRPr="00204911">
        <w:rPr>
          <w:noProof/>
        </w:rPr>
        <w:t>The Commission invites the European Parliament, the European Council, the Council and stakeholders to endorse the EU Startup and Scaleup Strategy and to actively contribute to delivering on the initiatives it sets out.</w:t>
      </w:r>
    </w:p>
    <w:p w14:paraId="36375489" w14:textId="77777777" w:rsidR="009357CC" w:rsidRPr="00204911" w:rsidRDefault="009357CC" w:rsidP="00EF18D2">
      <w:pPr>
        <w:spacing w:after="120" w:line="257" w:lineRule="auto"/>
        <w:jc w:val="both"/>
        <w:rPr>
          <w:noProof/>
        </w:rPr>
      </w:pPr>
      <w:r w:rsidRPr="00204911">
        <w:rPr>
          <w:noProof/>
        </w:rPr>
        <w:t>The Commission will report on the implementation of the Strategy by the end of 2027.</w:t>
      </w:r>
    </w:p>
    <w:p w14:paraId="03B2DE45" w14:textId="77777777" w:rsidR="009357CC" w:rsidRPr="00436E20" w:rsidRDefault="009357CC" w:rsidP="00EF18D2">
      <w:pPr>
        <w:spacing w:after="120" w:line="257" w:lineRule="auto"/>
        <w:jc w:val="both"/>
        <w:rPr>
          <w:b/>
          <w:bCs/>
          <w:noProof/>
        </w:rPr>
      </w:pPr>
    </w:p>
    <w:p w14:paraId="0005B006" w14:textId="77777777" w:rsidR="009357CC" w:rsidRPr="00436E20" w:rsidRDefault="009357CC" w:rsidP="00EF18D2">
      <w:pPr>
        <w:spacing w:after="120" w:line="257" w:lineRule="auto"/>
        <w:rPr>
          <w:noProof/>
        </w:rPr>
      </w:pPr>
      <w:r w:rsidRPr="00436E20">
        <w:rPr>
          <w:noProof/>
        </w:rPr>
        <w:br w:type="page"/>
      </w:r>
    </w:p>
    <w:bookmarkEnd w:id="1"/>
    <w:p w14:paraId="753E7712" w14:textId="77777777" w:rsidR="009357CC" w:rsidRPr="00436E20" w:rsidRDefault="009357CC" w:rsidP="00EF18D2">
      <w:pPr>
        <w:spacing w:after="120" w:line="257" w:lineRule="auto"/>
        <w:jc w:val="center"/>
        <w:rPr>
          <w:b/>
          <w:bCs/>
          <w:noProof/>
          <w:u w:val="single"/>
        </w:rPr>
      </w:pPr>
      <w:r w:rsidRPr="00436E20">
        <w:rPr>
          <w:b/>
          <w:bCs/>
          <w:noProof/>
          <w:u w:val="single"/>
        </w:rPr>
        <w:lastRenderedPageBreak/>
        <w:t>THE EU STARTUP AND SCALEUP STRATEGY</w:t>
      </w:r>
    </w:p>
    <w:p w14:paraId="786AE3C6" w14:textId="77777777" w:rsidR="009357CC" w:rsidRPr="00436E20" w:rsidRDefault="009357CC" w:rsidP="00EF18D2">
      <w:pPr>
        <w:spacing w:after="120" w:line="257" w:lineRule="auto"/>
        <w:jc w:val="center"/>
        <w:rPr>
          <w:rFonts w:eastAsia="Aptos"/>
          <w:b/>
          <w:bCs/>
          <w:noProof/>
          <w:kern w:val="2"/>
          <w:lang w:eastAsia="en-US"/>
        </w:rPr>
      </w:pPr>
      <w:r w:rsidRPr="00436E20">
        <w:rPr>
          <w:rFonts w:eastAsia="Aptos"/>
          <w:b/>
          <w:bCs/>
          <w:noProof/>
          <w:kern w:val="2"/>
          <w:lang w:eastAsia="en-US"/>
        </w:rPr>
        <w:t>ACTIONS SUMMARY</w:t>
      </w:r>
    </w:p>
    <w:p w14:paraId="37B122D5" w14:textId="77777777" w:rsidR="009357CC" w:rsidRPr="00436E20" w:rsidRDefault="009357CC" w:rsidP="00EF18D2">
      <w:pPr>
        <w:spacing w:after="120" w:line="257" w:lineRule="auto"/>
        <w:jc w:val="both"/>
        <w:rPr>
          <w:noProof/>
        </w:rPr>
      </w:pPr>
    </w:p>
    <w:tbl>
      <w:tblPr>
        <w:tblStyle w:val="TableGrid2"/>
        <w:tblW w:w="9067" w:type="dxa"/>
        <w:tblLook w:val="04A0" w:firstRow="1" w:lastRow="0" w:firstColumn="1" w:lastColumn="0" w:noHBand="0" w:noVBand="1"/>
      </w:tblPr>
      <w:tblGrid>
        <w:gridCol w:w="9067"/>
      </w:tblGrid>
      <w:tr w:rsidR="009357CC" w:rsidRPr="00436E20" w14:paraId="7E2074E0" w14:textId="77777777" w:rsidTr="00350E5F">
        <w:trPr>
          <w:trHeight w:val="442"/>
        </w:trPr>
        <w:tc>
          <w:tcPr>
            <w:tcW w:w="9067" w:type="dxa"/>
            <w:shd w:val="clear" w:color="auto" w:fill="EAF1DD" w:themeFill="accent3" w:themeFillTint="33"/>
            <w:vAlign w:val="center"/>
          </w:tcPr>
          <w:p w14:paraId="2192219E" w14:textId="77777777" w:rsidR="009357CC" w:rsidRPr="00436E20" w:rsidRDefault="009357CC" w:rsidP="00EF18D2">
            <w:pPr>
              <w:spacing w:after="120" w:line="257" w:lineRule="auto"/>
              <w:jc w:val="both"/>
              <w:rPr>
                <w:b/>
                <w:bCs/>
                <w:noProof/>
                <w:u w:val="single"/>
              </w:rPr>
            </w:pPr>
            <w:r w:rsidRPr="00436E20">
              <w:rPr>
                <w:b/>
                <w:bCs/>
                <w:noProof/>
                <w:u w:val="single"/>
              </w:rPr>
              <w:t>I. INNOVATION-FRIENDLY REGULATION</w:t>
            </w:r>
          </w:p>
        </w:tc>
      </w:tr>
      <w:tr w:rsidR="009357CC" w:rsidRPr="00436E20" w14:paraId="6B1D9E41" w14:textId="77777777" w:rsidTr="00350E5F">
        <w:tc>
          <w:tcPr>
            <w:tcW w:w="9067" w:type="dxa"/>
            <w:shd w:val="clear" w:color="auto" w:fill="E1EBF7" w:themeFill="text2" w:themeFillTint="1A"/>
          </w:tcPr>
          <w:p w14:paraId="3E30A458" w14:textId="77777777" w:rsidR="009357CC" w:rsidRPr="00436E20" w:rsidRDefault="009357CC" w:rsidP="00EF18D2">
            <w:pPr>
              <w:spacing w:after="120" w:line="257" w:lineRule="auto"/>
              <w:jc w:val="both"/>
              <w:rPr>
                <w:noProof/>
              </w:rPr>
            </w:pPr>
            <w:r w:rsidRPr="00436E20">
              <w:rPr>
                <w:b/>
                <w:bCs/>
                <w:noProof/>
              </w:rPr>
              <w:t xml:space="preserve">Actions </w:t>
            </w:r>
          </w:p>
        </w:tc>
      </w:tr>
      <w:tr w:rsidR="009357CC" w:rsidRPr="00436E20" w14:paraId="2293159B" w14:textId="77777777" w:rsidTr="00350E5F">
        <w:tc>
          <w:tcPr>
            <w:tcW w:w="9067" w:type="dxa"/>
          </w:tcPr>
          <w:p w14:paraId="6A4D1F18" w14:textId="77777777" w:rsidR="009357CC" w:rsidRPr="00436E20" w:rsidRDefault="009357CC" w:rsidP="00EF18D2">
            <w:pPr>
              <w:numPr>
                <w:ilvl w:val="0"/>
                <w:numId w:val="4"/>
              </w:numPr>
              <w:spacing w:after="120" w:line="257" w:lineRule="auto"/>
              <w:ind w:left="740" w:hanging="425"/>
              <w:jc w:val="both"/>
              <w:rPr>
                <w:noProof/>
              </w:rPr>
            </w:pPr>
            <w:r w:rsidRPr="00436E20">
              <w:rPr>
                <w:noProof/>
              </w:rPr>
              <w:t>28</w:t>
            </w:r>
            <w:r w:rsidRPr="00436E20">
              <w:rPr>
                <w:noProof/>
                <w:vertAlign w:val="superscript"/>
              </w:rPr>
              <w:t>th</w:t>
            </w:r>
            <w:r w:rsidRPr="00436E20">
              <w:rPr>
                <w:noProof/>
              </w:rPr>
              <w:t xml:space="preserve"> regime for companies (Q1 2026) </w:t>
            </w:r>
          </w:p>
          <w:p w14:paraId="2BAEC2BF" w14:textId="77777777" w:rsidR="009357CC" w:rsidRPr="00436E20" w:rsidRDefault="009357CC" w:rsidP="00EF18D2">
            <w:pPr>
              <w:numPr>
                <w:ilvl w:val="0"/>
                <w:numId w:val="4"/>
              </w:numPr>
              <w:spacing w:after="120" w:line="257" w:lineRule="auto"/>
              <w:ind w:left="740" w:hanging="425"/>
              <w:jc w:val="both"/>
              <w:rPr>
                <w:noProof/>
              </w:rPr>
            </w:pPr>
            <w:r w:rsidRPr="00436E20">
              <w:rPr>
                <w:noProof/>
              </w:rPr>
              <w:t>European Business Wallets (Q4 2025)</w:t>
            </w:r>
          </w:p>
          <w:p w14:paraId="6A71E9DC" w14:textId="77777777" w:rsidR="009357CC" w:rsidRPr="00436E20" w:rsidRDefault="009357CC" w:rsidP="00EF18D2">
            <w:pPr>
              <w:numPr>
                <w:ilvl w:val="0"/>
                <w:numId w:val="4"/>
              </w:numPr>
              <w:spacing w:after="120" w:line="257" w:lineRule="auto"/>
              <w:ind w:left="740" w:hanging="425"/>
              <w:jc w:val="both"/>
              <w:rPr>
                <w:noProof/>
              </w:rPr>
            </w:pPr>
            <w:r w:rsidRPr="00436E20">
              <w:rPr>
                <w:bCs/>
                <w:noProof/>
              </w:rPr>
              <w:t>European Innovation Act (Q1 2026)</w:t>
            </w:r>
          </w:p>
          <w:p w14:paraId="2F2579E9" w14:textId="77777777" w:rsidR="009357CC" w:rsidRPr="00436E20" w:rsidRDefault="009357CC" w:rsidP="00EF18D2">
            <w:pPr>
              <w:numPr>
                <w:ilvl w:val="0"/>
                <w:numId w:val="4"/>
              </w:numPr>
              <w:spacing w:after="120" w:line="257" w:lineRule="auto"/>
              <w:ind w:left="740" w:hanging="425"/>
              <w:jc w:val="both"/>
              <w:rPr>
                <w:bCs/>
                <w:noProof/>
              </w:rPr>
            </w:pPr>
            <w:r w:rsidRPr="00436E20">
              <w:rPr>
                <w:bCs/>
                <w:noProof/>
              </w:rPr>
              <w:t>Voluntary “Innovation Stress Test” (Q1 2026)</w:t>
            </w:r>
          </w:p>
          <w:p w14:paraId="4BC2A314" w14:textId="77777777" w:rsidR="009357CC" w:rsidRPr="00436E20" w:rsidRDefault="009357CC" w:rsidP="00EF18D2">
            <w:pPr>
              <w:numPr>
                <w:ilvl w:val="0"/>
                <w:numId w:val="4"/>
              </w:numPr>
              <w:spacing w:after="120" w:line="257" w:lineRule="auto"/>
              <w:ind w:left="740" w:hanging="425"/>
              <w:jc w:val="both"/>
              <w:rPr>
                <w:bCs/>
                <w:noProof/>
              </w:rPr>
            </w:pPr>
            <w:r w:rsidRPr="00436E20">
              <w:rPr>
                <w:bCs/>
                <w:noProof/>
              </w:rPr>
              <w:t>Reduce regulatory burdens in strategic sectors (as of 2025)</w:t>
            </w:r>
          </w:p>
          <w:p w14:paraId="04F72264" w14:textId="77777777" w:rsidR="009357CC" w:rsidRPr="00436E20" w:rsidRDefault="009357CC" w:rsidP="00EF18D2">
            <w:pPr>
              <w:numPr>
                <w:ilvl w:val="0"/>
                <w:numId w:val="4"/>
              </w:numPr>
              <w:spacing w:after="120" w:line="257" w:lineRule="auto"/>
              <w:ind w:left="740" w:hanging="425"/>
              <w:jc w:val="both"/>
              <w:rPr>
                <w:bCs/>
                <w:noProof/>
              </w:rPr>
            </w:pPr>
            <w:r w:rsidRPr="00436E20">
              <w:rPr>
                <w:bCs/>
                <w:noProof/>
              </w:rPr>
              <w:t>Revision of the Standardisation Regulation (2026)</w:t>
            </w:r>
          </w:p>
          <w:p w14:paraId="17EF0DED" w14:textId="77777777" w:rsidR="009357CC" w:rsidRPr="00436E20" w:rsidRDefault="009357CC" w:rsidP="00EF18D2">
            <w:pPr>
              <w:numPr>
                <w:ilvl w:val="0"/>
                <w:numId w:val="4"/>
              </w:numPr>
              <w:spacing w:after="120" w:line="257" w:lineRule="auto"/>
              <w:ind w:left="740" w:hanging="425"/>
              <w:jc w:val="both"/>
              <w:rPr>
                <w:bCs/>
                <w:noProof/>
              </w:rPr>
            </w:pPr>
            <w:r w:rsidRPr="00436E20">
              <w:rPr>
                <w:bCs/>
                <w:noProof/>
              </w:rPr>
              <w:t>Study on corporate restructuring (2026)</w:t>
            </w:r>
          </w:p>
          <w:p w14:paraId="48F60E65" w14:textId="77777777" w:rsidR="009357CC" w:rsidRPr="00436E20" w:rsidRDefault="009357CC" w:rsidP="00EF18D2">
            <w:pPr>
              <w:spacing w:after="120" w:line="257" w:lineRule="auto"/>
              <w:jc w:val="both"/>
              <w:rPr>
                <w:noProof/>
              </w:rPr>
            </w:pPr>
          </w:p>
        </w:tc>
      </w:tr>
      <w:tr w:rsidR="009357CC" w:rsidRPr="00436E20" w14:paraId="34BB772C" w14:textId="77777777" w:rsidTr="00350E5F">
        <w:tc>
          <w:tcPr>
            <w:tcW w:w="9067" w:type="dxa"/>
            <w:shd w:val="clear" w:color="auto" w:fill="EAF1DD" w:themeFill="accent3" w:themeFillTint="33"/>
          </w:tcPr>
          <w:p w14:paraId="7FB097C6" w14:textId="77777777" w:rsidR="009357CC" w:rsidRPr="00436E20" w:rsidRDefault="009357CC" w:rsidP="00EF18D2">
            <w:pPr>
              <w:spacing w:after="120" w:line="257" w:lineRule="auto"/>
              <w:jc w:val="both"/>
              <w:rPr>
                <w:noProof/>
              </w:rPr>
            </w:pPr>
            <w:r w:rsidRPr="00436E20">
              <w:rPr>
                <w:b/>
                <w:bCs/>
                <w:noProof/>
                <w:u w:val="single"/>
              </w:rPr>
              <w:t>II. BETTER FINANCE FOR STARTUPS AND SCALEUPS</w:t>
            </w:r>
          </w:p>
        </w:tc>
      </w:tr>
      <w:tr w:rsidR="009357CC" w:rsidRPr="00436E20" w14:paraId="6BA36599" w14:textId="77777777" w:rsidTr="00350E5F">
        <w:tc>
          <w:tcPr>
            <w:tcW w:w="9067" w:type="dxa"/>
            <w:shd w:val="clear" w:color="auto" w:fill="E1EBF7" w:themeFill="text2" w:themeFillTint="1A"/>
          </w:tcPr>
          <w:p w14:paraId="16D7B0B9" w14:textId="77777777" w:rsidR="009357CC" w:rsidRPr="00436E20" w:rsidDel="004741C2" w:rsidRDefault="009357CC" w:rsidP="00EF18D2">
            <w:pPr>
              <w:spacing w:after="120" w:line="257" w:lineRule="auto"/>
              <w:jc w:val="both"/>
              <w:rPr>
                <w:rFonts w:eastAsia="Aptos"/>
                <w:b/>
                <w:noProof/>
              </w:rPr>
            </w:pPr>
            <w:r w:rsidRPr="00436E20">
              <w:rPr>
                <w:rFonts w:eastAsia="Aptos"/>
                <w:b/>
                <w:noProof/>
              </w:rPr>
              <w:t>Actions</w:t>
            </w:r>
          </w:p>
        </w:tc>
      </w:tr>
      <w:tr w:rsidR="009357CC" w:rsidRPr="00436E20" w14:paraId="0F425AA7" w14:textId="77777777" w:rsidTr="00350E5F">
        <w:tc>
          <w:tcPr>
            <w:tcW w:w="9067" w:type="dxa"/>
          </w:tcPr>
          <w:p w14:paraId="767D87DA"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sidRPr="00436E20">
              <w:rPr>
                <w:noProof/>
              </w:rPr>
              <w:t>Expand and simplify the European Innovation Council (2025)</w:t>
            </w:r>
          </w:p>
          <w:p w14:paraId="48D1BE57"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sidRPr="00436E20">
              <w:rPr>
                <w:noProof/>
              </w:rPr>
              <w:t>Scaleup Europe Fund (2026)</w:t>
            </w:r>
          </w:p>
          <w:p w14:paraId="317FEB18"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sidRPr="00436E20">
              <w:rPr>
                <w:noProof/>
              </w:rPr>
              <w:t>European Innovation Investment Pact (2026)</w:t>
            </w:r>
          </w:p>
          <w:p w14:paraId="136AC93E"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sidRPr="00436E20">
              <w:rPr>
                <w:noProof/>
              </w:rPr>
              <w:t xml:space="preserve">European investment instruments for </w:t>
            </w:r>
            <w:r>
              <w:rPr>
                <w:noProof/>
              </w:rPr>
              <w:t xml:space="preserve">security and </w:t>
            </w:r>
            <w:r w:rsidRPr="00436E20">
              <w:rPr>
                <w:noProof/>
              </w:rPr>
              <w:t>defence startups and scaleups (2026)</w:t>
            </w:r>
          </w:p>
          <w:p w14:paraId="02B71AFB"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sidRPr="00436E20">
              <w:rPr>
                <w:noProof/>
              </w:rPr>
              <w:t>Framework for IP valuation (Q2 2027)</w:t>
            </w:r>
          </w:p>
          <w:p w14:paraId="4592BF4A"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sidRPr="00436E20">
              <w:rPr>
                <w:noProof/>
              </w:rPr>
              <w:t>Support for European business angels (2026)</w:t>
            </w:r>
          </w:p>
          <w:p w14:paraId="29C144E4" w14:textId="77777777" w:rsidR="009357CC" w:rsidRPr="00436E20" w:rsidRDefault="009357CC" w:rsidP="00EF18D2">
            <w:pPr>
              <w:pStyle w:val="ListParagraph"/>
              <w:numPr>
                <w:ilvl w:val="0"/>
                <w:numId w:val="9"/>
              </w:numPr>
              <w:spacing w:after="120" w:line="257" w:lineRule="auto"/>
              <w:contextualSpacing w:val="0"/>
              <w:jc w:val="both"/>
              <w:textAlignment w:val="baseline"/>
              <w:rPr>
                <w:noProof/>
              </w:rPr>
            </w:pPr>
            <w:r w:rsidRPr="00436E20">
              <w:rPr>
                <w:noProof/>
              </w:rPr>
              <w:t>Review of the definition of “undertaking in difficulty” (as of Q2 2025)</w:t>
            </w:r>
          </w:p>
          <w:p w14:paraId="767CA27C" w14:textId="77777777" w:rsidR="009357CC" w:rsidRPr="00332884" w:rsidRDefault="009357CC" w:rsidP="00EF18D2">
            <w:pPr>
              <w:pStyle w:val="ListParagraph"/>
              <w:numPr>
                <w:ilvl w:val="0"/>
                <w:numId w:val="9"/>
              </w:numPr>
              <w:spacing w:after="120" w:line="257" w:lineRule="auto"/>
              <w:contextualSpacing w:val="0"/>
              <w:jc w:val="both"/>
              <w:rPr>
                <w:rFonts w:eastAsia="Aptos"/>
                <w:noProof/>
              </w:rPr>
            </w:pPr>
            <w:r w:rsidRPr="00436E20">
              <w:rPr>
                <w:noProof/>
              </w:rPr>
              <w:t>Review the Horizontal and Non-Horizontal merger Guidelines (2027)</w:t>
            </w:r>
          </w:p>
          <w:p w14:paraId="3D3C6307" w14:textId="77777777" w:rsidR="009357CC" w:rsidRDefault="00332884" w:rsidP="00EF18D2">
            <w:pPr>
              <w:pStyle w:val="ListParagraph"/>
              <w:numPr>
                <w:ilvl w:val="0"/>
                <w:numId w:val="9"/>
              </w:numPr>
              <w:spacing w:after="120" w:line="257" w:lineRule="auto"/>
              <w:contextualSpacing w:val="0"/>
              <w:jc w:val="both"/>
              <w:rPr>
                <w:noProof/>
              </w:rPr>
            </w:pPr>
            <w:r w:rsidRPr="00436E20">
              <w:rPr>
                <w:noProof/>
              </w:rPr>
              <w:t>European Corporate Network (2026)</w:t>
            </w:r>
          </w:p>
          <w:p w14:paraId="26727013" w14:textId="73763A1E" w:rsidR="00332884" w:rsidRPr="00332884" w:rsidRDefault="00332884" w:rsidP="00EF18D2">
            <w:pPr>
              <w:pStyle w:val="ListParagraph"/>
              <w:spacing w:after="120" w:line="257" w:lineRule="auto"/>
              <w:contextualSpacing w:val="0"/>
              <w:jc w:val="both"/>
              <w:rPr>
                <w:noProof/>
              </w:rPr>
            </w:pPr>
          </w:p>
        </w:tc>
      </w:tr>
      <w:tr w:rsidR="009357CC" w:rsidRPr="00436E20" w14:paraId="2FE7ADDD" w14:textId="77777777" w:rsidTr="00350E5F">
        <w:trPr>
          <w:trHeight w:val="257"/>
        </w:trPr>
        <w:tc>
          <w:tcPr>
            <w:tcW w:w="9067" w:type="dxa"/>
            <w:shd w:val="clear" w:color="auto" w:fill="EAF1DD" w:themeFill="accent3" w:themeFillTint="33"/>
          </w:tcPr>
          <w:p w14:paraId="7F9C72A9" w14:textId="77777777" w:rsidR="009357CC" w:rsidRPr="00436E20" w:rsidDel="004741C2" w:rsidRDefault="009357CC" w:rsidP="00EF18D2">
            <w:pPr>
              <w:spacing w:after="120" w:line="257" w:lineRule="auto"/>
              <w:jc w:val="both"/>
              <w:rPr>
                <w:rFonts w:eastAsia="Aptos"/>
                <w:noProof/>
              </w:rPr>
            </w:pPr>
            <w:r w:rsidRPr="00436E20">
              <w:rPr>
                <w:b/>
                <w:bCs/>
                <w:noProof/>
                <w:u w:val="single"/>
              </w:rPr>
              <w:t>III. FAST MARKET UPTAKE AND EXPANSION</w:t>
            </w:r>
          </w:p>
        </w:tc>
      </w:tr>
      <w:tr w:rsidR="009357CC" w:rsidRPr="00436E20" w14:paraId="062961D7" w14:textId="77777777" w:rsidTr="00350E5F">
        <w:trPr>
          <w:trHeight w:val="300"/>
        </w:trPr>
        <w:tc>
          <w:tcPr>
            <w:tcW w:w="9067" w:type="dxa"/>
            <w:shd w:val="clear" w:color="auto" w:fill="E1EBF7" w:themeFill="text2" w:themeFillTint="1A"/>
          </w:tcPr>
          <w:p w14:paraId="6605C37C" w14:textId="77777777" w:rsidR="009357CC" w:rsidRPr="00436E20" w:rsidRDefault="009357CC" w:rsidP="00EF18D2">
            <w:pPr>
              <w:spacing w:after="120" w:line="257" w:lineRule="auto"/>
              <w:jc w:val="both"/>
              <w:rPr>
                <w:b/>
                <w:bCs/>
                <w:noProof/>
                <w:u w:val="single"/>
              </w:rPr>
            </w:pPr>
            <w:r w:rsidRPr="00436E20">
              <w:rPr>
                <w:rFonts w:eastAsia="Aptos"/>
                <w:b/>
                <w:noProof/>
              </w:rPr>
              <w:t>Actions</w:t>
            </w:r>
          </w:p>
        </w:tc>
      </w:tr>
      <w:tr w:rsidR="009357CC" w:rsidRPr="00436E20" w14:paraId="5DBAAC0A" w14:textId="77777777" w:rsidTr="00350E5F">
        <w:trPr>
          <w:trHeight w:val="300"/>
        </w:trPr>
        <w:tc>
          <w:tcPr>
            <w:tcW w:w="9067" w:type="dxa"/>
          </w:tcPr>
          <w:p w14:paraId="7C9B16E5" w14:textId="77777777" w:rsidR="009357CC" w:rsidRPr="00436E20" w:rsidRDefault="009357CC" w:rsidP="00EF18D2">
            <w:pPr>
              <w:pStyle w:val="ListParagraph"/>
              <w:numPr>
                <w:ilvl w:val="0"/>
                <w:numId w:val="18"/>
              </w:numPr>
              <w:spacing w:after="120" w:line="257" w:lineRule="auto"/>
              <w:contextualSpacing w:val="0"/>
              <w:jc w:val="both"/>
              <w:rPr>
                <w:noProof/>
              </w:rPr>
            </w:pPr>
            <w:r w:rsidRPr="00436E20">
              <w:rPr>
                <w:noProof/>
              </w:rPr>
              <w:t xml:space="preserve">Lab to </w:t>
            </w:r>
            <w:r>
              <w:rPr>
                <w:noProof/>
              </w:rPr>
              <w:t>U</w:t>
            </w:r>
            <w:r w:rsidRPr="00436E20">
              <w:rPr>
                <w:noProof/>
              </w:rPr>
              <w:t>nicorn initiative (2026)</w:t>
            </w:r>
          </w:p>
          <w:p w14:paraId="64CA4C52" w14:textId="77777777" w:rsidR="009357CC" w:rsidRPr="00436E20" w:rsidRDefault="009357CC" w:rsidP="00EF18D2">
            <w:pPr>
              <w:pStyle w:val="ListParagraph"/>
              <w:numPr>
                <w:ilvl w:val="0"/>
                <w:numId w:val="18"/>
              </w:numPr>
              <w:spacing w:after="120" w:line="257" w:lineRule="auto"/>
              <w:contextualSpacing w:val="0"/>
              <w:jc w:val="both"/>
              <w:rPr>
                <w:noProof/>
              </w:rPr>
            </w:pPr>
            <w:r w:rsidRPr="00436E20">
              <w:rPr>
                <w:noProof/>
              </w:rPr>
              <w:t xml:space="preserve">Pro-innovation procurement </w:t>
            </w:r>
            <w:r>
              <w:rPr>
                <w:noProof/>
              </w:rPr>
              <w:t>measures</w:t>
            </w:r>
            <w:r w:rsidRPr="00436E20">
              <w:rPr>
                <w:noProof/>
              </w:rPr>
              <w:t xml:space="preserve"> (2025-2026)</w:t>
            </w:r>
          </w:p>
          <w:p w14:paraId="61643E66" w14:textId="77777777" w:rsidR="009357CC" w:rsidRPr="00436E20" w:rsidRDefault="009357CC" w:rsidP="00EF18D2">
            <w:pPr>
              <w:pStyle w:val="ListParagraph"/>
              <w:spacing w:after="120" w:line="257" w:lineRule="auto"/>
              <w:contextualSpacing w:val="0"/>
              <w:jc w:val="both"/>
              <w:rPr>
                <w:b/>
                <w:bCs/>
                <w:noProof/>
                <w:u w:val="single"/>
              </w:rPr>
            </w:pPr>
          </w:p>
        </w:tc>
      </w:tr>
      <w:tr w:rsidR="009357CC" w:rsidRPr="00436E20" w14:paraId="4F7C9915" w14:textId="77777777" w:rsidTr="00350E5F">
        <w:trPr>
          <w:trHeight w:val="489"/>
        </w:trPr>
        <w:tc>
          <w:tcPr>
            <w:tcW w:w="9067" w:type="dxa"/>
            <w:shd w:val="clear" w:color="auto" w:fill="EAF1DD" w:themeFill="accent3" w:themeFillTint="33"/>
            <w:vAlign w:val="center"/>
          </w:tcPr>
          <w:p w14:paraId="5D66E56E" w14:textId="77777777" w:rsidR="009357CC" w:rsidRPr="00436E20" w:rsidRDefault="009357CC" w:rsidP="00EF18D2">
            <w:pPr>
              <w:spacing w:after="120" w:line="257" w:lineRule="auto"/>
              <w:jc w:val="both"/>
              <w:rPr>
                <w:noProof/>
              </w:rPr>
            </w:pPr>
            <w:r w:rsidRPr="00436E20">
              <w:rPr>
                <w:b/>
                <w:bCs/>
                <w:noProof/>
                <w:u w:val="single"/>
              </w:rPr>
              <w:t xml:space="preserve">IV. SUPPORT FOR THE BEST TALENT IN EUROPE </w:t>
            </w:r>
          </w:p>
        </w:tc>
      </w:tr>
      <w:tr w:rsidR="009357CC" w:rsidRPr="00436E20" w14:paraId="5D2FAA27" w14:textId="77777777" w:rsidTr="00350E5F">
        <w:tc>
          <w:tcPr>
            <w:tcW w:w="9067" w:type="dxa"/>
            <w:shd w:val="clear" w:color="auto" w:fill="E1EBF7" w:themeFill="text2" w:themeFillTint="1A"/>
          </w:tcPr>
          <w:p w14:paraId="7A099896" w14:textId="77777777" w:rsidR="009357CC" w:rsidRPr="00436E20" w:rsidRDefault="009357CC" w:rsidP="00EF18D2">
            <w:pPr>
              <w:spacing w:after="120" w:line="257" w:lineRule="auto"/>
              <w:jc w:val="both"/>
              <w:rPr>
                <w:b/>
                <w:noProof/>
                <w:u w:val="single"/>
              </w:rPr>
            </w:pPr>
            <w:r w:rsidRPr="00436E20">
              <w:rPr>
                <w:b/>
                <w:noProof/>
              </w:rPr>
              <w:t>Actions</w:t>
            </w:r>
          </w:p>
        </w:tc>
      </w:tr>
      <w:tr w:rsidR="009357CC" w:rsidRPr="00436E20" w14:paraId="02B77BDB" w14:textId="77777777" w:rsidTr="00350E5F">
        <w:tc>
          <w:tcPr>
            <w:tcW w:w="9067" w:type="dxa"/>
          </w:tcPr>
          <w:p w14:paraId="089F7728" w14:textId="77777777" w:rsidR="009357CC" w:rsidRDefault="009357CC" w:rsidP="00EF18D2">
            <w:pPr>
              <w:numPr>
                <w:ilvl w:val="0"/>
                <w:numId w:val="5"/>
              </w:numPr>
              <w:spacing w:after="120" w:line="257" w:lineRule="auto"/>
              <w:jc w:val="both"/>
              <w:rPr>
                <w:noProof/>
              </w:rPr>
            </w:pPr>
            <w:r w:rsidRPr="00436E20">
              <w:rPr>
                <w:noProof/>
              </w:rPr>
              <w:t>Blue Carpet Initiative (2025-2026)</w:t>
            </w:r>
          </w:p>
          <w:p w14:paraId="68AAFCF7" w14:textId="27903058" w:rsidR="009357CC" w:rsidRPr="00436E20" w:rsidRDefault="00EE3BEC" w:rsidP="00DB0F48">
            <w:pPr>
              <w:numPr>
                <w:ilvl w:val="0"/>
                <w:numId w:val="5"/>
              </w:numPr>
              <w:spacing w:after="120" w:line="257" w:lineRule="auto"/>
              <w:jc w:val="both"/>
              <w:rPr>
                <w:noProof/>
              </w:rPr>
            </w:pPr>
            <w:r w:rsidRPr="00EE3BEC">
              <w:rPr>
                <w:noProof/>
              </w:rPr>
              <w:t>Fair Labour Mobility Package (2026)</w:t>
            </w:r>
          </w:p>
        </w:tc>
      </w:tr>
      <w:tr w:rsidR="009357CC" w:rsidRPr="00436E20" w14:paraId="19D227D5" w14:textId="77777777" w:rsidTr="00350E5F">
        <w:trPr>
          <w:trHeight w:val="528"/>
        </w:trPr>
        <w:tc>
          <w:tcPr>
            <w:tcW w:w="9067" w:type="dxa"/>
            <w:shd w:val="clear" w:color="auto" w:fill="EAF1DD" w:themeFill="accent3" w:themeFillTint="33"/>
            <w:vAlign w:val="center"/>
          </w:tcPr>
          <w:p w14:paraId="54173828" w14:textId="77777777" w:rsidR="009357CC" w:rsidRPr="00436E20" w:rsidRDefault="009357CC" w:rsidP="00EF18D2">
            <w:pPr>
              <w:spacing w:after="120" w:line="257" w:lineRule="auto"/>
              <w:jc w:val="both"/>
              <w:rPr>
                <w:noProof/>
              </w:rPr>
            </w:pPr>
            <w:r w:rsidRPr="00436E20">
              <w:rPr>
                <w:b/>
                <w:bCs/>
                <w:noProof/>
                <w:u w:val="single"/>
              </w:rPr>
              <w:lastRenderedPageBreak/>
              <w:t>V. ACCESS TO INFRASTRUCTURE, NETWORKS AND SERVICES</w:t>
            </w:r>
          </w:p>
        </w:tc>
      </w:tr>
      <w:tr w:rsidR="009357CC" w:rsidRPr="00436E20" w14:paraId="238AFB3A" w14:textId="77777777" w:rsidTr="00350E5F">
        <w:trPr>
          <w:trHeight w:val="341"/>
        </w:trPr>
        <w:tc>
          <w:tcPr>
            <w:tcW w:w="9067" w:type="dxa"/>
            <w:shd w:val="clear" w:color="auto" w:fill="E1EBF7" w:themeFill="text2" w:themeFillTint="1A"/>
          </w:tcPr>
          <w:p w14:paraId="2E4EE3EE" w14:textId="77777777" w:rsidR="009357CC" w:rsidRPr="00436E20" w:rsidRDefault="009357CC" w:rsidP="00EF18D2">
            <w:pPr>
              <w:spacing w:after="120" w:line="257" w:lineRule="auto"/>
              <w:jc w:val="both"/>
              <w:rPr>
                <w:noProof/>
                <w:u w:val="single"/>
              </w:rPr>
            </w:pPr>
            <w:r w:rsidRPr="00436E20">
              <w:rPr>
                <w:b/>
                <w:noProof/>
              </w:rPr>
              <w:t>Actions</w:t>
            </w:r>
          </w:p>
        </w:tc>
      </w:tr>
      <w:tr w:rsidR="009357CC" w:rsidRPr="00436E20" w14:paraId="0080629D" w14:textId="77777777" w:rsidTr="00350E5F">
        <w:tc>
          <w:tcPr>
            <w:tcW w:w="9067" w:type="dxa"/>
          </w:tcPr>
          <w:p w14:paraId="25D4AAC7" w14:textId="77777777" w:rsidR="009357CC" w:rsidRPr="00436E20" w:rsidRDefault="009357CC" w:rsidP="00EF18D2">
            <w:pPr>
              <w:pStyle w:val="ListParagraph"/>
              <w:numPr>
                <w:ilvl w:val="0"/>
                <w:numId w:val="6"/>
              </w:numPr>
              <w:spacing w:after="120" w:line="257" w:lineRule="auto"/>
              <w:contextualSpacing w:val="0"/>
              <w:jc w:val="both"/>
              <w:rPr>
                <w:noProof/>
              </w:rPr>
            </w:pPr>
            <w:r w:rsidRPr="00436E20">
              <w:rPr>
                <w:noProof/>
              </w:rPr>
              <w:t>Charter of Access for industrial users to research and technology infrastructures (2025)</w:t>
            </w:r>
          </w:p>
          <w:p w14:paraId="6AA84B70" w14:textId="77777777" w:rsidR="009357CC" w:rsidRPr="00436E20" w:rsidRDefault="009357CC" w:rsidP="00EF18D2">
            <w:pPr>
              <w:pStyle w:val="ListParagraph"/>
              <w:numPr>
                <w:ilvl w:val="0"/>
                <w:numId w:val="6"/>
              </w:numPr>
              <w:spacing w:after="120" w:line="257" w:lineRule="auto"/>
              <w:contextualSpacing w:val="0"/>
              <w:jc w:val="both"/>
              <w:rPr>
                <w:noProof/>
              </w:rPr>
            </w:pPr>
            <w:r w:rsidRPr="00436E20">
              <w:rPr>
                <w:noProof/>
              </w:rPr>
              <w:t>European Innovation Act promoting the access of innovative companies to European research and technology infrastructures (Q1 2026)</w:t>
            </w:r>
          </w:p>
          <w:p w14:paraId="6882E462" w14:textId="4965165B" w:rsidR="009357CC" w:rsidRPr="00436E20" w:rsidRDefault="009357CC" w:rsidP="00EF18D2">
            <w:pPr>
              <w:pStyle w:val="ListParagraph"/>
              <w:numPr>
                <w:ilvl w:val="0"/>
                <w:numId w:val="6"/>
              </w:numPr>
              <w:spacing w:after="120" w:line="257" w:lineRule="auto"/>
              <w:contextualSpacing w:val="0"/>
              <w:jc w:val="both"/>
              <w:rPr>
                <w:noProof/>
              </w:rPr>
            </w:pPr>
            <w:r w:rsidRPr="00436E20">
              <w:rPr>
                <w:noProof/>
              </w:rPr>
              <w:t xml:space="preserve">Guidance </w:t>
            </w:r>
            <w:r w:rsidR="00AA57E5">
              <w:rPr>
                <w:noProof/>
              </w:rPr>
              <w:t>on</w:t>
            </w:r>
            <w:r w:rsidR="00AA57E5" w:rsidRPr="00033DB9">
              <w:rPr>
                <w:rFonts w:eastAsia="Aptos"/>
                <w:b/>
                <w:bCs/>
                <w:noProof/>
              </w:rPr>
              <w:t xml:space="preserve"> </w:t>
            </w:r>
            <w:r w:rsidR="00AA57E5" w:rsidRPr="004D346B">
              <w:rPr>
                <w:rFonts w:eastAsia="Aptos"/>
                <w:noProof/>
              </w:rPr>
              <w:t>the applicable State Aid rules</w:t>
            </w:r>
            <w:r w:rsidR="00AA57E5" w:rsidRPr="00033DB9">
              <w:rPr>
                <w:rFonts w:eastAsia="Aptos"/>
                <w:noProof/>
              </w:rPr>
              <w:t xml:space="preserve"> </w:t>
            </w:r>
            <w:r w:rsidR="00C14FE5" w:rsidRPr="00033DB9">
              <w:rPr>
                <w:rFonts w:eastAsia="Aptos"/>
                <w:noProof/>
              </w:rPr>
              <w:t xml:space="preserve">for </w:t>
            </w:r>
            <w:r w:rsidR="00AA57E5" w:rsidRPr="00033DB9">
              <w:rPr>
                <w:rFonts w:eastAsia="Aptos"/>
                <w:noProof/>
              </w:rPr>
              <w:t xml:space="preserve">universities and public research organisations </w:t>
            </w:r>
            <w:r w:rsidR="00C14FE5" w:rsidRPr="00033DB9">
              <w:rPr>
                <w:rFonts w:eastAsia="Aptos"/>
                <w:noProof/>
              </w:rPr>
              <w:t>to</w:t>
            </w:r>
            <w:r w:rsidR="00AA57E5" w:rsidRPr="00033DB9">
              <w:rPr>
                <w:rFonts w:eastAsia="Aptos"/>
                <w:noProof/>
              </w:rPr>
              <w:t xml:space="preserve"> grant access to infrastructure </w:t>
            </w:r>
            <w:r w:rsidRPr="00436E20">
              <w:rPr>
                <w:noProof/>
              </w:rPr>
              <w:t>(202</w:t>
            </w:r>
            <w:r w:rsidR="008F37AF">
              <w:rPr>
                <w:noProof/>
              </w:rPr>
              <w:t>6</w:t>
            </w:r>
            <w:r w:rsidRPr="00436E20">
              <w:rPr>
                <w:noProof/>
              </w:rPr>
              <w:t>)</w:t>
            </w:r>
          </w:p>
        </w:tc>
      </w:tr>
      <w:tr w:rsidR="009357CC" w:rsidRPr="00436E20" w14:paraId="24E3E20E" w14:textId="77777777" w:rsidTr="00350E5F">
        <w:trPr>
          <w:trHeight w:val="523"/>
        </w:trPr>
        <w:tc>
          <w:tcPr>
            <w:tcW w:w="9067" w:type="dxa"/>
            <w:shd w:val="clear" w:color="auto" w:fill="EAF1DD" w:themeFill="accent3" w:themeFillTint="33"/>
            <w:vAlign w:val="center"/>
          </w:tcPr>
          <w:p w14:paraId="5853E0CC" w14:textId="77777777" w:rsidR="009357CC" w:rsidRPr="00436E20" w:rsidRDefault="009357CC" w:rsidP="00EF18D2">
            <w:pPr>
              <w:spacing w:after="120" w:line="257" w:lineRule="auto"/>
              <w:jc w:val="both"/>
              <w:rPr>
                <w:noProof/>
              </w:rPr>
            </w:pPr>
            <w:r w:rsidRPr="00436E20">
              <w:rPr>
                <w:b/>
                <w:bCs/>
                <w:noProof/>
                <w:u w:val="single"/>
              </w:rPr>
              <w:t>VI. MEASURING PROGRESS</w:t>
            </w:r>
          </w:p>
        </w:tc>
      </w:tr>
      <w:tr w:rsidR="009357CC" w:rsidRPr="00436E20" w14:paraId="786AE79F" w14:textId="77777777" w:rsidTr="00350E5F">
        <w:trPr>
          <w:trHeight w:val="317"/>
        </w:trPr>
        <w:tc>
          <w:tcPr>
            <w:tcW w:w="9067" w:type="dxa"/>
            <w:shd w:val="clear" w:color="auto" w:fill="E1EBF7" w:themeFill="text2" w:themeFillTint="1A"/>
          </w:tcPr>
          <w:p w14:paraId="55640043" w14:textId="77777777" w:rsidR="009357CC" w:rsidRPr="00436E20" w:rsidRDefault="009357CC" w:rsidP="00EF18D2">
            <w:pPr>
              <w:spacing w:after="120" w:line="257" w:lineRule="auto"/>
              <w:jc w:val="both"/>
              <w:rPr>
                <w:noProof/>
              </w:rPr>
            </w:pPr>
            <w:r w:rsidRPr="00436E20">
              <w:rPr>
                <w:b/>
                <w:bCs/>
                <w:noProof/>
              </w:rPr>
              <w:t>Actions</w:t>
            </w:r>
          </w:p>
        </w:tc>
      </w:tr>
      <w:tr w:rsidR="009357CC" w:rsidRPr="00436E20" w14:paraId="1F87014A" w14:textId="77777777" w:rsidTr="00350E5F">
        <w:tc>
          <w:tcPr>
            <w:tcW w:w="9067" w:type="dxa"/>
          </w:tcPr>
          <w:p w14:paraId="3844C46F" w14:textId="461778E0" w:rsidR="009357CC" w:rsidRPr="00436E20" w:rsidRDefault="009357CC" w:rsidP="00EF18D2">
            <w:pPr>
              <w:numPr>
                <w:ilvl w:val="0"/>
                <w:numId w:val="7"/>
              </w:numPr>
              <w:spacing w:after="120" w:line="257" w:lineRule="auto"/>
              <w:jc w:val="both"/>
              <w:rPr>
                <w:noProof/>
              </w:rPr>
            </w:pPr>
            <w:r>
              <w:rPr>
                <w:noProof/>
              </w:rPr>
              <w:t>D</w:t>
            </w:r>
            <w:r w:rsidRPr="00436E20">
              <w:rPr>
                <w:noProof/>
              </w:rPr>
              <w:t>efinition of startups, scaleups and innovative companies (2026)</w:t>
            </w:r>
          </w:p>
          <w:p w14:paraId="4130B1F6" w14:textId="77777777" w:rsidR="009357CC" w:rsidRPr="00436E20" w:rsidRDefault="009357CC" w:rsidP="00EF18D2">
            <w:pPr>
              <w:numPr>
                <w:ilvl w:val="0"/>
                <w:numId w:val="7"/>
              </w:numPr>
              <w:spacing w:after="120" w:line="257" w:lineRule="auto"/>
              <w:jc w:val="both"/>
              <w:rPr>
                <w:noProof/>
              </w:rPr>
            </w:pPr>
            <w:r w:rsidRPr="00436E20">
              <w:rPr>
                <w:noProof/>
              </w:rPr>
              <w:t>Annual startup and scaleup survey (as of 2026)</w:t>
            </w:r>
          </w:p>
          <w:p w14:paraId="042809D4" w14:textId="77777777" w:rsidR="009357CC" w:rsidRPr="00436E20" w:rsidRDefault="009357CC" w:rsidP="00EF18D2">
            <w:pPr>
              <w:numPr>
                <w:ilvl w:val="0"/>
                <w:numId w:val="7"/>
              </w:numPr>
              <w:spacing w:after="120" w:line="257" w:lineRule="auto"/>
              <w:jc w:val="both"/>
              <w:rPr>
                <w:noProof/>
              </w:rPr>
            </w:pPr>
            <w:r w:rsidRPr="00436E20">
              <w:rPr>
                <w:noProof/>
              </w:rPr>
              <w:t>European Startup and Scaleup Scoreboard (as of 2026)</w:t>
            </w:r>
          </w:p>
          <w:p w14:paraId="0F0DCD3B" w14:textId="77777777" w:rsidR="009357CC" w:rsidRPr="00436E20" w:rsidRDefault="009357CC" w:rsidP="00EF18D2">
            <w:pPr>
              <w:spacing w:after="120" w:line="257" w:lineRule="auto"/>
              <w:ind w:left="720"/>
              <w:jc w:val="both"/>
              <w:rPr>
                <w:noProof/>
              </w:rPr>
            </w:pPr>
          </w:p>
        </w:tc>
      </w:tr>
      <w:bookmarkEnd w:id="2"/>
    </w:tbl>
    <w:p w14:paraId="194937D8" w14:textId="77777777" w:rsidR="009357CC" w:rsidRPr="00436E20" w:rsidRDefault="009357CC" w:rsidP="00EF18D2">
      <w:pPr>
        <w:spacing w:after="120" w:line="257" w:lineRule="auto"/>
        <w:jc w:val="both"/>
        <w:rPr>
          <w:noProof/>
        </w:rPr>
      </w:pPr>
    </w:p>
    <w:sectPr w:rsidR="009357CC" w:rsidRPr="00436E20" w:rsidSect="009357CC">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CD19E" w14:textId="77777777" w:rsidR="00021787" w:rsidRDefault="00021787" w:rsidP="009357CC">
      <w:r>
        <w:separator/>
      </w:r>
    </w:p>
  </w:endnote>
  <w:endnote w:type="continuationSeparator" w:id="0">
    <w:p w14:paraId="5CC9CF6A" w14:textId="77777777" w:rsidR="00021787" w:rsidRDefault="00021787" w:rsidP="009357CC">
      <w:r>
        <w:continuationSeparator/>
      </w:r>
    </w:p>
  </w:endnote>
  <w:endnote w:type="continuationNotice" w:id="1">
    <w:p w14:paraId="036B077B" w14:textId="77777777" w:rsidR="00021787" w:rsidRDefault="000217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8B10F" w14:textId="606C3287" w:rsidR="00CA1638" w:rsidRPr="00CA1638" w:rsidRDefault="00CA1638" w:rsidP="00CA1638">
    <w:pPr>
      <w:pStyle w:val="FooterCoverPage"/>
      <w:rPr>
        <w:rFonts w:ascii="Arial" w:hAnsi="Arial" w:cs="Arial"/>
        <w:b/>
        <w:sz w:val="48"/>
      </w:rPr>
    </w:pPr>
    <w:r w:rsidRPr="00CA1638">
      <w:rPr>
        <w:rFonts w:ascii="Arial" w:hAnsi="Arial" w:cs="Arial"/>
        <w:b/>
        <w:sz w:val="48"/>
      </w:rPr>
      <w:t>EN</w:t>
    </w:r>
    <w:r w:rsidRPr="00CA1638">
      <w:rPr>
        <w:rFonts w:ascii="Arial" w:hAnsi="Arial" w:cs="Arial"/>
        <w:b/>
        <w:sz w:val="48"/>
      </w:rPr>
      <w:tab/>
    </w:r>
    <w:r w:rsidRPr="00CA1638">
      <w:rPr>
        <w:rFonts w:ascii="Arial" w:hAnsi="Arial" w:cs="Arial"/>
        <w:b/>
        <w:sz w:val="48"/>
      </w:rPr>
      <w:tab/>
    </w:r>
    <w:r w:rsidRPr="00CA1638">
      <w:tab/>
    </w:r>
    <w:r w:rsidRPr="00CA163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9207" w14:textId="5BB24DFD" w:rsidR="00CA1638" w:rsidRPr="00CA1638" w:rsidRDefault="00CA1638" w:rsidP="00CA1638">
    <w:pPr>
      <w:pStyle w:val="FooterCoverPage"/>
      <w:rPr>
        <w:rFonts w:ascii="Arial" w:hAnsi="Arial" w:cs="Arial"/>
        <w:b/>
        <w:sz w:val="48"/>
      </w:rPr>
    </w:pPr>
    <w:r w:rsidRPr="00CA1638">
      <w:rPr>
        <w:rFonts w:ascii="Arial" w:hAnsi="Arial" w:cs="Arial"/>
        <w:b/>
        <w:sz w:val="48"/>
      </w:rPr>
      <w:t>EN</w:t>
    </w:r>
    <w:r w:rsidRPr="00CA1638">
      <w:rPr>
        <w:rFonts w:ascii="Arial" w:hAnsi="Arial" w:cs="Arial"/>
        <w:b/>
        <w:sz w:val="48"/>
      </w:rPr>
      <w:tab/>
    </w:r>
    <w:r w:rsidRPr="00CA1638">
      <w:rPr>
        <w:rFonts w:ascii="Arial" w:hAnsi="Arial" w:cs="Arial"/>
        <w:b/>
        <w:sz w:val="48"/>
      </w:rPr>
      <w:tab/>
    </w:r>
    <w:r w:rsidRPr="00CA1638">
      <w:tab/>
    </w:r>
    <w:r w:rsidRPr="00CA163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253E" w14:textId="77777777" w:rsidR="00CA1638" w:rsidRPr="00CA1638" w:rsidRDefault="00CA1638" w:rsidP="00CA163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B8AE" w14:textId="77777777" w:rsidR="009357CC" w:rsidRDefault="009357CC">
    <w:pPr>
      <w:pStyle w:val="Footer"/>
    </w:pPr>
  </w:p>
  <w:p w14:paraId="6418D0D0" w14:textId="77777777" w:rsidR="009357CC" w:rsidRDefault="009357C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8683281"/>
      <w:docPartObj>
        <w:docPartGallery w:val="Page Numbers (Bottom of Page)"/>
        <w:docPartUnique/>
      </w:docPartObj>
    </w:sdtPr>
    <w:sdtEndPr>
      <w:rPr>
        <w:noProof/>
      </w:rPr>
    </w:sdtEndPr>
    <w:sdtContent>
      <w:p w14:paraId="1DA3CDEB" w14:textId="5D9F0BC9" w:rsidR="009357CC" w:rsidRDefault="009357CC">
        <w:pPr>
          <w:pStyle w:val="Footer"/>
          <w:jc w:val="right"/>
        </w:pPr>
        <w:r>
          <w:fldChar w:fldCharType="begin"/>
        </w:r>
        <w:r>
          <w:instrText xml:space="preserve"> PAGE   \* MERGEFORMAT </w:instrText>
        </w:r>
        <w:r>
          <w:fldChar w:fldCharType="separate"/>
        </w:r>
        <w:r w:rsidR="00CA1638">
          <w:rPr>
            <w:noProof/>
          </w:rPr>
          <w:t>1</w:t>
        </w:r>
        <w:r>
          <w:rPr>
            <w:noProof/>
          </w:rPr>
          <w:fldChar w:fldCharType="end"/>
        </w:r>
      </w:p>
    </w:sdtContent>
  </w:sdt>
  <w:p w14:paraId="301F6CB1" w14:textId="77777777" w:rsidR="009357CC" w:rsidRDefault="009357CC"/>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6766" w14:textId="77777777" w:rsidR="009357CC" w:rsidRDefault="00935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AF02C" w14:textId="77777777" w:rsidR="00021787" w:rsidRDefault="00021787" w:rsidP="009357CC">
      <w:r>
        <w:separator/>
      </w:r>
    </w:p>
  </w:footnote>
  <w:footnote w:type="continuationSeparator" w:id="0">
    <w:p w14:paraId="73E56590" w14:textId="77777777" w:rsidR="00021787" w:rsidRDefault="00021787" w:rsidP="009357CC">
      <w:r>
        <w:continuationSeparator/>
      </w:r>
    </w:p>
  </w:footnote>
  <w:footnote w:type="continuationNotice" w:id="1">
    <w:p w14:paraId="4BB508F6" w14:textId="77777777" w:rsidR="00021787" w:rsidRDefault="00021787"/>
  </w:footnote>
  <w:footnote w:id="2">
    <w:p w14:paraId="0AFDD85F" w14:textId="77777777" w:rsidR="002D142F" w:rsidRPr="00637D56" w:rsidRDefault="002D142F" w:rsidP="002D142F">
      <w:pPr>
        <w:pStyle w:val="FootnoteText"/>
        <w:jc w:val="both"/>
        <w:rPr>
          <w:rFonts w:cs="Times New Roman"/>
        </w:rPr>
      </w:pPr>
      <w:r w:rsidRPr="00637D56">
        <w:rPr>
          <w:rStyle w:val="FootnoteReference"/>
          <w:rFonts w:cs="Times New Roman"/>
        </w:rPr>
        <w:footnoteRef/>
      </w:r>
      <w:r w:rsidRPr="00637D56">
        <w:rPr>
          <w:rFonts w:cs="Times New Roman"/>
        </w:rPr>
        <w:t xml:space="preserve"> Atomico (2024), State of the European Tech 2024.</w:t>
      </w:r>
    </w:p>
  </w:footnote>
  <w:footnote w:id="3">
    <w:p w14:paraId="53667498" w14:textId="77777777" w:rsidR="009357CC" w:rsidRPr="00D36B91" w:rsidRDefault="009357CC" w:rsidP="009357CC">
      <w:pPr>
        <w:pStyle w:val="FootnoteText"/>
        <w:jc w:val="both"/>
        <w:rPr>
          <w:rFonts w:cs="Times New Roman"/>
        </w:rPr>
      </w:pPr>
      <w:r w:rsidRPr="00D36B91">
        <w:rPr>
          <w:rStyle w:val="FootnoteReference"/>
          <w:rFonts w:cs="Times New Roman"/>
        </w:rPr>
        <w:footnoteRef/>
      </w:r>
      <w:r w:rsidRPr="00D36B91">
        <w:rPr>
          <w:rFonts w:cs="Times New Roman"/>
        </w:rPr>
        <w:t xml:space="preserve"> Dealroom – Accelerating Europe report, 2025</w:t>
      </w:r>
    </w:p>
  </w:footnote>
  <w:footnote w:id="4">
    <w:p w14:paraId="6B8E6708" w14:textId="77777777" w:rsidR="009357CC" w:rsidRPr="00D36B91" w:rsidRDefault="009357CC" w:rsidP="009357CC">
      <w:pPr>
        <w:pStyle w:val="FootnoteText"/>
        <w:jc w:val="both"/>
        <w:rPr>
          <w:rFonts w:cs="Times New Roman"/>
        </w:rPr>
      </w:pPr>
      <w:r w:rsidRPr="00D36B91">
        <w:rPr>
          <w:rStyle w:val="FootnoteReference"/>
          <w:rFonts w:cs="Times New Roman"/>
        </w:rPr>
        <w:footnoteRef/>
      </w:r>
      <w:r w:rsidRPr="00D36B91">
        <w:rPr>
          <w:rFonts w:cs="Times New Roman"/>
        </w:rPr>
        <w:t xml:space="preserve"> </w:t>
      </w:r>
      <w:r w:rsidRPr="00A81E55">
        <w:t>For example, the Europe Startup Nations Alliance (ESNA) whose mission is to identify, share and implement best policy practices for startups and monitor member state progress in implementing them under national competencies.</w:t>
      </w:r>
    </w:p>
  </w:footnote>
  <w:footnote w:id="5">
    <w:p w14:paraId="5113A0CE" w14:textId="77777777" w:rsidR="009357CC" w:rsidRPr="00637D56" w:rsidRDefault="009357CC" w:rsidP="009357CC">
      <w:pPr>
        <w:pStyle w:val="FootnoteText"/>
        <w:jc w:val="both"/>
        <w:rPr>
          <w:rFonts w:cs="Times New Roman"/>
        </w:rPr>
      </w:pPr>
      <w:r w:rsidRPr="00D36B91">
        <w:rPr>
          <w:rStyle w:val="FootnoteReference"/>
          <w:rFonts w:cs="Times New Roman"/>
        </w:rPr>
        <w:footnoteRef/>
      </w:r>
      <w:r w:rsidRPr="00D36B91">
        <w:rPr>
          <w:rFonts w:cs="Times New Roman"/>
        </w:rPr>
        <w:t xml:space="preserve"> European Commission - Europe's next leaders: the Start-up and Scale-up Initiative, COM(2016) 733 final, 22 November 2015; the Startup Europe initiative (https://digital-strategy.ec.europa.eu/en/policies/startup-europe).</w:t>
      </w:r>
    </w:p>
  </w:footnote>
  <w:footnote w:id="6">
    <w:p w14:paraId="790CE542" w14:textId="77777777" w:rsidR="009357CC" w:rsidRPr="00637D56" w:rsidRDefault="009357CC" w:rsidP="009357CC">
      <w:pPr>
        <w:pStyle w:val="FootnoteText"/>
        <w:rPr>
          <w:rFonts w:cs="Times New Roman"/>
        </w:rPr>
      </w:pPr>
      <w:r w:rsidRPr="00637D56">
        <w:rPr>
          <w:rStyle w:val="FootnoteReference"/>
          <w:rFonts w:cs="Times New Roman"/>
        </w:rPr>
        <w:footnoteRef/>
      </w:r>
      <w:r w:rsidRPr="00637D56">
        <w:rPr>
          <w:rFonts w:cs="Times New Roman"/>
        </w:rPr>
        <w:t xml:space="preserve"> </w:t>
      </w:r>
      <w:r w:rsidRPr="00637D56">
        <w:rPr>
          <w:rFonts w:cs="Times New Roman"/>
          <w:lang w:val="en-US"/>
        </w:rPr>
        <w:t xml:space="preserve">Around 40% of the EUR 26.2 bn InvestEU guarantee is used for support of high-risk venture debt, quasi equity, and equity investment made by implementing partners under risk-sharing arrangements with the EU budget. </w:t>
      </w:r>
    </w:p>
  </w:footnote>
  <w:footnote w:id="7">
    <w:p w14:paraId="091E17CB" w14:textId="472BDC9E" w:rsidR="009357CC" w:rsidRPr="00637D56" w:rsidRDefault="009357CC" w:rsidP="009357CC">
      <w:pPr>
        <w:pStyle w:val="FootnoteText"/>
        <w:jc w:val="both"/>
        <w:rPr>
          <w:rFonts w:cs="Times New Roman"/>
        </w:rPr>
      </w:pPr>
      <w:r w:rsidRPr="00637D56">
        <w:rPr>
          <w:rStyle w:val="FootnoteReference"/>
          <w:rFonts w:cs="Times New Roman"/>
        </w:rPr>
        <w:footnoteRef/>
      </w:r>
      <w:r w:rsidR="008C5601" w:rsidRPr="00637D56">
        <w:rPr>
          <w:rFonts w:cs="Times New Roman"/>
        </w:rPr>
        <w:t xml:space="preserve"> A unicorn is a privately held company </w:t>
      </w:r>
      <w:r w:rsidR="00F36D00">
        <w:rPr>
          <w:rFonts w:cs="Times New Roman"/>
        </w:rPr>
        <w:t xml:space="preserve">– startup – </w:t>
      </w:r>
      <w:r w:rsidR="008C5601" w:rsidRPr="00637D56">
        <w:rPr>
          <w:rFonts w:cs="Times New Roman"/>
        </w:rPr>
        <w:t xml:space="preserve">with a market valuation of </w:t>
      </w:r>
      <w:r w:rsidR="00EF7912">
        <w:rPr>
          <w:rFonts w:cs="Times New Roman"/>
        </w:rPr>
        <w:t>EUR</w:t>
      </w:r>
      <w:r w:rsidR="008C5601" w:rsidRPr="00637D56">
        <w:rPr>
          <w:rFonts w:cs="Times New Roman"/>
        </w:rPr>
        <w:t xml:space="preserve"> 1 billion or above</w:t>
      </w:r>
      <w:r w:rsidR="00F36D00">
        <w:rPr>
          <w:rFonts w:cs="Times New Roman"/>
        </w:rPr>
        <w:t>.</w:t>
      </w:r>
      <w:r w:rsidR="008C5601" w:rsidRPr="00637D56">
        <w:rPr>
          <w:rFonts w:cs="Times New Roman"/>
        </w:rPr>
        <w:t xml:space="preserve"> </w:t>
      </w:r>
    </w:p>
  </w:footnote>
  <w:footnote w:id="8">
    <w:p w14:paraId="793BD894" w14:textId="77777777" w:rsidR="009357CC" w:rsidRPr="00637D56" w:rsidRDefault="009357CC" w:rsidP="009357CC">
      <w:pPr>
        <w:pStyle w:val="FootnoteText"/>
        <w:jc w:val="both"/>
        <w:rPr>
          <w:rFonts w:cs="Times New Roman"/>
          <w:lang w:val="en-GB"/>
        </w:rPr>
      </w:pPr>
      <w:r w:rsidRPr="00637D56">
        <w:rPr>
          <w:rFonts w:cs="Times New Roman"/>
          <w:lang w:val="en-GB"/>
        </w:rPr>
        <w:footnoteRef/>
      </w:r>
      <w:r w:rsidRPr="00637D56">
        <w:rPr>
          <w:rFonts w:cs="Times New Roman"/>
          <w:lang w:val="en-GB"/>
        </w:rPr>
        <w:t xml:space="preserve"> “In search of the EU unicorns – what do we know about them?” JRC technical report, 2022 </w:t>
      </w:r>
      <w:hyperlink r:id="rId1" w:history="1">
        <w:r w:rsidRPr="00637D56">
          <w:rPr>
            <w:rFonts w:cs="Times New Roman"/>
          </w:rPr>
          <w:t>https://publications.jrc.ec.europa.eu/repository/handle/JRC127712</w:t>
        </w:r>
      </w:hyperlink>
    </w:p>
  </w:footnote>
  <w:footnote w:id="9">
    <w:p w14:paraId="55153084" w14:textId="43B7C1D3" w:rsidR="002916E4" w:rsidRPr="00A81E55" w:rsidRDefault="002916E4">
      <w:pPr>
        <w:pStyle w:val="FootnoteText"/>
        <w:rPr>
          <w:rFonts w:cs="Times New Roman"/>
        </w:rPr>
      </w:pPr>
      <w:r w:rsidRPr="00A81E55">
        <w:rPr>
          <w:rStyle w:val="FootnoteReference"/>
          <w:rFonts w:cs="Times New Roman"/>
        </w:rPr>
        <w:footnoteRef/>
      </w:r>
      <w:r w:rsidRPr="00A81E55">
        <w:rPr>
          <w:rFonts w:cs="Times New Roman"/>
        </w:rPr>
        <w:t xml:space="preserve"> </w:t>
      </w:r>
      <w:r w:rsidR="00F24FAC" w:rsidRPr="00A81E55">
        <w:rPr>
          <w:rFonts w:cs="Times New Roman"/>
        </w:rPr>
        <w:t>Including any</w:t>
      </w:r>
      <w:r w:rsidRPr="00A81E55">
        <w:rPr>
          <w:rFonts w:cs="Times New Roman"/>
        </w:rPr>
        <w:t xml:space="preserve"> dual-use applications</w:t>
      </w:r>
      <w:r w:rsidR="00F24FAC" w:rsidRPr="00A81E55">
        <w:rPr>
          <w:rFonts w:cs="Times New Roman"/>
        </w:rPr>
        <w:t>.</w:t>
      </w:r>
    </w:p>
  </w:footnote>
  <w:footnote w:id="10">
    <w:p w14:paraId="7774955A" w14:textId="1418E8DB" w:rsidR="006326A3" w:rsidRPr="006326A3" w:rsidRDefault="006326A3">
      <w:pPr>
        <w:pStyle w:val="FootnoteText"/>
      </w:pPr>
      <w:r>
        <w:rPr>
          <w:rStyle w:val="FootnoteReference"/>
        </w:rPr>
        <w:footnoteRef/>
      </w:r>
      <w:r>
        <w:t xml:space="preserve"> </w:t>
      </w:r>
      <w:hyperlink r:id="rId2" w:history="1">
        <w:r w:rsidRPr="006326A3">
          <w:rPr>
            <w:rStyle w:val="Hyperlink"/>
            <w:lang w:val="en-GB"/>
          </w:rPr>
          <w:t>Single market strategy</w:t>
        </w:r>
      </w:hyperlink>
    </w:p>
  </w:footnote>
  <w:footnote w:id="11">
    <w:p w14:paraId="6D47ABDD" w14:textId="78BB7781" w:rsidR="00B56A51" w:rsidRPr="00637D56" w:rsidRDefault="00B56A51" w:rsidP="00B56A51">
      <w:pPr>
        <w:pStyle w:val="FootnoteText"/>
        <w:jc w:val="both"/>
        <w:rPr>
          <w:rFonts w:cs="Times New Roman"/>
        </w:rPr>
      </w:pPr>
      <w:r w:rsidRPr="00637D56">
        <w:rPr>
          <w:rStyle w:val="FootnoteReference"/>
          <w:rFonts w:cs="Times New Roman"/>
        </w:rPr>
        <w:footnoteRef/>
      </w:r>
      <w:r w:rsidRPr="00637D56">
        <w:rPr>
          <w:rFonts w:cs="Times New Roman"/>
        </w:rPr>
        <w:t xml:space="preserve"> A centaur is a privately held company </w:t>
      </w:r>
      <w:r w:rsidR="00F36D00">
        <w:rPr>
          <w:rFonts w:cs="Times New Roman"/>
        </w:rPr>
        <w:t xml:space="preserve">– startup – </w:t>
      </w:r>
      <w:r w:rsidRPr="00637D56">
        <w:rPr>
          <w:rFonts w:cs="Times New Roman"/>
        </w:rPr>
        <w:t xml:space="preserve">with a market valuation of </w:t>
      </w:r>
      <w:r w:rsidR="00FD3573">
        <w:rPr>
          <w:rFonts w:cs="Times New Roman"/>
        </w:rPr>
        <w:t>EUR</w:t>
      </w:r>
      <w:r w:rsidRPr="00637D56">
        <w:rPr>
          <w:rFonts w:cs="Times New Roman"/>
        </w:rPr>
        <w:t xml:space="preserve"> 100 million or above</w:t>
      </w:r>
    </w:p>
  </w:footnote>
  <w:footnote w:id="12">
    <w:p w14:paraId="07F08BBF" w14:textId="77777777" w:rsidR="009357CC" w:rsidRPr="00637D56" w:rsidRDefault="009357CC" w:rsidP="009357CC">
      <w:pPr>
        <w:rPr>
          <w:sz w:val="20"/>
          <w:szCs w:val="20"/>
        </w:rPr>
      </w:pPr>
      <w:r w:rsidRPr="00637D56">
        <w:rPr>
          <w:sz w:val="20"/>
          <w:szCs w:val="20"/>
        </w:rPr>
        <w:footnoteRef/>
      </w:r>
      <w:r w:rsidRPr="00637D56">
        <w:rPr>
          <w:sz w:val="20"/>
          <w:szCs w:val="20"/>
        </w:rPr>
        <w:t xml:space="preserve"> The Single Market: our European home market in an uncertain world, COM(2025) 500 final </w:t>
      </w:r>
    </w:p>
  </w:footnote>
  <w:footnote w:id="13">
    <w:p w14:paraId="322DDA1B" w14:textId="77777777" w:rsidR="009357CC" w:rsidRPr="00637D56" w:rsidRDefault="009357CC" w:rsidP="009357CC">
      <w:pPr>
        <w:jc w:val="both"/>
        <w:rPr>
          <w:sz w:val="20"/>
          <w:szCs w:val="20"/>
        </w:rPr>
      </w:pPr>
      <w:r w:rsidRPr="00637D56">
        <w:rPr>
          <w:sz w:val="20"/>
          <w:szCs w:val="20"/>
        </w:rPr>
        <w:footnoteRef/>
      </w:r>
      <w:r w:rsidRPr="00637D56">
        <w:rPr>
          <w:sz w:val="20"/>
          <w:szCs w:val="20"/>
        </w:rPr>
        <w:t xml:space="preserve"> Council Conclusions on Regulatory Sandboxes and Experimentation Clauses as tools for an innovation-friendly, future-proof and resilient regulatory framework that masters disruptive challenges in the digital age 2020/C 447/01, OJ C 447, 23.12.2020, p. 1. </w:t>
      </w:r>
    </w:p>
  </w:footnote>
  <w:footnote w:id="14">
    <w:p w14:paraId="24150EBC" w14:textId="77777777" w:rsidR="009357CC" w:rsidRPr="00637D56" w:rsidRDefault="009357CC" w:rsidP="009357CC">
      <w:pPr>
        <w:jc w:val="both"/>
        <w:rPr>
          <w:sz w:val="20"/>
          <w:szCs w:val="20"/>
        </w:rPr>
      </w:pPr>
      <w:r w:rsidRPr="00637D56">
        <w:rPr>
          <w:sz w:val="20"/>
          <w:szCs w:val="20"/>
        </w:rPr>
        <w:footnoteRef/>
      </w:r>
      <w:r w:rsidRPr="00637D56">
        <w:rPr>
          <w:sz w:val="20"/>
          <w:szCs w:val="20"/>
        </w:rPr>
        <w:t xml:space="preserve"> For example, over 60% of fintech startups that participated in regulatory sandboxes managed to attract investment within the first six months of their trials</w:t>
      </w:r>
      <w:r w:rsidRPr="00637D56">
        <w:rPr>
          <w:rStyle w:val="FootnoteReference"/>
          <w:rFonts w:eastAsia="Calibri"/>
          <w:sz w:val="20"/>
          <w:szCs w:val="20"/>
        </w:rPr>
        <w:t xml:space="preserve"> </w:t>
      </w:r>
      <w:r w:rsidRPr="00637D56">
        <w:rPr>
          <w:sz w:val="20"/>
          <w:szCs w:val="20"/>
        </w:rPr>
        <w:t>(</w:t>
      </w:r>
      <w:hyperlink r:id="rId3" w:history="1">
        <w:r w:rsidRPr="00637D56">
          <w:rPr>
            <w:rStyle w:val="Hyperlink"/>
            <w:sz w:val="20"/>
            <w:szCs w:val="20"/>
          </w:rPr>
          <w:t>https://www.jbs.cam.ac.uk/faculty-research/centres/alternative-finance/publications/early-lessons-on-regulatory-innovation-to-enable-inclusive-fintech/</w:t>
        </w:r>
      </w:hyperlink>
      <w:r w:rsidRPr="00637D56">
        <w:rPr>
          <w:rStyle w:val="Hyperlink"/>
          <w:sz w:val="20"/>
          <w:szCs w:val="20"/>
        </w:rPr>
        <w:t xml:space="preserve">) </w:t>
      </w:r>
      <w:r w:rsidRPr="00637D56">
        <w:rPr>
          <w:sz w:val="20"/>
          <w:szCs w:val="20"/>
        </w:rPr>
        <w:t xml:space="preserve"> and by participating in sandboxes their chances to attract funding increased by 50% (</w:t>
      </w:r>
      <w:hyperlink r:id="rId4" w:history="1">
        <w:r w:rsidRPr="00637D56">
          <w:rPr>
            <w:rStyle w:val="Hyperlink"/>
            <w:sz w:val="20"/>
            <w:szCs w:val="20"/>
          </w:rPr>
          <w:t>https://www.bis.org/publ/work901.pdf</w:t>
        </w:r>
      </w:hyperlink>
      <w:r w:rsidRPr="00637D56">
        <w:rPr>
          <w:rStyle w:val="Hyperlink"/>
          <w:sz w:val="20"/>
          <w:szCs w:val="20"/>
        </w:rPr>
        <w:t>)</w:t>
      </w:r>
    </w:p>
    <w:p w14:paraId="56E2FC5D" w14:textId="77777777" w:rsidR="009357CC" w:rsidRPr="00637D56" w:rsidRDefault="009357CC" w:rsidP="009357CC">
      <w:pPr>
        <w:rPr>
          <w:sz w:val="20"/>
          <w:szCs w:val="20"/>
        </w:rPr>
      </w:pPr>
    </w:p>
  </w:footnote>
  <w:footnote w:id="15">
    <w:p w14:paraId="68B73FD5" w14:textId="58A0F672" w:rsidR="00A30522" w:rsidRPr="00637D56" w:rsidRDefault="00A30522">
      <w:pPr>
        <w:pStyle w:val="FootnoteText"/>
        <w:rPr>
          <w:rFonts w:cs="Times New Roman"/>
          <w:lang w:val="fr-BE"/>
        </w:rPr>
      </w:pPr>
      <w:r w:rsidRPr="00637D56">
        <w:rPr>
          <w:rStyle w:val="FootnoteReference"/>
          <w:rFonts w:cs="Times New Roman"/>
        </w:rPr>
        <w:footnoteRef/>
      </w:r>
      <w:r w:rsidRPr="00637D56">
        <w:rPr>
          <w:rFonts w:cs="Times New Roman"/>
          <w:lang w:val="fr-BE"/>
        </w:rPr>
        <w:t xml:space="preserve"> </w:t>
      </w:r>
      <w:r w:rsidRPr="00A30522">
        <w:rPr>
          <w:rFonts w:cs="Times New Roman"/>
          <w:lang w:val="fr-BE"/>
        </w:rPr>
        <w:t>InvestEurope, 2024</w:t>
      </w:r>
    </w:p>
  </w:footnote>
  <w:footnote w:id="16">
    <w:p w14:paraId="426919B7" w14:textId="77777777" w:rsidR="009357CC" w:rsidRPr="00637D56" w:rsidRDefault="009357CC" w:rsidP="009357CC">
      <w:pPr>
        <w:pStyle w:val="FootnoteText"/>
        <w:jc w:val="both"/>
        <w:rPr>
          <w:rFonts w:cs="Times New Roman"/>
          <w:lang w:val="fr-BE"/>
        </w:rPr>
      </w:pPr>
      <w:r w:rsidRPr="00637D56">
        <w:rPr>
          <w:rStyle w:val="FootnoteReference"/>
          <w:rFonts w:cs="Times New Roman"/>
        </w:rPr>
        <w:footnoteRef/>
      </w:r>
      <w:r w:rsidRPr="00637D56">
        <w:rPr>
          <w:rFonts w:cs="Times New Roman"/>
          <w:lang w:val="fr-BE"/>
        </w:rPr>
        <w:t xml:space="preserve"> EU plus the UK.</w:t>
      </w:r>
    </w:p>
  </w:footnote>
  <w:footnote w:id="17">
    <w:p w14:paraId="550C4A4F" w14:textId="77777777" w:rsidR="009357CC" w:rsidRPr="00637D56" w:rsidRDefault="009357CC" w:rsidP="009357CC">
      <w:pPr>
        <w:pStyle w:val="FootnoteText"/>
        <w:rPr>
          <w:rFonts w:cs="Times New Roman"/>
        </w:rPr>
      </w:pPr>
      <w:r w:rsidRPr="00637D56">
        <w:rPr>
          <w:rStyle w:val="FootnoteReference"/>
          <w:rFonts w:cs="Times New Roman"/>
        </w:rPr>
        <w:footnoteRef/>
      </w:r>
      <w:r w:rsidRPr="00637D56">
        <w:rPr>
          <w:rFonts w:cs="Times New Roman"/>
        </w:rPr>
        <w:t xml:space="preserve"> The Regulation of European Crowdfunding Service Providers for business facilitates more efficient intermediation and matchmaking, including between business angels and startups at a pan-European level.</w:t>
      </w:r>
    </w:p>
  </w:footnote>
  <w:footnote w:id="18">
    <w:p w14:paraId="538BA7D1" w14:textId="77777777" w:rsidR="009357CC" w:rsidRPr="00637D56" w:rsidRDefault="009357CC" w:rsidP="009357CC">
      <w:pPr>
        <w:pStyle w:val="FootnoteText"/>
        <w:jc w:val="both"/>
        <w:rPr>
          <w:rFonts w:cs="Times New Roman"/>
        </w:rPr>
      </w:pPr>
      <w:r w:rsidRPr="00637D56">
        <w:rPr>
          <w:rStyle w:val="FootnoteReference"/>
          <w:rFonts w:cs="Times New Roman"/>
        </w:rPr>
        <w:footnoteRef/>
      </w:r>
      <w:r w:rsidRPr="00637D56">
        <w:rPr>
          <w:rFonts w:cs="Times New Roman"/>
        </w:rPr>
        <w:t xml:space="preserve"> EIB (2024), The scaleup gap: financial market constraints holding back innovative firms in the European Union, European Investment Bank, </w:t>
      </w:r>
      <w:hyperlink r:id="rId5" w:history="1">
        <w:r w:rsidRPr="00637D56">
          <w:rPr>
            <w:rStyle w:val="Hyperlink"/>
            <w:rFonts w:cs="Times New Roman"/>
          </w:rPr>
          <w:t>https://data.europa.eu/doi/10.2867/382579</w:t>
        </w:r>
      </w:hyperlink>
      <w:r w:rsidRPr="00637D56">
        <w:rPr>
          <w:rFonts w:cs="Times New Roman"/>
        </w:rPr>
        <w:t xml:space="preserve"> </w:t>
      </w:r>
    </w:p>
  </w:footnote>
  <w:footnote w:id="19">
    <w:p w14:paraId="2FB1E514" w14:textId="77777777" w:rsidR="009357CC" w:rsidRPr="00637D56" w:rsidRDefault="009357CC" w:rsidP="009357CC">
      <w:pPr>
        <w:pStyle w:val="FootnoteText"/>
        <w:jc w:val="both"/>
        <w:rPr>
          <w:rFonts w:cs="Times New Roman"/>
        </w:rPr>
      </w:pPr>
      <w:r w:rsidRPr="00637D56">
        <w:rPr>
          <w:rStyle w:val="FootnoteReference"/>
          <w:rFonts w:cs="Times New Roman"/>
        </w:rPr>
        <w:footnoteRef/>
      </w:r>
      <w:r w:rsidRPr="00637D56">
        <w:rPr>
          <w:rFonts w:cs="Times New Roman"/>
        </w:rPr>
        <w:t xml:space="preserve"> EIB (2024), The scaleup gap: financial market constraints holding back innovative firms in the European Union, European Investment Bank, </w:t>
      </w:r>
      <w:hyperlink r:id="rId6" w:history="1">
        <w:r w:rsidRPr="00637D56">
          <w:rPr>
            <w:rStyle w:val="Hyperlink"/>
            <w:rFonts w:cs="Times New Roman"/>
          </w:rPr>
          <w:t>https://data.europa.eu/doi/10.2867/382579</w:t>
        </w:r>
      </w:hyperlink>
      <w:r w:rsidRPr="00637D56">
        <w:rPr>
          <w:rFonts w:cs="Times New Roman"/>
        </w:rPr>
        <w:t xml:space="preserve"> </w:t>
      </w:r>
    </w:p>
  </w:footnote>
  <w:footnote w:id="20">
    <w:p w14:paraId="085CAF1B" w14:textId="0A65D928" w:rsidR="0084554C" w:rsidRPr="00637D56" w:rsidRDefault="0084554C">
      <w:pPr>
        <w:pStyle w:val="FootnoteText"/>
        <w:rPr>
          <w:rFonts w:cs="Times New Roman"/>
          <w:lang w:val="en-GB"/>
        </w:rPr>
      </w:pPr>
      <w:r w:rsidRPr="00637D56">
        <w:rPr>
          <w:rStyle w:val="FootnoteReference"/>
          <w:rFonts w:cs="Times New Roman"/>
        </w:rPr>
        <w:footnoteRef/>
      </w:r>
      <w:r w:rsidRPr="00637D56">
        <w:rPr>
          <w:rFonts w:cs="Times New Roman"/>
        </w:rPr>
        <w:t xml:space="preserve"> See the summary of the consultation included in the Staff Working Document accompanying this Strategy.</w:t>
      </w:r>
    </w:p>
  </w:footnote>
  <w:footnote w:id="21">
    <w:p w14:paraId="3B5A42DB" w14:textId="5D434837" w:rsidR="00093C91" w:rsidRPr="00637D56" w:rsidRDefault="00093C91">
      <w:pPr>
        <w:pStyle w:val="FootnoteText"/>
        <w:rPr>
          <w:rFonts w:cs="Times New Roman"/>
        </w:rPr>
      </w:pPr>
      <w:r w:rsidRPr="00637D56">
        <w:rPr>
          <w:rStyle w:val="FootnoteReference"/>
          <w:rFonts w:cs="Times New Roman"/>
        </w:rPr>
        <w:footnoteRef/>
      </w:r>
      <w:r w:rsidRPr="00637D56">
        <w:rPr>
          <w:rFonts w:cs="Times New Roman"/>
        </w:rPr>
        <w:t xml:space="preserve"> EIF report on  </w:t>
      </w:r>
      <w:hyperlink r:id="rId7" w:history="1">
        <w:r w:rsidRPr="00637D56">
          <w:rPr>
            <w:rStyle w:val="Hyperlink"/>
            <w:rFonts w:cs="Times New Roman"/>
          </w:rPr>
          <w:t>Scale-up financing gap</w:t>
        </w:r>
      </w:hyperlink>
    </w:p>
  </w:footnote>
  <w:footnote w:id="22">
    <w:p w14:paraId="0F78D3BC" w14:textId="37EB8550" w:rsidR="00CC51C2" w:rsidRPr="00637D56" w:rsidRDefault="00CC51C2">
      <w:pPr>
        <w:pStyle w:val="FootnoteText"/>
        <w:rPr>
          <w:rFonts w:cs="Times New Roman"/>
        </w:rPr>
      </w:pPr>
      <w:r w:rsidRPr="00637D56">
        <w:rPr>
          <w:rStyle w:val="FootnoteReference"/>
          <w:rFonts w:cs="Times New Roman"/>
        </w:rPr>
        <w:footnoteRef/>
      </w:r>
      <w:r w:rsidRPr="00637D56">
        <w:rPr>
          <w:rFonts w:cs="Times New Roman"/>
        </w:rPr>
        <w:t xml:space="preserve"> Only 5.9% of applications to the EIC Accelerator were successful in the most recent cut-off (October 2024), a figure consistent with previous cut-offs.</w:t>
      </w:r>
    </w:p>
  </w:footnote>
  <w:footnote w:id="23">
    <w:p w14:paraId="23D4A1C9" w14:textId="5DAD9282" w:rsidR="00AF4AF4" w:rsidRPr="00637D56" w:rsidRDefault="00AF4AF4">
      <w:pPr>
        <w:pStyle w:val="FootnoteText"/>
        <w:rPr>
          <w:rFonts w:cs="Times New Roman"/>
        </w:rPr>
      </w:pPr>
      <w:r w:rsidRPr="00637D56">
        <w:rPr>
          <w:rStyle w:val="FootnoteReference"/>
          <w:rFonts w:cs="Times New Roman"/>
        </w:rPr>
        <w:footnoteRef/>
      </w:r>
      <w:r w:rsidRPr="00637D56">
        <w:rPr>
          <w:rFonts w:cs="Times New Roman"/>
        </w:rPr>
        <w:t xml:space="preserve"> </w:t>
      </w:r>
      <w:r w:rsidRPr="00637D56">
        <w:rPr>
          <w:rFonts w:cs="Times New Roman"/>
          <w:lang w:val="en-GB"/>
        </w:rPr>
        <w:t xml:space="preserve">ARPA (Advanced Research Projects Agency) is a U.S. government agency that funds high-risk, high-reward research to drive breakthrough innovations in science and technology, originally established as ARPA (now DARPA) under the Department of </w:t>
      </w:r>
      <w:r w:rsidR="00E131BA" w:rsidRPr="00637D56">
        <w:rPr>
          <w:rFonts w:cs="Times New Roman"/>
          <w:lang w:val="en-GB"/>
        </w:rPr>
        <w:t>Defence</w:t>
      </w:r>
      <w:r w:rsidRPr="00637D56">
        <w:rPr>
          <w:rFonts w:cs="Times New Roman"/>
          <w:lang w:val="en-GB"/>
        </w:rPr>
        <w:t xml:space="preserve"> and later replicated in other sectors like energy (ARPA-E) and health (ARPA-H).</w:t>
      </w:r>
    </w:p>
  </w:footnote>
  <w:footnote w:id="24">
    <w:p w14:paraId="27B58CA8" w14:textId="551BDA2A" w:rsidR="00B32516" w:rsidRPr="00637D56" w:rsidRDefault="00B32516" w:rsidP="00B32516">
      <w:pPr>
        <w:rPr>
          <w:rFonts w:eastAsia="Aptos"/>
          <w:sz w:val="20"/>
          <w:szCs w:val="20"/>
        </w:rPr>
      </w:pPr>
      <w:r w:rsidRPr="00637D56">
        <w:rPr>
          <w:sz w:val="20"/>
          <w:szCs w:val="20"/>
        </w:rPr>
        <w:footnoteRef/>
      </w:r>
      <w:r w:rsidRPr="00637D56">
        <w:rPr>
          <w:sz w:val="20"/>
          <w:szCs w:val="20"/>
        </w:rPr>
        <w:t xml:space="preserve"> </w:t>
      </w:r>
      <w:r w:rsidRPr="00637D56">
        <w:rPr>
          <w:rFonts w:eastAsia="Segoe UI"/>
          <w:color w:val="333333"/>
          <w:sz w:val="20"/>
          <w:szCs w:val="20"/>
        </w:rPr>
        <w:t>European Commission: Directorate-General for Research and Innovation, She</w:t>
      </w:r>
      <w:r w:rsidR="00E131BA">
        <w:rPr>
          <w:rFonts w:eastAsia="Segoe UI"/>
          <w:color w:val="333333"/>
          <w:sz w:val="20"/>
          <w:szCs w:val="20"/>
        </w:rPr>
        <w:t>-F</w:t>
      </w:r>
      <w:r w:rsidRPr="00637D56">
        <w:rPr>
          <w:rFonts w:eastAsia="Segoe UI"/>
          <w:color w:val="333333"/>
          <w:sz w:val="20"/>
          <w:szCs w:val="20"/>
        </w:rPr>
        <w:t>igures 2024 – Policy report, Publications Office of the EU, 2025</w:t>
      </w:r>
      <w:r w:rsidR="00F36D00">
        <w:rPr>
          <w:rFonts w:eastAsia="Segoe UI"/>
          <w:color w:val="333333"/>
          <w:sz w:val="20"/>
          <w:szCs w:val="20"/>
        </w:rPr>
        <w:t>.</w:t>
      </w:r>
    </w:p>
  </w:footnote>
  <w:footnote w:id="25">
    <w:p w14:paraId="0233304B" w14:textId="2E72B4D1" w:rsidR="00F17AC3" w:rsidRPr="00637D56" w:rsidRDefault="00F17AC3">
      <w:pPr>
        <w:pStyle w:val="FootnoteText"/>
        <w:rPr>
          <w:rFonts w:cs="Times New Roman"/>
        </w:rPr>
      </w:pPr>
      <w:r w:rsidRPr="00637D56">
        <w:rPr>
          <w:rStyle w:val="FootnoteReference"/>
          <w:rFonts w:cs="Times New Roman"/>
        </w:rPr>
        <w:footnoteRef/>
      </w:r>
      <w:r w:rsidRPr="00637D56">
        <w:rPr>
          <w:rFonts w:cs="Times New Roman"/>
        </w:rPr>
        <w:t xml:space="preserve"> </w:t>
      </w:r>
      <w:r w:rsidR="00837D69" w:rsidRPr="00637D56">
        <w:rPr>
          <w:rFonts w:cs="Times New Roman"/>
        </w:rPr>
        <w:t>France Digitale, 2024</w:t>
      </w:r>
    </w:p>
  </w:footnote>
  <w:footnote w:id="26">
    <w:p w14:paraId="41A47740" w14:textId="4AE49576" w:rsidR="007676CE" w:rsidRPr="006A1BF1" w:rsidRDefault="007676CE" w:rsidP="007676CE">
      <w:pPr>
        <w:pStyle w:val="FootnoteText"/>
        <w:rPr>
          <w:rFonts w:cs="Times New Roman"/>
        </w:rPr>
      </w:pPr>
      <w:r w:rsidRPr="00637D56">
        <w:rPr>
          <w:rStyle w:val="FootnoteReference"/>
          <w:rFonts w:cs="Times New Roman"/>
        </w:rPr>
        <w:footnoteRef/>
      </w:r>
      <w:r w:rsidRPr="00637D56">
        <w:rPr>
          <w:rFonts w:cs="Times New Roman"/>
        </w:rPr>
        <w:t xml:space="preserve"> For example, the T</w:t>
      </w:r>
      <w:r>
        <w:rPr>
          <w:rFonts w:cs="Times New Roman"/>
        </w:rPr>
        <w:t xml:space="preserve">ibi </w:t>
      </w:r>
      <w:r w:rsidRPr="00637D56">
        <w:rPr>
          <w:rFonts w:cs="Times New Roman"/>
        </w:rPr>
        <w:t>initiative in France or the WIN initiative in Germany.</w:t>
      </w:r>
    </w:p>
  </w:footnote>
  <w:footnote w:id="27">
    <w:p w14:paraId="772C379C" w14:textId="77777777" w:rsidR="007E720B" w:rsidRPr="00637D56" w:rsidRDefault="007E720B" w:rsidP="007E720B">
      <w:pPr>
        <w:pStyle w:val="FootnoteText"/>
        <w:jc w:val="both"/>
        <w:rPr>
          <w:rFonts w:cs="Times New Roman"/>
        </w:rPr>
      </w:pPr>
      <w:r w:rsidRPr="00637D56">
        <w:rPr>
          <w:rStyle w:val="FootnoteReference"/>
          <w:rFonts w:cs="Times New Roman"/>
        </w:rPr>
        <w:footnoteRef/>
      </w:r>
      <w:r w:rsidRPr="00637D56">
        <w:rPr>
          <w:rFonts w:cs="Times New Roman"/>
        </w:rPr>
        <w:t xml:space="preserve"> Savings and Investments Union A Strategy to Foster Citizens’ Wealth and Economic Competitiveness in the EU (COM/2025/124, final)</w:t>
      </w:r>
    </w:p>
  </w:footnote>
  <w:footnote w:id="28">
    <w:p w14:paraId="68A0AC17" w14:textId="3E46A49D" w:rsidR="009357CC" w:rsidRPr="00637D56" w:rsidRDefault="009357CC" w:rsidP="009357CC">
      <w:pPr>
        <w:pStyle w:val="FootnoteText"/>
        <w:jc w:val="both"/>
        <w:rPr>
          <w:rFonts w:cs="Times New Roman"/>
        </w:rPr>
      </w:pPr>
      <w:r w:rsidRPr="00637D56">
        <w:rPr>
          <w:rStyle w:val="FootnoteReference"/>
          <w:rFonts w:cs="Times New Roman"/>
        </w:rPr>
        <w:footnoteRef/>
      </w:r>
      <w:r w:rsidRPr="00637D56">
        <w:rPr>
          <w:rFonts w:cs="Times New Roman"/>
        </w:rPr>
        <w:t xml:space="preserve"> This fund was referred in previous Commission Communications, e.g. the Clean Industrial Deal, as </w:t>
      </w:r>
      <w:r w:rsidRPr="006B722A">
        <w:rPr>
          <w:rFonts w:cs="Times New Roman"/>
          <w:i/>
          <w:iCs/>
        </w:rPr>
        <w:t>TechE</w:t>
      </w:r>
      <w:r w:rsidR="006107DB" w:rsidRPr="006B722A">
        <w:rPr>
          <w:rFonts w:cs="Times New Roman"/>
          <w:i/>
          <w:iCs/>
        </w:rPr>
        <w:t>U</w:t>
      </w:r>
      <w:r w:rsidRPr="006B722A">
        <w:rPr>
          <w:rFonts w:cs="Times New Roman"/>
          <w:i/>
          <w:iCs/>
        </w:rPr>
        <w:t xml:space="preserve"> Scaleup Fund</w:t>
      </w:r>
      <w:r w:rsidRPr="00637D56">
        <w:rPr>
          <w:rFonts w:cs="Times New Roman"/>
        </w:rPr>
        <w:t xml:space="preserve"> – the concept is the same. </w:t>
      </w:r>
      <w:r w:rsidR="0099411B" w:rsidRPr="0099411B">
        <w:rPr>
          <w:rFonts w:cs="Times New Roman"/>
        </w:rPr>
        <w:t>The internal Commission governance of the fund will be decided after the adoption of th</w:t>
      </w:r>
      <w:r w:rsidR="0099411B">
        <w:rPr>
          <w:rFonts w:cs="Times New Roman"/>
        </w:rPr>
        <w:t>e</w:t>
      </w:r>
      <w:r w:rsidR="0099411B" w:rsidRPr="0099411B">
        <w:rPr>
          <w:rFonts w:cs="Times New Roman"/>
        </w:rPr>
        <w:t xml:space="preserve"> strategy.</w:t>
      </w:r>
    </w:p>
  </w:footnote>
  <w:footnote w:id="29">
    <w:p w14:paraId="40CD5193" w14:textId="42F14C6C" w:rsidR="082A0DC0" w:rsidRDefault="082A0DC0" w:rsidP="00852453">
      <w:pPr>
        <w:pStyle w:val="FootnoteText"/>
      </w:pPr>
      <w:r>
        <w:rPr>
          <w:vertAlign w:val="superscript"/>
        </w:rPr>
        <w:footnoteRef/>
      </w:r>
      <w:r>
        <w:rPr>
          <w:vertAlign w:val="superscript"/>
        </w:rPr>
        <w:t xml:space="preserve"> </w:t>
      </w:r>
      <w:r w:rsidR="008B1DD1">
        <w:t>S</w:t>
      </w:r>
      <w:r w:rsidR="00392A68" w:rsidRPr="00392A68">
        <w:t>uch as for example artificial intelligence, quantum technologies, advanced semiconductors, medical technology, biotechnology</w:t>
      </w:r>
      <w:r>
        <w:t xml:space="preserve">, </w:t>
      </w:r>
      <w:r w:rsidR="00392A68" w:rsidRPr="00392A68">
        <w:t xml:space="preserve">bioeconomy applications, clean tech and energy (including nuclear technology), </w:t>
      </w:r>
      <w:r>
        <w:t xml:space="preserve">water and blue tech, </w:t>
      </w:r>
      <w:r w:rsidR="00392A68" w:rsidRPr="00392A68">
        <w:t xml:space="preserve">security, defence, space, robotics and </w:t>
      </w:r>
      <w:r w:rsidR="00E131BA" w:rsidRPr="00392A68">
        <w:t>advanced materials</w:t>
      </w:r>
      <w:r w:rsidR="00F24FAC">
        <w:t xml:space="preserve">, </w:t>
      </w:r>
      <w:r w:rsidR="00CA747D">
        <w:t xml:space="preserve">as well as </w:t>
      </w:r>
      <w:r w:rsidR="003542C3">
        <w:t>i</w:t>
      </w:r>
      <w:r w:rsidR="00CA747D">
        <w:t>ncluding any dual-use applications.</w:t>
      </w:r>
    </w:p>
  </w:footnote>
  <w:footnote w:id="30">
    <w:p w14:paraId="76F6D1DB" w14:textId="77777777" w:rsidR="009357CC" w:rsidRPr="00637D56" w:rsidRDefault="009357CC" w:rsidP="009357CC">
      <w:pPr>
        <w:pStyle w:val="FootnoteText"/>
        <w:jc w:val="both"/>
        <w:rPr>
          <w:rFonts w:cs="Times New Roman"/>
        </w:rPr>
      </w:pPr>
      <w:r w:rsidRPr="00637D56">
        <w:rPr>
          <w:rStyle w:val="FootnoteReference"/>
          <w:rFonts w:cs="Times New Roman"/>
        </w:rPr>
        <w:footnoteRef/>
      </w:r>
      <w:r w:rsidRPr="00637D56">
        <w:rPr>
          <w:rFonts w:cs="Times New Roman"/>
        </w:rPr>
        <w:t xml:space="preserve"> European Commission, </w:t>
      </w:r>
      <w:r w:rsidRPr="00637D56">
        <w:rPr>
          <w:rFonts w:cs="Times New Roman"/>
          <w:lang w:val="en-GB"/>
        </w:rPr>
        <w:t>White Paper for European Defence – Readiness 2030, 19 March 2025 https://commission.europa.eu/document/download/e6d5db69-e0ab-4bec-9dc0-3867b4373019_en?filename=White%20paper%20for%20European%20defence%20%E2%80%93%20Readiness%202030.pdf</w:t>
      </w:r>
    </w:p>
  </w:footnote>
  <w:footnote w:id="31">
    <w:p w14:paraId="5F30E43C" w14:textId="3E0DA659" w:rsidR="007C21AF" w:rsidRPr="00637D56" w:rsidRDefault="007C21AF">
      <w:pPr>
        <w:pStyle w:val="FootnoteText"/>
        <w:rPr>
          <w:rFonts w:cs="Times New Roman"/>
        </w:rPr>
      </w:pPr>
      <w:r w:rsidRPr="00637D56">
        <w:rPr>
          <w:rStyle w:val="FootnoteReference"/>
          <w:rFonts w:cs="Times New Roman"/>
        </w:rPr>
        <w:footnoteRef/>
      </w:r>
      <w:r w:rsidRPr="00637D56">
        <w:rPr>
          <w:rFonts w:cs="Times New Roman"/>
        </w:rPr>
        <w:t xml:space="preserve">  </w:t>
      </w:r>
      <w:r w:rsidR="00780C54" w:rsidRPr="00637D56">
        <w:rPr>
          <w:rFonts w:cs="Times New Roman"/>
        </w:rPr>
        <w:t>I</w:t>
      </w:r>
      <w:r w:rsidRPr="00637D56">
        <w:rPr>
          <w:rFonts w:cs="Times New Roman"/>
        </w:rPr>
        <w:t>ncluding as Universities of Applied Sciences and Research and Technology Organizations.</w:t>
      </w:r>
    </w:p>
  </w:footnote>
  <w:footnote w:id="32">
    <w:p w14:paraId="66691A51" w14:textId="1E797A8A" w:rsidR="00FC0BA2" w:rsidRPr="00637D56" w:rsidRDefault="00FC0BA2" w:rsidP="00C60496">
      <w:pPr>
        <w:rPr>
          <w:sz w:val="20"/>
          <w:szCs w:val="20"/>
        </w:rPr>
      </w:pPr>
      <w:r w:rsidRPr="00637D56">
        <w:rPr>
          <w:rStyle w:val="FootnoteReference"/>
          <w:sz w:val="20"/>
          <w:szCs w:val="20"/>
        </w:rPr>
        <w:footnoteRef/>
      </w:r>
      <w:r w:rsidRPr="00637D56">
        <w:rPr>
          <w:sz w:val="20"/>
          <w:szCs w:val="20"/>
        </w:rPr>
        <w:t xml:space="preserve"> Redstone University Startup Index - Europe's Trillion Euro Opportunity, 2024 - https://www.redstone.vc/research/redstone-university-startup-index</w:t>
      </w:r>
    </w:p>
  </w:footnote>
  <w:footnote w:id="33">
    <w:p w14:paraId="211022E3" w14:textId="2CB37961" w:rsidR="00AD6C10" w:rsidRPr="00637D56" w:rsidRDefault="00AD6C10" w:rsidP="00AD6C10">
      <w:pPr>
        <w:pStyle w:val="FootnoteText"/>
        <w:jc w:val="both"/>
        <w:rPr>
          <w:rFonts w:cs="Times New Roman"/>
        </w:rPr>
      </w:pPr>
      <w:r w:rsidRPr="00637D56">
        <w:rPr>
          <w:rStyle w:val="FootnoteReference"/>
          <w:rFonts w:cs="Times New Roman"/>
        </w:rPr>
        <w:footnoteRef/>
      </w:r>
      <w:r w:rsidRPr="00637D56">
        <w:rPr>
          <w:rFonts w:cs="Times New Roman"/>
        </w:rPr>
        <w:t xml:space="preserve"> The European Institute of Innovation and Technology (EIT) directly supported over 9 900 startups and scaleups which have collectively raised almost €10 billion in external funding, resulting in unicorns and innovative companies worth €71.2 billion today. </w:t>
      </w:r>
    </w:p>
  </w:footnote>
  <w:footnote w:id="34">
    <w:p w14:paraId="03170F66" w14:textId="77777777" w:rsidR="00AD6C10" w:rsidRPr="00637D56" w:rsidRDefault="00AD6C10" w:rsidP="00AD6C10">
      <w:pPr>
        <w:pStyle w:val="FootnoteText"/>
        <w:jc w:val="both"/>
        <w:rPr>
          <w:rFonts w:cs="Times New Roman"/>
        </w:rPr>
      </w:pPr>
      <w:r w:rsidRPr="00637D56">
        <w:rPr>
          <w:rStyle w:val="FootnoteReference"/>
          <w:rFonts w:cs="Times New Roman"/>
        </w:rPr>
        <w:footnoteRef/>
      </w:r>
      <w:r w:rsidRPr="00637D56">
        <w:rPr>
          <w:rFonts w:cs="Times New Roman"/>
        </w:rPr>
        <w:t xml:space="preserve"> More than 3,500 Enterprise Europe Network (EEN) advisors help startups and scaleups with free business support in nearly 60 countries. Over 1,500 clusters also boost innovation and competitiveness among its stakeholders including for startups.</w:t>
      </w:r>
    </w:p>
  </w:footnote>
  <w:footnote w:id="35">
    <w:p w14:paraId="68A00CB7" w14:textId="77777777" w:rsidR="00950432" w:rsidRPr="00637D56" w:rsidRDefault="00950432" w:rsidP="00950432">
      <w:pPr>
        <w:pStyle w:val="FootnoteText"/>
        <w:jc w:val="both"/>
        <w:rPr>
          <w:rFonts w:cs="Times New Roman"/>
        </w:rPr>
      </w:pPr>
      <w:r w:rsidRPr="00637D56">
        <w:rPr>
          <w:rStyle w:val="FootnoteReference"/>
          <w:rFonts w:cs="Times New Roman"/>
        </w:rPr>
        <w:footnoteRef/>
      </w:r>
      <w:r w:rsidRPr="00637D56">
        <w:rPr>
          <w:rFonts w:cs="Times New Roman"/>
        </w:rPr>
        <w:t xml:space="preserve"> Including </w:t>
      </w:r>
      <w:r w:rsidRPr="00637D56">
        <w:rPr>
          <w:rFonts w:cs="Times New Roman"/>
          <w:lang w:val="en-US"/>
        </w:rPr>
        <w:t xml:space="preserve">online platforms such as the Commission’s Access2Markets portal, </w:t>
      </w:r>
      <w:r w:rsidRPr="00637D56">
        <w:rPr>
          <w:rFonts w:cs="Times New Roman"/>
        </w:rPr>
        <w:t xml:space="preserve">specific helpdesks in non-EU countries, </w:t>
      </w:r>
      <w:r w:rsidRPr="00637D56">
        <w:rPr>
          <w:rFonts w:cs="Times New Roman"/>
          <w:lang w:val="en-US"/>
        </w:rPr>
        <w:t>networks supported by the Commission like the Enterprise Europe Network or national or European Chambers of Commerce inside the EU, or in potential foreign markets.</w:t>
      </w:r>
    </w:p>
    <w:p w14:paraId="4FD08D1D" w14:textId="5F14AA56" w:rsidR="00950432" w:rsidRPr="00637D56" w:rsidRDefault="00950432">
      <w:pPr>
        <w:pStyle w:val="FootnoteText"/>
        <w:rPr>
          <w:rFonts w:cs="Times New Roman"/>
        </w:rPr>
      </w:pPr>
    </w:p>
  </w:footnote>
  <w:footnote w:id="36">
    <w:p w14:paraId="6BEE7477" w14:textId="77777777" w:rsidR="009357CC" w:rsidRPr="00637D56" w:rsidRDefault="009357CC" w:rsidP="009357CC">
      <w:pPr>
        <w:pStyle w:val="FootnoteText"/>
        <w:jc w:val="both"/>
        <w:rPr>
          <w:rFonts w:cs="Times New Roman"/>
        </w:rPr>
      </w:pPr>
      <w:r w:rsidRPr="00637D56">
        <w:rPr>
          <w:rStyle w:val="FootnoteReference"/>
          <w:rFonts w:cs="Times New Roman"/>
        </w:rPr>
        <w:footnoteRef/>
      </w:r>
      <w:r w:rsidRPr="00637D56">
        <w:rPr>
          <w:rFonts w:cs="Times New Roman"/>
        </w:rPr>
        <w:t xml:space="preserve"> European Commission, Union of Skills Communication, 2025, https://commission.europa.eu/topics/eu-competitiveness/union-skills_en</w:t>
      </w:r>
    </w:p>
  </w:footnote>
  <w:footnote w:id="37">
    <w:p w14:paraId="35F6F05E" w14:textId="77777777" w:rsidR="009357CC" w:rsidRPr="00637D56" w:rsidRDefault="009357CC" w:rsidP="009357CC">
      <w:pPr>
        <w:pStyle w:val="FootnoteText"/>
        <w:jc w:val="both"/>
        <w:rPr>
          <w:rFonts w:cs="Times New Roman"/>
        </w:rPr>
      </w:pPr>
      <w:r w:rsidRPr="00637D56">
        <w:rPr>
          <w:rStyle w:val="FootnoteReference"/>
          <w:rFonts w:cs="Times New Roman"/>
        </w:rPr>
        <w:footnoteRef/>
      </w:r>
      <w:r w:rsidRPr="00637D56">
        <w:rPr>
          <w:rFonts w:cs="Times New Roman"/>
        </w:rPr>
        <w:t xml:space="preserve"> European Commission’s </w:t>
      </w:r>
      <w:r w:rsidRPr="00637D56">
        <w:rPr>
          <w:rFonts w:cs="Times New Roman"/>
          <w:i/>
        </w:rPr>
        <w:t>Entrepreneurship 2020 Action Plan</w:t>
      </w:r>
    </w:p>
  </w:footnote>
  <w:footnote w:id="38">
    <w:p w14:paraId="5D7018CB" w14:textId="77777777" w:rsidR="009357CC" w:rsidRPr="00637D56" w:rsidRDefault="009357CC" w:rsidP="009357CC">
      <w:pPr>
        <w:jc w:val="both"/>
        <w:rPr>
          <w:rFonts w:eastAsia="Aptos"/>
          <w:sz w:val="20"/>
          <w:szCs w:val="20"/>
        </w:rPr>
      </w:pPr>
      <w:r w:rsidRPr="00637D56">
        <w:rPr>
          <w:sz w:val="20"/>
          <w:szCs w:val="20"/>
        </w:rPr>
        <w:footnoteRef/>
      </w:r>
      <w:r w:rsidRPr="00637D56">
        <w:rPr>
          <w:sz w:val="20"/>
          <w:szCs w:val="20"/>
        </w:rPr>
        <w:t xml:space="preserve"> </w:t>
      </w:r>
      <w:hyperlink r:id="rId8" w:history="1">
        <w:r w:rsidRPr="00637D56">
          <w:rPr>
            <w:rStyle w:val="Hyperlink"/>
            <w:rFonts w:eastAsia="Aptos"/>
            <w:sz w:val="20"/>
            <w:szCs w:val="20"/>
          </w:rPr>
          <w:t>Challenges in academic commercialisation: a case study of the scientists' experiences</w:t>
        </w:r>
      </w:hyperlink>
    </w:p>
  </w:footnote>
  <w:footnote w:id="39">
    <w:p w14:paraId="30740B00" w14:textId="77777777" w:rsidR="009357CC" w:rsidRPr="00637D56" w:rsidRDefault="009357CC" w:rsidP="009357CC">
      <w:pPr>
        <w:pStyle w:val="FootnoteText"/>
        <w:spacing w:line="257" w:lineRule="auto"/>
        <w:jc w:val="both"/>
        <w:rPr>
          <w:rFonts w:cs="Times New Roman"/>
        </w:rPr>
      </w:pPr>
      <w:r w:rsidRPr="00637D56">
        <w:rPr>
          <w:rFonts w:cs="Times New Roman"/>
        </w:rPr>
        <w:footnoteRef/>
      </w:r>
      <w:r w:rsidRPr="00637D56">
        <w:rPr>
          <w:rFonts w:cs="Times New Roman"/>
        </w:rPr>
        <w:t xml:space="preserve"> </w:t>
      </w:r>
      <w:r w:rsidRPr="00637D56">
        <w:rPr>
          <w:rFonts w:eastAsia="Aptos" w:cs="Times New Roman"/>
        </w:rPr>
        <w:t>Draghi report (2024), p. 241.</w:t>
      </w:r>
    </w:p>
    <w:p w14:paraId="6ED6BE03" w14:textId="77777777" w:rsidR="009357CC" w:rsidRPr="00637D56" w:rsidRDefault="009357CC" w:rsidP="009357CC">
      <w:pPr>
        <w:pStyle w:val="FootnoteText"/>
        <w:jc w:val="both"/>
        <w:rPr>
          <w:rFonts w:cs="Times New Roman"/>
        </w:rPr>
      </w:pPr>
    </w:p>
  </w:footnote>
  <w:footnote w:id="40">
    <w:p w14:paraId="617FFB5E" w14:textId="4112B0A1" w:rsidR="00CC2022" w:rsidRPr="00637D56" w:rsidRDefault="00CC2022">
      <w:pPr>
        <w:pStyle w:val="FootnoteText"/>
        <w:rPr>
          <w:rFonts w:cs="Times New Roman"/>
          <w:lang w:val="en-US"/>
        </w:rPr>
      </w:pPr>
      <w:r w:rsidRPr="00637D56">
        <w:rPr>
          <w:rStyle w:val="FootnoteReference"/>
          <w:rFonts w:cs="Times New Roman"/>
        </w:rPr>
        <w:footnoteRef/>
      </w:r>
      <w:r w:rsidRPr="00637D56">
        <w:rPr>
          <w:rFonts w:cs="Times New Roman"/>
        </w:rPr>
        <w:t xml:space="preserve"> </w:t>
      </w:r>
      <w:hyperlink r:id="rId9" w:history="1">
        <w:r w:rsidRPr="00637D56">
          <w:rPr>
            <w:rStyle w:val="Hyperlink"/>
            <w:rFonts w:cs="Times New Roman"/>
          </w:rPr>
          <w:t>Communication on the Union of Skills</w:t>
        </w:r>
      </w:hyperlink>
    </w:p>
  </w:footnote>
  <w:footnote w:id="41">
    <w:p w14:paraId="2B836803" w14:textId="77777777" w:rsidR="0090103F" w:rsidRPr="00637D56" w:rsidRDefault="0090103F" w:rsidP="0090103F">
      <w:pPr>
        <w:pStyle w:val="FootnoteText"/>
        <w:rPr>
          <w:rFonts w:cs="Times New Roman"/>
        </w:rPr>
      </w:pPr>
      <w:r w:rsidRPr="00637D56">
        <w:rPr>
          <w:rStyle w:val="FootnoteReference"/>
          <w:rFonts w:cs="Times New Roman"/>
        </w:rPr>
        <w:footnoteRef/>
      </w:r>
      <w:r w:rsidRPr="00637D56">
        <w:rPr>
          <w:rFonts w:cs="Times New Roman"/>
        </w:rPr>
        <w:t xml:space="preserve"> that will be deployed in the context of the AI Continent Action Plan</w:t>
      </w:r>
    </w:p>
  </w:footnote>
  <w:footnote w:id="42">
    <w:p w14:paraId="3F8C73D3" w14:textId="77777777" w:rsidR="009357CC" w:rsidRPr="00637D56" w:rsidRDefault="009357CC" w:rsidP="009357CC">
      <w:pPr>
        <w:pStyle w:val="FootnoteText"/>
        <w:jc w:val="both"/>
        <w:rPr>
          <w:rFonts w:cs="Times New Roman"/>
          <w:lang w:val="es-ES"/>
        </w:rPr>
      </w:pPr>
      <w:r w:rsidRPr="00637D56">
        <w:rPr>
          <w:rStyle w:val="FootnoteReference"/>
          <w:rFonts w:cs="Times New Roman"/>
        </w:rPr>
        <w:footnoteRef/>
      </w:r>
      <w:r w:rsidRPr="00637D56">
        <w:rPr>
          <w:rFonts w:cs="Times New Roman"/>
          <w:lang w:val="es-ES"/>
        </w:rPr>
        <w:t xml:space="preserve"> BG, DK, EE, EL, HU, IT, LV, LT, PT, SI, ES</w:t>
      </w:r>
    </w:p>
  </w:footnote>
  <w:footnote w:id="43">
    <w:p w14:paraId="3EAEF9AB" w14:textId="77777777" w:rsidR="00DA3169" w:rsidRPr="00637D56" w:rsidRDefault="00DA3169" w:rsidP="00DA3169">
      <w:pPr>
        <w:pStyle w:val="FootnoteText"/>
        <w:jc w:val="both"/>
        <w:rPr>
          <w:rFonts w:cs="Times New Roman"/>
          <w:lang w:val="es-ES"/>
        </w:rPr>
      </w:pPr>
      <w:r w:rsidRPr="00637D56">
        <w:rPr>
          <w:rStyle w:val="FootnoteReference"/>
          <w:rFonts w:cs="Times New Roman"/>
        </w:rPr>
        <w:footnoteRef/>
      </w:r>
      <w:r w:rsidRPr="00637D56">
        <w:rPr>
          <w:rFonts w:cs="Times New Roman"/>
          <w:lang w:val="es-ES"/>
        </w:rPr>
        <w:t xml:space="preserve"> BG, DK, EE, EL, PT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5C7E" w14:textId="77777777" w:rsidR="00CA1638" w:rsidRPr="00CA1638" w:rsidRDefault="00CA1638" w:rsidP="00CA163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6BF8" w14:textId="77777777" w:rsidR="00CA1638" w:rsidRPr="00CA1638" w:rsidRDefault="00CA1638" w:rsidP="00CA163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70225" w14:textId="77777777" w:rsidR="00CA1638" w:rsidRPr="00CA1638" w:rsidRDefault="00CA1638" w:rsidP="00CA163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7F5D" w14:textId="77777777" w:rsidR="009357CC" w:rsidRDefault="009357CC">
    <w:pPr>
      <w:pStyle w:val="Header"/>
    </w:pPr>
  </w:p>
  <w:p w14:paraId="2021EB47" w14:textId="77777777" w:rsidR="009357CC" w:rsidRDefault="009357C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60479" w14:textId="77777777" w:rsidR="009357CC" w:rsidRDefault="009357CC" w:rsidP="00350E5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F65A" w14:textId="77777777" w:rsidR="009357CC" w:rsidRDefault="00935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107B4B"/>
    <w:multiLevelType w:val="hybridMultilevel"/>
    <w:tmpl w:val="751E63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189392B"/>
    <w:multiLevelType w:val="multilevel"/>
    <w:tmpl w:val="C486FE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3442B50"/>
    <w:multiLevelType w:val="hybridMultilevel"/>
    <w:tmpl w:val="EC7CE0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ABB83462">
      <w:start w:val="1"/>
      <w:numFmt w:val="bullet"/>
      <w:lvlText w:val="·"/>
      <w:lvlJc w:val="left"/>
      <w:pPr>
        <w:ind w:left="720" w:hanging="360"/>
      </w:pPr>
      <w:rPr>
        <w:rFonts w:ascii="Symbol" w:hAnsi="Symbol" w:hint="default"/>
      </w:rPr>
    </w:lvl>
    <w:lvl w:ilvl="3" w:tplc="ABB83462">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8167C7E"/>
    <w:multiLevelType w:val="hybridMultilevel"/>
    <w:tmpl w:val="7C88D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5456AE"/>
    <w:multiLevelType w:val="multilevel"/>
    <w:tmpl w:val="14AA27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C4F0CCE"/>
    <w:multiLevelType w:val="multilevel"/>
    <w:tmpl w:val="8A1CFF90"/>
    <w:styleLink w:val="EIC"/>
    <w:lvl w:ilvl="0">
      <w:start w:val="1"/>
      <w:numFmt w:val="upperRoman"/>
      <w:lvlText w:val="%1."/>
      <w:lvlJc w:val="right"/>
      <w:pPr>
        <w:ind w:left="720" w:hanging="360"/>
      </w:pPr>
      <w:rPr>
        <w:rFonts w:ascii="Segoe UI Semibold" w:hAnsi="Segoe UI Semibold"/>
        <w:b/>
        <w:color w:val="7030A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B6552D"/>
    <w:multiLevelType w:val="hybridMultilevel"/>
    <w:tmpl w:val="C5FCFC4C"/>
    <w:lvl w:ilvl="0" w:tplc="9296F2F4">
      <w:start w:val="1"/>
      <w:numFmt w:val="decimal"/>
      <w:lvlText w:val="%1."/>
      <w:lvlJc w:val="left"/>
      <w:pPr>
        <w:ind w:left="360" w:hanging="360"/>
      </w:pPr>
      <w:rPr>
        <w:rFonts w:ascii="Times New Roman" w:hAnsi="Times New Roman" w:cs="Times New Roman" w:hint="default"/>
        <w:b/>
        <w:bCs/>
        <w:sz w:val="24"/>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2F7D7F31"/>
    <w:multiLevelType w:val="hybridMultilevel"/>
    <w:tmpl w:val="7D92DAF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3C954E7"/>
    <w:multiLevelType w:val="hybridMultilevel"/>
    <w:tmpl w:val="470626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4276DD9"/>
    <w:multiLevelType w:val="hybridMultilevel"/>
    <w:tmpl w:val="03981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E201026"/>
    <w:multiLevelType w:val="hybridMultilevel"/>
    <w:tmpl w:val="8D8E0A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2EE5D86"/>
    <w:multiLevelType w:val="hybridMultilevel"/>
    <w:tmpl w:val="26F4B7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9B31DE2"/>
    <w:multiLevelType w:val="hybridMultilevel"/>
    <w:tmpl w:val="7244F418"/>
    <w:lvl w:ilvl="0" w:tplc="ABB83462">
      <w:start w:val="1"/>
      <w:numFmt w:val="bullet"/>
      <w:lvlText w:val="·"/>
      <w:lvlJc w:val="left"/>
      <w:pPr>
        <w:ind w:left="720" w:hanging="360"/>
      </w:pPr>
      <w:rPr>
        <w:rFonts w:ascii="Symbol" w:hAnsi="Symbol" w:hint="default"/>
      </w:rPr>
    </w:lvl>
    <w:lvl w:ilvl="1" w:tplc="ABB83462">
      <w:start w:val="1"/>
      <w:numFmt w:val="bullet"/>
      <w:lvlText w:val="·"/>
      <w:lvlJc w:val="left"/>
      <w:pPr>
        <w:ind w:left="108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E363182"/>
    <w:multiLevelType w:val="hybridMultilevel"/>
    <w:tmpl w:val="E5B260F6"/>
    <w:lvl w:ilvl="0" w:tplc="18090001">
      <w:start w:val="1"/>
      <w:numFmt w:val="bullet"/>
      <w:lvlText w:val=""/>
      <w:lvlJc w:val="left"/>
      <w:pPr>
        <w:ind w:left="741" w:hanging="360"/>
      </w:pPr>
      <w:rPr>
        <w:rFonts w:ascii="Symbol" w:hAnsi="Symbol" w:hint="default"/>
      </w:rPr>
    </w:lvl>
    <w:lvl w:ilvl="1" w:tplc="18090003">
      <w:start w:val="1"/>
      <w:numFmt w:val="bullet"/>
      <w:lvlText w:val="o"/>
      <w:lvlJc w:val="left"/>
      <w:pPr>
        <w:ind w:left="1461" w:hanging="360"/>
      </w:pPr>
      <w:rPr>
        <w:rFonts w:ascii="Courier New" w:hAnsi="Courier New" w:cs="Courier New" w:hint="default"/>
      </w:rPr>
    </w:lvl>
    <w:lvl w:ilvl="2" w:tplc="18090005" w:tentative="1">
      <w:start w:val="1"/>
      <w:numFmt w:val="bullet"/>
      <w:lvlText w:val=""/>
      <w:lvlJc w:val="left"/>
      <w:pPr>
        <w:ind w:left="2181" w:hanging="360"/>
      </w:pPr>
      <w:rPr>
        <w:rFonts w:ascii="Wingdings" w:hAnsi="Wingdings" w:hint="default"/>
      </w:rPr>
    </w:lvl>
    <w:lvl w:ilvl="3" w:tplc="18090001" w:tentative="1">
      <w:start w:val="1"/>
      <w:numFmt w:val="bullet"/>
      <w:lvlText w:val=""/>
      <w:lvlJc w:val="left"/>
      <w:pPr>
        <w:ind w:left="2901" w:hanging="360"/>
      </w:pPr>
      <w:rPr>
        <w:rFonts w:ascii="Symbol" w:hAnsi="Symbol" w:hint="default"/>
      </w:rPr>
    </w:lvl>
    <w:lvl w:ilvl="4" w:tplc="18090003" w:tentative="1">
      <w:start w:val="1"/>
      <w:numFmt w:val="bullet"/>
      <w:lvlText w:val="o"/>
      <w:lvlJc w:val="left"/>
      <w:pPr>
        <w:ind w:left="3621" w:hanging="360"/>
      </w:pPr>
      <w:rPr>
        <w:rFonts w:ascii="Courier New" w:hAnsi="Courier New" w:cs="Courier New" w:hint="default"/>
      </w:rPr>
    </w:lvl>
    <w:lvl w:ilvl="5" w:tplc="18090005" w:tentative="1">
      <w:start w:val="1"/>
      <w:numFmt w:val="bullet"/>
      <w:lvlText w:val=""/>
      <w:lvlJc w:val="left"/>
      <w:pPr>
        <w:ind w:left="4341" w:hanging="360"/>
      </w:pPr>
      <w:rPr>
        <w:rFonts w:ascii="Wingdings" w:hAnsi="Wingdings" w:hint="default"/>
      </w:rPr>
    </w:lvl>
    <w:lvl w:ilvl="6" w:tplc="18090001" w:tentative="1">
      <w:start w:val="1"/>
      <w:numFmt w:val="bullet"/>
      <w:lvlText w:val=""/>
      <w:lvlJc w:val="left"/>
      <w:pPr>
        <w:ind w:left="5061" w:hanging="360"/>
      </w:pPr>
      <w:rPr>
        <w:rFonts w:ascii="Symbol" w:hAnsi="Symbol" w:hint="default"/>
      </w:rPr>
    </w:lvl>
    <w:lvl w:ilvl="7" w:tplc="18090003" w:tentative="1">
      <w:start w:val="1"/>
      <w:numFmt w:val="bullet"/>
      <w:lvlText w:val="o"/>
      <w:lvlJc w:val="left"/>
      <w:pPr>
        <w:ind w:left="5781" w:hanging="360"/>
      </w:pPr>
      <w:rPr>
        <w:rFonts w:ascii="Courier New" w:hAnsi="Courier New" w:cs="Courier New" w:hint="default"/>
      </w:rPr>
    </w:lvl>
    <w:lvl w:ilvl="8" w:tplc="18090005" w:tentative="1">
      <w:start w:val="1"/>
      <w:numFmt w:val="bullet"/>
      <w:lvlText w:val=""/>
      <w:lvlJc w:val="left"/>
      <w:pPr>
        <w:ind w:left="6501" w:hanging="360"/>
      </w:pPr>
      <w:rPr>
        <w:rFonts w:ascii="Wingdings" w:hAnsi="Wingdings" w:hint="default"/>
      </w:rPr>
    </w:lvl>
  </w:abstractNum>
  <w:abstractNum w:abstractNumId="15" w15:restartNumberingAfterBreak="0">
    <w:nsid w:val="50DD037D"/>
    <w:multiLevelType w:val="hybridMultilevel"/>
    <w:tmpl w:val="61C4EFAC"/>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2BD6945"/>
    <w:multiLevelType w:val="hybridMultilevel"/>
    <w:tmpl w:val="C4487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48D65D6"/>
    <w:multiLevelType w:val="multilevel"/>
    <w:tmpl w:val="0BD677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5CF44431"/>
    <w:multiLevelType w:val="hybridMultilevel"/>
    <w:tmpl w:val="9424B1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09353F"/>
    <w:multiLevelType w:val="hybridMultilevel"/>
    <w:tmpl w:val="C1F67D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FA133BC"/>
    <w:multiLevelType w:val="hybridMultilevel"/>
    <w:tmpl w:val="C28E3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45A7041"/>
    <w:multiLevelType w:val="hybridMultilevel"/>
    <w:tmpl w:val="142C41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4B9335C"/>
    <w:multiLevelType w:val="multilevel"/>
    <w:tmpl w:val="6F9C5248"/>
    <w:lvl w:ilvl="0">
      <w:start w:val="1"/>
      <w:numFmt w:val="bullet"/>
      <w:lvlText w:val=""/>
      <w:lvlJc w:val="left"/>
      <w:pPr>
        <w:ind w:left="720" w:hanging="360"/>
      </w:pPr>
      <w:rPr>
        <w:rFonts w:ascii="Symbol" w:hAnsi="Symbol" w:hint="default"/>
      </w:rPr>
    </w:lvl>
    <w:lvl w:ilvl="1">
      <w:start w:val="2"/>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3" w15:restartNumberingAfterBreak="0">
    <w:nsid w:val="74BF0AB2"/>
    <w:multiLevelType w:val="hybridMultilevel"/>
    <w:tmpl w:val="1E2A93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5452FCD"/>
    <w:multiLevelType w:val="hybridMultilevel"/>
    <w:tmpl w:val="D76CE0B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8813014"/>
    <w:multiLevelType w:val="hybridMultilevel"/>
    <w:tmpl w:val="79BA5D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93608709">
    <w:abstractNumId w:val="6"/>
  </w:num>
  <w:num w:numId="2" w16cid:durableId="233711005">
    <w:abstractNumId w:val="0"/>
  </w:num>
  <w:num w:numId="3" w16cid:durableId="1654528782">
    <w:abstractNumId w:val="14"/>
  </w:num>
  <w:num w:numId="4" w16cid:durableId="881358628">
    <w:abstractNumId w:val="12"/>
  </w:num>
  <w:num w:numId="5" w16cid:durableId="1562718488">
    <w:abstractNumId w:val="18"/>
  </w:num>
  <w:num w:numId="6" w16cid:durableId="1631856179">
    <w:abstractNumId w:val="21"/>
  </w:num>
  <w:num w:numId="7" w16cid:durableId="29501774">
    <w:abstractNumId w:val="16"/>
  </w:num>
  <w:num w:numId="8" w16cid:durableId="158815544">
    <w:abstractNumId w:val="20"/>
  </w:num>
  <w:num w:numId="9" w16cid:durableId="1679192613">
    <w:abstractNumId w:val="10"/>
  </w:num>
  <w:num w:numId="10" w16cid:durableId="1893301332">
    <w:abstractNumId w:val="25"/>
  </w:num>
  <w:num w:numId="11" w16cid:durableId="2007592000">
    <w:abstractNumId w:val="4"/>
  </w:num>
  <w:num w:numId="12" w16cid:durableId="45491100">
    <w:abstractNumId w:val="3"/>
  </w:num>
  <w:num w:numId="13" w16cid:durableId="119148611">
    <w:abstractNumId w:val="1"/>
  </w:num>
  <w:num w:numId="14" w16cid:durableId="425080999">
    <w:abstractNumId w:val="22"/>
  </w:num>
  <w:num w:numId="15" w16cid:durableId="712778823">
    <w:abstractNumId w:val="13"/>
  </w:num>
  <w:num w:numId="16" w16cid:durableId="1962806505">
    <w:abstractNumId w:val="15"/>
  </w:num>
  <w:num w:numId="17" w16cid:durableId="295451367">
    <w:abstractNumId w:val="11"/>
  </w:num>
  <w:num w:numId="18" w16cid:durableId="1066494111">
    <w:abstractNumId w:val="19"/>
  </w:num>
  <w:num w:numId="19" w16cid:durableId="453405144">
    <w:abstractNumId w:val="24"/>
  </w:num>
  <w:num w:numId="20" w16cid:durableId="947196837">
    <w:abstractNumId w:val="8"/>
  </w:num>
  <w:num w:numId="21" w16cid:durableId="278882070">
    <w:abstractNumId w:val="9"/>
  </w:num>
  <w:num w:numId="22" w16cid:durableId="303510372">
    <w:abstractNumId w:val="7"/>
  </w:num>
  <w:num w:numId="23" w16cid:durableId="2032219260">
    <w:abstractNumId w:val="5"/>
  </w:num>
  <w:num w:numId="24" w16cid:durableId="2133398102">
    <w:abstractNumId w:val="2"/>
  </w:num>
  <w:num w:numId="25" w16cid:durableId="886456921">
    <w:abstractNumId w:val="17"/>
  </w:num>
  <w:num w:numId="26" w16cid:durableId="1082727237">
    <w:abstractNumId w:val="14"/>
  </w:num>
  <w:num w:numId="27" w16cid:durableId="1848287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CA6579A5-9F4A-443E-A39A-CA08AC08EC19"/>
    <w:docVar w:name="LW_COVERPAGE_TYPE" w:val="1"/>
    <w:docVar w:name="LW_CROSSREFERENCE" w:val="{SWD(2025) 138 final}"/>
    <w:docVar w:name="LW_DocType" w:val="NORMAL"/>
    <w:docVar w:name="LW_EMISSION" w:val="28.5.2025"/>
    <w:docVar w:name="LW_EMISSION_ISODATE" w:val="2025-05-2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2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 Startup and Scaleup Strategy_x000d__x000d__x000d__x000b__x000d__x000d__x000d__x000b_Choose Europe to start and scale"/>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9357CC"/>
    <w:rsid w:val="00002C75"/>
    <w:rsid w:val="00004CEC"/>
    <w:rsid w:val="00004FA1"/>
    <w:rsid w:val="00005C45"/>
    <w:rsid w:val="000068AA"/>
    <w:rsid w:val="00006F00"/>
    <w:rsid w:val="000072B2"/>
    <w:rsid w:val="00011FC0"/>
    <w:rsid w:val="00012FEC"/>
    <w:rsid w:val="0001710A"/>
    <w:rsid w:val="000203E8"/>
    <w:rsid w:val="000210E1"/>
    <w:rsid w:val="00021787"/>
    <w:rsid w:val="000223B5"/>
    <w:rsid w:val="00023BFA"/>
    <w:rsid w:val="00025390"/>
    <w:rsid w:val="000266E3"/>
    <w:rsid w:val="00030B68"/>
    <w:rsid w:val="000332EB"/>
    <w:rsid w:val="000339C0"/>
    <w:rsid w:val="00033DB9"/>
    <w:rsid w:val="00040846"/>
    <w:rsid w:val="00040BEA"/>
    <w:rsid w:val="00040F1F"/>
    <w:rsid w:val="0004318A"/>
    <w:rsid w:val="0004339A"/>
    <w:rsid w:val="00044F34"/>
    <w:rsid w:val="00045785"/>
    <w:rsid w:val="00046997"/>
    <w:rsid w:val="00046CF1"/>
    <w:rsid w:val="00046FDA"/>
    <w:rsid w:val="00047212"/>
    <w:rsid w:val="00052409"/>
    <w:rsid w:val="00052DE1"/>
    <w:rsid w:val="00056A43"/>
    <w:rsid w:val="0005761B"/>
    <w:rsid w:val="0006062E"/>
    <w:rsid w:val="00060DD2"/>
    <w:rsid w:val="0006109E"/>
    <w:rsid w:val="00061BD6"/>
    <w:rsid w:val="000628AB"/>
    <w:rsid w:val="00065975"/>
    <w:rsid w:val="00065AD6"/>
    <w:rsid w:val="00066227"/>
    <w:rsid w:val="00066D66"/>
    <w:rsid w:val="00066DD6"/>
    <w:rsid w:val="00070163"/>
    <w:rsid w:val="0007061F"/>
    <w:rsid w:val="00076D28"/>
    <w:rsid w:val="0008098B"/>
    <w:rsid w:val="00080B51"/>
    <w:rsid w:val="0008144A"/>
    <w:rsid w:val="00081F85"/>
    <w:rsid w:val="000826D8"/>
    <w:rsid w:val="00084A1A"/>
    <w:rsid w:val="00087FD1"/>
    <w:rsid w:val="00091F12"/>
    <w:rsid w:val="00092138"/>
    <w:rsid w:val="00093C91"/>
    <w:rsid w:val="000944B3"/>
    <w:rsid w:val="00094885"/>
    <w:rsid w:val="00096148"/>
    <w:rsid w:val="00097F96"/>
    <w:rsid w:val="000A4C25"/>
    <w:rsid w:val="000B04F5"/>
    <w:rsid w:val="000B2577"/>
    <w:rsid w:val="000B3B0E"/>
    <w:rsid w:val="000B47B7"/>
    <w:rsid w:val="000B5445"/>
    <w:rsid w:val="000B5896"/>
    <w:rsid w:val="000B70F0"/>
    <w:rsid w:val="000C007F"/>
    <w:rsid w:val="000C0565"/>
    <w:rsid w:val="000C06DB"/>
    <w:rsid w:val="000C0DF1"/>
    <w:rsid w:val="000C20C8"/>
    <w:rsid w:val="000C2B25"/>
    <w:rsid w:val="000C2F48"/>
    <w:rsid w:val="000C3A30"/>
    <w:rsid w:val="000C54AD"/>
    <w:rsid w:val="000C5AB2"/>
    <w:rsid w:val="000C6D68"/>
    <w:rsid w:val="000C7D84"/>
    <w:rsid w:val="000D0E53"/>
    <w:rsid w:val="000D1DB4"/>
    <w:rsid w:val="000D280D"/>
    <w:rsid w:val="000D3B3D"/>
    <w:rsid w:val="000D3E68"/>
    <w:rsid w:val="000D3E76"/>
    <w:rsid w:val="000D4369"/>
    <w:rsid w:val="000D43C9"/>
    <w:rsid w:val="000D4D5E"/>
    <w:rsid w:val="000D5892"/>
    <w:rsid w:val="000D7214"/>
    <w:rsid w:val="000E1D23"/>
    <w:rsid w:val="000E300B"/>
    <w:rsid w:val="000E3533"/>
    <w:rsid w:val="000E39DB"/>
    <w:rsid w:val="000E44FF"/>
    <w:rsid w:val="000E456B"/>
    <w:rsid w:val="000E49D4"/>
    <w:rsid w:val="000E5631"/>
    <w:rsid w:val="000E58CC"/>
    <w:rsid w:val="000E6811"/>
    <w:rsid w:val="000E6D53"/>
    <w:rsid w:val="000F4361"/>
    <w:rsid w:val="000F5246"/>
    <w:rsid w:val="000F7528"/>
    <w:rsid w:val="00105AE3"/>
    <w:rsid w:val="0010602F"/>
    <w:rsid w:val="001075C8"/>
    <w:rsid w:val="001106A5"/>
    <w:rsid w:val="00112CFA"/>
    <w:rsid w:val="00113047"/>
    <w:rsid w:val="00114BCF"/>
    <w:rsid w:val="0011698E"/>
    <w:rsid w:val="00120BAE"/>
    <w:rsid w:val="00121F02"/>
    <w:rsid w:val="0012358F"/>
    <w:rsid w:val="00125AEB"/>
    <w:rsid w:val="001263C8"/>
    <w:rsid w:val="00126B13"/>
    <w:rsid w:val="0012780F"/>
    <w:rsid w:val="00127946"/>
    <w:rsid w:val="00127DBD"/>
    <w:rsid w:val="00133C6B"/>
    <w:rsid w:val="00135324"/>
    <w:rsid w:val="00136981"/>
    <w:rsid w:val="00137A17"/>
    <w:rsid w:val="00137B37"/>
    <w:rsid w:val="00137FC2"/>
    <w:rsid w:val="00140785"/>
    <w:rsid w:val="001411BB"/>
    <w:rsid w:val="00141B5B"/>
    <w:rsid w:val="00142991"/>
    <w:rsid w:val="00144BC3"/>
    <w:rsid w:val="00144BF1"/>
    <w:rsid w:val="0014517D"/>
    <w:rsid w:val="001454E1"/>
    <w:rsid w:val="00145F9C"/>
    <w:rsid w:val="00147954"/>
    <w:rsid w:val="0015097D"/>
    <w:rsid w:val="00156D36"/>
    <w:rsid w:val="00157302"/>
    <w:rsid w:val="00157B18"/>
    <w:rsid w:val="00157C9C"/>
    <w:rsid w:val="00157DC9"/>
    <w:rsid w:val="00161E92"/>
    <w:rsid w:val="00163962"/>
    <w:rsid w:val="00163B0F"/>
    <w:rsid w:val="00163EFA"/>
    <w:rsid w:val="00165EA4"/>
    <w:rsid w:val="00166DF2"/>
    <w:rsid w:val="00167E39"/>
    <w:rsid w:val="0017046A"/>
    <w:rsid w:val="00171BD7"/>
    <w:rsid w:val="001731A1"/>
    <w:rsid w:val="00175104"/>
    <w:rsid w:val="00175563"/>
    <w:rsid w:val="00176CA6"/>
    <w:rsid w:val="00182958"/>
    <w:rsid w:val="001849B4"/>
    <w:rsid w:val="00185C10"/>
    <w:rsid w:val="001865F1"/>
    <w:rsid w:val="00186EA4"/>
    <w:rsid w:val="0018732D"/>
    <w:rsid w:val="0019296B"/>
    <w:rsid w:val="00193481"/>
    <w:rsid w:val="0019434B"/>
    <w:rsid w:val="00194726"/>
    <w:rsid w:val="001952C5"/>
    <w:rsid w:val="00196588"/>
    <w:rsid w:val="00196A4C"/>
    <w:rsid w:val="00196EB5"/>
    <w:rsid w:val="00197B2C"/>
    <w:rsid w:val="001A04E7"/>
    <w:rsid w:val="001A3FE7"/>
    <w:rsid w:val="001A4FD3"/>
    <w:rsid w:val="001A5EA3"/>
    <w:rsid w:val="001A790F"/>
    <w:rsid w:val="001A7ACB"/>
    <w:rsid w:val="001A7D57"/>
    <w:rsid w:val="001B04CB"/>
    <w:rsid w:val="001B17E1"/>
    <w:rsid w:val="001B3194"/>
    <w:rsid w:val="001B693C"/>
    <w:rsid w:val="001B6FD8"/>
    <w:rsid w:val="001B7AA7"/>
    <w:rsid w:val="001C2898"/>
    <w:rsid w:val="001C3102"/>
    <w:rsid w:val="001C377A"/>
    <w:rsid w:val="001C4011"/>
    <w:rsid w:val="001C40CF"/>
    <w:rsid w:val="001C6FCF"/>
    <w:rsid w:val="001C7CA0"/>
    <w:rsid w:val="001D0B93"/>
    <w:rsid w:val="001D177B"/>
    <w:rsid w:val="001D312F"/>
    <w:rsid w:val="001D341D"/>
    <w:rsid w:val="001D37EE"/>
    <w:rsid w:val="001D4A80"/>
    <w:rsid w:val="001D5F5C"/>
    <w:rsid w:val="001D6EFF"/>
    <w:rsid w:val="001E28C1"/>
    <w:rsid w:val="001E3D42"/>
    <w:rsid w:val="001E60BD"/>
    <w:rsid w:val="001E670A"/>
    <w:rsid w:val="001E69E1"/>
    <w:rsid w:val="001E70C5"/>
    <w:rsid w:val="001E744F"/>
    <w:rsid w:val="001F0E54"/>
    <w:rsid w:val="001F2194"/>
    <w:rsid w:val="001F2FB3"/>
    <w:rsid w:val="001F4C31"/>
    <w:rsid w:val="001F5230"/>
    <w:rsid w:val="001F73AB"/>
    <w:rsid w:val="001F74A1"/>
    <w:rsid w:val="00201FDA"/>
    <w:rsid w:val="002033BC"/>
    <w:rsid w:val="0020437A"/>
    <w:rsid w:val="00204925"/>
    <w:rsid w:val="002049C3"/>
    <w:rsid w:val="00205E70"/>
    <w:rsid w:val="00210B1D"/>
    <w:rsid w:val="00210B5B"/>
    <w:rsid w:val="00210DBA"/>
    <w:rsid w:val="00211077"/>
    <w:rsid w:val="00211B33"/>
    <w:rsid w:val="002126C9"/>
    <w:rsid w:val="0021474B"/>
    <w:rsid w:val="00214E96"/>
    <w:rsid w:val="00215572"/>
    <w:rsid w:val="00215A81"/>
    <w:rsid w:val="00215E6F"/>
    <w:rsid w:val="00222FAD"/>
    <w:rsid w:val="00222FBD"/>
    <w:rsid w:val="002248DE"/>
    <w:rsid w:val="00224CB7"/>
    <w:rsid w:val="0023077B"/>
    <w:rsid w:val="0023089D"/>
    <w:rsid w:val="002319DA"/>
    <w:rsid w:val="002328F4"/>
    <w:rsid w:val="00234E65"/>
    <w:rsid w:val="002351DE"/>
    <w:rsid w:val="00237501"/>
    <w:rsid w:val="00237D6F"/>
    <w:rsid w:val="0024022E"/>
    <w:rsid w:val="00240323"/>
    <w:rsid w:val="002411FD"/>
    <w:rsid w:val="00241615"/>
    <w:rsid w:val="0024236D"/>
    <w:rsid w:val="002429DB"/>
    <w:rsid w:val="00244698"/>
    <w:rsid w:val="00245454"/>
    <w:rsid w:val="002458DD"/>
    <w:rsid w:val="00246437"/>
    <w:rsid w:val="00246553"/>
    <w:rsid w:val="00253544"/>
    <w:rsid w:val="00253782"/>
    <w:rsid w:val="00253FA0"/>
    <w:rsid w:val="002542CA"/>
    <w:rsid w:val="00254429"/>
    <w:rsid w:val="00255AFB"/>
    <w:rsid w:val="00255E21"/>
    <w:rsid w:val="0025708E"/>
    <w:rsid w:val="002633D4"/>
    <w:rsid w:val="002661CF"/>
    <w:rsid w:val="002662FE"/>
    <w:rsid w:val="002668BA"/>
    <w:rsid w:val="0026699C"/>
    <w:rsid w:val="00266E93"/>
    <w:rsid w:val="00267581"/>
    <w:rsid w:val="002706BF"/>
    <w:rsid w:val="00271C1E"/>
    <w:rsid w:val="002743BB"/>
    <w:rsid w:val="00274D7E"/>
    <w:rsid w:val="00275111"/>
    <w:rsid w:val="0027588E"/>
    <w:rsid w:val="002759E3"/>
    <w:rsid w:val="00275ADF"/>
    <w:rsid w:val="00275BFC"/>
    <w:rsid w:val="00277D52"/>
    <w:rsid w:val="00281365"/>
    <w:rsid w:val="002815F7"/>
    <w:rsid w:val="002834F2"/>
    <w:rsid w:val="00286BAB"/>
    <w:rsid w:val="002916E4"/>
    <w:rsid w:val="00291A7C"/>
    <w:rsid w:val="00291B1C"/>
    <w:rsid w:val="00291C70"/>
    <w:rsid w:val="00293ABF"/>
    <w:rsid w:val="002949B1"/>
    <w:rsid w:val="00295349"/>
    <w:rsid w:val="00295D0C"/>
    <w:rsid w:val="002974C3"/>
    <w:rsid w:val="002A053F"/>
    <w:rsid w:val="002A25CB"/>
    <w:rsid w:val="002A471B"/>
    <w:rsid w:val="002A547C"/>
    <w:rsid w:val="002A737E"/>
    <w:rsid w:val="002A75CD"/>
    <w:rsid w:val="002A77D3"/>
    <w:rsid w:val="002B1231"/>
    <w:rsid w:val="002B2853"/>
    <w:rsid w:val="002B59C0"/>
    <w:rsid w:val="002B6331"/>
    <w:rsid w:val="002B6E1E"/>
    <w:rsid w:val="002B738A"/>
    <w:rsid w:val="002B7BA1"/>
    <w:rsid w:val="002C143A"/>
    <w:rsid w:val="002C1ABF"/>
    <w:rsid w:val="002C33B7"/>
    <w:rsid w:val="002C409B"/>
    <w:rsid w:val="002C503C"/>
    <w:rsid w:val="002C5EAE"/>
    <w:rsid w:val="002C5F01"/>
    <w:rsid w:val="002C7C08"/>
    <w:rsid w:val="002D0714"/>
    <w:rsid w:val="002D0D7C"/>
    <w:rsid w:val="002D1425"/>
    <w:rsid w:val="002D142F"/>
    <w:rsid w:val="002D146E"/>
    <w:rsid w:val="002D1D60"/>
    <w:rsid w:val="002D21DB"/>
    <w:rsid w:val="002D2736"/>
    <w:rsid w:val="002D2763"/>
    <w:rsid w:val="002D5F13"/>
    <w:rsid w:val="002D653E"/>
    <w:rsid w:val="002D6A4F"/>
    <w:rsid w:val="002D7F42"/>
    <w:rsid w:val="002E204B"/>
    <w:rsid w:val="002E27C3"/>
    <w:rsid w:val="002E6AF3"/>
    <w:rsid w:val="002E7319"/>
    <w:rsid w:val="002F0C8D"/>
    <w:rsid w:val="002F1150"/>
    <w:rsid w:val="002F1901"/>
    <w:rsid w:val="002F190E"/>
    <w:rsid w:val="002F6147"/>
    <w:rsid w:val="002F66F0"/>
    <w:rsid w:val="002F6722"/>
    <w:rsid w:val="002F76DE"/>
    <w:rsid w:val="00300179"/>
    <w:rsid w:val="00300820"/>
    <w:rsid w:val="00300EC2"/>
    <w:rsid w:val="003022AB"/>
    <w:rsid w:val="00302CE9"/>
    <w:rsid w:val="00304637"/>
    <w:rsid w:val="00305E70"/>
    <w:rsid w:val="003065A8"/>
    <w:rsid w:val="00306C96"/>
    <w:rsid w:val="00307471"/>
    <w:rsid w:val="00312614"/>
    <w:rsid w:val="0031328B"/>
    <w:rsid w:val="0031452B"/>
    <w:rsid w:val="00314910"/>
    <w:rsid w:val="00316740"/>
    <w:rsid w:val="0031770C"/>
    <w:rsid w:val="00317951"/>
    <w:rsid w:val="0032148F"/>
    <w:rsid w:val="00321FFE"/>
    <w:rsid w:val="00324A4E"/>
    <w:rsid w:val="00325C01"/>
    <w:rsid w:val="00326D55"/>
    <w:rsid w:val="00330012"/>
    <w:rsid w:val="003300F6"/>
    <w:rsid w:val="003310DF"/>
    <w:rsid w:val="00332884"/>
    <w:rsid w:val="0033292F"/>
    <w:rsid w:val="003337F0"/>
    <w:rsid w:val="003342E7"/>
    <w:rsid w:val="00334F11"/>
    <w:rsid w:val="0033659D"/>
    <w:rsid w:val="00336A8B"/>
    <w:rsid w:val="00336AFD"/>
    <w:rsid w:val="00337115"/>
    <w:rsid w:val="003412E4"/>
    <w:rsid w:val="00341A4D"/>
    <w:rsid w:val="00341FA7"/>
    <w:rsid w:val="00343B9A"/>
    <w:rsid w:val="00344AEC"/>
    <w:rsid w:val="00345ABF"/>
    <w:rsid w:val="003471B8"/>
    <w:rsid w:val="00347AE6"/>
    <w:rsid w:val="0035096F"/>
    <w:rsid w:val="00350E5F"/>
    <w:rsid w:val="00351654"/>
    <w:rsid w:val="00351A23"/>
    <w:rsid w:val="0035269F"/>
    <w:rsid w:val="00352C62"/>
    <w:rsid w:val="00352FB7"/>
    <w:rsid w:val="003542C3"/>
    <w:rsid w:val="0035512E"/>
    <w:rsid w:val="0036034A"/>
    <w:rsid w:val="003615A6"/>
    <w:rsid w:val="00363A42"/>
    <w:rsid w:val="0036743B"/>
    <w:rsid w:val="00367852"/>
    <w:rsid w:val="00370B4E"/>
    <w:rsid w:val="00373B45"/>
    <w:rsid w:val="00376CF8"/>
    <w:rsid w:val="00380FDD"/>
    <w:rsid w:val="003817EF"/>
    <w:rsid w:val="003835F0"/>
    <w:rsid w:val="00383F05"/>
    <w:rsid w:val="0038424D"/>
    <w:rsid w:val="00384260"/>
    <w:rsid w:val="00384B67"/>
    <w:rsid w:val="003869B0"/>
    <w:rsid w:val="00387295"/>
    <w:rsid w:val="00390456"/>
    <w:rsid w:val="0039051D"/>
    <w:rsid w:val="00390794"/>
    <w:rsid w:val="003907C3"/>
    <w:rsid w:val="00391529"/>
    <w:rsid w:val="003929E2"/>
    <w:rsid w:val="00392A68"/>
    <w:rsid w:val="00392B58"/>
    <w:rsid w:val="00393A37"/>
    <w:rsid w:val="00394C5D"/>
    <w:rsid w:val="003A1F91"/>
    <w:rsid w:val="003A1FCF"/>
    <w:rsid w:val="003A32E6"/>
    <w:rsid w:val="003A3E8A"/>
    <w:rsid w:val="003A40CD"/>
    <w:rsid w:val="003A4BEF"/>
    <w:rsid w:val="003A54F8"/>
    <w:rsid w:val="003A6868"/>
    <w:rsid w:val="003A7AD7"/>
    <w:rsid w:val="003A7F23"/>
    <w:rsid w:val="003B1D8F"/>
    <w:rsid w:val="003B1FBC"/>
    <w:rsid w:val="003B222B"/>
    <w:rsid w:val="003B2293"/>
    <w:rsid w:val="003B4EA0"/>
    <w:rsid w:val="003B695C"/>
    <w:rsid w:val="003B727C"/>
    <w:rsid w:val="003B7CE7"/>
    <w:rsid w:val="003C237C"/>
    <w:rsid w:val="003C23D1"/>
    <w:rsid w:val="003C29E6"/>
    <w:rsid w:val="003C3394"/>
    <w:rsid w:val="003C4403"/>
    <w:rsid w:val="003C45B9"/>
    <w:rsid w:val="003C78DC"/>
    <w:rsid w:val="003D0F01"/>
    <w:rsid w:val="003D3652"/>
    <w:rsid w:val="003D39AB"/>
    <w:rsid w:val="003D39CB"/>
    <w:rsid w:val="003D3ADB"/>
    <w:rsid w:val="003D547A"/>
    <w:rsid w:val="003D5772"/>
    <w:rsid w:val="003D670B"/>
    <w:rsid w:val="003D6BFB"/>
    <w:rsid w:val="003D7316"/>
    <w:rsid w:val="003D7C2F"/>
    <w:rsid w:val="003E01FB"/>
    <w:rsid w:val="003E08C3"/>
    <w:rsid w:val="003E34BF"/>
    <w:rsid w:val="003E41D6"/>
    <w:rsid w:val="003E7E0C"/>
    <w:rsid w:val="003F1655"/>
    <w:rsid w:val="003F1EB3"/>
    <w:rsid w:val="003F21FD"/>
    <w:rsid w:val="003F2735"/>
    <w:rsid w:val="003F7637"/>
    <w:rsid w:val="00400969"/>
    <w:rsid w:val="00400AA8"/>
    <w:rsid w:val="00401018"/>
    <w:rsid w:val="00401A80"/>
    <w:rsid w:val="00402208"/>
    <w:rsid w:val="00405E65"/>
    <w:rsid w:val="00406AF5"/>
    <w:rsid w:val="004073FB"/>
    <w:rsid w:val="004107BF"/>
    <w:rsid w:val="00410F6F"/>
    <w:rsid w:val="00411139"/>
    <w:rsid w:val="00412056"/>
    <w:rsid w:val="00413C21"/>
    <w:rsid w:val="00414052"/>
    <w:rsid w:val="00415D9A"/>
    <w:rsid w:val="00415E41"/>
    <w:rsid w:val="004171B8"/>
    <w:rsid w:val="00417D53"/>
    <w:rsid w:val="0042030E"/>
    <w:rsid w:val="00420C61"/>
    <w:rsid w:val="004214E5"/>
    <w:rsid w:val="00424013"/>
    <w:rsid w:val="004244FA"/>
    <w:rsid w:val="00424E62"/>
    <w:rsid w:val="00425CBE"/>
    <w:rsid w:val="004267A4"/>
    <w:rsid w:val="004276E0"/>
    <w:rsid w:val="004303C9"/>
    <w:rsid w:val="00431464"/>
    <w:rsid w:val="004335C5"/>
    <w:rsid w:val="0043386A"/>
    <w:rsid w:val="00433C95"/>
    <w:rsid w:val="00433E8D"/>
    <w:rsid w:val="0043568B"/>
    <w:rsid w:val="004407CF"/>
    <w:rsid w:val="00440930"/>
    <w:rsid w:val="00440C33"/>
    <w:rsid w:val="00441877"/>
    <w:rsid w:val="004418DB"/>
    <w:rsid w:val="00441B0A"/>
    <w:rsid w:val="004420D4"/>
    <w:rsid w:val="00443897"/>
    <w:rsid w:val="00443BD3"/>
    <w:rsid w:val="00445007"/>
    <w:rsid w:val="00446246"/>
    <w:rsid w:val="004476C3"/>
    <w:rsid w:val="00447CCD"/>
    <w:rsid w:val="00451509"/>
    <w:rsid w:val="0045176C"/>
    <w:rsid w:val="00451D3E"/>
    <w:rsid w:val="00452E48"/>
    <w:rsid w:val="00454750"/>
    <w:rsid w:val="00454CAF"/>
    <w:rsid w:val="004568B1"/>
    <w:rsid w:val="00457719"/>
    <w:rsid w:val="0046042B"/>
    <w:rsid w:val="004626B5"/>
    <w:rsid w:val="004646AA"/>
    <w:rsid w:val="00465A8B"/>
    <w:rsid w:val="00465E7E"/>
    <w:rsid w:val="004727AE"/>
    <w:rsid w:val="00473305"/>
    <w:rsid w:val="00474DD5"/>
    <w:rsid w:val="00475084"/>
    <w:rsid w:val="00475A86"/>
    <w:rsid w:val="00481EEC"/>
    <w:rsid w:val="004828CB"/>
    <w:rsid w:val="00483451"/>
    <w:rsid w:val="004872B4"/>
    <w:rsid w:val="004911CC"/>
    <w:rsid w:val="00491B0B"/>
    <w:rsid w:val="00492304"/>
    <w:rsid w:val="00494D12"/>
    <w:rsid w:val="00495CE0"/>
    <w:rsid w:val="00496933"/>
    <w:rsid w:val="0049720E"/>
    <w:rsid w:val="0049733A"/>
    <w:rsid w:val="004A0367"/>
    <w:rsid w:val="004A03AA"/>
    <w:rsid w:val="004A0498"/>
    <w:rsid w:val="004A0A86"/>
    <w:rsid w:val="004A1DE6"/>
    <w:rsid w:val="004A2A69"/>
    <w:rsid w:val="004A2FA6"/>
    <w:rsid w:val="004A5BDA"/>
    <w:rsid w:val="004A6D18"/>
    <w:rsid w:val="004A7ADB"/>
    <w:rsid w:val="004B19F9"/>
    <w:rsid w:val="004B1A06"/>
    <w:rsid w:val="004B1B30"/>
    <w:rsid w:val="004B1DB4"/>
    <w:rsid w:val="004B31DA"/>
    <w:rsid w:val="004B33D2"/>
    <w:rsid w:val="004B35E7"/>
    <w:rsid w:val="004B3B07"/>
    <w:rsid w:val="004B4445"/>
    <w:rsid w:val="004B63B0"/>
    <w:rsid w:val="004B7190"/>
    <w:rsid w:val="004C3051"/>
    <w:rsid w:val="004C33FB"/>
    <w:rsid w:val="004C37E4"/>
    <w:rsid w:val="004C5FFB"/>
    <w:rsid w:val="004C734E"/>
    <w:rsid w:val="004D0A83"/>
    <w:rsid w:val="004D175F"/>
    <w:rsid w:val="004D1C67"/>
    <w:rsid w:val="004D346B"/>
    <w:rsid w:val="004D52AE"/>
    <w:rsid w:val="004D6E76"/>
    <w:rsid w:val="004D7E7A"/>
    <w:rsid w:val="004E15DE"/>
    <w:rsid w:val="004E1AC8"/>
    <w:rsid w:val="004E1BF8"/>
    <w:rsid w:val="004E42A7"/>
    <w:rsid w:val="004E50AF"/>
    <w:rsid w:val="004E5A4E"/>
    <w:rsid w:val="004E631A"/>
    <w:rsid w:val="004E72E0"/>
    <w:rsid w:val="004E7856"/>
    <w:rsid w:val="004E7D27"/>
    <w:rsid w:val="004F099C"/>
    <w:rsid w:val="004F18C1"/>
    <w:rsid w:val="004F1CCF"/>
    <w:rsid w:val="004F2959"/>
    <w:rsid w:val="004F2B87"/>
    <w:rsid w:val="004F6A33"/>
    <w:rsid w:val="004F7B47"/>
    <w:rsid w:val="0050286F"/>
    <w:rsid w:val="00502A53"/>
    <w:rsid w:val="005041F2"/>
    <w:rsid w:val="00505656"/>
    <w:rsid w:val="0050740A"/>
    <w:rsid w:val="00507844"/>
    <w:rsid w:val="00507A41"/>
    <w:rsid w:val="00510114"/>
    <w:rsid w:val="00510525"/>
    <w:rsid w:val="00514997"/>
    <w:rsid w:val="00514C85"/>
    <w:rsid w:val="00516ED9"/>
    <w:rsid w:val="0052004B"/>
    <w:rsid w:val="00521803"/>
    <w:rsid w:val="00522DFE"/>
    <w:rsid w:val="00523430"/>
    <w:rsid w:val="00523B23"/>
    <w:rsid w:val="005255DF"/>
    <w:rsid w:val="00526203"/>
    <w:rsid w:val="00526A1B"/>
    <w:rsid w:val="0052746A"/>
    <w:rsid w:val="00530360"/>
    <w:rsid w:val="00531D35"/>
    <w:rsid w:val="00532353"/>
    <w:rsid w:val="0053319A"/>
    <w:rsid w:val="00533635"/>
    <w:rsid w:val="00534517"/>
    <w:rsid w:val="00534B1D"/>
    <w:rsid w:val="00534C6A"/>
    <w:rsid w:val="0053558D"/>
    <w:rsid w:val="0053586B"/>
    <w:rsid w:val="00535D5B"/>
    <w:rsid w:val="00540588"/>
    <w:rsid w:val="00540589"/>
    <w:rsid w:val="00540A7A"/>
    <w:rsid w:val="005415CE"/>
    <w:rsid w:val="0054178E"/>
    <w:rsid w:val="005419BC"/>
    <w:rsid w:val="00541FEB"/>
    <w:rsid w:val="005447EA"/>
    <w:rsid w:val="0055047D"/>
    <w:rsid w:val="0055105D"/>
    <w:rsid w:val="0055131C"/>
    <w:rsid w:val="005516E6"/>
    <w:rsid w:val="00555266"/>
    <w:rsid w:val="00555A64"/>
    <w:rsid w:val="005565DC"/>
    <w:rsid w:val="0055660C"/>
    <w:rsid w:val="00557433"/>
    <w:rsid w:val="00560E0E"/>
    <w:rsid w:val="00561BDE"/>
    <w:rsid w:val="00562785"/>
    <w:rsid w:val="00566D33"/>
    <w:rsid w:val="00570CD8"/>
    <w:rsid w:val="00574037"/>
    <w:rsid w:val="005746FB"/>
    <w:rsid w:val="00575486"/>
    <w:rsid w:val="00575AAF"/>
    <w:rsid w:val="00577A83"/>
    <w:rsid w:val="005802BB"/>
    <w:rsid w:val="00581AB2"/>
    <w:rsid w:val="005870CB"/>
    <w:rsid w:val="005900C6"/>
    <w:rsid w:val="00594D9B"/>
    <w:rsid w:val="00595700"/>
    <w:rsid w:val="00595DD2"/>
    <w:rsid w:val="00596AB3"/>
    <w:rsid w:val="00597796"/>
    <w:rsid w:val="005A2654"/>
    <w:rsid w:val="005A2684"/>
    <w:rsid w:val="005A27B7"/>
    <w:rsid w:val="005A5421"/>
    <w:rsid w:val="005A5ACD"/>
    <w:rsid w:val="005A5CE1"/>
    <w:rsid w:val="005A6981"/>
    <w:rsid w:val="005B2AD7"/>
    <w:rsid w:val="005B3649"/>
    <w:rsid w:val="005B3BF2"/>
    <w:rsid w:val="005B54E9"/>
    <w:rsid w:val="005B5C3F"/>
    <w:rsid w:val="005B60C6"/>
    <w:rsid w:val="005B6309"/>
    <w:rsid w:val="005B75AA"/>
    <w:rsid w:val="005B7C77"/>
    <w:rsid w:val="005C052C"/>
    <w:rsid w:val="005C07EF"/>
    <w:rsid w:val="005C112A"/>
    <w:rsid w:val="005C13BE"/>
    <w:rsid w:val="005C16ED"/>
    <w:rsid w:val="005C1AF9"/>
    <w:rsid w:val="005C22D1"/>
    <w:rsid w:val="005C24AD"/>
    <w:rsid w:val="005C268F"/>
    <w:rsid w:val="005C38D5"/>
    <w:rsid w:val="005C6FA5"/>
    <w:rsid w:val="005D25E2"/>
    <w:rsid w:val="005D275C"/>
    <w:rsid w:val="005D3A1C"/>
    <w:rsid w:val="005D47E9"/>
    <w:rsid w:val="005D49C4"/>
    <w:rsid w:val="005D5447"/>
    <w:rsid w:val="005E0F26"/>
    <w:rsid w:val="005E2CF7"/>
    <w:rsid w:val="005E7957"/>
    <w:rsid w:val="005F11A6"/>
    <w:rsid w:val="005F128D"/>
    <w:rsid w:val="005F269D"/>
    <w:rsid w:val="005F33E6"/>
    <w:rsid w:val="005F371A"/>
    <w:rsid w:val="005F430B"/>
    <w:rsid w:val="005F56C6"/>
    <w:rsid w:val="005F6239"/>
    <w:rsid w:val="005F6406"/>
    <w:rsid w:val="005F68B9"/>
    <w:rsid w:val="005F7E68"/>
    <w:rsid w:val="006037D7"/>
    <w:rsid w:val="00603C71"/>
    <w:rsid w:val="00605024"/>
    <w:rsid w:val="00605458"/>
    <w:rsid w:val="00605987"/>
    <w:rsid w:val="00606DCB"/>
    <w:rsid w:val="006072DA"/>
    <w:rsid w:val="006075F7"/>
    <w:rsid w:val="006107DB"/>
    <w:rsid w:val="006113D6"/>
    <w:rsid w:val="00611690"/>
    <w:rsid w:val="00612259"/>
    <w:rsid w:val="006123AC"/>
    <w:rsid w:val="00612961"/>
    <w:rsid w:val="00616ED8"/>
    <w:rsid w:val="00616FF6"/>
    <w:rsid w:val="00617516"/>
    <w:rsid w:val="00617A6D"/>
    <w:rsid w:val="00620B48"/>
    <w:rsid w:val="00620F19"/>
    <w:rsid w:val="006222DC"/>
    <w:rsid w:val="006245F9"/>
    <w:rsid w:val="006248A1"/>
    <w:rsid w:val="00624939"/>
    <w:rsid w:val="00624FEA"/>
    <w:rsid w:val="00627202"/>
    <w:rsid w:val="00627E1C"/>
    <w:rsid w:val="006326A3"/>
    <w:rsid w:val="006326E7"/>
    <w:rsid w:val="00632C00"/>
    <w:rsid w:val="00633801"/>
    <w:rsid w:val="00635481"/>
    <w:rsid w:val="00636107"/>
    <w:rsid w:val="00637D56"/>
    <w:rsid w:val="0064005C"/>
    <w:rsid w:val="0064567A"/>
    <w:rsid w:val="00646A9C"/>
    <w:rsid w:val="006473C1"/>
    <w:rsid w:val="00650F1D"/>
    <w:rsid w:val="0065175A"/>
    <w:rsid w:val="006540CA"/>
    <w:rsid w:val="006543C3"/>
    <w:rsid w:val="00655892"/>
    <w:rsid w:val="00656366"/>
    <w:rsid w:val="00656C76"/>
    <w:rsid w:val="006576C7"/>
    <w:rsid w:val="0065781D"/>
    <w:rsid w:val="00657C73"/>
    <w:rsid w:val="00663DB5"/>
    <w:rsid w:val="00665CBC"/>
    <w:rsid w:val="00666DB2"/>
    <w:rsid w:val="00667816"/>
    <w:rsid w:val="00672CD1"/>
    <w:rsid w:val="00673B92"/>
    <w:rsid w:val="00674509"/>
    <w:rsid w:val="00674D18"/>
    <w:rsid w:val="0067523C"/>
    <w:rsid w:val="006759EB"/>
    <w:rsid w:val="00675AE8"/>
    <w:rsid w:val="0067753A"/>
    <w:rsid w:val="0067774E"/>
    <w:rsid w:val="00677E59"/>
    <w:rsid w:val="006808E7"/>
    <w:rsid w:val="00680FED"/>
    <w:rsid w:val="0068423E"/>
    <w:rsid w:val="00685DE5"/>
    <w:rsid w:val="006864F7"/>
    <w:rsid w:val="00692DF7"/>
    <w:rsid w:val="00693264"/>
    <w:rsid w:val="00693AC4"/>
    <w:rsid w:val="00694439"/>
    <w:rsid w:val="0069517B"/>
    <w:rsid w:val="00696967"/>
    <w:rsid w:val="00696FD9"/>
    <w:rsid w:val="0069742B"/>
    <w:rsid w:val="006A09F5"/>
    <w:rsid w:val="006A0C30"/>
    <w:rsid w:val="006A13C0"/>
    <w:rsid w:val="006A1BF1"/>
    <w:rsid w:val="006A2161"/>
    <w:rsid w:val="006A34E3"/>
    <w:rsid w:val="006A47E6"/>
    <w:rsid w:val="006A4D42"/>
    <w:rsid w:val="006A4D9C"/>
    <w:rsid w:val="006B02FC"/>
    <w:rsid w:val="006B1029"/>
    <w:rsid w:val="006B112D"/>
    <w:rsid w:val="006B4229"/>
    <w:rsid w:val="006B50FE"/>
    <w:rsid w:val="006B5C00"/>
    <w:rsid w:val="006B71B4"/>
    <w:rsid w:val="006B722A"/>
    <w:rsid w:val="006C0389"/>
    <w:rsid w:val="006C0535"/>
    <w:rsid w:val="006C240A"/>
    <w:rsid w:val="006C25D0"/>
    <w:rsid w:val="006C4BAA"/>
    <w:rsid w:val="006C4BE3"/>
    <w:rsid w:val="006C56EB"/>
    <w:rsid w:val="006C6351"/>
    <w:rsid w:val="006C6DD9"/>
    <w:rsid w:val="006C7066"/>
    <w:rsid w:val="006C799E"/>
    <w:rsid w:val="006D346C"/>
    <w:rsid w:val="006D3562"/>
    <w:rsid w:val="006D60C3"/>
    <w:rsid w:val="006E0177"/>
    <w:rsid w:val="006E145C"/>
    <w:rsid w:val="006E1A3A"/>
    <w:rsid w:val="006E2A68"/>
    <w:rsid w:val="006E2B7B"/>
    <w:rsid w:val="006E2EC8"/>
    <w:rsid w:val="006E41F0"/>
    <w:rsid w:val="006E491B"/>
    <w:rsid w:val="006E4F30"/>
    <w:rsid w:val="006E6C56"/>
    <w:rsid w:val="006F0678"/>
    <w:rsid w:val="006F09F8"/>
    <w:rsid w:val="006F1A6D"/>
    <w:rsid w:val="006F2404"/>
    <w:rsid w:val="006F34FE"/>
    <w:rsid w:val="006F463A"/>
    <w:rsid w:val="006F47D6"/>
    <w:rsid w:val="006F4B1A"/>
    <w:rsid w:val="006F4CB4"/>
    <w:rsid w:val="006F5FBF"/>
    <w:rsid w:val="006F63F3"/>
    <w:rsid w:val="006F7C3B"/>
    <w:rsid w:val="007000D1"/>
    <w:rsid w:val="007000D7"/>
    <w:rsid w:val="0070040C"/>
    <w:rsid w:val="00700A33"/>
    <w:rsid w:val="00700F60"/>
    <w:rsid w:val="00703AA5"/>
    <w:rsid w:val="0071137D"/>
    <w:rsid w:val="007120BE"/>
    <w:rsid w:val="007123E3"/>
    <w:rsid w:val="007133DB"/>
    <w:rsid w:val="007155BD"/>
    <w:rsid w:val="007156BA"/>
    <w:rsid w:val="0071633A"/>
    <w:rsid w:val="00716418"/>
    <w:rsid w:val="0071673E"/>
    <w:rsid w:val="00717DB2"/>
    <w:rsid w:val="00722B4E"/>
    <w:rsid w:val="00722D4B"/>
    <w:rsid w:val="007242E1"/>
    <w:rsid w:val="007252E7"/>
    <w:rsid w:val="00725F4D"/>
    <w:rsid w:val="0073149C"/>
    <w:rsid w:val="00732302"/>
    <w:rsid w:val="00732A3F"/>
    <w:rsid w:val="0073510F"/>
    <w:rsid w:val="00735D55"/>
    <w:rsid w:val="00735D81"/>
    <w:rsid w:val="00735FB3"/>
    <w:rsid w:val="00736983"/>
    <w:rsid w:val="00736FD4"/>
    <w:rsid w:val="007370BC"/>
    <w:rsid w:val="00744A0A"/>
    <w:rsid w:val="00746B71"/>
    <w:rsid w:val="00751011"/>
    <w:rsid w:val="007513F7"/>
    <w:rsid w:val="007518AC"/>
    <w:rsid w:val="00751EFF"/>
    <w:rsid w:val="00751F84"/>
    <w:rsid w:val="00755528"/>
    <w:rsid w:val="00760EE9"/>
    <w:rsid w:val="00760F81"/>
    <w:rsid w:val="007619F3"/>
    <w:rsid w:val="00762638"/>
    <w:rsid w:val="00762B38"/>
    <w:rsid w:val="007640CC"/>
    <w:rsid w:val="00764D28"/>
    <w:rsid w:val="00765034"/>
    <w:rsid w:val="00765DB5"/>
    <w:rsid w:val="007676CE"/>
    <w:rsid w:val="007702D1"/>
    <w:rsid w:val="0077359F"/>
    <w:rsid w:val="00774D2A"/>
    <w:rsid w:val="00776ED8"/>
    <w:rsid w:val="0077754D"/>
    <w:rsid w:val="00777D3F"/>
    <w:rsid w:val="00780943"/>
    <w:rsid w:val="00780C54"/>
    <w:rsid w:val="00781167"/>
    <w:rsid w:val="007816F5"/>
    <w:rsid w:val="007817CE"/>
    <w:rsid w:val="00781CD2"/>
    <w:rsid w:val="00781F6A"/>
    <w:rsid w:val="007834F1"/>
    <w:rsid w:val="00787824"/>
    <w:rsid w:val="007901D6"/>
    <w:rsid w:val="00794574"/>
    <w:rsid w:val="00795F0F"/>
    <w:rsid w:val="00796505"/>
    <w:rsid w:val="007977D7"/>
    <w:rsid w:val="00797E7A"/>
    <w:rsid w:val="007A03E3"/>
    <w:rsid w:val="007A0589"/>
    <w:rsid w:val="007A1627"/>
    <w:rsid w:val="007A1666"/>
    <w:rsid w:val="007A1947"/>
    <w:rsid w:val="007A2FE9"/>
    <w:rsid w:val="007A4436"/>
    <w:rsid w:val="007A44C7"/>
    <w:rsid w:val="007A698D"/>
    <w:rsid w:val="007A6AFE"/>
    <w:rsid w:val="007A6C79"/>
    <w:rsid w:val="007A7F82"/>
    <w:rsid w:val="007B05DE"/>
    <w:rsid w:val="007B0BD0"/>
    <w:rsid w:val="007B16B6"/>
    <w:rsid w:val="007B1E14"/>
    <w:rsid w:val="007B261E"/>
    <w:rsid w:val="007B5965"/>
    <w:rsid w:val="007C21AF"/>
    <w:rsid w:val="007C24D2"/>
    <w:rsid w:val="007C2568"/>
    <w:rsid w:val="007C27F8"/>
    <w:rsid w:val="007C2B8C"/>
    <w:rsid w:val="007C327D"/>
    <w:rsid w:val="007C49A8"/>
    <w:rsid w:val="007C4A16"/>
    <w:rsid w:val="007C50F4"/>
    <w:rsid w:val="007C5968"/>
    <w:rsid w:val="007C6271"/>
    <w:rsid w:val="007C6476"/>
    <w:rsid w:val="007C79F8"/>
    <w:rsid w:val="007D07FB"/>
    <w:rsid w:val="007D238D"/>
    <w:rsid w:val="007D37DD"/>
    <w:rsid w:val="007D3869"/>
    <w:rsid w:val="007D5478"/>
    <w:rsid w:val="007E15A1"/>
    <w:rsid w:val="007E276B"/>
    <w:rsid w:val="007E3483"/>
    <w:rsid w:val="007E400A"/>
    <w:rsid w:val="007E5222"/>
    <w:rsid w:val="007E5B7D"/>
    <w:rsid w:val="007E63FB"/>
    <w:rsid w:val="007E6602"/>
    <w:rsid w:val="007E720B"/>
    <w:rsid w:val="007F031E"/>
    <w:rsid w:val="007F126D"/>
    <w:rsid w:val="007F27AC"/>
    <w:rsid w:val="007F3311"/>
    <w:rsid w:val="007F3B9A"/>
    <w:rsid w:val="007F50DF"/>
    <w:rsid w:val="007F616F"/>
    <w:rsid w:val="008015B2"/>
    <w:rsid w:val="00801B3E"/>
    <w:rsid w:val="008020E1"/>
    <w:rsid w:val="0080545B"/>
    <w:rsid w:val="00806643"/>
    <w:rsid w:val="00807549"/>
    <w:rsid w:val="008104E1"/>
    <w:rsid w:val="008112F5"/>
    <w:rsid w:val="0081190E"/>
    <w:rsid w:val="00812B7A"/>
    <w:rsid w:val="008137FE"/>
    <w:rsid w:val="00816689"/>
    <w:rsid w:val="00816DAD"/>
    <w:rsid w:val="00817386"/>
    <w:rsid w:val="008176AA"/>
    <w:rsid w:val="00817ECA"/>
    <w:rsid w:val="008211A8"/>
    <w:rsid w:val="00821304"/>
    <w:rsid w:val="00822901"/>
    <w:rsid w:val="0082321F"/>
    <w:rsid w:val="00824CEE"/>
    <w:rsid w:val="008257AE"/>
    <w:rsid w:val="008277D8"/>
    <w:rsid w:val="008277FE"/>
    <w:rsid w:val="00830FFE"/>
    <w:rsid w:val="00831023"/>
    <w:rsid w:val="008311B2"/>
    <w:rsid w:val="00831B80"/>
    <w:rsid w:val="00831BE3"/>
    <w:rsid w:val="00834A05"/>
    <w:rsid w:val="00834B4F"/>
    <w:rsid w:val="00837D69"/>
    <w:rsid w:val="00837F96"/>
    <w:rsid w:val="008412DE"/>
    <w:rsid w:val="00841BA0"/>
    <w:rsid w:val="00843E02"/>
    <w:rsid w:val="00844EFE"/>
    <w:rsid w:val="0084554C"/>
    <w:rsid w:val="008501DA"/>
    <w:rsid w:val="00852453"/>
    <w:rsid w:val="00852E5C"/>
    <w:rsid w:val="00853E0A"/>
    <w:rsid w:val="008559E6"/>
    <w:rsid w:val="0085649E"/>
    <w:rsid w:val="00856D87"/>
    <w:rsid w:val="00857293"/>
    <w:rsid w:val="0085797E"/>
    <w:rsid w:val="008622BC"/>
    <w:rsid w:val="008630F4"/>
    <w:rsid w:val="00864899"/>
    <w:rsid w:val="00864D5D"/>
    <w:rsid w:val="00865ADB"/>
    <w:rsid w:val="00865FE3"/>
    <w:rsid w:val="00866B26"/>
    <w:rsid w:val="00870634"/>
    <w:rsid w:val="0087163F"/>
    <w:rsid w:val="008750CA"/>
    <w:rsid w:val="00876154"/>
    <w:rsid w:val="00876B7A"/>
    <w:rsid w:val="00880096"/>
    <w:rsid w:val="00880277"/>
    <w:rsid w:val="0088140F"/>
    <w:rsid w:val="00881EAF"/>
    <w:rsid w:val="0088502E"/>
    <w:rsid w:val="00885706"/>
    <w:rsid w:val="008868D8"/>
    <w:rsid w:val="008907E5"/>
    <w:rsid w:val="00891BD3"/>
    <w:rsid w:val="008923AC"/>
    <w:rsid w:val="00892A53"/>
    <w:rsid w:val="00893591"/>
    <w:rsid w:val="008966D8"/>
    <w:rsid w:val="00897085"/>
    <w:rsid w:val="0089787E"/>
    <w:rsid w:val="008A299C"/>
    <w:rsid w:val="008A2BC1"/>
    <w:rsid w:val="008A385B"/>
    <w:rsid w:val="008A415A"/>
    <w:rsid w:val="008A47DA"/>
    <w:rsid w:val="008A573B"/>
    <w:rsid w:val="008A69CE"/>
    <w:rsid w:val="008B0384"/>
    <w:rsid w:val="008B1DD1"/>
    <w:rsid w:val="008B1F90"/>
    <w:rsid w:val="008B3566"/>
    <w:rsid w:val="008B37D3"/>
    <w:rsid w:val="008B3FE6"/>
    <w:rsid w:val="008B4306"/>
    <w:rsid w:val="008B43B8"/>
    <w:rsid w:val="008B5F3B"/>
    <w:rsid w:val="008B64C4"/>
    <w:rsid w:val="008B6A1A"/>
    <w:rsid w:val="008B7D7E"/>
    <w:rsid w:val="008C0382"/>
    <w:rsid w:val="008C4F57"/>
    <w:rsid w:val="008C51D9"/>
    <w:rsid w:val="008C5601"/>
    <w:rsid w:val="008C65BE"/>
    <w:rsid w:val="008C7B86"/>
    <w:rsid w:val="008C7CCF"/>
    <w:rsid w:val="008C7E4F"/>
    <w:rsid w:val="008D0269"/>
    <w:rsid w:val="008D09B7"/>
    <w:rsid w:val="008D4863"/>
    <w:rsid w:val="008D6534"/>
    <w:rsid w:val="008D7AEC"/>
    <w:rsid w:val="008E065D"/>
    <w:rsid w:val="008E0D6B"/>
    <w:rsid w:val="008E1856"/>
    <w:rsid w:val="008E2CCC"/>
    <w:rsid w:val="008E2F0F"/>
    <w:rsid w:val="008E357D"/>
    <w:rsid w:val="008E50C2"/>
    <w:rsid w:val="008E5DE4"/>
    <w:rsid w:val="008E5F0E"/>
    <w:rsid w:val="008E6B98"/>
    <w:rsid w:val="008F37AF"/>
    <w:rsid w:val="008F3B9C"/>
    <w:rsid w:val="008F49E6"/>
    <w:rsid w:val="008F507A"/>
    <w:rsid w:val="008F78F8"/>
    <w:rsid w:val="00900387"/>
    <w:rsid w:val="00900CE9"/>
    <w:rsid w:val="0090103F"/>
    <w:rsid w:val="00902623"/>
    <w:rsid w:val="009047CE"/>
    <w:rsid w:val="0091193D"/>
    <w:rsid w:val="009137EE"/>
    <w:rsid w:val="00914922"/>
    <w:rsid w:val="0091530C"/>
    <w:rsid w:val="00915507"/>
    <w:rsid w:val="00915C7F"/>
    <w:rsid w:val="0091623E"/>
    <w:rsid w:val="009163F0"/>
    <w:rsid w:val="009171B4"/>
    <w:rsid w:val="0092006D"/>
    <w:rsid w:val="0092041C"/>
    <w:rsid w:val="00920CAB"/>
    <w:rsid w:val="00920D51"/>
    <w:rsid w:val="009218E1"/>
    <w:rsid w:val="00923796"/>
    <w:rsid w:val="0092382D"/>
    <w:rsid w:val="00923CEE"/>
    <w:rsid w:val="00923F36"/>
    <w:rsid w:val="009240F8"/>
    <w:rsid w:val="00925A7B"/>
    <w:rsid w:val="00927F35"/>
    <w:rsid w:val="009304BB"/>
    <w:rsid w:val="00931B05"/>
    <w:rsid w:val="00932FF8"/>
    <w:rsid w:val="009357CC"/>
    <w:rsid w:val="00935DDA"/>
    <w:rsid w:val="009361B0"/>
    <w:rsid w:val="009363AC"/>
    <w:rsid w:val="00936B66"/>
    <w:rsid w:val="00936DDF"/>
    <w:rsid w:val="00936E8B"/>
    <w:rsid w:val="009374AF"/>
    <w:rsid w:val="00937755"/>
    <w:rsid w:val="009400D4"/>
    <w:rsid w:val="009401E5"/>
    <w:rsid w:val="00943532"/>
    <w:rsid w:val="00943ED5"/>
    <w:rsid w:val="0094427E"/>
    <w:rsid w:val="00945C30"/>
    <w:rsid w:val="0094698A"/>
    <w:rsid w:val="00950432"/>
    <w:rsid w:val="00950828"/>
    <w:rsid w:val="00952C7F"/>
    <w:rsid w:val="00954550"/>
    <w:rsid w:val="00954AF9"/>
    <w:rsid w:val="00954F8F"/>
    <w:rsid w:val="0095660A"/>
    <w:rsid w:val="00956A2B"/>
    <w:rsid w:val="00957CE4"/>
    <w:rsid w:val="00960EDA"/>
    <w:rsid w:val="0096170E"/>
    <w:rsid w:val="00961A12"/>
    <w:rsid w:val="009630CD"/>
    <w:rsid w:val="0096369E"/>
    <w:rsid w:val="00964E48"/>
    <w:rsid w:val="0096688E"/>
    <w:rsid w:val="00967A23"/>
    <w:rsid w:val="00967B2E"/>
    <w:rsid w:val="00970CC0"/>
    <w:rsid w:val="00971ACC"/>
    <w:rsid w:val="009721B7"/>
    <w:rsid w:val="00975234"/>
    <w:rsid w:val="009753E2"/>
    <w:rsid w:val="00976439"/>
    <w:rsid w:val="00977E5E"/>
    <w:rsid w:val="009800FD"/>
    <w:rsid w:val="0098318E"/>
    <w:rsid w:val="00983E89"/>
    <w:rsid w:val="00984207"/>
    <w:rsid w:val="00985035"/>
    <w:rsid w:val="0098599F"/>
    <w:rsid w:val="0099168A"/>
    <w:rsid w:val="00993044"/>
    <w:rsid w:val="009939D9"/>
    <w:rsid w:val="0099411B"/>
    <w:rsid w:val="00994F60"/>
    <w:rsid w:val="00996807"/>
    <w:rsid w:val="00996D95"/>
    <w:rsid w:val="009A0A3D"/>
    <w:rsid w:val="009A1228"/>
    <w:rsid w:val="009A27C2"/>
    <w:rsid w:val="009A54F1"/>
    <w:rsid w:val="009A5DC2"/>
    <w:rsid w:val="009A7980"/>
    <w:rsid w:val="009A7BA1"/>
    <w:rsid w:val="009B1409"/>
    <w:rsid w:val="009B3125"/>
    <w:rsid w:val="009B5C06"/>
    <w:rsid w:val="009B6B09"/>
    <w:rsid w:val="009B6B0E"/>
    <w:rsid w:val="009B74CD"/>
    <w:rsid w:val="009C0036"/>
    <w:rsid w:val="009C26A1"/>
    <w:rsid w:val="009C29A4"/>
    <w:rsid w:val="009C5AA0"/>
    <w:rsid w:val="009C6BED"/>
    <w:rsid w:val="009C7BC3"/>
    <w:rsid w:val="009D248B"/>
    <w:rsid w:val="009D312C"/>
    <w:rsid w:val="009D3207"/>
    <w:rsid w:val="009D6FD3"/>
    <w:rsid w:val="009D7C43"/>
    <w:rsid w:val="009D7CB5"/>
    <w:rsid w:val="009E11E0"/>
    <w:rsid w:val="009E25CD"/>
    <w:rsid w:val="009E28D0"/>
    <w:rsid w:val="009E2B26"/>
    <w:rsid w:val="009E413A"/>
    <w:rsid w:val="009E4672"/>
    <w:rsid w:val="009E5FF1"/>
    <w:rsid w:val="009E6D1D"/>
    <w:rsid w:val="009F0351"/>
    <w:rsid w:val="009F03D8"/>
    <w:rsid w:val="009F06DD"/>
    <w:rsid w:val="009F1582"/>
    <w:rsid w:val="009F23ED"/>
    <w:rsid w:val="009F24BE"/>
    <w:rsid w:val="009F26E6"/>
    <w:rsid w:val="009F27F1"/>
    <w:rsid w:val="009F36D4"/>
    <w:rsid w:val="009F3BFC"/>
    <w:rsid w:val="009F4233"/>
    <w:rsid w:val="009F46EB"/>
    <w:rsid w:val="009F67D5"/>
    <w:rsid w:val="009F6C90"/>
    <w:rsid w:val="009F7B9E"/>
    <w:rsid w:val="00A00470"/>
    <w:rsid w:val="00A00B79"/>
    <w:rsid w:val="00A00F8F"/>
    <w:rsid w:val="00A01299"/>
    <w:rsid w:val="00A01EFB"/>
    <w:rsid w:val="00A04DAB"/>
    <w:rsid w:val="00A056B9"/>
    <w:rsid w:val="00A06D08"/>
    <w:rsid w:val="00A13559"/>
    <w:rsid w:val="00A14846"/>
    <w:rsid w:val="00A14FCE"/>
    <w:rsid w:val="00A15D0C"/>
    <w:rsid w:val="00A202F3"/>
    <w:rsid w:val="00A21A37"/>
    <w:rsid w:val="00A21CEA"/>
    <w:rsid w:val="00A23C20"/>
    <w:rsid w:val="00A26A74"/>
    <w:rsid w:val="00A30522"/>
    <w:rsid w:val="00A31118"/>
    <w:rsid w:val="00A32BE5"/>
    <w:rsid w:val="00A33F54"/>
    <w:rsid w:val="00A34FB1"/>
    <w:rsid w:val="00A35469"/>
    <w:rsid w:val="00A359ED"/>
    <w:rsid w:val="00A37753"/>
    <w:rsid w:val="00A37D0A"/>
    <w:rsid w:val="00A4153D"/>
    <w:rsid w:val="00A441D8"/>
    <w:rsid w:val="00A454EB"/>
    <w:rsid w:val="00A45AD4"/>
    <w:rsid w:val="00A5034B"/>
    <w:rsid w:val="00A512CE"/>
    <w:rsid w:val="00A519EF"/>
    <w:rsid w:val="00A51DE5"/>
    <w:rsid w:val="00A524FC"/>
    <w:rsid w:val="00A52981"/>
    <w:rsid w:val="00A53722"/>
    <w:rsid w:val="00A553A5"/>
    <w:rsid w:val="00A576B8"/>
    <w:rsid w:val="00A57C82"/>
    <w:rsid w:val="00A57F73"/>
    <w:rsid w:val="00A61C10"/>
    <w:rsid w:val="00A630CF"/>
    <w:rsid w:val="00A63802"/>
    <w:rsid w:val="00A64ABF"/>
    <w:rsid w:val="00A65459"/>
    <w:rsid w:val="00A678A2"/>
    <w:rsid w:val="00A67978"/>
    <w:rsid w:val="00A728A5"/>
    <w:rsid w:val="00A73420"/>
    <w:rsid w:val="00A740BD"/>
    <w:rsid w:val="00A7524E"/>
    <w:rsid w:val="00A7566C"/>
    <w:rsid w:val="00A77AFF"/>
    <w:rsid w:val="00A77F1A"/>
    <w:rsid w:val="00A80D4F"/>
    <w:rsid w:val="00A81E55"/>
    <w:rsid w:val="00A8452E"/>
    <w:rsid w:val="00A8469A"/>
    <w:rsid w:val="00A855EA"/>
    <w:rsid w:val="00A905D0"/>
    <w:rsid w:val="00A9073A"/>
    <w:rsid w:val="00A9156A"/>
    <w:rsid w:val="00A91576"/>
    <w:rsid w:val="00A95387"/>
    <w:rsid w:val="00A95DC0"/>
    <w:rsid w:val="00A97CC3"/>
    <w:rsid w:val="00AA00D2"/>
    <w:rsid w:val="00AA5100"/>
    <w:rsid w:val="00AA57E5"/>
    <w:rsid w:val="00AA6329"/>
    <w:rsid w:val="00AB1784"/>
    <w:rsid w:val="00AB1C7A"/>
    <w:rsid w:val="00AB204F"/>
    <w:rsid w:val="00AB2541"/>
    <w:rsid w:val="00AB2E0A"/>
    <w:rsid w:val="00AB35D8"/>
    <w:rsid w:val="00AB3CE7"/>
    <w:rsid w:val="00AB4AA3"/>
    <w:rsid w:val="00AB4C7D"/>
    <w:rsid w:val="00AB5B72"/>
    <w:rsid w:val="00AB77C0"/>
    <w:rsid w:val="00AB7A8D"/>
    <w:rsid w:val="00AC09A9"/>
    <w:rsid w:val="00AC1525"/>
    <w:rsid w:val="00AC5D27"/>
    <w:rsid w:val="00AC7575"/>
    <w:rsid w:val="00AC78C9"/>
    <w:rsid w:val="00AC7926"/>
    <w:rsid w:val="00AD01F7"/>
    <w:rsid w:val="00AD0FD0"/>
    <w:rsid w:val="00AD1EF1"/>
    <w:rsid w:val="00AD27A6"/>
    <w:rsid w:val="00AD27E3"/>
    <w:rsid w:val="00AD35F8"/>
    <w:rsid w:val="00AD6657"/>
    <w:rsid w:val="00AD6C10"/>
    <w:rsid w:val="00AD6EBF"/>
    <w:rsid w:val="00AD7D56"/>
    <w:rsid w:val="00AE2CD8"/>
    <w:rsid w:val="00AE4F9C"/>
    <w:rsid w:val="00AE5389"/>
    <w:rsid w:val="00AE5BEA"/>
    <w:rsid w:val="00AE78F4"/>
    <w:rsid w:val="00AF0108"/>
    <w:rsid w:val="00AF07AE"/>
    <w:rsid w:val="00AF15C9"/>
    <w:rsid w:val="00AF2108"/>
    <w:rsid w:val="00AF2185"/>
    <w:rsid w:val="00AF2749"/>
    <w:rsid w:val="00AF3F34"/>
    <w:rsid w:val="00AF4AF4"/>
    <w:rsid w:val="00AF5360"/>
    <w:rsid w:val="00AF72A2"/>
    <w:rsid w:val="00AF7ABD"/>
    <w:rsid w:val="00AF7F77"/>
    <w:rsid w:val="00B00EA1"/>
    <w:rsid w:val="00B01FAE"/>
    <w:rsid w:val="00B02E0C"/>
    <w:rsid w:val="00B02F40"/>
    <w:rsid w:val="00B03184"/>
    <w:rsid w:val="00B03533"/>
    <w:rsid w:val="00B03E98"/>
    <w:rsid w:val="00B04499"/>
    <w:rsid w:val="00B044E6"/>
    <w:rsid w:val="00B04FFC"/>
    <w:rsid w:val="00B05252"/>
    <w:rsid w:val="00B056EC"/>
    <w:rsid w:val="00B067FB"/>
    <w:rsid w:val="00B0712F"/>
    <w:rsid w:val="00B1039D"/>
    <w:rsid w:val="00B1163E"/>
    <w:rsid w:val="00B11EF7"/>
    <w:rsid w:val="00B12A5C"/>
    <w:rsid w:val="00B13982"/>
    <w:rsid w:val="00B15D9A"/>
    <w:rsid w:val="00B16802"/>
    <w:rsid w:val="00B16D97"/>
    <w:rsid w:val="00B17433"/>
    <w:rsid w:val="00B22462"/>
    <w:rsid w:val="00B2290B"/>
    <w:rsid w:val="00B22AA9"/>
    <w:rsid w:val="00B23233"/>
    <w:rsid w:val="00B26C4F"/>
    <w:rsid w:val="00B3067C"/>
    <w:rsid w:val="00B30DA1"/>
    <w:rsid w:val="00B3189E"/>
    <w:rsid w:val="00B32516"/>
    <w:rsid w:val="00B33798"/>
    <w:rsid w:val="00B35086"/>
    <w:rsid w:val="00B35A29"/>
    <w:rsid w:val="00B42338"/>
    <w:rsid w:val="00B442CE"/>
    <w:rsid w:val="00B456DD"/>
    <w:rsid w:val="00B45F1F"/>
    <w:rsid w:val="00B46FBC"/>
    <w:rsid w:val="00B4726B"/>
    <w:rsid w:val="00B47DAF"/>
    <w:rsid w:val="00B50A80"/>
    <w:rsid w:val="00B512C1"/>
    <w:rsid w:val="00B5221D"/>
    <w:rsid w:val="00B526D1"/>
    <w:rsid w:val="00B54AA4"/>
    <w:rsid w:val="00B5570F"/>
    <w:rsid w:val="00B56147"/>
    <w:rsid w:val="00B56A51"/>
    <w:rsid w:val="00B56D6F"/>
    <w:rsid w:val="00B573C1"/>
    <w:rsid w:val="00B626ED"/>
    <w:rsid w:val="00B63F0F"/>
    <w:rsid w:val="00B63F6B"/>
    <w:rsid w:val="00B659BD"/>
    <w:rsid w:val="00B66979"/>
    <w:rsid w:val="00B70DFC"/>
    <w:rsid w:val="00B7130D"/>
    <w:rsid w:val="00B7143B"/>
    <w:rsid w:val="00B7381A"/>
    <w:rsid w:val="00B73B78"/>
    <w:rsid w:val="00B73CA6"/>
    <w:rsid w:val="00B750DC"/>
    <w:rsid w:val="00B767EE"/>
    <w:rsid w:val="00B769DA"/>
    <w:rsid w:val="00B83026"/>
    <w:rsid w:val="00B83D56"/>
    <w:rsid w:val="00B84509"/>
    <w:rsid w:val="00B8453A"/>
    <w:rsid w:val="00B86155"/>
    <w:rsid w:val="00B92D74"/>
    <w:rsid w:val="00B93C47"/>
    <w:rsid w:val="00B941FE"/>
    <w:rsid w:val="00B96158"/>
    <w:rsid w:val="00B96F86"/>
    <w:rsid w:val="00BA04B4"/>
    <w:rsid w:val="00BA182A"/>
    <w:rsid w:val="00BA1B1E"/>
    <w:rsid w:val="00BA254F"/>
    <w:rsid w:val="00BA4727"/>
    <w:rsid w:val="00BA6AED"/>
    <w:rsid w:val="00BA765C"/>
    <w:rsid w:val="00BA7C41"/>
    <w:rsid w:val="00BB01B5"/>
    <w:rsid w:val="00BB34B1"/>
    <w:rsid w:val="00BB4A8E"/>
    <w:rsid w:val="00BB5434"/>
    <w:rsid w:val="00BB7489"/>
    <w:rsid w:val="00BB7790"/>
    <w:rsid w:val="00BC0F75"/>
    <w:rsid w:val="00BC570C"/>
    <w:rsid w:val="00BC5918"/>
    <w:rsid w:val="00BC7873"/>
    <w:rsid w:val="00BD0C8E"/>
    <w:rsid w:val="00BD2EC8"/>
    <w:rsid w:val="00BD39BF"/>
    <w:rsid w:val="00BD3C4A"/>
    <w:rsid w:val="00BD4E88"/>
    <w:rsid w:val="00BD542F"/>
    <w:rsid w:val="00BD64B8"/>
    <w:rsid w:val="00BD686D"/>
    <w:rsid w:val="00BD77B5"/>
    <w:rsid w:val="00BD78BC"/>
    <w:rsid w:val="00BE2185"/>
    <w:rsid w:val="00BE2BDB"/>
    <w:rsid w:val="00BE2D52"/>
    <w:rsid w:val="00BE361F"/>
    <w:rsid w:val="00BE381C"/>
    <w:rsid w:val="00BE3F7C"/>
    <w:rsid w:val="00BE54D5"/>
    <w:rsid w:val="00BE62E7"/>
    <w:rsid w:val="00BE7006"/>
    <w:rsid w:val="00BF0E21"/>
    <w:rsid w:val="00BF46C4"/>
    <w:rsid w:val="00BF73D6"/>
    <w:rsid w:val="00BF7FF1"/>
    <w:rsid w:val="00C01B2F"/>
    <w:rsid w:val="00C02DEB"/>
    <w:rsid w:val="00C040F0"/>
    <w:rsid w:val="00C06358"/>
    <w:rsid w:val="00C06772"/>
    <w:rsid w:val="00C06A70"/>
    <w:rsid w:val="00C100C8"/>
    <w:rsid w:val="00C11FEE"/>
    <w:rsid w:val="00C12EAC"/>
    <w:rsid w:val="00C12F65"/>
    <w:rsid w:val="00C14FE5"/>
    <w:rsid w:val="00C155D4"/>
    <w:rsid w:val="00C17B99"/>
    <w:rsid w:val="00C20913"/>
    <w:rsid w:val="00C23674"/>
    <w:rsid w:val="00C25275"/>
    <w:rsid w:val="00C25563"/>
    <w:rsid w:val="00C270D1"/>
    <w:rsid w:val="00C2755E"/>
    <w:rsid w:val="00C27EA9"/>
    <w:rsid w:val="00C30101"/>
    <w:rsid w:val="00C32E22"/>
    <w:rsid w:val="00C335C7"/>
    <w:rsid w:val="00C33B13"/>
    <w:rsid w:val="00C34ED7"/>
    <w:rsid w:val="00C362FC"/>
    <w:rsid w:val="00C40B5D"/>
    <w:rsid w:val="00C40DA1"/>
    <w:rsid w:val="00C41E7C"/>
    <w:rsid w:val="00C43DCA"/>
    <w:rsid w:val="00C44987"/>
    <w:rsid w:val="00C453AB"/>
    <w:rsid w:val="00C45793"/>
    <w:rsid w:val="00C460FB"/>
    <w:rsid w:val="00C51590"/>
    <w:rsid w:val="00C51601"/>
    <w:rsid w:val="00C53532"/>
    <w:rsid w:val="00C54330"/>
    <w:rsid w:val="00C60496"/>
    <w:rsid w:val="00C614F2"/>
    <w:rsid w:val="00C6244C"/>
    <w:rsid w:val="00C62E43"/>
    <w:rsid w:val="00C6360E"/>
    <w:rsid w:val="00C6485B"/>
    <w:rsid w:val="00C64DB7"/>
    <w:rsid w:val="00C65D14"/>
    <w:rsid w:val="00C67736"/>
    <w:rsid w:val="00C7267F"/>
    <w:rsid w:val="00C72DE7"/>
    <w:rsid w:val="00C739B1"/>
    <w:rsid w:val="00C74D06"/>
    <w:rsid w:val="00C75682"/>
    <w:rsid w:val="00C75B67"/>
    <w:rsid w:val="00C76898"/>
    <w:rsid w:val="00C76E36"/>
    <w:rsid w:val="00C802A5"/>
    <w:rsid w:val="00C802BA"/>
    <w:rsid w:val="00C81DF2"/>
    <w:rsid w:val="00C8300F"/>
    <w:rsid w:val="00C852E9"/>
    <w:rsid w:val="00C85B76"/>
    <w:rsid w:val="00C85FA3"/>
    <w:rsid w:val="00C87863"/>
    <w:rsid w:val="00C92786"/>
    <w:rsid w:val="00C93222"/>
    <w:rsid w:val="00C94AFC"/>
    <w:rsid w:val="00C9F624"/>
    <w:rsid w:val="00CA03B9"/>
    <w:rsid w:val="00CA124B"/>
    <w:rsid w:val="00CA12FA"/>
    <w:rsid w:val="00CA1638"/>
    <w:rsid w:val="00CA1AEC"/>
    <w:rsid w:val="00CA1C01"/>
    <w:rsid w:val="00CA2F2F"/>
    <w:rsid w:val="00CA4BC7"/>
    <w:rsid w:val="00CA6507"/>
    <w:rsid w:val="00CA7328"/>
    <w:rsid w:val="00CA747D"/>
    <w:rsid w:val="00CA7DD8"/>
    <w:rsid w:val="00CB03FB"/>
    <w:rsid w:val="00CB19BF"/>
    <w:rsid w:val="00CB62FF"/>
    <w:rsid w:val="00CB6566"/>
    <w:rsid w:val="00CB6D61"/>
    <w:rsid w:val="00CB7759"/>
    <w:rsid w:val="00CB7906"/>
    <w:rsid w:val="00CC0933"/>
    <w:rsid w:val="00CC1920"/>
    <w:rsid w:val="00CC2022"/>
    <w:rsid w:val="00CC2681"/>
    <w:rsid w:val="00CC28E5"/>
    <w:rsid w:val="00CC3BAC"/>
    <w:rsid w:val="00CC41BE"/>
    <w:rsid w:val="00CC41F1"/>
    <w:rsid w:val="00CC5147"/>
    <w:rsid w:val="00CC51C2"/>
    <w:rsid w:val="00CC6634"/>
    <w:rsid w:val="00CC72BC"/>
    <w:rsid w:val="00CC7A5C"/>
    <w:rsid w:val="00CD1135"/>
    <w:rsid w:val="00CD478B"/>
    <w:rsid w:val="00CD47ED"/>
    <w:rsid w:val="00CD54DB"/>
    <w:rsid w:val="00CE03FA"/>
    <w:rsid w:val="00CE0EED"/>
    <w:rsid w:val="00CE17B4"/>
    <w:rsid w:val="00CE1DD0"/>
    <w:rsid w:val="00CE4044"/>
    <w:rsid w:val="00CE749D"/>
    <w:rsid w:val="00CE7711"/>
    <w:rsid w:val="00CF0806"/>
    <w:rsid w:val="00CF479F"/>
    <w:rsid w:val="00CF4AE5"/>
    <w:rsid w:val="00CF5AB7"/>
    <w:rsid w:val="00CF5CA6"/>
    <w:rsid w:val="00D01D53"/>
    <w:rsid w:val="00D0248C"/>
    <w:rsid w:val="00D03323"/>
    <w:rsid w:val="00D052A6"/>
    <w:rsid w:val="00D05CA4"/>
    <w:rsid w:val="00D065A5"/>
    <w:rsid w:val="00D06929"/>
    <w:rsid w:val="00D06AF9"/>
    <w:rsid w:val="00D06C82"/>
    <w:rsid w:val="00D11506"/>
    <w:rsid w:val="00D1172D"/>
    <w:rsid w:val="00D1296F"/>
    <w:rsid w:val="00D12BCE"/>
    <w:rsid w:val="00D12CF4"/>
    <w:rsid w:val="00D13E69"/>
    <w:rsid w:val="00D141E8"/>
    <w:rsid w:val="00D14E85"/>
    <w:rsid w:val="00D156C9"/>
    <w:rsid w:val="00D16162"/>
    <w:rsid w:val="00D171A9"/>
    <w:rsid w:val="00D201AB"/>
    <w:rsid w:val="00D211C2"/>
    <w:rsid w:val="00D2193A"/>
    <w:rsid w:val="00D22F3B"/>
    <w:rsid w:val="00D234D4"/>
    <w:rsid w:val="00D277CC"/>
    <w:rsid w:val="00D3226F"/>
    <w:rsid w:val="00D3378D"/>
    <w:rsid w:val="00D33E44"/>
    <w:rsid w:val="00D3403B"/>
    <w:rsid w:val="00D34756"/>
    <w:rsid w:val="00D352BC"/>
    <w:rsid w:val="00D37657"/>
    <w:rsid w:val="00D4091B"/>
    <w:rsid w:val="00D41A7E"/>
    <w:rsid w:val="00D453D8"/>
    <w:rsid w:val="00D45624"/>
    <w:rsid w:val="00D460F0"/>
    <w:rsid w:val="00D5074F"/>
    <w:rsid w:val="00D513EC"/>
    <w:rsid w:val="00D568F9"/>
    <w:rsid w:val="00D602DF"/>
    <w:rsid w:val="00D611BA"/>
    <w:rsid w:val="00D6169C"/>
    <w:rsid w:val="00D62A3B"/>
    <w:rsid w:val="00D633F6"/>
    <w:rsid w:val="00D63946"/>
    <w:rsid w:val="00D64DB6"/>
    <w:rsid w:val="00D64FEC"/>
    <w:rsid w:val="00D6504D"/>
    <w:rsid w:val="00D65A00"/>
    <w:rsid w:val="00D65C94"/>
    <w:rsid w:val="00D66FA9"/>
    <w:rsid w:val="00D703C9"/>
    <w:rsid w:val="00D7147F"/>
    <w:rsid w:val="00D718A1"/>
    <w:rsid w:val="00D764E6"/>
    <w:rsid w:val="00D81A3D"/>
    <w:rsid w:val="00D82550"/>
    <w:rsid w:val="00D82A81"/>
    <w:rsid w:val="00D83BE5"/>
    <w:rsid w:val="00D8513A"/>
    <w:rsid w:val="00D851EE"/>
    <w:rsid w:val="00D85487"/>
    <w:rsid w:val="00D866FE"/>
    <w:rsid w:val="00D87233"/>
    <w:rsid w:val="00D874F5"/>
    <w:rsid w:val="00D9005A"/>
    <w:rsid w:val="00D90C60"/>
    <w:rsid w:val="00D95A50"/>
    <w:rsid w:val="00D95A81"/>
    <w:rsid w:val="00D96515"/>
    <w:rsid w:val="00D97E54"/>
    <w:rsid w:val="00DA3169"/>
    <w:rsid w:val="00DA4039"/>
    <w:rsid w:val="00DA4C21"/>
    <w:rsid w:val="00DA5023"/>
    <w:rsid w:val="00DA59B6"/>
    <w:rsid w:val="00DA64DA"/>
    <w:rsid w:val="00DA7AEB"/>
    <w:rsid w:val="00DB0F48"/>
    <w:rsid w:val="00DB0FEF"/>
    <w:rsid w:val="00DB1E3A"/>
    <w:rsid w:val="00DB1FEA"/>
    <w:rsid w:val="00DB2EFA"/>
    <w:rsid w:val="00DB34D1"/>
    <w:rsid w:val="00DB5663"/>
    <w:rsid w:val="00DB5F90"/>
    <w:rsid w:val="00DB64ED"/>
    <w:rsid w:val="00DC4E97"/>
    <w:rsid w:val="00DC6142"/>
    <w:rsid w:val="00DC66CD"/>
    <w:rsid w:val="00DC7FC9"/>
    <w:rsid w:val="00DD0101"/>
    <w:rsid w:val="00DD1769"/>
    <w:rsid w:val="00DD1785"/>
    <w:rsid w:val="00DD24FF"/>
    <w:rsid w:val="00DD3662"/>
    <w:rsid w:val="00DD3B76"/>
    <w:rsid w:val="00DD3FEF"/>
    <w:rsid w:val="00DD44AD"/>
    <w:rsid w:val="00DD4EBB"/>
    <w:rsid w:val="00DD4FE9"/>
    <w:rsid w:val="00DD5F03"/>
    <w:rsid w:val="00DD75A5"/>
    <w:rsid w:val="00DE11EC"/>
    <w:rsid w:val="00DE20A5"/>
    <w:rsid w:val="00DE2CEF"/>
    <w:rsid w:val="00DE2F2A"/>
    <w:rsid w:val="00DE3354"/>
    <w:rsid w:val="00DE49A3"/>
    <w:rsid w:val="00DE5540"/>
    <w:rsid w:val="00DE6E1B"/>
    <w:rsid w:val="00DF091D"/>
    <w:rsid w:val="00DF0BD5"/>
    <w:rsid w:val="00DF125E"/>
    <w:rsid w:val="00DF145F"/>
    <w:rsid w:val="00DF1F8C"/>
    <w:rsid w:val="00DF2FBF"/>
    <w:rsid w:val="00DF362F"/>
    <w:rsid w:val="00DF53A2"/>
    <w:rsid w:val="00DF6DA1"/>
    <w:rsid w:val="00DF7895"/>
    <w:rsid w:val="00E006A3"/>
    <w:rsid w:val="00E01072"/>
    <w:rsid w:val="00E018E4"/>
    <w:rsid w:val="00E04138"/>
    <w:rsid w:val="00E056E9"/>
    <w:rsid w:val="00E06237"/>
    <w:rsid w:val="00E078BF"/>
    <w:rsid w:val="00E1115A"/>
    <w:rsid w:val="00E1303B"/>
    <w:rsid w:val="00E131BA"/>
    <w:rsid w:val="00E13232"/>
    <w:rsid w:val="00E1409C"/>
    <w:rsid w:val="00E1429F"/>
    <w:rsid w:val="00E1454F"/>
    <w:rsid w:val="00E147EC"/>
    <w:rsid w:val="00E14896"/>
    <w:rsid w:val="00E14C01"/>
    <w:rsid w:val="00E1605C"/>
    <w:rsid w:val="00E2065E"/>
    <w:rsid w:val="00E208D8"/>
    <w:rsid w:val="00E21C75"/>
    <w:rsid w:val="00E226AC"/>
    <w:rsid w:val="00E243DF"/>
    <w:rsid w:val="00E24D53"/>
    <w:rsid w:val="00E2557C"/>
    <w:rsid w:val="00E26257"/>
    <w:rsid w:val="00E26B0B"/>
    <w:rsid w:val="00E3037D"/>
    <w:rsid w:val="00E3128B"/>
    <w:rsid w:val="00E31C15"/>
    <w:rsid w:val="00E328C5"/>
    <w:rsid w:val="00E334FD"/>
    <w:rsid w:val="00E358D5"/>
    <w:rsid w:val="00E358E1"/>
    <w:rsid w:val="00E36752"/>
    <w:rsid w:val="00E37713"/>
    <w:rsid w:val="00E379ED"/>
    <w:rsid w:val="00E40B1F"/>
    <w:rsid w:val="00E40D10"/>
    <w:rsid w:val="00E41C6A"/>
    <w:rsid w:val="00E41DE4"/>
    <w:rsid w:val="00E41EA1"/>
    <w:rsid w:val="00E43124"/>
    <w:rsid w:val="00E45AFE"/>
    <w:rsid w:val="00E47AF1"/>
    <w:rsid w:val="00E50A63"/>
    <w:rsid w:val="00E51C0B"/>
    <w:rsid w:val="00E557D1"/>
    <w:rsid w:val="00E55EF1"/>
    <w:rsid w:val="00E56CAA"/>
    <w:rsid w:val="00E5720B"/>
    <w:rsid w:val="00E601E9"/>
    <w:rsid w:val="00E6076A"/>
    <w:rsid w:val="00E6262F"/>
    <w:rsid w:val="00E62ECB"/>
    <w:rsid w:val="00E62F64"/>
    <w:rsid w:val="00E63A98"/>
    <w:rsid w:val="00E65512"/>
    <w:rsid w:val="00E67223"/>
    <w:rsid w:val="00E71096"/>
    <w:rsid w:val="00E722E7"/>
    <w:rsid w:val="00E722EC"/>
    <w:rsid w:val="00E74D0C"/>
    <w:rsid w:val="00E76025"/>
    <w:rsid w:val="00E80481"/>
    <w:rsid w:val="00E830A0"/>
    <w:rsid w:val="00E8448E"/>
    <w:rsid w:val="00E84C05"/>
    <w:rsid w:val="00E90490"/>
    <w:rsid w:val="00E90D35"/>
    <w:rsid w:val="00E92BF7"/>
    <w:rsid w:val="00E939D1"/>
    <w:rsid w:val="00E94387"/>
    <w:rsid w:val="00EA372A"/>
    <w:rsid w:val="00EA3882"/>
    <w:rsid w:val="00EA7ACC"/>
    <w:rsid w:val="00EA7D40"/>
    <w:rsid w:val="00EA7F29"/>
    <w:rsid w:val="00EB0D98"/>
    <w:rsid w:val="00EB2337"/>
    <w:rsid w:val="00EB2D95"/>
    <w:rsid w:val="00EB49C7"/>
    <w:rsid w:val="00EB5A2E"/>
    <w:rsid w:val="00EB6BC7"/>
    <w:rsid w:val="00EC1CB3"/>
    <w:rsid w:val="00EC1D2A"/>
    <w:rsid w:val="00EC677A"/>
    <w:rsid w:val="00EC6B34"/>
    <w:rsid w:val="00ED027C"/>
    <w:rsid w:val="00ED14A3"/>
    <w:rsid w:val="00ED288E"/>
    <w:rsid w:val="00ED3204"/>
    <w:rsid w:val="00ED3AD3"/>
    <w:rsid w:val="00ED4776"/>
    <w:rsid w:val="00ED4ADB"/>
    <w:rsid w:val="00ED4C39"/>
    <w:rsid w:val="00EE0C1E"/>
    <w:rsid w:val="00EE0E62"/>
    <w:rsid w:val="00EE1060"/>
    <w:rsid w:val="00EE1C75"/>
    <w:rsid w:val="00EE3BEC"/>
    <w:rsid w:val="00EE3C88"/>
    <w:rsid w:val="00EF0329"/>
    <w:rsid w:val="00EF18D2"/>
    <w:rsid w:val="00EF36F8"/>
    <w:rsid w:val="00EF4788"/>
    <w:rsid w:val="00EF6A9E"/>
    <w:rsid w:val="00EF73E2"/>
    <w:rsid w:val="00EF7766"/>
    <w:rsid w:val="00EF7892"/>
    <w:rsid w:val="00EF7912"/>
    <w:rsid w:val="00EF7EC1"/>
    <w:rsid w:val="00F0079A"/>
    <w:rsid w:val="00F00C18"/>
    <w:rsid w:val="00F0171B"/>
    <w:rsid w:val="00F01DCA"/>
    <w:rsid w:val="00F03C16"/>
    <w:rsid w:val="00F047C8"/>
    <w:rsid w:val="00F12037"/>
    <w:rsid w:val="00F17AC3"/>
    <w:rsid w:val="00F2067E"/>
    <w:rsid w:val="00F21050"/>
    <w:rsid w:val="00F21B17"/>
    <w:rsid w:val="00F221D9"/>
    <w:rsid w:val="00F22358"/>
    <w:rsid w:val="00F239C8"/>
    <w:rsid w:val="00F24FAC"/>
    <w:rsid w:val="00F258F8"/>
    <w:rsid w:val="00F25FDA"/>
    <w:rsid w:val="00F27AD0"/>
    <w:rsid w:val="00F27F43"/>
    <w:rsid w:val="00F30453"/>
    <w:rsid w:val="00F3057B"/>
    <w:rsid w:val="00F30A35"/>
    <w:rsid w:val="00F34A26"/>
    <w:rsid w:val="00F354AC"/>
    <w:rsid w:val="00F358B4"/>
    <w:rsid w:val="00F35E06"/>
    <w:rsid w:val="00F36D00"/>
    <w:rsid w:val="00F37A67"/>
    <w:rsid w:val="00F40FED"/>
    <w:rsid w:val="00F410F4"/>
    <w:rsid w:val="00F43DF4"/>
    <w:rsid w:val="00F43E45"/>
    <w:rsid w:val="00F444E4"/>
    <w:rsid w:val="00F45512"/>
    <w:rsid w:val="00F463D0"/>
    <w:rsid w:val="00F46568"/>
    <w:rsid w:val="00F505AA"/>
    <w:rsid w:val="00F507E0"/>
    <w:rsid w:val="00F50D99"/>
    <w:rsid w:val="00F519AB"/>
    <w:rsid w:val="00F5371B"/>
    <w:rsid w:val="00F53965"/>
    <w:rsid w:val="00F54016"/>
    <w:rsid w:val="00F54A47"/>
    <w:rsid w:val="00F54F42"/>
    <w:rsid w:val="00F5574A"/>
    <w:rsid w:val="00F5584E"/>
    <w:rsid w:val="00F5586A"/>
    <w:rsid w:val="00F56710"/>
    <w:rsid w:val="00F63375"/>
    <w:rsid w:val="00F645B8"/>
    <w:rsid w:val="00F64A79"/>
    <w:rsid w:val="00F64C1C"/>
    <w:rsid w:val="00F65932"/>
    <w:rsid w:val="00F65E21"/>
    <w:rsid w:val="00F6643B"/>
    <w:rsid w:val="00F67114"/>
    <w:rsid w:val="00F70CFE"/>
    <w:rsid w:val="00F714E7"/>
    <w:rsid w:val="00F71976"/>
    <w:rsid w:val="00F71AA2"/>
    <w:rsid w:val="00F75A3D"/>
    <w:rsid w:val="00F83625"/>
    <w:rsid w:val="00F8443F"/>
    <w:rsid w:val="00F852DA"/>
    <w:rsid w:val="00F86587"/>
    <w:rsid w:val="00F86BB3"/>
    <w:rsid w:val="00F909D4"/>
    <w:rsid w:val="00F93561"/>
    <w:rsid w:val="00F944BB"/>
    <w:rsid w:val="00F96B93"/>
    <w:rsid w:val="00F97A2C"/>
    <w:rsid w:val="00F97C4A"/>
    <w:rsid w:val="00FA2540"/>
    <w:rsid w:val="00FA3A5A"/>
    <w:rsid w:val="00FA5E0D"/>
    <w:rsid w:val="00FA7E62"/>
    <w:rsid w:val="00FB1116"/>
    <w:rsid w:val="00FB1219"/>
    <w:rsid w:val="00FB267E"/>
    <w:rsid w:val="00FB3A88"/>
    <w:rsid w:val="00FB3E9E"/>
    <w:rsid w:val="00FB4D78"/>
    <w:rsid w:val="00FB6681"/>
    <w:rsid w:val="00FB685D"/>
    <w:rsid w:val="00FB7109"/>
    <w:rsid w:val="00FC0294"/>
    <w:rsid w:val="00FC077B"/>
    <w:rsid w:val="00FC0BA2"/>
    <w:rsid w:val="00FC0DCC"/>
    <w:rsid w:val="00FC2FC1"/>
    <w:rsid w:val="00FC3F70"/>
    <w:rsid w:val="00FC6275"/>
    <w:rsid w:val="00FC6359"/>
    <w:rsid w:val="00FC77C0"/>
    <w:rsid w:val="00FD00D8"/>
    <w:rsid w:val="00FD1166"/>
    <w:rsid w:val="00FD11A9"/>
    <w:rsid w:val="00FD19DE"/>
    <w:rsid w:val="00FD3573"/>
    <w:rsid w:val="00FD5BE6"/>
    <w:rsid w:val="00FD63F6"/>
    <w:rsid w:val="00FD6CC8"/>
    <w:rsid w:val="00FD7CDE"/>
    <w:rsid w:val="00FE0804"/>
    <w:rsid w:val="00FE0954"/>
    <w:rsid w:val="00FE0ACA"/>
    <w:rsid w:val="00FE127B"/>
    <w:rsid w:val="00FE1752"/>
    <w:rsid w:val="00FE1D4E"/>
    <w:rsid w:val="00FE2926"/>
    <w:rsid w:val="00FE31DB"/>
    <w:rsid w:val="00FE3385"/>
    <w:rsid w:val="00FE442F"/>
    <w:rsid w:val="00FF08B5"/>
    <w:rsid w:val="00FF16AF"/>
    <w:rsid w:val="00FF1C96"/>
    <w:rsid w:val="00FF62A0"/>
    <w:rsid w:val="00FF7904"/>
    <w:rsid w:val="00FF7D61"/>
    <w:rsid w:val="00FF7FA5"/>
    <w:rsid w:val="015C70E3"/>
    <w:rsid w:val="01AF0849"/>
    <w:rsid w:val="0350C391"/>
    <w:rsid w:val="0358BC20"/>
    <w:rsid w:val="036FAD49"/>
    <w:rsid w:val="04339B4A"/>
    <w:rsid w:val="04AE5F35"/>
    <w:rsid w:val="051BA003"/>
    <w:rsid w:val="054340AD"/>
    <w:rsid w:val="065E84C6"/>
    <w:rsid w:val="06F7196A"/>
    <w:rsid w:val="0772E876"/>
    <w:rsid w:val="07BC1A8A"/>
    <w:rsid w:val="082A0DC0"/>
    <w:rsid w:val="08ED2B76"/>
    <w:rsid w:val="09C7E1E5"/>
    <w:rsid w:val="0A58B866"/>
    <w:rsid w:val="0B16F04C"/>
    <w:rsid w:val="0BCE8F5A"/>
    <w:rsid w:val="0C3B7087"/>
    <w:rsid w:val="0C46325B"/>
    <w:rsid w:val="0C5C621E"/>
    <w:rsid w:val="0C97643A"/>
    <w:rsid w:val="0D15FECC"/>
    <w:rsid w:val="0E37D935"/>
    <w:rsid w:val="0E661D2D"/>
    <w:rsid w:val="0EEDB567"/>
    <w:rsid w:val="0F47DA76"/>
    <w:rsid w:val="10536775"/>
    <w:rsid w:val="10D9BC38"/>
    <w:rsid w:val="110CEB87"/>
    <w:rsid w:val="11812340"/>
    <w:rsid w:val="1231E5CF"/>
    <w:rsid w:val="15CDB060"/>
    <w:rsid w:val="1788DB40"/>
    <w:rsid w:val="17BFA688"/>
    <w:rsid w:val="1857631F"/>
    <w:rsid w:val="19BCBBD0"/>
    <w:rsid w:val="19E1E9E2"/>
    <w:rsid w:val="1A8E3F3A"/>
    <w:rsid w:val="1ACFC801"/>
    <w:rsid w:val="1C9BAE10"/>
    <w:rsid w:val="1CB70041"/>
    <w:rsid w:val="1E615999"/>
    <w:rsid w:val="1F1BBD1D"/>
    <w:rsid w:val="21747B41"/>
    <w:rsid w:val="21C3E0AC"/>
    <w:rsid w:val="223B9B20"/>
    <w:rsid w:val="236CA01C"/>
    <w:rsid w:val="244A06F7"/>
    <w:rsid w:val="267B6F48"/>
    <w:rsid w:val="2692A523"/>
    <w:rsid w:val="28871DF6"/>
    <w:rsid w:val="29721F85"/>
    <w:rsid w:val="2A192D19"/>
    <w:rsid w:val="2AF37418"/>
    <w:rsid w:val="2B12DC43"/>
    <w:rsid w:val="2C1D2B4C"/>
    <w:rsid w:val="2D21D214"/>
    <w:rsid w:val="2D6D5089"/>
    <w:rsid w:val="2E657AFB"/>
    <w:rsid w:val="2ED1B281"/>
    <w:rsid w:val="2F7A52B6"/>
    <w:rsid w:val="2FF5DC42"/>
    <w:rsid w:val="312D5584"/>
    <w:rsid w:val="31AEDBC8"/>
    <w:rsid w:val="32B9311A"/>
    <w:rsid w:val="35EA8103"/>
    <w:rsid w:val="371E58D7"/>
    <w:rsid w:val="3767D0EA"/>
    <w:rsid w:val="377D2BA2"/>
    <w:rsid w:val="37D34F36"/>
    <w:rsid w:val="386F48C7"/>
    <w:rsid w:val="39EC9C79"/>
    <w:rsid w:val="3A954B8D"/>
    <w:rsid w:val="3C153BA2"/>
    <w:rsid w:val="3EAF6A9C"/>
    <w:rsid w:val="3F460E86"/>
    <w:rsid w:val="4018769B"/>
    <w:rsid w:val="40A79286"/>
    <w:rsid w:val="4290A344"/>
    <w:rsid w:val="44B67216"/>
    <w:rsid w:val="47854607"/>
    <w:rsid w:val="478B7A07"/>
    <w:rsid w:val="489B57BD"/>
    <w:rsid w:val="49006345"/>
    <w:rsid w:val="492C5373"/>
    <w:rsid w:val="4A201015"/>
    <w:rsid w:val="4B05271C"/>
    <w:rsid w:val="4B15C945"/>
    <w:rsid w:val="4BAAC047"/>
    <w:rsid w:val="4BAE4049"/>
    <w:rsid w:val="4C4BDA53"/>
    <w:rsid w:val="4CDB8104"/>
    <w:rsid w:val="4DFE0CE8"/>
    <w:rsid w:val="4F2B4243"/>
    <w:rsid w:val="4F922DDE"/>
    <w:rsid w:val="4FA4621B"/>
    <w:rsid w:val="4FCD4E46"/>
    <w:rsid w:val="50509E56"/>
    <w:rsid w:val="506836CB"/>
    <w:rsid w:val="50E5C93F"/>
    <w:rsid w:val="514884B7"/>
    <w:rsid w:val="530C72DD"/>
    <w:rsid w:val="550BD0E1"/>
    <w:rsid w:val="550F874B"/>
    <w:rsid w:val="551B78A1"/>
    <w:rsid w:val="56091176"/>
    <w:rsid w:val="5757A66F"/>
    <w:rsid w:val="5843F9E4"/>
    <w:rsid w:val="58BB7A46"/>
    <w:rsid w:val="59545A26"/>
    <w:rsid w:val="5AB37132"/>
    <w:rsid w:val="5C2A2C82"/>
    <w:rsid w:val="5D3BE737"/>
    <w:rsid w:val="5D58F8D2"/>
    <w:rsid w:val="5FC21230"/>
    <w:rsid w:val="603DC7AC"/>
    <w:rsid w:val="6174076B"/>
    <w:rsid w:val="61E665FC"/>
    <w:rsid w:val="632DF553"/>
    <w:rsid w:val="63596E12"/>
    <w:rsid w:val="6510D3DC"/>
    <w:rsid w:val="6514180B"/>
    <w:rsid w:val="65BC3920"/>
    <w:rsid w:val="6647A843"/>
    <w:rsid w:val="66AF26F0"/>
    <w:rsid w:val="66E86CA0"/>
    <w:rsid w:val="6B05FB0A"/>
    <w:rsid w:val="6B6C7403"/>
    <w:rsid w:val="6B97BFDA"/>
    <w:rsid w:val="6DB836E4"/>
    <w:rsid w:val="6DCA5F74"/>
    <w:rsid w:val="6DEAF501"/>
    <w:rsid w:val="6EABAEA1"/>
    <w:rsid w:val="6EAF703A"/>
    <w:rsid w:val="6EBB4C2B"/>
    <w:rsid w:val="6FA41AF4"/>
    <w:rsid w:val="701B95E0"/>
    <w:rsid w:val="719BD97F"/>
    <w:rsid w:val="72EC269F"/>
    <w:rsid w:val="74355F97"/>
    <w:rsid w:val="74E9FD95"/>
    <w:rsid w:val="763FF219"/>
    <w:rsid w:val="7793EF8E"/>
    <w:rsid w:val="7899F6CA"/>
    <w:rsid w:val="791D0B32"/>
    <w:rsid w:val="7B94C205"/>
    <w:rsid w:val="7C4A35D4"/>
    <w:rsid w:val="7CD4B149"/>
    <w:rsid w:val="7D5810A8"/>
    <w:rsid w:val="7EAE9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E1AE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7CC"/>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uiPriority w:val="9"/>
    <w:qFormat/>
    <w:rsid w:val="00F34A2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9357C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9357C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357C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357C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357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7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7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7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EIC">
    <w:name w:val="EIC"/>
    <w:uiPriority w:val="99"/>
    <w:rsid w:val="00575AAF"/>
    <w:pPr>
      <w:numPr>
        <w:numId w:val="1"/>
      </w:numPr>
    </w:pPr>
  </w:style>
  <w:style w:type="character" w:customStyle="1" w:styleId="Heading1Char">
    <w:name w:val="Heading 1 Char"/>
    <w:basedOn w:val="DefaultParagraphFont"/>
    <w:link w:val="Heading1"/>
    <w:uiPriority w:val="9"/>
    <w:rsid w:val="009357CC"/>
    <w:rPr>
      <w:rFonts w:asciiTheme="majorHAnsi" w:eastAsiaTheme="majorEastAsia" w:hAnsiTheme="majorHAnsi" w:cstheme="majorBidi"/>
      <w:color w:val="365F91" w:themeColor="accent1" w:themeShade="BF"/>
      <w:kern w:val="0"/>
      <w:sz w:val="40"/>
      <w:szCs w:val="40"/>
      <w:lang w:eastAsia="en-GB"/>
    </w:rPr>
  </w:style>
  <w:style w:type="character" w:customStyle="1" w:styleId="Heading2Char">
    <w:name w:val="Heading 2 Char"/>
    <w:basedOn w:val="DefaultParagraphFont"/>
    <w:link w:val="Heading2"/>
    <w:uiPriority w:val="9"/>
    <w:rsid w:val="009357CC"/>
    <w:rPr>
      <w:rFonts w:asciiTheme="majorHAnsi" w:eastAsiaTheme="majorEastAsia" w:hAnsiTheme="majorHAnsi" w:cstheme="majorBidi"/>
      <w:color w:val="365F91" w:themeColor="accent1" w:themeShade="BF"/>
      <w:sz w:val="32"/>
      <w:szCs w:val="32"/>
      <w:lang w:val="en-IE"/>
    </w:rPr>
  </w:style>
  <w:style w:type="character" w:customStyle="1" w:styleId="Heading3Char">
    <w:name w:val="Heading 3 Char"/>
    <w:basedOn w:val="DefaultParagraphFont"/>
    <w:link w:val="Heading3"/>
    <w:uiPriority w:val="9"/>
    <w:rsid w:val="009357CC"/>
    <w:rPr>
      <w:rFonts w:eastAsiaTheme="majorEastAsia" w:cstheme="majorBidi"/>
      <w:color w:val="365F91" w:themeColor="accent1" w:themeShade="BF"/>
      <w:sz w:val="28"/>
      <w:szCs w:val="28"/>
      <w:lang w:val="en-IE"/>
    </w:rPr>
  </w:style>
  <w:style w:type="character" w:customStyle="1" w:styleId="Heading4Char">
    <w:name w:val="Heading 4 Char"/>
    <w:basedOn w:val="DefaultParagraphFont"/>
    <w:link w:val="Heading4"/>
    <w:uiPriority w:val="9"/>
    <w:semiHidden/>
    <w:rsid w:val="009357CC"/>
    <w:rPr>
      <w:rFonts w:eastAsiaTheme="majorEastAsia" w:cstheme="majorBidi"/>
      <w:i/>
      <w:iCs/>
      <w:color w:val="365F91" w:themeColor="accent1" w:themeShade="BF"/>
      <w:lang w:val="en-IE"/>
    </w:rPr>
  </w:style>
  <w:style w:type="character" w:customStyle="1" w:styleId="Heading5Char">
    <w:name w:val="Heading 5 Char"/>
    <w:basedOn w:val="DefaultParagraphFont"/>
    <w:link w:val="Heading5"/>
    <w:uiPriority w:val="9"/>
    <w:semiHidden/>
    <w:rsid w:val="009357CC"/>
    <w:rPr>
      <w:rFonts w:eastAsiaTheme="majorEastAsia" w:cstheme="majorBidi"/>
      <w:color w:val="365F91" w:themeColor="accent1" w:themeShade="BF"/>
      <w:lang w:val="en-IE"/>
    </w:rPr>
  </w:style>
  <w:style w:type="character" w:customStyle="1" w:styleId="Heading6Char">
    <w:name w:val="Heading 6 Char"/>
    <w:basedOn w:val="DefaultParagraphFont"/>
    <w:link w:val="Heading6"/>
    <w:uiPriority w:val="9"/>
    <w:semiHidden/>
    <w:rsid w:val="009357CC"/>
    <w:rPr>
      <w:rFonts w:eastAsiaTheme="majorEastAsia" w:cstheme="majorBidi"/>
      <w:i/>
      <w:iCs/>
      <w:color w:val="595959" w:themeColor="text1" w:themeTint="A6"/>
      <w:lang w:val="en-IE"/>
    </w:rPr>
  </w:style>
  <w:style w:type="character" w:customStyle="1" w:styleId="Heading7Char">
    <w:name w:val="Heading 7 Char"/>
    <w:basedOn w:val="DefaultParagraphFont"/>
    <w:link w:val="Heading7"/>
    <w:uiPriority w:val="9"/>
    <w:semiHidden/>
    <w:rsid w:val="009357CC"/>
    <w:rPr>
      <w:rFonts w:eastAsiaTheme="majorEastAsia" w:cstheme="majorBidi"/>
      <w:color w:val="595959" w:themeColor="text1" w:themeTint="A6"/>
      <w:lang w:val="en-IE"/>
    </w:rPr>
  </w:style>
  <w:style w:type="character" w:customStyle="1" w:styleId="Heading8Char">
    <w:name w:val="Heading 8 Char"/>
    <w:basedOn w:val="DefaultParagraphFont"/>
    <w:link w:val="Heading8"/>
    <w:uiPriority w:val="9"/>
    <w:semiHidden/>
    <w:rsid w:val="009357CC"/>
    <w:rPr>
      <w:rFonts w:eastAsiaTheme="majorEastAsia" w:cstheme="majorBidi"/>
      <w:i/>
      <w:iCs/>
      <w:color w:val="272727" w:themeColor="text1" w:themeTint="D8"/>
      <w:lang w:val="en-IE"/>
    </w:rPr>
  </w:style>
  <w:style w:type="character" w:customStyle="1" w:styleId="Heading9Char">
    <w:name w:val="Heading 9 Char"/>
    <w:basedOn w:val="DefaultParagraphFont"/>
    <w:link w:val="Heading9"/>
    <w:uiPriority w:val="9"/>
    <w:semiHidden/>
    <w:rsid w:val="009357CC"/>
    <w:rPr>
      <w:rFonts w:eastAsiaTheme="majorEastAsia" w:cstheme="majorBidi"/>
      <w:color w:val="272727" w:themeColor="text1" w:themeTint="D8"/>
      <w:lang w:val="en-IE"/>
    </w:rPr>
  </w:style>
  <w:style w:type="paragraph" w:styleId="Title">
    <w:name w:val="Title"/>
    <w:basedOn w:val="Normal"/>
    <w:next w:val="Normal"/>
    <w:link w:val="TitleChar"/>
    <w:uiPriority w:val="10"/>
    <w:qFormat/>
    <w:rsid w:val="009357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7CC"/>
    <w:rPr>
      <w:rFonts w:asciiTheme="majorHAnsi" w:eastAsiaTheme="majorEastAsia" w:hAnsiTheme="majorHAnsi" w:cstheme="majorBidi"/>
      <w:spacing w:val="-10"/>
      <w:kern w:val="28"/>
      <w:sz w:val="56"/>
      <w:szCs w:val="56"/>
      <w:lang w:val="en-IE"/>
    </w:rPr>
  </w:style>
  <w:style w:type="paragraph" w:styleId="Subtitle">
    <w:name w:val="Subtitle"/>
    <w:basedOn w:val="Normal"/>
    <w:next w:val="Normal"/>
    <w:link w:val="SubtitleChar"/>
    <w:uiPriority w:val="11"/>
    <w:qFormat/>
    <w:rsid w:val="009357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7CC"/>
    <w:rPr>
      <w:rFonts w:eastAsiaTheme="majorEastAsia"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9357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57CC"/>
    <w:rPr>
      <w:i/>
      <w:iCs/>
      <w:color w:val="404040" w:themeColor="text1" w:themeTint="BF"/>
      <w:lang w:val="en-IE"/>
    </w:rPr>
  </w:style>
  <w:style w:type="paragraph" w:styleId="ListParagraph">
    <w:name w:val="List Paragraph"/>
    <w:aliases w:val="Dot pt,F5 List Paragraph,List Paragraph1,No Spacing1,List Paragraph Char Char Char,Indicator Text,Numbered Para 1,Bullet Points,MAIN CONTENT,List Paragraph12,Bullet 1,OBC Bullet,Colorful List - Accent 11,List Paragraph2,Task Body,Nad,L,3"/>
    <w:basedOn w:val="Normal"/>
    <w:link w:val="ListParagraphChar"/>
    <w:uiPriority w:val="34"/>
    <w:qFormat/>
    <w:rsid w:val="009357CC"/>
    <w:pPr>
      <w:ind w:left="720"/>
      <w:contextualSpacing/>
    </w:pPr>
  </w:style>
  <w:style w:type="character" w:styleId="IntenseEmphasis">
    <w:name w:val="Intense Emphasis"/>
    <w:basedOn w:val="DefaultParagraphFont"/>
    <w:uiPriority w:val="21"/>
    <w:qFormat/>
    <w:rsid w:val="009357CC"/>
    <w:rPr>
      <w:i/>
      <w:iCs/>
      <w:color w:val="365F91" w:themeColor="accent1" w:themeShade="BF"/>
    </w:rPr>
  </w:style>
  <w:style w:type="paragraph" w:styleId="IntenseQuote">
    <w:name w:val="Intense Quote"/>
    <w:basedOn w:val="Normal"/>
    <w:next w:val="Normal"/>
    <w:link w:val="IntenseQuoteChar"/>
    <w:uiPriority w:val="30"/>
    <w:qFormat/>
    <w:rsid w:val="009357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357CC"/>
    <w:rPr>
      <w:i/>
      <w:iCs/>
      <w:color w:val="365F91" w:themeColor="accent1" w:themeShade="BF"/>
      <w:lang w:val="en-IE"/>
    </w:rPr>
  </w:style>
  <w:style w:type="character" w:styleId="IntenseReference">
    <w:name w:val="Intense Reference"/>
    <w:basedOn w:val="DefaultParagraphFont"/>
    <w:uiPriority w:val="32"/>
    <w:qFormat/>
    <w:rsid w:val="009357CC"/>
    <w:rPr>
      <w:b/>
      <w:bCs/>
      <w:smallCaps/>
      <w:color w:val="365F91" w:themeColor="accent1" w:themeShade="BF"/>
      <w:spacing w:val="5"/>
    </w:rPr>
  </w:style>
  <w:style w:type="table" w:styleId="TableGrid">
    <w:name w:val="Table Grid"/>
    <w:basedOn w:val="TableNormal"/>
    <w:uiPriority w:val="39"/>
    <w:rsid w:val="009357CC"/>
    <w:pPr>
      <w:spacing w:after="0" w:line="240" w:lineRule="auto"/>
    </w:pPr>
    <w:rPr>
      <w:rFonts w:ascii="Times New Roman" w:eastAsia="Times New Roman" w:hAnsi="Times New Roman" w:cs="Times New Roman"/>
      <w:kern w:val="0"/>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357CC"/>
    <w:pPr>
      <w:tabs>
        <w:tab w:val="center" w:pos="4536"/>
        <w:tab w:val="right" w:pos="9072"/>
      </w:tabs>
    </w:pPr>
  </w:style>
  <w:style w:type="character" w:customStyle="1" w:styleId="HeaderChar">
    <w:name w:val="Header Char"/>
    <w:basedOn w:val="DefaultParagraphFont"/>
    <w:link w:val="Header"/>
    <w:uiPriority w:val="99"/>
    <w:rsid w:val="009357CC"/>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rsid w:val="009357CC"/>
    <w:pPr>
      <w:tabs>
        <w:tab w:val="center" w:pos="4536"/>
        <w:tab w:val="right" w:pos="9072"/>
      </w:tabs>
    </w:pPr>
  </w:style>
  <w:style w:type="character" w:customStyle="1" w:styleId="FooterChar">
    <w:name w:val="Footer Char"/>
    <w:basedOn w:val="DefaultParagraphFont"/>
    <w:link w:val="Footer"/>
    <w:uiPriority w:val="99"/>
    <w:rsid w:val="009357CC"/>
    <w:rPr>
      <w:rFonts w:ascii="Times New Roman" w:eastAsia="Times New Roman" w:hAnsi="Times New Roman" w:cs="Times New Roman"/>
      <w:kern w:val="0"/>
      <w:sz w:val="24"/>
      <w:szCs w:val="24"/>
      <w:lang w:eastAsia="en-GB"/>
    </w:rPr>
  </w:style>
  <w:style w:type="character" w:styleId="PageNumber">
    <w:name w:val="page number"/>
    <w:basedOn w:val="DefaultParagraphFont"/>
    <w:rsid w:val="009357CC"/>
  </w:style>
  <w:style w:type="paragraph" w:styleId="BalloonText">
    <w:name w:val="Balloon Text"/>
    <w:basedOn w:val="Normal"/>
    <w:link w:val="BalloonTextChar"/>
    <w:rsid w:val="009357CC"/>
    <w:rPr>
      <w:rFonts w:ascii="Tahoma" w:hAnsi="Tahoma" w:cs="Tahoma"/>
      <w:sz w:val="16"/>
      <w:szCs w:val="16"/>
    </w:rPr>
  </w:style>
  <w:style w:type="character" w:customStyle="1" w:styleId="BalloonTextChar">
    <w:name w:val="Balloon Text Char"/>
    <w:basedOn w:val="DefaultParagraphFont"/>
    <w:link w:val="BalloonText"/>
    <w:rsid w:val="009357CC"/>
    <w:rPr>
      <w:rFonts w:ascii="Tahoma" w:eastAsia="Times New Roman" w:hAnsi="Tahoma" w:cs="Tahoma"/>
      <w:kern w:val="0"/>
      <w:sz w:val="16"/>
      <w:szCs w:val="16"/>
      <w:lang w:eastAsia="en-GB"/>
    </w:rPr>
  </w:style>
  <w:style w:type="character" w:styleId="CommentReference">
    <w:name w:val="annotation reference"/>
    <w:uiPriority w:val="99"/>
    <w:rsid w:val="009357CC"/>
    <w:rPr>
      <w:sz w:val="16"/>
      <w:szCs w:val="16"/>
    </w:rPr>
  </w:style>
  <w:style w:type="paragraph" w:styleId="CommentText">
    <w:name w:val="annotation text"/>
    <w:basedOn w:val="Normal"/>
    <w:link w:val="CommentTextChar"/>
    <w:uiPriority w:val="99"/>
    <w:rsid w:val="009357CC"/>
    <w:rPr>
      <w:sz w:val="20"/>
      <w:szCs w:val="20"/>
    </w:rPr>
  </w:style>
  <w:style w:type="character" w:customStyle="1" w:styleId="CommentTextChar">
    <w:name w:val="Comment Text Char"/>
    <w:basedOn w:val="DefaultParagraphFont"/>
    <w:link w:val="CommentText"/>
    <w:uiPriority w:val="99"/>
    <w:rsid w:val="009357CC"/>
    <w:rPr>
      <w:rFonts w:ascii="Times New Roman" w:eastAsia="Times New Roman" w:hAnsi="Times New Roman" w:cs="Times New Roman"/>
      <w:kern w:val="0"/>
      <w:sz w:val="20"/>
      <w:szCs w:val="20"/>
      <w:lang w:eastAsia="en-GB"/>
    </w:rPr>
  </w:style>
  <w:style w:type="paragraph" w:styleId="CommentSubject">
    <w:name w:val="annotation subject"/>
    <w:basedOn w:val="CommentText"/>
    <w:next w:val="CommentText"/>
    <w:link w:val="CommentSubjectChar"/>
    <w:uiPriority w:val="99"/>
    <w:rsid w:val="009357CC"/>
    <w:rPr>
      <w:b/>
      <w:bCs/>
    </w:rPr>
  </w:style>
  <w:style w:type="character" w:customStyle="1" w:styleId="CommentSubjectChar">
    <w:name w:val="Comment Subject Char"/>
    <w:basedOn w:val="CommentTextChar"/>
    <w:link w:val="CommentSubject"/>
    <w:uiPriority w:val="99"/>
    <w:rsid w:val="009357CC"/>
    <w:rPr>
      <w:rFonts w:ascii="Times New Roman" w:eastAsia="Times New Roman" w:hAnsi="Times New Roman" w:cs="Times New Roman"/>
      <w:b/>
      <w:bCs/>
      <w:kern w:val="0"/>
      <w:sz w:val="20"/>
      <w:szCs w:val="20"/>
      <w:lang w:eastAsia="en-GB"/>
    </w:rPr>
  </w:style>
  <w:style w:type="paragraph" w:customStyle="1" w:styleId="Briefinglist1">
    <w:name w:val="Briefing list 1"/>
    <w:basedOn w:val="Normal"/>
    <w:link w:val="Briefinglist1Char"/>
    <w:rsid w:val="009357CC"/>
    <w:pPr>
      <w:keepLines/>
      <w:numPr>
        <w:numId w:val="2"/>
      </w:numPr>
      <w:spacing w:after="120"/>
      <w:jc w:val="both"/>
    </w:pPr>
    <w:rPr>
      <w:rFonts w:ascii="Arial" w:hAnsi="Arial"/>
      <w:sz w:val="22"/>
    </w:rPr>
  </w:style>
  <w:style w:type="character" w:customStyle="1" w:styleId="Briefinglist1Char">
    <w:name w:val="Briefing list 1 Char"/>
    <w:link w:val="Briefinglist1"/>
    <w:rsid w:val="009357CC"/>
    <w:rPr>
      <w:rFonts w:ascii="Arial" w:eastAsia="Times New Roman" w:hAnsi="Arial" w:cs="Times New Roman"/>
      <w:kern w:val="0"/>
      <w:szCs w:val="24"/>
      <w:lang w:eastAsia="en-GB"/>
    </w:rPr>
  </w:style>
  <w:style w:type="paragraph" w:styleId="NormalWeb">
    <w:name w:val="Normal (Web)"/>
    <w:basedOn w:val="Normal"/>
    <w:uiPriority w:val="99"/>
    <w:unhideWhenUsed/>
    <w:rsid w:val="009357CC"/>
    <w:pPr>
      <w:spacing w:before="100" w:beforeAutospacing="1" w:after="100" w:afterAutospacing="1"/>
    </w:pPr>
    <w:rPr>
      <w:lang w:val="en-IE" w:eastAsia="en-IE"/>
    </w:rPr>
  </w:style>
  <w:style w:type="character" w:styleId="Strong">
    <w:name w:val="Strong"/>
    <w:uiPriority w:val="22"/>
    <w:qFormat/>
    <w:rsid w:val="009357CC"/>
    <w:rPr>
      <w:b/>
      <w:bCs/>
    </w:rPr>
  </w:style>
  <w:style w:type="character" w:customStyle="1" w:styleId="hgkelc">
    <w:name w:val="hgkelc"/>
    <w:basedOn w:val="DefaultParagraphFont"/>
    <w:rsid w:val="009357CC"/>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ft"/>
    <w:basedOn w:val="Normal"/>
    <w:link w:val="FootnoteTextChar"/>
    <w:uiPriority w:val="99"/>
    <w:unhideWhenUsed/>
    <w:qFormat/>
    <w:rsid w:val="00A81E55"/>
    <w:rPr>
      <w:rFonts w:eastAsia="Calibri" w:cs="Calibri"/>
      <w:sz w:val="20"/>
      <w:szCs w:val="20"/>
      <w:lang w:val="en-IE" w:eastAsia="en-US"/>
    </w:rPr>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basedOn w:val="DefaultParagraphFont"/>
    <w:link w:val="FootnoteText"/>
    <w:uiPriority w:val="99"/>
    <w:qFormat/>
    <w:rsid w:val="00A81E55"/>
    <w:rPr>
      <w:rFonts w:ascii="Times New Roman" w:eastAsia="Calibri" w:hAnsi="Times New Roman" w:cs="Calibri"/>
      <w:kern w:val="0"/>
      <w:sz w:val="20"/>
      <w:szCs w:val="20"/>
      <w:lang w:val="en-IE"/>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o"/>
    <w:link w:val="FootnotesymbolCarZchn"/>
    <w:uiPriority w:val="99"/>
    <w:unhideWhenUsed/>
    <w:qFormat/>
    <w:rsid w:val="009357CC"/>
    <w:rPr>
      <w:vertAlign w:val="superscript"/>
    </w:rPr>
  </w:style>
  <w:style w:type="character" w:styleId="Hyperlink">
    <w:name w:val="Hyperlink"/>
    <w:uiPriority w:val="99"/>
    <w:unhideWhenUsed/>
    <w:rsid w:val="009357CC"/>
    <w:rPr>
      <w:color w:val="0563C1"/>
      <w:u w:val="single"/>
    </w:rPr>
  </w:style>
  <w:style w:type="character" w:customStyle="1" w:styleId="UnresolvedMention1">
    <w:name w:val="Unresolved Mention1"/>
    <w:uiPriority w:val="99"/>
    <w:semiHidden/>
    <w:unhideWhenUsed/>
    <w:rsid w:val="009357CC"/>
    <w:rPr>
      <w:color w:val="605E5C"/>
      <w:shd w:val="clear" w:color="auto" w:fill="E1DFDD"/>
    </w:rPr>
  </w:style>
  <w:style w:type="character" w:styleId="Emphasis">
    <w:name w:val="Emphasis"/>
    <w:uiPriority w:val="20"/>
    <w:qFormat/>
    <w:rsid w:val="009357CC"/>
    <w:rPr>
      <w:i/>
      <w:iCs/>
    </w:rPr>
  </w:style>
  <w:style w:type="character" w:styleId="FollowedHyperlink">
    <w:name w:val="FollowedHyperlink"/>
    <w:rsid w:val="009357CC"/>
    <w:rPr>
      <w:color w:val="954F72"/>
      <w:u w:val="single"/>
    </w:rPr>
  </w:style>
  <w:style w:type="table" w:styleId="GridTable3-Accent1">
    <w:name w:val="Grid Table 3 Accent 1"/>
    <w:basedOn w:val="TableNormal"/>
    <w:uiPriority w:val="48"/>
    <w:rsid w:val="009357CC"/>
    <w:pPr>
      <w:spacing w:after="0" w:line="240" w:lineRule="auto"/>
    </w:pPr>
    <w:rPr>
      <w:rFonts w:ascii="Times New Roman" w:eastAsia="Times New Roman" w:hAnsi="Times New Roman" w:cs="Times New Roman"/>
      <w:kern w:val="0"/>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paragraph" w:styleId="Revision">
    <w:name w:val="Revision"/>
    <w:hidden/>
    <w:uiPriority w:val="99"/>
    <w:semiHidden/>
    <w:rsid w:val="009357CC"/>
    <w:pPr>
      <w:spacing w:after="0" w:line="240" w:lineRule="auto"/>
    </w:pPr>
    <w:rPr>
      <w:rFonts w:ascii="Times New Roman" w:eastAsia="Times New Roman" w:hAnsi="Times New Roman" w:cs="Times New Roman"/>
      <w:kern w:val="0"/>
      <w:sz w:val="24"/>
      <w:szCs w:val="24"/>
      <w:lang w:eastAsia="en-GB"/>
    </w:rPr>
  </w:style>
  <w:style w:type="paragraph" w:customStyle="1" w:styleId="Text1">
    <w:name w:val="Text 1"/>
    <w:basedOn w:val="Normal"/>
    <w:qFormat/>
    <w:rsid w:val="009357CC"/>
    <w:pPr>
      <w:spacing w:after="240"/>
      <w:ind w:left="482"/>
      <w:jc w:val="both"/>
    </w:pPr>
    <w:rPr>
      <w:szCs w:val="20"/>
      <w:lang w:eastAsia="en-IE"/>
    </w:rPr>
  </w:style>
  <w:style w:type="character" w:customStyle="1" w:styleId="Bodytext1">
    <w:name w:val="Body text|1_"/>
    <w:basedOn w:val="DefaultParagraphFont"/>
    <w:link w:val="Bodytext10"/>
    <w:rsid w:val="009357CC"/>
    <w:rPr>
      <w:rFonts w:ascii="Arial" w:eastAsia="Arial" w:hAnsi="Arial" w:cs="Arial"/>
    </w:rPr>
  </w:style>
  <w:style w:type="paragraph" w:customStyle="1" w:styleId="Bodytext10">
    <w:name w:val="Body text|1"/>
    <w:basedOn w:val="Normal"/>
    <w:link w:val="Bodytext1"/>
    <w:rsid w:val="009357CC"/>
    <w:pPr>
      <w:widowControl w:val="0"/>
      <w:spacing w:after="180" w:line="276" w:lineRule="auto"/>
    </w:pPr>
    <w:rPr>
      <w:rFonts w:ascii="Arial" w:eastAsia="Arial" w:hAnsi="Arial" w:cs="Arial"/>
      <w:kern w:val="2"/>
      <w:sz w:val="22"/>
      <w:szCs w:val="22"/>
      <w:lang w:eastAsia="en-US"/>
    </w:rPr>
  </w:style>
  <w:style w:type="character" w:customStyle="1" w:styleId="rpv-coretext-layer-text">
    <w:name w:val="rpv-core__text-layer-text"/>
    <w:basedOn w:val="DefaultParagraphFont"/>
    <w:rsid w:val="009357CC"/>
  </w:style>
  <w:style w:type="paragraph" w:customStyle="1" w:styleId="paragraph">
    <w:name w:val="paragraph"/>
    <w:basedOn w:val="Normal"/>
    <w:rsid w:val="009357CC"/>
    <w:pPr>
      <w:spacing w:before="100" w:beforeAutospacing="1" w:after="100" w:afterAutospacing="1"/>
    </w:pPr>
    <w:rPr>
      <w:lang w:val="en-IE" w:eastAsia="en-IE"/>
    </w:rPr>
  </w:style>
  <w:style w:type="character" w:customStyle="1" w:styleId="ListParagraphChar">
    <w:name w:val="List Paragraph Char"/>
    <w:aliases w:val="Dot pt Char,F5 List Paragraph Char,List Paragraph1 Char,No Spacing1 Char,List Paragraph Char Char Char Char,Indicator Text Char,Numbered Para 1 Char,Bullet Points Char,MAIN CONTENT Char,List Paragraph12 Char,Bullet 1 Char,Nad Char"/>
    <w:basedOn w:val="DefaultParagraphFont"/>
    <w:link w:val="ListParagraph"/>
    <w:uiPriority w:val="34"/>
    <w:qFormat/>
    <w:locked/>
    <w:rsid w:val="009357CC"/>
    <w:rPr>
      <w:lang w:val="en-IE"/>
    </w:rPr>
  </w:style>
  <w:style w:type="paragraph" w:styleId="BodyText">
    <w:name w:val="Body Text"/>
    <w:basedOn w:val="Normal"/>
    <w:link w:val="BodyTextChar"/>
    <w:rsid w:val="009357CC"/>
    <w:pPr>
      <w:spacing w:after="120"/>
      <w:jc w:val="both"/>
    </w:pPr>
    <w:rPr>
      <w:szCs w:val="20"/>
      <w:lang w:eastAsia="en-US"/>
    </w:rPr>
  </w:style>
  <w:style w:type="character" w:customStyle="1" w:styleId="BodyTextChar">
    <w:name w:val="Body Text Char"/>
    <w:basedOn w:val="DefaultParagraphFont"/>
    <w:link w:val="BodyText"/>
    <w:rsid w:val="009357CC"/>
    <w:rPr>
      <w:rFonts w:ascii="Times New Roman" w:eastAsia="Times New Roman" w:hAnsi="Times New Roman" w:cs="Times New Roman"/>
      <w:kern w:val="0"/>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9357CC"/>
    <w:pPr>
      <w:spacing w:after="160" w:line="240" w:lineRule="exact"/>
      <w:jc w:val="both"/>
    </w:pPr>
    <w:rPr>
      <w:rFonts w:asciiTheme="minorHAnsi" w:eastAsiaTheme="minorHAnsi" w:hAnsiTheme="minorHAnsi" w:cstheme="minorBidi"/>
      <w:kern w:val="2"/>
      <w:sz w:val="22"/>
      <w:szCs w:val="22"/>
      <w:vertAlign w:val="superscript"/>
      <w:lang w:eastAsia="en-US"/>
    </w:rPr>
  </w:style>
  <w:style w:type="character" w:customStyle="1" w:styleId="il">
    <w:name w:val="il"/>
    <w:basedOn w:val="DefaultParagraphFont"/>
    <w:rsid w:val="009357CC"/>
  </w:style>
  <w:style w:type="character" w:customStyle="1" w:styleId="normaltextrun">
    <w:name w:val="normaltextrun"/>
    <w:basedOn w:val="DefaultParagraphFont"/>
    <w:rsid w:val="009357CC"/>
  </w:style>
  <w:style w:type="character" w:customStyle="1" w:styleId="eop">
    <w:name w:val="eop"/>
    <w:basedOn w:val="DefaultParagraphFont"/>
    <w:rsid w:val="009357CC"/>
  </w:style>
  <w:style w:type="table" w:customStyle="1" w:styleId="TableGrid1">
    <w:name w:val="Table Grid1"/>
    <w:basedOn w:val="TableNormal"/>
    <w:next w:val="TableGrid"/>
    <w:uiPriority w:val="39"/>
    <w:rsid w:val="009357CC"/>
    <w:pPr>
      <w:spacing w:after="0" w:line="240" w:lineRule="auto"/>
    </w:pPr>
    <w:rPr>
      <w:rFonts w:ascii="Aptos" w:eastAsia="Aptos" w:hAnsi="Aptos"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357CC"/>
    <w:pPr>
      <w:spacing w:after="0" w:line="240" w:lineRule="auto"/>
    </w:pPr>
    <w:rPr>
      <w:rFonts w:ascii="Aptos" w:eastAsia="Aptos" w:hAnsi="Aptos"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9357CC"/>
    <w:rPr>
      <w:color w:val="0000FF"/>
      <w:shd w:val="clear" w:color="auto" w:fill="auto"/>
    </w:rPr>
  </w:style>
  <w:style w:type="paragraph" w:customStyle="1" w:styleId="Pagedecouverture">
    <w:name w:val="Page de couverture"/>
    <w:basedOn w:val="Normal"/>
    <w:next w:val="Normal"/>
    <w:rsid w:val="009357CC"/>
    <w:pPr>
      <w:jc w:val="both"/>
    </w:pPr>
    <w:rPr>
      <w:rFonts w:eastAsiaTheme="minorHAnsi"/>
      <w:szCs w:val="22"/>
      <w:lang w:eastAsia="en-US"/>
    </w:rPr>
  </w:style>
  <w:style w:type="paragraph" w:customStyle="1" w:styleId="FooterCoverPage">
    <w:name w:val="Footer Cover Page"/>
    <w:basedOn w:val="Normal"/>
    <w:link w:val="FooterCoverPageChar"/>
    <w:rsid w:val="009357CC"/>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9357CC"/>
    <w:rPr>
      <w:rFonts w:ascii="Times New Roman" w:eastAsia="Times New Roman" w:hAnsi="Times New Roman" w:cs="Times New Roman"/>
      <w:kern w:val="0"/>
      <w:sz w:val="24"/>
      <w:szCs w:val="24"/>
      <w:lang w:eastAsia="en-GB"/>
    </w:rPr>
  </w:style>
  <w:style w:type="paragraph" w:customStyle="1" w:styleId="FooterSensitivity">
    <w:name w:val="Footer Sensitivity"/>
    <w:basedOn w:val="Normal"/>
    <w:link w:val="FooterSensitivityChar"/>
    <w:rsid w:val="009357CC"/>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9357CC"/>
    <w:rPr>
      <w:rFonts w:ascii="Times New Roman" w:eastAsia="Times New Roman" w:hAnsi="Times New Roman" w:cs="Times New Roman"/>
      <w:b/>
      <w:kern w:val="0"/>
      <w:sz w:val="32"/>
      <w:szCs w:val="24"/>
      <w:lang w:eastAsia="en-GB"/>
    </w:rPr>
  </w:style>
  <w:style w:type="paragraph" w:customStyle="1" w:styleId="HeaderCoverPage">
    <w:name w:val="Header Cover Page"/>
    <w:basedOn w:val="Normal"/>
    <w:link w:val="HeaderCoverPageChar"/>
    <w:rsid w:val="009357CC"/>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9357CC"/>
    <w:rPr>
      <w:rFonts w:ascii="Times New Roman" w:eastAsia="Times New Roman" w:hAnsi="Times New Roman" w:cs="Times New Roman"/>
      <w:kern w:val="0"/>
      <w:sz w:val="24"/>
      <w:szCs w:val="24"/>
      <w:lang w:eastAsia="en-GB"/>
    </w:rPr>
  </w:style>
  <w:style w:type="paragraph" w:customStyle="1" w:styleId="HeaderSensitivity">
    <w:name w:val="Header Sensitivity"/>
    <w:basedOn w:val="Normal"/>
    <w:link w:val="HeaderSensitivityChar"/>
    <w:rsid w:val="009357C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9357CC"/>
    <w:rPr>
      <w:rFonts w:ascii="Times New Roman" w:eastAsia="Times New Roman" w:hAnsi="Times New Roman" w:cs="Times New Roman"/>
      <w:b/>
      <w:kern w:val="0"/>
      <w:sz w:val="32"/>
      <w:szCs w:val="24"/>
      <w:lang w:eastAsia="en-GB"/>
    </w:rPr>
  </w:style>
  <w:style w:type="paragraph" w:customStyle="1" w:styleId="HeaderSensitivityRight">
    <w:name w:val="Header Sensitivity Right"/>
    <w:basedOn w:val="Normal"/>
    <w:link w:val="HeaderSensitivityRightChar"/>
    <w:rsid w:val="009357CC"/>
    <w:pPr>
      <w:spacing w:after="120"/>
      <w:jc w:val="right"/>
    </w:pPr>
    <w:rPr>
      <w:sz w:val="28"/>
    </w:rPr>
  </w:style>
  <w:style w:type="character" w:customStyle="1" w:styleId="HeaderSensitivityRightChar">
    <w:name w:val="Header Sensitivity Right Char"/>
    <w:basedOn w:val="DefaultParagraphFont"/>
    <w:link w:val="HeaderSensitivityRight"/>
    <w:rsid w:val="009357CC"/>
    <w:rPr>
      <w:rFonts w:ascii="Times New Roman" w:eastAsia="Times New Roman" w:hAnsi="Times New Roman" w:cs="Times New Roman"/>
      <w:kern w:val="0"/>
      <w:sz w:val="28"/>
      <w:szCs w:val="24"/>
      <w:lang w:eastAsia="en-GB"/>
    </w:rPr>
  </w:style>
  <w:style w:type="paragraph" w:styleId="NoSpacing">
    <w:name w:val="No Spacing"/>
    <w:uiPriority w:val="1"/>
    <w:qFormat/>
    <w:rsid w:val="009357CC"/>
    <w:pPr>
      <w:spacing w:after="0" w:line="240" w:lineRule="auto"/>
    </w:pPr>
    <w:rPr>
      <w:rFonts w:ascii="Times New Roman" w:eastAsia="Times New Roman" w:hAnsi="Times New Roman" w:cs="Times New Roman"/>
      <w:kern w:val="0"/>
      <w:sz w:val="24"/>
      <w:szCs w:val="20"/>
      <w:lang w:eastAsia="en-GB"/>
    </w:rPr>
  </w:style>
  <w:style w:type="character" w:customStyle="1" w:styleId="Mention1">
    <w:name w:val="Mention1"/>
    <w:basedOn w:val="DefaultParagraphFont"/>
    <w:uiPriority w:val="99"/>
    <w:unhideWhenUsed/>
    <w:rsid w:val="009357CC"/>
    <w:rPr>
      <w:color w:val="2B579A"/>
      <w:shd w:val="clear" w:color="auto" w:fill="E1DFDD"/>
    </w:rPr>
  </w:style>
  <w:style w:type="paragraph" w:customStyle="1" w:styleId="pf0">
    <w:name w:val="pf0"/>
    <w:basedOn w:val="Normal"/>
    <w:rsid w:val="009357CC"/>
    <w:pPr>
      <w:spacing w:before="100" w:beforeAutospacing="1" w:after="100" w:afterAutospacing="1"/>
    </w:pPr>
    <w:rPr>
      <w:lang w:val="en-IE" w:eastAsia="en-IE"/>
    </w:rPr>
  </w:style>
  <w:style w:type="character" w:customStyle="1" w:styleId="cf01">
    <w:name w:val="cf01"/>
    <w:basedOn w:val="DefaultParagraphFont"/>
    <w:rsid w:val="009357CC"/>
    <w:rPr>
      <w:rFonts w:ascii="Segoe UI" w:hAnsi="Segoe UI" w:cs="Segoe UI" w:hint="default"/>
      <w:sz w:val="18"/>
      <w:szCs w:val="18"/>
    </w:rPr>
  </w:style>
  <w:style w:type="paragraph" w:customStyle="1" w:styleId="Text3">
    <w:name w:val="Text 3"/>
    <w:basedOn w:val="Normal"/>
    <w:qFormat/>
    <w:rsid w:val="009357CC"/>
    <w:pPr>
      <w:spacing w:after="240"/>
      <w:ind w:left="1202"/>
      <w:jc w:val="both"/>
    </w:pPr>
    <w:rPr>
      <w:szCs w:val="20"/>
    </w:rPr>
  </w:style>
  <w:style w:type="paragraph" w:customStyle="1" w:styleId="p1">
    <w:name w:val="p1"/>
    <w:basedOn w:val="Normal"/>
    <w:rsid w:val="009357CC"/>
    <w:pPr>
      <w:spacing w:before="100" w:beforeAutospacing="1" w:after="100" w:afterAutospacing="1"/>
    </w:pPr>
    <w:rPr>
      <w:rFonts w:ascii="Calibri" w:eastAsiaTheme="minorHAnsi" w:hAnsi="Calibri" w:cs="Calibri"/>
      <w:sz w:val="22"/>
      <w:szCs w:val="22"/>
      <w:lang w:val="en-IE" w:eastAsia="en-IE"/>
    </w:rPr>
  </w:style>
  <w:style w:type="character" w:customStyle="1" w:styleId="s1">
    <w:name w:val="s1"/>
    <w:basedOn w:val="DefaultParagraphFont"/>
    <w:rsid w:val="009357CC"/>
  </w:style>
  <w:style w:type="character" w:customStyle="1" w:styleId="apple-converted-space">
    <w:name w:val="apple-converted-space"/>
    <w:basedOn w:val="DefaultParagraphFont"/>
    <w:rsid w:val="009357CC"/>
  </w:style>
  <w:style w:type="paragraph" w:styleId="EndnoteText">
    <w:name w:val="endnote text"/>
    <w:basedOn w:val="Normal"/>
    <w:link w:val="EndnoteTextChar"/>
    <w:uiPriority w:val="99"/>
    <w:semiHidden/>
    <w:unhideWhenUsed/>
    <w:rsid w:val="009357CC"/>
    <w:rPr>
      <w:sz w:val="20"/>
      <w:szCs w:val="20"/>
    </w:rPr>
  </w:style>
  <w:style w:type="character" w:customStyle="1" w:styleId="EndnoteTextChar">
    <w:name w:val="Endnote Text Char"/>
    <w:basedOn w:val="DefaultParagraphFont"/>
    <w:link w:val="EndnoteText"/>
    <w:uiPriority w:val="99"/>
    <w:semiHidden/>
    <w:rsid w:val="009357CC"/>
    <w:rPr>
      <w:rFonts w:ascii="Times New Roman" w:eastAsia="Times New Roman" w:hAnsi="Times New Roman" w:cs="Times New Roman"/>
      <w:kern w:val="0"/>
      <w:sz w:val="20"/>
      <w:szCs w:val="20"/>
      <w:lang w:eastAsia="en-GB"/>
    </w:rPr>
  </w:style>
  <w:style w:type="character" w:styleId="EndnoteReference">
    <w:name w:val="endnote reference"/>
    <w:basedOn w:val="DefaultParagraphFont"/>
    <w:uiPriority w:val="99"/>
    <w:semiHidden/>
    <w:unhideWhenUsed/>
    <w:rsid w:val="009357CC"/>
    <w:rPr>
      <w:vertAlign w:val="superscript"/>
    </w:rPr>
  </w:style>
  <w:style w:type="character" w:customStyle="1" w:styleId="Mention2">
    <w:name w:val="Mention2"/>
    <w:basedOn w:val="DefaultParagraphFont"/>
    <w:uiPriority w:val="99"/>
    <w:unhideWhenUsed/>
    <w:rsid w:val="00612259"/>
    <w:rPr>
      <w:color w:val="2B579A"/>
      <w:shd w:val="clear" w:color="auto" w:fill="E1DFDD"/>
    </w:rPr>
  </w:style>
  <w:style w:type="character" w:customStyle="1" w:styleId="UnresolvedMention2">
    <w:name w:val="Unresolved Mention2"/>
    <w:basedOn w:val="DefaultParagraphFont"/>
    <w:uiPriority w:val="99"/>
    <w:semiHidden/>
    <w:unhideWhenUsed/>
    <w:rsid w:val="00632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2594">
      <w:bodyDiv w:val="1"/>
      <w:marLeft w:val="0"/>
      <w:marRight w:val="0"/>
      <w:marTop w:val="0"/>
      <w:marBottom w:val="0"/>
      <w:divBdr>
        <w:top w:val="none" w:sz="0" w:space="0" w:color="auto"/>
        <w:left w:val="none" w:sz="0" w:space="0" w:color="auto"/>
        <w:bottom w:val="none" w:sz="0" w:space="0" w:color="auto"/>
        <w:right w:val="none" w:sz="0" w:space="0" w:color="auto"/>
      </w:divBdr>
    </w:div>
    <w:div w:id="336074847">
      <w:bodyDiv w:val="1"/>
      <w:marLeft w:val="0"/>
      <w:marRight w:val="0"/>
      <w:marTop w:val="0"/>
      <w:marBottom w:val="0"/>
      <w:divBdr>
        <w:top w:val="none" w:sz="0" w:space="0" w:color="auto"/>
        <w:left w:val="none" w:sz="0" w:space="0" w:color="auto"/>
        <w:bottom w:val="none" w:sz="0" w:space="0" w:color="auto"/>
        <w:right w:val="none" w:sz="0" w:space="0" w:color="auto"/>
      </w:divBdr>
    </w:div>
    <w:div w:id="684524924">
      <w:bodyDiv w:val="1"/>
      <w:marLeft w:val="0"/>
      <w:marRight w:val="0"/>
      <w:marTop w:val="0"/>
      <w:marBottom w:val="0"/>
      <w:divBdr>
        <w:top w:val="none" w:sz="0" w:space="0" w:color="auto"/>
        <w:left w:val="none" w:sz="0" w:space="0" w:color="auto"/>
        <w:bottom w:val="none" w:sz="0" w:space="0" w:color="auto"/>
        <w:right w:val="none" w:sz="0" w:space="0" w:color="auto"/>
      </w:divBdr>
    </w:div>
    <w:div w:id="915822241">
      <w:bodyDiv w:val="1"/>
      <w:marLeft w:val="0"/>
      <w:marRight w:val="0"/>
      <w:marTop w:val="0"/>
      <w:marBottom w:val="0"/>
      <w:divBdr>
        <w:top w:val="none" w:sz="0" w:space="0" w:color="auto"/>
        <w:left w:val="none" w:sz="0" w:space="0" w:color="auto"/>
        <w:bottom w:val="none" w:sz="0" w:space="0" w:color="auto"/>
        <w:right w:val="none" w:sz="0" w:space="0" w:color="auto"/>
      </w:divBdr>
    </w:div>
    <w:div w:id="1016999892">
      <w:bodyDiv w:val="1"/>
      <w:marLeft w:val="0"/>
      <w:marRight w:val="0"/>
      <w:marTop w:val="0"/>
      <w:marBottom w:val="0"/>
      <w:divBdr>
        <w:top w:val="none" w:sz="0" w:space="0" w:color="auto"/>
        <w:left w:val="none" w:sz="0" w:space="0" w:color="auto"/>
        <w:bottom w:val="none" w:sz="0" w:space="0" w:color="auto"/>
        <w:right w:val="none" w:sz="0" w:space="0" w:color="auto"/>
      </w:divBdr>
    </w:div>
    <w:div w:id="1182206759">
      <w:bodyDiv w:val="1"/>
      <w:marLeft w:val="0"/>
      <w:marRight w:val="0"/>
      <w:marTop w:val="0"/>
      <w:marBottom w:val="0"/>
      <w:divBdr>
        <w:top w:val="none" w:sz="0" w:space="0" w:color="auto"/>
        <w:left w:val="none" w:sz="0" w:space="0" w:color="auto"/>
        <w:bottom w:val="none" w:sz="0" w:space="0" w:color="auto"/>
        <w:right w:val="none" w:sz="0" w:space="0" w:color="auto"/>
      </w:divBdr>
    </w:div>
    <w:div w:id="1195273220">
      <w:bodyDiv w:val="1"/>
      <w:marLeft w:val="0"/>
      <w:marRight w:val="0"/>
      <w:marTop w:val="0"/>
      <w:marBottom w:val="0"/>
      <w:divBdr>
        <w:top w:val="none" w:sz="0" w:space="0" w:color="auto"/>
        <w:left w:val="none" w:sz="0" w:space="0" w:color="auto"/>
        <w:bottom w:val="none" w:sz="0" w:space="0" w:color="auto"/>
        <w:right w:val="none" w:sz="0" w:space="0" w:color="auto"/>
      </w:divBdr>
    </w:div>
    <w:div w:id="1309477717">
      <w:bodyDiv w:val="1"/>
      <w:marLeft w:val="0"/>
      <w:marRight w:val="0"/>
      <w:marTop w:val="0"/>
      <w:marBottom w:val="0"/>
      <w:divBdr>
        <w:top w:val="none" w:sz="0" w:space="0" w:color="auto"/>
        <w:left w:val="none" w:sz="0" w:space="0" w:color="auto"/>
        <w:bottom w:val="none" w:sz="0" w:space="0" w:color="auto"/>
        <w:right w:val="none" w:sz="0" w:space="0" w:color="auto"/>
      </w:divBdr>
    </w:div>
    <w:div w:id="201117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researchgate.net/publication/317149894_Challenges_in_academic_commercialisation_a_case_study_of_the_scientists'_experiences" TargetMode="External"/><Relationship Id="rId3" Type="http://schemas.openxmlformats.org/officeDocument/2006/relationships/hyperlink" Target="https://www.jbs.cam.ac.uk/faculty-research/centres/alternative-finance/publications/early-lessons-on-regulatory-innovation-to-enable-inclusive-fintech/" TargetMode="External"/><Relationship Id="rId7" Type="http://schemas.openxmlformats.org/officeDocument/2006/relationships/hyperlink" Target="https://www.eif.org/etci/scale-up-financing-gap/index.htm" TargetMode="External"/><Relationship Id="rId2" Type="http://schemas.openxmlformats.org/officeDocument/2006/relationships/hyperlink" Target="https://single-market-economy.ec.europa.eu/single-market/strategy_en" TargetMode="External"/><Relationship Id="rId1" Type="http://schemas.openxmlformats.org/officeDocument/2006/relationships/hyperlink" Target="https://publications.jrc.ec.europa.eu/repository/handle/JRC127712" TargetMode="External"/><Relationship Id="rId6" Type="http://schemas.openxmlformats.org/officeDocument/2006/relationships/hyperlink" Target="https://data.europa.eu/doi/10.2867/382579" TargetMode="External"/><Relationship Id="rId5" Type="http://schemas.openxmlformats.org/officeDocument/2006/relationships/hyperlink" Target="https://data.europa.eu/doi/10.2867/382579" TargetMode="External"/><Relationship Id="rId4" Type="http://schemas.openxmlformats.org/officeDocument/2006/relationships/hyperlink" Target="https://www.bis.org/publ/work901.pdf" TargetMode="External"/><Relationship Id="rId9" Type="http://schemas.openxmlformats.org/officeDocument/2006/relationships/hyperlink" Target="https://eur-lex.europa.eu/legal-content/en/TXT/PDF/?uri=CELEX%3A52025DC00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471D-2E73-4F1A-831D-F2355FAF5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6687</Words>
  <Characters>39525</Characters>
  <Application>Microsoft Office Word</Application>
  <DocSecurity>0</DocSecurity>
  <Lines>637</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2025-05-27T15:55:00Z</dcterms:created>
  <dcterms:modified xsi:type="dcterms:W3CDTF">2025-05-27T15:55:00Z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2025-05-27T13:27:38Z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6379c0c1-bc37-49a2-a6ca-b8d35a6cc2dc</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